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75AF8">
      <w:pPr>
        <w:divId w:val="452019683"/>
        <w:rPr>
          <w:rFonts w:eastAsia="Times New Roman"/>
          <w:vanish/>
        </w:rPr>
      </w:pPr>
      <w:r>
        <w:rPr>
          <w:rFonts w:eastAsia="Times New Roman"/>
          <w:vanish/>
        </w:rPr>
        <w:t>000163665112-312022Q2false00016366512022-01-012022-06-300001636651dei:FormerAddressMember2022-01-012022-06-3000016366512022-08-05xbrli:shares00016366512022-06-30iso4217:USD00016366512021-12-31iso4217:USDxbrli:shares0001636651</w:t>
      </w:r>
      <w:r>
        <w:rPr>
          <w:rFonts w:eastAsia="Times New Roman"/>
          <w:vanish/>
        </w:rPr>
        <w:t>us-gaap:SeriesAPreferredStockMember2021-12-310001636651us-gaap:SeriesAPreferredStockMember2022-06-300001636651us-gaap:LicenseMember2022-04-012022-06-300001636651us-gaap:LicenseMember2021-04-012021-06-300001636651us-gaap:LicenseMember2022-01-012022-06-30000</w:t>
      </w:r>
      <w:r>
        <w:rPr>
          <w:rFonts w:eastAsia="Times New Roman"/>
          <w:vanish/>
        </w:rPr>
        <w:t>1636651us-gaap:LicenseMember2021-01-012021-06-300001636651ovid:RelatedPartyMember2022-04-012022-06-300001636651ovid:RelatedPartyMember2021-04-012021-06-300001636651ovid:RelatedPartyMember2022-01-012022-06-300001636651ovid:RelatedPartyMember2021-01-012021-0</w:t>
      </w:r>
      <w:r>
        <w:rPr>
          <w:rFonts w:eastAsia="Times New Roman"/>
          <w:vanish/>
        </w:rPr>
        <w:t>6-3000016366512022-04-012022-06-3000016366512021-04-012021-06-3000016366512021-01-012021-06-300001636651us-gaap:PreferredStockMemberovid:SeriesAConvertiblePreferredStockMember2021-12-310001636651us-gaap:CommonStockMember2021-12-310001636651us-gaap:Addition</w:t>
      </w:r>
      <w:r>
        <w:rPr>
          <w:rFonts w:eastAsia="Times New Roman"/>
          <w:vanish/>
        </w:rPr>
        <w:t>alPaidInCapitalMember2021-12-310001636651us-gaap:AccumulatedOtherComprehensiveIncomeMember2021-12-310001636651us-gaap:RetainedEarningsMember2021-12-310001636651us-gaap:AdditionalPaidInCapitalMember2022-01-012022-03-3100016366512022-01-012022-03-31000163665</w:t>
      </w:r>
      <w:r>
        <w:rPr>
          <w:rFonts w:eastAsia="Times New Roman"/>
          <w:vanish/>
        </w:rPr>
        <w:t>1us-gaap:CommonStockMember2022-01-012022-03-310001636651us-gaap:RetainedEarningsMember2022-01-012022-03-310001636651us-gaap:PreferredStockMemberovid:SeriesAConvertiblePreferredStockMember2022-03-310001636651us-gaap:CommonStockMember2022-03-310001636651us-g</w:t>
      </w:r>
      <w:r>
        <w:rPr>
          <w:rFonts w:eastAsia="Times New Roman"/>
          <w:vanish/>
        </w:rPr>
        <w:t>aap:AdditionalPaidInCapitalMember2022-03-310001636651us-gaap:AccumulatedOtherComprehensiveIncomeMember2022-03-310001636651us-gaap:RetainedEarningsMember2022-03-3100016366512022-03-310001636651us-gaap:AdditionalPaidInCapitalMember2022-04-012022-06-300001636</w:t>
      </w:r>
      <w:r>
        <w:rPr>
          <w:rFonts w:eastAsia="Times New Roman"/>
          <w:vanish/>
        </w:rPr>
        <w:t>651us-gaap:CommonStockMember2022-04-012022-06-300001636651us-gaap:AccumulatedOtherComprehensiveIncomeMember2022-04-012022-06-300001636651us-gaap:RetainedEarningsMember2022-04-012022-06-300001636651us-gaap:PreferredStockMemberovid:SeriesAConvertiblePreferre</w:t>
      </w:r>
      <w:r>
        <w:rPr>
          <w:rFonts w:eastAsia="Times New Roman"/>
          <w:vanish/>
        </w:rPr>
        <w:t>dStockMember2022-06-300001636651us-gaap:CommonStockMember2022-06-300001636651us-gaap:AdditionalPaidInCapitalMember2022-06-300001636651us-gaap:AccumulatedOtherComprehensiveIncomeMember2022-06-300001636651us-gaap:RetainedEarningsMember2022-06-300001636651us-</w:t>
      </w:r>
      <w:r>
        <w:rPr>
          <w:rFonts w:eastAsia="Times New Roman"/>
          <w:vanish/>
        </w:rPr>
        <w:t>gaap:PreferredStockMemberovid:SeriesAConvertiblePreferredStockMember2020-12-310001636651us-gaap:CommonStockMember2020-12-310001636651us-gaap:AdditionalPaidInCapitalMember2020-12-310001636651us-gaap:AccumulatedOtherComprehensiveIncomeMember2020-12-310001636</w:t>
      </w:r>
      <w:r>
        <w:rPr>
          <w:rFonts w:eastAsia="Times New Roman"/>
          <w:vanish/>
        </w:rPr>
        <w:t>651us-gaap:RetainedEarningsMember2020-12-3100016366512020-12-310001636651us-gaap:AdditionalPaidInCapitalMember2021-01-012021-03-3100016366512021-01-012021-03-310001636651us-gaap:CommonStockMember2021-01-012021-03-310001636651us-gaap:PreferredStockMemberovi</w:t>
      </w:r>
      <w:r>
        <w:rPr>
          <w:rFonts w:eastAsia="Times New Roman"/>
          <w:vanish/>
        </w:rPr>
        <w:t>d:SeriesAConvertiblePreferredStockMember2021-01-012021-03-310001636651us-gaap:RetainedEarningsMember2021-01-012021-03-310001636651us-gaap:PreferredStockMemberovid:SeriesAConvertiblePreferredStockMember2021-03-310001636651us-gaap:CommonStockMember2021-03-31</w:t>
      </w:r>
      <w:r>
        <w:rPr>
          <w:rFonts w:eastAsia="Times New Roman"/>
          <w:vanish/>
        </w:rPr>
        <w:t>0001636651us-gaap:AdditionalPaidInCapitalMember2021-03-310001636651us-gaap:AccumulatedOtherComprehensiveIncomeMember2021-03-310001636651us-gaap:RetainedEarningsMember2021-03-3100016366512021-03-310001636651us-gaap:AdditionalPaidInCapitalMember2021-04-01202</w:t>
      </w:r>
      <w:r>
        <w:rPr>
          <w:rFonts w:eastAsia="Times New Roman"/>
          <w:vanish/>
        </w:rPr>
        <w:t>1-06-300001636651us-gaap:CommonStockMember2021-04-012021-06-300001636651us-gaap:RetainedEarningsMember2021-04-012021-06-300001636651us-gaap:PreferredStockMemberovid:SeriesAConvertiblePreferredStockMember2021-06-300001636651us-gaap:CommonStockMember2021-06-</w:t>
      </w:r>
      <w:r>
        <w:rPr>
          <w:rFonts w:eastAsia="Times New Roman"/>
          <w:vanish/>
        </w:rPr>
        <w:t>300001636651us-gaap:AdditionalPaidInCapitalMember2021-06-300001636651us-gaap:AccumulatedOtherComprehensiveIncomeMember2021-06-300001636651us-gaap:RetainedEarningsMember2021-06-3000016366512021-06-3000016366512014-04-012022-06-300001636651ovid:MarinusTherap</w:t>
      </w:r>
      <w:r>
        <w:rPr>
          <w:rFonts w:eastAsia="Times New Roman"/>
          <w:vanish/>
        </w:rPr>
        <w:t>euticsIncMember2022-06-300001636651ovid:PromissoryNotesMember2022-03-170001636651ovid:PromissoryNotesMember2022-06-30xbrli:pure0001636651us-gaap:FairValueInputsLevel1Memberovid:USGovernmentTreasuryFundUSGovernmentTreasuryBillsAndEquitySecuritiesMember2022-</w:t>
      </w:r>
      <w:r>
        <w:rPr>
          <w:rFonts w:eastAsia="Times New Roman"/>
          <w:vanish/>
        </w:rPr>
        <w:t>06-300001636651us-gaap:FairValueInputsLevel1Memberovid:MoneyMarketFundsAndShortTermInvestmentsMember2021-12-310001636651us-gaap:USTreasuryBillSecuritiesMemberus-gaap:FairValueInputsLevel2Member2022-06-300001636651us-gaap:FairValueInputsLevel2Member2022-06-</w:t>
      </w:r>
      <w:r>
        <w:rPr>
          <w:rFonts w:eastAsia="Times New Roman"/>
          <w:vanish/>
        </w:rPr>
        <w:t>300001636651us-gaap:FairValueInputsLevel2Member2021-12-310001636651us-gaap:FairValueInputsLevel3Member2022-06-300001636651us-gaap:FairValueInputsLevel3Member2021-12-310001636651us-gaap:CashMember2022-06-300001636651us-gaap:MoneyMarketFundsMember2022-06-300</w:t>
      </w:r>
      <w:r>
        <w:rPr>
          <w:rFonts w:eastAsia="Times New Roman"/>
          <w:vanish/>
        </w:rPr>
        <w:t>001636651us-gaap:CashMember2021-12-310001636651us-gaap:MoneyMarketFundsMember2021-12-31ovid:Investment0001636651us-gaap:FurnitureAndFixturesMember2022-06-300001636651us-gaap:FurnitureAndFixturesMember2021-12-310001636651us-gaap:LeaseholdImprovementsMember2</w:t>
      </w:r>
      <w:r>
        <w:rPr>
          <w:rFonts w:eastAsia="Times New Roman"/>
          <w:vanish/>
        </w:rPr>
        <w:t>022-06-300001636651us-gaap:LeaseholdImprovementsMember2021-12-3100016366512022-03-10utr:sqft00016366512022-03-102022-03-100001636651us-gaap:LetterOfCreditMember2022-06-300001636651ovid:SeriesAConvertiblePreferredStockMember2022-06-30ovid:vote0001636651srt:</w:t>
      </w:r>
      <w:r>
        <w:rPr>
          <w:rFonts w:eastAsia="Times New Roman"/>
          <w:vanish/>
        </w:rPr>
        <w:t>MaximumMemberovid:ATMAgreementMemberovid:CowenAndCompanyLLCMember2020-11-300001636651us-gaap:CommonStockMemberovid:ATMAgreementMemberovid:CowenAndCompanyLLCMember2020-11-012022-06-300001636651ovid:SeriesAConvertiblePreferredStockMember2021-12-310001636651o</w:t>
      </w:r>
      <w:r>
        <w:rPr>
          <w:rFonts w:eastAsia="Times New Roman"/>
          <w:vanish/>
        </w:rPr>
        <w:t>vid:SeriesAConvertiblePreferredStockMember2022-01-012022-06-300001636651srt:MinimumMemberovid:SeriesAConvertiblePreferredStockMember2022-06-300001636651srt:MaximumMemberovid:SeriesAConvertiblePreferredStockMember2022-06-300001636651ovid:SeriesAConvertibleP</w:t>
      </w:r>
      <w:r>
        <w:rPr>
          <w:rFonts w:eastAsia="Times New Roman"/>
          <w:vanish/>
        </w:rPr>
        <w:t>referredStockMember2021-03-012021-03-310001636651us-gaap:CommonStockMember2021-03-012021-03-310001636651ovid:TwoThousandSeventeenEquityIncentivePlanMember2022-06-300001636651ovid:TwoThousandSeventeenEquityIncentivePlanMember2022-01-012022-06-300001636651ov</w:t>
      </w:r>
      <w:r>
        <w:rPr>
          <w:rFonts w:eastAsia="Times New Roman"/>
          <w:vanish/>
        </w:rPr>
        <w:t>id:TwoThousandSeventeenEquityIncentivePlanMember2022-01-012022-01-010001636651ovid:TwoThousandSeventeenEquityIncentivePlanMember2021-01-012021-01-010001636651ovid:TwoThousandSeventeenEmployeeStockPurchasePlanMember2022-04-012022-06-300001636651ovid:TwoThou</w:t>
      </w:r>
      <w:r>
        <w:rPr>
          <w:rFonts w:eastAsia="Times New Roman"/>
          <w:vanish/>
        </w:rPr>
        <w:t>sandSeventeenEmployeeStockPurchasePlanMember2021-04-012021-06-300001636651ovid:TwoThousandSeventeenEmployeeStockPurchasePlanMember2022-01-012022-06-300001636651ovid:TwoThousandSeventeenEmployeeStockPurchasePlanMember2021-01-012021-06-300001636651ovid:TwoTh</w:t>
      </w:r>
      <w:r>
        <w:rPr>
          <w:rFonts w:eastAsia="Times New Roman"/>
          <w:vanish/>
        </w:rPr>
        <w:t>ousandSeventeenEmployeeStockPurchasePlanMember2022-06-300001636651ovid:TwoThousandSeventeenEmployeeStockPurchasePlanMember2021-01-012021-01-010001636651ovid:TwoThousandSeventeenEmployeeStockPurchasePlanMember2022-01-012022-01-010001636651us-gaap:Performanc</w:t>
      </w:r>
      <w:r>
        <w:rPr>
          <w:rFonts w:eastAsia="Times New Roman"/>
          <w:vanish/>
        </w:rPr>
        <w:t>eSharesMember2022-06-300001636651ovid:NonEmployeeStockOptionsMember2022-04-012022-06-300001636651ovid:NonEmployeeStockOptionsMember2021-04-012021-06-300001636651ovid:NonEmployeeStockOptionsMember2022-01-012022-06-300001636651ovid:NonEmployeeStockOptionsMem</w:t>
      </w:r>
      <w:r>
        <w:rPr>
          <w:rFonts w:eastAsia="Times New Roman"/>
          <w:vanish/>
        </w:rPr>
        <w:t>ber2021-01-012021-06-300001636651ovid:NonEmployeeStockOptionsMember2022-06-300001636651ovid:NonEmployeeStockOptionsMember2021-06-300001636651ovid:NonemployeePerformanceBasedOptionAwardsMember2022-04-012022-06-300001636651ovid:NonemployeePerformanceBasedOpt</w:t>
      </w:r>
      <w:r>
        <w:rPr>
          <w:rFonts w:eastAsia="Times New Roman"/>
          <w:vanish/>
        </w:rPr>
        <w:t>ionAwardsMember2021-04-012021-06-300001636651ovid:NonemployeePerformanceBasedOptionAwardsMember2021-01-012021-06-300001636651ovid:NonemployeePerformanceBasedOptionAwardsMember2022-01-012022-06-300001636651us-gaap:EmployeeStockOptionMember2022-04-012022-06-</w:t>
      </w:r>
      <w:r>
        <w:rPr>
          <w:rFonts w:eastAsia="Times New Roman"/>
          <w:vanish/>
        </w:rPr>
        <w:t>300001636651us-gaap:EmployeeStockOptionMember2021-04-012021-06-300001636651us-gaap:EmployeeStockOptionMember2022-01-012022-06-300001636651us-gaap:EmployeeStockOptionMember2021-01-012021-06-300001636651us-gaap:EmployeeStockOptionMember2022-06-300001636651us</w:t>
      </w:r>
      <w:r>
        <w:rPr>
          <w:rFonts w:eastAsia="Times New Roman"/>
          <w:vanish/>
        </w:rPr>
        <w:t>-gaap:EmployeeStockOptionMember2021-06-300001636651ovid:EmployeePerformanceBasedOptionAwardsMember2021-01-012021-06-300001636651ovid:EmployeePerformanceBasedOptionAwardsMember2022-01-012022-06-300001636651ovid:EmployeePerformanceBasedOptionAwardsMember2022</w:t>
      </w:r>
      <w:r>
        <w:rPr>
          <w:rFonts w:eastAsia="Times New Roman"/>
          <w:vanish/>
        </w:rPr>
        <w:t>-04-012022-06-300001636651ovid:EmployeePerformanceBasedOptionAwardsMember2021-04-012021-06-300001636651us-gaap:ResearchAndDevelopmentExpenseMember2022-04-012022-06-300001636651us-gaap:ResearchAndDevelopmentExpenseMember2021-04-012021-06-300001636651us-gaap</w:t>
      </w:r>
      <w:r>
        <w:rPr>
          <w:rFonts w:eastAsia="Times New Roman"/>
          <w:vanish/>
        </w:rPr>
        <w:t>:ResearchAndDevelopmentExpenseMember2022-01-012022-06-300001636651us-gaap:ResearchAndDevelopmentExpenseMember2021-01-012021-06-300001636651us-gaap:SellingGeneralAndAdministrativeExpensesMember2022-04-012022-06-300001636651us-gaap:SellingGeneralAndAdministr</w:t>
      </w:r>
      <w:r>
        <w:rPr>
          <w:rFonts w:eastAsia="Times New Roman"/>
          <w:vanish/>
        </w:rPr>
        <w:t>ativeExpensesMember2021-04-012021-06-300001636651us-gaap:SellingGeneralAndAdministrativeExpensesMember2022-01-012022-06-300001636651us-gaap:SellingGeneralAndAdministrativeExpensesMember2021-01-012021-06-300001636651ovid:StockOptionsMember2022-04-012022-06-</w:t>
      </w:r>
      <w:r>
        <w:rPr>
          <w:rFonts w:eastAsia="Times New Roman"/>
          <w:vanish/>
        </w:rPr>
        <w:t>300001636651ovid:StockOptionsMember2021-04-012021-06-300001636651ovid:StockOptionsMember2022-01-012022-06-300001636651ovid:StockOptionsMember2021-01-012021-06-300001636651ovid:EmployeeStockPurchasePlanMember2022-04-012022-06-300001636651ovid:EmployeeStockP</w:t>
      </w:r>
      <w:r>
        <w:rPr>
          <w:rFonts w:eastAsia="Times New Roman"/>
          <w:vanish/>
        </w:rPr>
        <w:t>urchasePlanMember2021-04-012021-06-300001636651ovid:EmployeeStockPurchasePlanMember2022-01-012022-06-300001636651ovid:EmployeeStockPurchasePlanMember2021-01-012021-06-300001636651us-gaap:ShareBasedPaymentArrangementEmployeeMemberus-gaap:EmployeeStockOption</w:t>
      </w:r>
      <w:r>
        <w:rPr>
          <w:rFonts w:eastAsia="Times New Roman"/>
          <w:vanish/>
        </w:rPr>
        <w:t>Member2022-04-012022-06-300001636651us-gaap:ShareBasedPaymentArrangementEmployeeMemberus-gaap:EmployeeStockOptionMember2021-04-012021-06-300001636651us-gaap:ShareBasedPaymentArrangementEmployeeMemberus-gaap:EmployeeStockOptionMember2022-01-012022-06-300001</w:t>
      </w:r>
      <w:r>
        <w:rPr>
          <w:rFonts w:eastAsia="Times New Roman"/>
          <w:vanish/>
        </w:rPr>
        <w:t>636651us-gaap:ShareBasedPaymentArrangementEmployeeMemberus-gaap:EmployeeStockOptionMember2021-01-012021-06-300001636651us-gaap:EmployeeStockOptionMemberus-gaap:ShareBasedPaymentArrangementNonemployeeMember2022-04-012022-06-300001636651us-gaap:EmployeeStock</w:t>
      </w:r>
      <w:r>
        <w:rPr>
          <w:rFonts w:eastAsia="Times New Roman"/>
          <w:vanish/>
        </w:rPr>
        <w:t>OptionMemberus-gaap:ShareBasedPaymentArrangementNonemployeeMember2021-04-012021-06-300001636651us-gaap:EmployeeStockOptionMemberus-gaap:ShareBasedPaymentArrangementNonemployeeMember2022-01-012022-06-300001636651us-gaap:EmployeeStockOptionMemberus-gaap:Shar</w:t>
      </w:r>
      <w:r>
        <w:rPr>
          <w:rFonts w:eastAsia="Times New Roman"/>
          <w:vanish/>
        </w:rPr>
        <w:t>eBasedPaymentArrangementNonemployeeMember2021-01-012021-06-3000016366512021-01-012021-12-310001636651srt:MaximumMemberovid:HLundbeckASMemberovid:LicenseAgreementMember2015-03-260001636651ovid:HLundbeckASMemberovid:LicenseAgreementMember2015-03-262015-03-26</w:t>
      </w:r>
      <w:r>
        <w:rPr>
          <w:rFonts w:eastAsia="Times New Roman"/>
          <w:vanish/>
        </w:rPr>
        <w:t>ovid:Trial0001636651ovid:LicenseAgreementMemberovid:NorthwesternUniversityMember2016-12-012016-12-310001636651ovid:LicenseAgreementMemberovid:NorthwesternUniversityMember2016-12-310001636651srt:MaximumMemberovid:LicenseAgreementMemberovid:NorthwesternUnive</w:t>
      </w:r>
      <w:r>
        <w:rPr>
          <w:rFonts w:eastAsia="Times New Roman"/>
          <w:vanish/>
        </w:rPr>
        <w:t>rsityMember2016-12-31ovid:Product0001636651ovid:AstrazenecaMember2021-12-302021-12-300001636651ovid:AstrazenecaMember2021-12-300001636651ovid:AstrazenecaMember2021-12-012021-12-3000016366512021-12-300001636651ovid:HLundbeckASMember2021-12-302021-12-3000016</w:t>
      </w:r>
      <w:r>
        <w:rPr>
          <w:rFonts w:eastAsia="Times New Roman"/>
          <w:vanish/>
        </w:rPr>
        <w:t>36651ovid:AngeliniLicenseAgreementMember2022-01-012022-06-300001636651ovid:AngeliniLicenseAgreementMemberovid:LicenseAgreementMember2020-12-310001636651ovid:AngeliniLicenseAgreementMemberovid:LicenseAgreementMember2022-01-012022-06-300001636651ovid:Angelin</w:t>
      </w:r>
      <w:r>
        <w:rPr>
          <w:rFonts w:eastAsia="Times New Roman"/>
          <w:vanish/>
        </w:rPr>
        <w:t>iLicenseAgreementMember2021-01-012021-06-300001636651us-gaap:CollaborativeArrangementMemberovid:TakedaPharmaceuticalCompanyLimitedMember2021-03-310001636651ovid:TakedaPharmaceuticalCompanyLimitedMemberus-gaap:CollaborativeArrangementMember2021-03-290001636</w:t>
      </w:r>
      <w:r>
        <w:rPr>
          <w:rFonts w:eastAsia="Times New Roman"/>
          <w:vanish/>
        </w:rPr>
        <w:t>651ovid:TakedaPharmaceuticalCompanyLimitedMembersrt:MaximumMemberus-gaap:CollaborativeArrangementMember2021-03-292021-03-290001636651ovid:TakedaPharmaceuticalCompanyLimitedMemberus-gaap:CollaborativeArrangementMember2022-01-012022-06-300001636651ovid:Taked</w:t>
      </w:r>
      <w:r>
        <w:rPr>
          <w:rFonts w:eastAsia="Times New Roman"/>
          <w:vanish/>
        </w:rPr>
        <w:t>aPharmaceuticalCompanyLimitedMemberus-gaap:CollaborativeArrangementMember2021-01-012021-06-300001636651ovid:HealxLicenseAndOptionAgreementMember2022-02-012022-02-010001636651ovid:HealxLicenseAndOptionAgreementMember2022-01-012022-06-300001636651ovid:HealxL</w:t>
      </w:r>
      <w:r>
        <w:rPr>
          <w:rFonts w:eastAsia="Times New Roman"/>
          <w:vanish/>
        </w:rPr>
        <w:t>icenseAndOptionAgreementMember2022-04-012022-06-300001636651ovid:MarinusPharmaceuticalsIncMemberovid:MarinusLicenseAgreementMember2022-03-010001636651ovid:PatentLicenseAgreementMemberovid:MarinusPharmaceuticalsIncMember2022-03-012022-03-010001636651ovid:Ma</w:t>
      </w:r>
      <w:r>
        <w:rPr>
          <w:rFonts w:eastAsia="Times New Roman"/>
          <w:vanish/>
        </w:rPr>
        <w:t>rinusPharmaceuticalsIncMemberovid:MarinusLicenseAgreementMember2022-04-012022-06-300001636651ovid:MarinusPharmaceuticalsIncMemberovid:MarinusLicenseAgreementMember2022-01-012022-06-300001636651us-gaap:EmployeeStockOptionMember2022-04-012022-06-300001636651</w:t>
      </w:r>
      <w:r>
        <w:rPr>
          <w:rFonts w:eastAsia="Times New Roman"/>
          <w:vanish/>
        </w:rPr>
        <w:t>us-gaap:EmployeeStockOptionMember2021-04-012021-06-300001636651us-gaap:EmployeeStockOptionMember2022-01-012022-06-300001636651us-gaap:EmployeeStockOptionMember2021-01-012021-06-300001636651ovid:SeriesAConvertiblePreferredStockMember2022-04-012022-06-300001</w:t>
      </w:r>
      <w:r>
        <w:rPr>
          <w:rFonts w:eastAsia="Times New Roman"/>
          <w:vanish/>
        </w:rPr>
        <w:t>636651ovid:SeriesAConvertiblePreferredStockMember2021-04-012021-06-300001636651ovid:SeriesAConvertiblePreferredStockMember2022-01-012022-06-300001636651ovid:SeriesAConvertiblePreferredStockMember2021-01-012021-06-30</w:t>
      </w:r>
    </w:p>
    <w:p w:rsidR="00000000" w:rsidRDefault="00375AF8">
      <w:pPr>
        <w:divId w:val="1074473662"/>
        <w:rPr>
          <w:rFonts w:eastAsia="Times New Roman"/>
        </w:rPr>
      </w:pPr>
      <w:hyperlink w:anchor="iffb89c91b68044fe89584fa1aa2f8679_7" w:history="1">
        <w:r>
          <w:rPr>
            <w:rStyle w:val="a3"/>
            <w:rFonts w:eastAsia="Times New Roman"/>
            <w:sz w:val="18"/>
            <w:szCs w:val="18"/>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375AF8">
            <w:pPr>
              <w:rPr>
                <w:rFonts w:eastAsia="Times New Roman"/>
              </w:rPr>
            </w:pPr>
          </w:p>
        </w:tc>
        <w:tc>
          <w:tcPr>
            <w:tcW w:w="494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375AF8">
            <w:pPr>
              <w:spacing w:after="100"/>
              <w:rPr>
                <w:rFonts w:eastAsia="Times New Roman"/>
                <w:sz w:val="20"/>
                <w:szCs w:val="20"/>
              </w:rPr>
            </w:pPr>
          </w:p>
        </w:tc>
      </w:tr>
    </w:tbl>
    <w:p w:rsidR="00000000" w:rsidRDefault="00375AF8">
      <w:pPr>
        <w:jc w:val="center"/>
        <w:divId w:val="11954609"/>
        <w:rPr>
          <w:rFonts w:eastAsia="Times New Roman"/>
        </w:rPr>
      </w:pPr>
      <w:r>
        <w:rPr>
          <w:rFonts w:eastAsia="Times New Roman"/>
          <w:b/>
          <w:bCs/>
          <w:color w:val="000000"/>
          <w:sz w:val="18"/>
          <w:szCs w:val="18"/>
        </w:rPr>
        <w:t>UNITED STATES</w:t>
      </w:r>
    </w:p>
    <w:p w:rsidR="00000000" w:rsidRDefault="00375AF8">
      <w:pPr>
        <w:jc w:val="center"/>
        <w:rPr>
          <w:rFonts w:eastAsia="Times New Roman"/>
        </w:rPr>
      </w:pPr>
      <w:r>
        <w:rPr>
          <w:rFonts w:eastAsia="Times New Roman"/>
          <w:b/>
          <w:bCs/>
          <w:color w:val="000000"/>
          <w:sz w:val="18"/>
          <w:szCs w:val="18"/>
        </w:rPr>
        <w:t>SECURITIES AND EXCHANGE COMMISSION</w:t>
      </w:r>
    </w:p>
    <w:p w:rsidR="00000000" w:rsidRDefault="00375AF8">
      <w:pPr>
        <w:jc w:val="center"/>
        <w:rPr>
          <w:rFonts w:eastAsia="Times New Roman"/>
        </w:rPr>
      </w:pPr>
      <w:r>
        <w:rPr>
          <w:rFonts w:eastAsia="Times New Roman"/>
          <w:b/>
          <w:bCs/>
          <w:color w:val="000000"/>
          <w:sz w:val="18"/>
          <w:szCs w:val="18"/>
        </w:rPr>
        <w:t>WASHINGTON, DC 20549</w:t>
      </w:r>
    </w:p>
    <w:p w:rsidR="00000000" w:rsidRDefault="00375AF8">
      <w:pPr>
        <w:jc w:val="center"/>
        <w:rPr>
          <w:rFonts w:eastAsia="Times New Roman"/>
        </w:rPr>
      </w:pPr>
      <w:r>
        <w:rPr>
          <w:rFonts w:eastAsia="Times New Roman"/>
          <w:color w:val="000000"/>
          <w:sz w:val="18"/>
          <w:szCs w:val="18"/>
        </w:rPr>
        <w:t>_______________________________________________________</w:t>
      </w:r>
    </w:p>
    <w:p w:rsidR="00000000" w:rsidRDefault="00375AF8">
      <w:pPr>
        <w:jc w:val="center"/>
        <w:divId w:val="1478571911"/>
        <w:rPr>
          <w:rFonts w:eastAsia="Times New Roman"/>
        </w:rPr>
      </w:pPr>
      <w:r>
        <w:rPr>
          <w:rFonts w:eastAsia="Times New Roman"/>
          <w:b/>
          <w:bCs/>
          <w:color w:val="000000"/>
          <w:sz w:val="18"/>
          <w:szCs w:val="18"/>
        </w:rPr>
        <w:t>FORM 10-Q</w:t>
      </w:r>
    </w:p>
    <w:p w:rsidR="00000000" w:rsidRDefault="00375AF8">
      <w:pPr>
        <w:jc w:val="center"/>
        <w:rPr>
          <w:rFonts w:eastAsia="Times New Roman"/>
        </w:rPr>
      </w:pPr>
      <w:r>
        <w:rPr>
          <w:rFonts w:eastAsia="Times New Roman"/>
          <w:color w:val="000000"/>
          <w:sz w:val="18"/>
          <w:szCs w:val="18"/>
        </w:rPr>
        <w:t>_______________________________________________________</w:t>
      </w:r>
    </w:p>
    <w:p w:rsidR="00000000" w:rsidRDefault="00375AF8">
      <w:pPr>
        <w:divId w:val="1445076323"/>
        <w:rPr>
          <w:rFonts w:eastAsia="Times New Roman"/>
        </w:rPr>
      </w:pPr>
      <w:r>
        <w:rPr>
          <w:rFonts w:eastAsia="Times New Roman"/>
          <w:b/>
          <w:bCs/>
          <w:color w:val="000000"/>
          <w:sz w:val="18"/>
          <w:szCs w:val="18"/>
        </w:rPr>
        <w:t>(Mark One)</w:t>
      </w:r>
    </w:p>
    <w:p w:rsidR="00000000" w:rsidRDefault="00375AF8">
      <w:pPr>
        <w:divId w:val="2030980488"/>
        <w:rPr>
          <w:rFonts w:eastAsia="Times New Roman"/>
        </w:rPr>
      </w:pPr>
      <w:r>
        <w:rPr>
          <w:rFonts w:ascii="Wingdings" w:eastAsia="Times New Roman" w:hAnsi="Wingdings"/>
          <w:b/>
          <w:bCs/>
          <w:color w:val="000000"/>
          <w:sz w:val="18"/>
          <w:szCs w:val="18"/>
        </w:rPr>
        <w:t>x</w:t>
      </w:r>
      <w:r>
        <w:rPr>
          <w:rFonts w:ascii="Wingdings" w:eastAsia="Times New Roman" w:hAnsi="Wingdings"/>
          <w:b/>
          <w:bCs/>
          <w:color w:val="000000"/>
          <w:sz w:val="18"/>
          <w:szCs w:val="18"/>
        </w:rPr>
        <w:t xml:space="preserve"> </w:t>
      </w:r>
      <w:r>
        <w:rPr>
          <w:rFonts w:eastAsia="Times New Roman"/>
          <w:b/>
          <w:bCs/>
          <w:color w:val="000000"/>
          <w:sz w:val="18"/>
          <w:szCs w:val="18"/>
        </w:rPr>
        <w:t>QUARTERLY REPORT PURSUANT TO SECTION 13 OR 15(d) OF THE SECURITIES EXCHANGE ACT OF 1934</w:t>
      </w:r>
    </w:p>
    <w:p w:rsidR="00000000" w:rsidRDefault="00375AF8">
      <w:pPr>
        <w:jc w:val="center"/>
        <w:divId w:val="2096172687"/>
        <w:rPr>
          <w:rFonts w:eastAsia="Times New Roman"/>
        </w:rPr>
      </w:pPr>
      <w:r>
        <w:rPr>
          <w:rFonts w:eastAsia="Times New Roman"/>
          <w:b/>
          <w:bCs/>
          <w:color w:val="000000"/>
          <w:sz w:val="18"/>
          <w:szCs w:val="18"/>
        </w:rPr>
        <w:t>For the quarterly period ended June 30, 2022</w:t>
      </w:r>
    </w:p>
    <w:p w:rsidR="00000000" w:rsidRDefault="00375AF8">
      <w:pPr>
        <w:jc w:val="center"/>
        <w:divId w:val="216598860"/>
        <w:rPr>
          <w:rFonts w:eastAsia="Times New Roman"/>
        </w:rPr>
      </w:pPr>
      <w:r>
        <w:rPr>
          <w:rFonts w:eastAsia="Times New Roman"/>
          <w:b/>
          <w:bCs/>
          <w:color w:val="000000"/>
          <w:sz w:val="18"/>
          <w:szCs w:val="18"/>
        </w:rPr>
        <w:t>OR</w:t>
      </w:r>
    </w:p>
    <w:p w:rsidR="00000000" w:rsidRDefault="00375AF8">
      <w:pPr>
        <w:divId w:val="1080716608"/>
        <w:rPr>
          <w:rFonts w:eastAsia="Times New Roman"/>
        </w:rPr>
      </w:pPr>
      <w:r>
        <w:rPr>
          <w:rFonts w:ascii="Wingdings" w:eastAsia="Times New Roman" w:hAnsi="Wingdings"/>
          <w:b/>
          <w:bCs/>
          <w:color w:val="000000"/>
          <w:sz w:val="18"/>
          <w:szCs w:val="18"/>
        </w:rPr>
        <w:t>o</w:t>
      </w:r>
      <w:r>
        <w:rPr>
          <w:rFonts w:ascii="Wingdings" w:eastAsia="Times New Roman" w:hAnsi="Wingdings"/>
          <w:b/>
          <w:bCs/>
          <w:color w:val="000000"/>
          <w:sz w:val="18"/>
          <w:szCs w:val="18"/>
        </w:rPr>
        <w:t xml:space="preserve"> </w:t>
      </w:r>
      <w:r>
        <w:rPr>
          <w:rFonts w:eastAsia="Times New Roman"/>
          <w:b/>
          <w:bCs/>
          <w:color w:val="000000"/>
          <w:sz w:val="18"/>
          <w:szCs w:val="18"/>
        </w:rPr>
        <w:t>TRANSITION REPORT PURSUANT TO SECTION 13 OR 15(d)</w:t>
      </w:r>
      <w:r>
        <w:rPr>
          <w:rFonts w:eastAsia="Times New Roman"/>
          <w:b/>
          <w:bCs/>
          <w:color w:val="000000"/>
          <w:sz w:val="18"/>
          <w:szCs w:val="18"/>
        </w:rPr>
        <w:t xml:space="preserve"> OF THE SECURITIES EXCHANGE ACT OF 1934</w:t>
      </w:r>
    </w:p>
    <w:p w:rsidR="00000000" w:rsidRDefault="00375AF8">
      <w:pPr>
        <w:jc w:val="center"/>
        <w:divId w:val="1597444688"/>
        <w:rPr>
          <w:rFonts w:eastAsia="Times New Roman"/>
        </w:rPr>
      </w:pPr>
      <w:r>
        <w:rPr>
          <w:rFonts w:eastAsia="Times New Roman"/>
          <w:b/>
          <w:bCs/>
          <w:color w:val="000000"/>
          <w:sz w:val="18"/>
          <w:szCs w:val="18"/>
        </w:rPr>
        <w:t>For the transition period from ______________________ to ______________________</w:t>
      </w:r>
    </w:p>
    <w:p w:rsidR="00000000" w:rsidRDefault="00375AF8">
      <w:pPr>
        <w:jc w:val="center"/>
        <w:divId w:val="280696311"/>
        <w:rPr>
          <w:rFonts w:eastAsia="Times New Roman"/>
        </w:rPr>
      </w:pPr>
      <w:r>
        <w:rPr>
          <w:rFonts w:eastAsia="Times New Roman"/>
          <w:b/>
          <w:bCs/>
          <w:color w:val="000000"/>
          <w:sz w:val="18"/>
          <w:szCs w:val="18"/>
        </w:rPr>
        <w:t>Commission File Number: 001-38085</w:t>
      </w:r>
    </w:p>
    <w:p w:rsidR="00000000" w:rsidRDefault="00375AF8">
      <w:pPr>
        <w:jc w:val="center"/>
        <w:rPr>
          <w:rFonts w:eastAsia="Times New Roman"/>
        </w:rPr>
      </w:pPr>
      <w:r>
        <w:rPr>
          <w:rFonts w:eastAsia="Times New Roman"/>
          <w:color w:val="000000"/>
          <w:sz w:val="18"/>
          <w:szCs w:val="18"/>
        </w:rPr>
        <w:t>_______________________________________________________</w:t>
      </w:r>
      <w:r>
        <w:rPr>
          <w:rFonts w:eastAsia="Times New Roman"/>
          <w:color w:val="000000"/>
          <w:sz w:val="16"/>
          <w:szCs w:val="16"/>
        </w:rPr>
        <w:t xml:space="preserve"> </w:t>
      </w:r>
    </w:p>
    <w:p w:rsidR="00000000" w:rsidRDefault="00375AF8">
      <w:pPr>
        <w:jc w:val="center"/>
        <w:divId w:val="589507034"/>
        <w:rPr>
          <w:rFonts w:eastAsia="Times New Roman"/>
        </w:rPr>
      </w:pPr>
      <w:r>
        <w:rPr>
          <w:rFonts w:eastAsia="Times New Roman"/>
          <w:b/>
          <w:bCs/>
          <w:color w:val="000000"/>
          <w:sz w:val="48"/>
          <w:szCs w:val="48"/>
        </w:rPr>
        <w:t>Ovid Therapeutics Inc.</w:t>
      </w:r>
    </w:p>
    <w:p w:rsidR="00000000" w:rsidRDefault="00375AF8">
      <w:pPr>
        <w:jc w:val="center"/>
        <w:rPr>
          <w:rFonts w:eastAsia="Times New Roman"/>
        </w:rPr>
      </w:pPr>
      <w:r>
        <w:rPr>
          <w:rFonts w:eastAsia="Times New Roman"/>
          <w:b/>
          <w:bCs/>
          <w:color w:val="000000"/>
          <w:sz w:val="18"/>
          <w:szCs w:val="18"/>
        </w:rPr>
        <w:t>(Exact Name of Registr</w:t>
      </w:r>
      <w:r>
        <w:rPr>
          <w:rFonts w:eastAsia="Times New Roman"/>
          <w:b/>
          <w:bCs/>
          <w:color w:val="000000"/>
          <w:sz w:val="18"/>
          <w:szCs w:val="18"/>
        </w:rPr>
        <w:t>ant as Specified in its Charter)</w:t>
      </w:r>
    </w:p>
    <w:p w:rsidR="00000000" w:rsidRDefault="00375AF8">
      <w:pPr>
        <w:jc w:val="center"/>
        <w:rPr>
          <w:rFonts w:eastAsia="Times New Roman"/>
        </w:rPr>
      </w:pPr>
      <w:r>
        <w:rPr>
          <w:rFonts w:eastAsia="Times New Roman"/>
          <w:color w:val="000000"/>
          <w:sz w:val="18"/>
          <w:szCs w:val="18"/>
        </w:rPr>
        <w:t xml:space="preserve">_______________________________________________________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873691135"/>
          <w:jc w:val="center"/>
        </w:trPr>
        <w:tc>
          <w:tcPr>
            <w:tcW w:w="50" w:type="pct"/>
            <w:vAlign w:val="center"/>
            <w:hideMark/>
          </w:tcPr>
          <w:p w:rsidR="00000000" w:rsidRDefault="00375AF8">
            <w:pPr>
              <w:jc w:val="center"/>
              <w:rPr>
                <w:rFonts w:eastAsia="Times New Roman"/>
              </w:rPr>
            </w:pPr>
          </w:p>
        </w:tc>
        <w:tc>
          <w:tcPr>
            <w:tcW w:w="244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244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873691135"/>
          <w:jc w:val="center"/>
        </w:trPr>
        <w:tc>
          <w:tcPr>
            <w:tcW w:w="0" w:type="auto"/>
            <w:gridSpan w:val="3"/>
            <w:tcMar>
              <w:top w:w="30" w:type="dxa"/>
              <w:left w:w="20" w:type="dxa"/>
              <w:bottom w:w="30" w:type="dxa"/>
              <w:right w:w="20" w:type="dxa"/>
            </w:tcMar>
            <w:hideMark/>
          </w:tcPr>
          <w:p w:rsidR="00000000" w:rsidRDefault="00375AF8">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hideMark/>
          </w:tcPr>
          <w:p w:rsidR="00000000" w:rsidRDefault="00375AF8">
            <w:pPr>
              <w:spacing w:after="100"/>
              <w:jc w:val="center"/>
              <w:rPr>
                <w:rFonts w:eastAsia="Times New Roman"/>
              </w:rPr>
            </w:pPr>
            <w:r>
              <w:rPr>
                <w:rFonts w:eastAsia="Times New Roman"/>
                <w:b/>
                <w:bCs/>
                <w:color w:val="000000"/>
                <w:sz w:val="16"/>
                <w:szCs w:val="16"/>
              </w:rPr>
              <w:t>46-5270895</w:t>
            </w:r>
          </w:p>
        </w:tc>
      </w:tr>
      <w:tr w:rsidR="00000000">
        <w:trPr>
          <w:divId w:val="873691135"/>
          <w:jc w:val="center"/>
        </w:trPr>
        <w:tc>
          <w:tcPr>
            <w:tcW w:w="0" w:type="auto"/>
            <w:gridSpan w:val="3"/>
            <w:tcMar>
              <w:top w:w="30" w:type="dxa"/>
              <w:left w:w="20" w:type="dxa"/>
              <w:bottom w:w="30" w:type="dxa"/>
              <w:right w:w="20" w:type="dxa"/>
            </w:tcMar>
            <w:hideMark/>
          </w:tcPr>
          <w:p w:rsidR="00000000" w:rsidRDefault="00375AF8">
            <w:pPr>
              <w:spacing w:after="100"/>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hideMark/>
          </w:tcPr>
          <w:p w:rsidR="00000000" w:rsidRDefault="00375AF8">
            <w:pPr>
              <w:spacing w:after="100"/>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Number)</w:t>
            </w:r>
          </w:p>
        </w:tc>
      </w:tr>
    </w:tbl>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7"/>
        <w:gridCol w:w="69"/>
        <w:gridCol w:w="4048"/>
        <w:gridCol w:w="36"/>
      </w:tblGrid>
      <w:tr w:rsidR="00000000">
        <w:tc>
          <w:tcPr>
            <w:tcW w:w="50" w:type="pct"/>
            <w:vAlign w:val="center"/>
            <w:hideMark/>
          </w:tcPr>
          <w:p w:rsidR="00000000" w:rsidRDefault="00375AF8">
            <w:pPr>
              <w:jc w:val="center"/>
              <w:rPr>
                <w:rFonts w:eastAsia="Times New Roman"/>
              </w:rPr>
            </w:pPr>
          </w:p>
        </w:tc>
        <w:tc>
          <w:tcPr>
            <w:tcW w:w="244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244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375AF8">
            <w:pPr>
              <w:spacing w:after="100"/>
              <w:jc w:val="center"/>
              <w:divId w:val="416832452"/>
              <w:rPr>
                <w:rFonts w:eastAsia="Times New Roman"/>
              </w:rPr>
            </w:pPr>
            <w:r>
              <w:rPr>
                <w:rFonts w:eastAsia="Times New Roman"/>
                <w:b/>
                <w:bCs/>
                <w:color w:val="000000"/>
                <w:sz w:val="16"/>
                <w:szCs w:val="16"/>
              </w:rPr>
              <w:t>441 Ninth Avenue, 14th Floor</w:t>
            </w:r>
          </w:p>
          <w:p w:rsidR="00000000" w:rsidRDefault="00375AF8">
            <w:pPr>
              <w:spacing w:after="100"/>
              <w:jc w:val="center"/>
              <w:divId w:val="100607820"/>
              <w:rPr>
                <w:rFonts w:eastAsia="Times New Roman"/>
              </w:rPr>
            </w:pPr>
            <w:r>
              <w:rPr>
                <w:rFonts w:eastAsia="Times New Roman"/>
                <w:b/>
                <w:bCs/>
                <w:color w:val="000000"/>
                <w:sz w:val="16"/>
                <w:szCs w:val="16"/>
              </w:rPr>
              <w:t xml:space="preserve">New York, New York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10001</w:t>
            </w:r>
          </w:p>
        </w:tc>
      </w:tr>
      <w:tr w:rsidR="00000000">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(Zip Code)</w:t>
            </w:r>
          </w:p>
        </w:tc>
      </w:tr>
    </w:tbl>
    <w:p w:rsidR="00000000" w:rsidRDefault="00375AF8">
      <w:pPr>
        <w:jc w:val="center"/>
        <w:divId w:val="2046128236"/>
        <w:rPr>
          <w:rFonts w:eastAsia="Times New Roman"/>
        </w:rPr>
      </w:pPr>
      <w:r>
        <w:rPr>
          <w:rFonts w:eastAsia="Times New Roman"/>
          <w:b/>
          <w:bCs/>
          <w:color w:val="000000"/>
          <w:sz w:val="16"/>
          <w:szCs w:val="16"/>
        </w:rPr>
        <w:t>Registrant’s telephone number, including area code: (646) 661-7661</w:t>
      </w:r>
    </w:p>
    <w:p w:rsidR="00000000" w:rsidRDefault="00375AF8">
      <w:pPr>
        <w:jc w:val="center"/>
        <w:divId w:val="460542992"/>
        <w:rPr>
          <w:rFonts w:eastAsia="Times New Roman"/>
        </w:rPr>
      </w:pPr>
      <w:r>
        <w:rPr>
          <w:rFonts w:eastAsia="Times New Roman"/>
          <w:color w:val="000000"/>
          <w:sz w:val="18"/>
          <w:szCs w:val="18"/>
        </w:rPr>
        <w:t>1460 Broadway, Suite 15044</w:t>
      </w:r>
    </w:p>
    <w:p w:rsidR="00000000" w:rsidRDefault="00375AF8">
      <w:pPr>
        <w:jc w:val="center"/>
        <w:rPr>
          <w:rFonts w:eastAsia="Times New Roman"/>
        </w:rPr>
      </w:pPr>
      <w:r>
        <w:rPr>
          <w:rFonts w:eastAsia="Times New Roman"/>
          <w:color w:val="000000"/>
          <w:sz w:val="18"/>
          <w:szCs w:val="18"/>
        </w:rPr>
        <w:t>New York, New York 10036</w:t>
      </w:r>
    </w:p>
    <w:p w:rsidR="00000000" w:rsidRDefault="00375AF8">
      <w:pPr>
        <w:jc w:val="center"/>
        <w:divId w:val="295792281"/>
        <w:rPr>
          <w:rFonts w:eastAsia="Times New Roman"/>
        </w:rPr>
      </w:pPr>
      <w:r>
        <w:rPr>
          <w:rFonts w:eastAsia="Times New Roman"/>
          <w:b/>
          <w:bCs/>
          <w:color w:val="000000"/>
          <w:sz w:val="16"/>
          <w:szCs w:val="16"/>
        </w:rPr>
        <w:t>(Former name, former address and former fiscal year, if changed since last report)</w:t>
      </w:r>
    </w:p>
    <w:p w:rsidR="00000000" w:rsidRDefault="00375AF8">
      <w:pPr>
        <w:ind w:firstLine="1080"/>
        <w:divId w:val="242569678"/>
        <w:rPr>
          <w:rFonts w:eastAsia="Times New Roman"/>
        </w:rPr>
      </w:pPr>
      <w:r>
        <w:rPr>
          <w:rFonts w:eastAsia="Times New Roman"/>
          <w:color w:val="000000"/>
          <w:sz w:val="18"/>
          <w:szCs w:val="18"/>
        </w:rPr>
        <w:t xml:space="preserve">Securities registered pursuant to Section 12(b) of the Act: </w:t>
      </w:r>
    </w:p>
    <w:tbl>
      <w:tblPr>
        <w:tblW w:w="5000" w:type="pct"/>
        <w:tblCellMar>
          <w:top w:w="15" w:type="dxa"/>
          <w:left w:w="15" w:type="dxa"/>
          <w:bottom w:w="15" w:type="dxa"/>
          <w:right w:w="15" w:type="dxa"/>
        </w:tblCellMar>
        <w:tblLook w:val="04A0" w:firstRow="1" w:lastRow="0" w:firstColumn="1" w:lastColumn="0" w:noHBand="0" w:noVBand="1"/>
      </w:tblPr>
      <w:tblGrid>
        <w:gridCol w:w="49"/>
        <w:gridCol w:w="3135"/>
        <w:gridCol w:w="37"/>
        <w:gridCol w:w="36"/>
        <w:gridCol w:w="36"/>
        <w:gridCol w:w="36"/>
        <w:gridCol w:w="50"/>
        <w:gridCol w:w="1562"/>
        <w:gridCol w:w="36"/>
        <w:gridCol w:w="36"/>
        <w:gridCol w:w="36"/>
        <w:gridCol w:w="36"/>
        <w:gridCol w:w="50"/>
        <w:gridCol w:w="3135"/>
        <w:gridCol w:w="36"/>
      </w:tblGrid>
      <w:tr w:rsidR="00000000">
        <w:trPr>
          <w:divId w:val="2075810084"/>
        </w:trPr>
        <w:tc>
          <w:tcPr>
            <w:tcW w:w="50" w:type="pct"/>
            <w:vAlign w:val="center"/>
            <w:hideMark/>
          </w:tcPr>
          <w:p w:rsidR="00000000" w:rsidRDefault="00375AF8">
            <w:pPr>
              <w:ind w:firstLine="1080"/>
              <w:rPr>
                <w:rFonts w:eastAsia="Times New Roman"/>
              </w:rPr>
            </w:pPr>
          </w:p>
        </w:tc>
        <w:tc>
          <w:tcPr>
            <w:tcW w:w="190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96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190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2075810084"/>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Trading</w:t>
            </w:r>
          </w:p>
          <w:p w:rsidR="00000000" w:rsidRDefault="00375AF8">
            <w:pPr>
              <w:spacing w:after="100"/>
              <w:jc w:val="center"/>
              <w:rPr>
                <w:rFonts w:eastAsia="Times New Roman"/>
              </w:rPr>
            </w:pPr>
            <w:r>
              <w:rPr>
                <w:rFonts w:eastAsia="Times New Roman"/>
                <w:b/>
                <w:bCs/>
                <w:color w:val="000000"/>
                <w:sz w:val="18"/>
                <w:szCs w:val="18"/>
              </w:rPr>
              <w:t>Symbol(s)</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2075810084"/>
        </w:trPr>
        <w:tc>
          <w:tcPr>
            <w:tcW w:w="0" w:type="auto"/>
            <w:gridSpan w:val="3"/>
            <w:tcBorders>
              <w:top w:val="single" w:sz="4" w:space="0" w:color="000000"/>
            </w:tcBorders>
            <w:tcMar>
              <w:top w:w="30" w:type="dxa"/>
              <w:left w:w="20" w:type="dxa"/>
              <w:bottom w:w="30" w:type="dxa"/>
              <w:right w:w="20" w:type="dxa"/>
            </w:tcMar>
            <w:hideMark/>
          </w:tcPr>
          <w:p w:rsidR="00000000" w:rsidRDefault="00375AF8">
            <w:pPr>
              <w:spacing w:after="100"/>
              <w:jc w:val="center"/>
              <w:rPr>
                <w:rFonts w:eastAsia="Times New Roman"/>
              </w:rPr>
            </w:pPr>
            <w:r>
              <w:rPr>
                <w:rFonts w:eastAsia="Times New Roman"/>
                <w:color w:val="000000"/>
                <w:sz w:val="18"/>
                <w:szCs w:val="18"/>
              </w:rPr>
              <w:t>Common Stock, par value $0.001 per share</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OVID</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The Nasdaq Stock Market LLC</w:t>
            </w:r>
          </w:p>
        </w:tc>
      </w:tr>
    </w:tbl>
    <w:p w:rsidR="00000000" w:rsidRDefault="00375AF8">
      <w:pPr>
        <w:jc w:val="center"/>
        <w:divId w:val="1289748997"/>
        <w:rPr>
          <w:rFonts w:eastAsia="Times New Roman"/>
        </w:rPr>
      </w:pPr>
      <w:r>
        <w:rPr>
          <w:rFonts w:eastAsia="Times New Roman"/>
          <w:b/>
          <w:bCs/>
          <w:color w:val="000000"/>
          <w:sz w:val="18"/>
          <w:szCs w:val="18"/>
        </w:rPr>
        <w:t>Securities registered pursuant to Section 12(g) of the Act: None</w:t>
      </w:r>
    </w:p>
    <w:p w:rsidR="00000000" w:rsidRDefault="00375AF8">
      <w:pPr>
        <w:jc w:val="center"/>
        <w:rPr>
          <w:rFonts w:eastAsia="Times New Roman"/>
        </w:rPr>
      </w:pPr>
      <w:r>
        <w:rPr>
          <w:rFonts w:eastAsia="Times New Roman"/>
          <w:color w:val="000000"/>
          <w:sz w:val="18"/>
          <w:szCs w:val="18"/>
        </w:rPr>
        <w:t>_______________________________________________________</w:t>
      </w:r>
    </w:p>
    <w:p w:rsidR="00000000" w:rsidRDefault="00375AF8">
      <w:pPr>
        <w:ind w:firstLine="1080"/>
        <w:divId w:val="221253479"/>
        <w:rPr>
          <w:rFonts w:eastAsia="Times New Roman"/>
        </w:rPr>
      </w:pPr>
      <w:r>
        <w:rPr>
          <w:rFonts w:eastAsia="Times New Roman"/>
          <w:color w:val="000000"/>
          <w:sz w:val="18"/>
          <w:szCs w:val="18"/>
        </w:rPr>
        <w:t>Indicate by check mark whether the registrant (1) has filed all reports required to be filed by Section 13 or 15(d) of the Securities E</w:t>
      </w:r>
      <w:r>
        <w:rPr>
          <w:rFonts w:eastAsia="Times New Roman"/>
          <w:color w:val="000000"/>
          <w:sz w:val="18"/>
          <w:szCs w:val="18"/>
        </w:rPr>
        <w:t xml:space="preserve">xchange Act of 1934 during the preceding 12 months (or for such shorter period that the registrant was required to file such reports), and (2) has been subject to the filing requirements for the past 90 days. Yes </w:t>
      </w:r>
      <w:r>
        <w:rPr>
          <w:rFonts w:ascii="Wingdings" w:eastAsia="Times New Roman" w:hAnsi="Wingdings"/>
          <w:color w:val="000000"/>
          <w:sz w:val="18"/>
          <w:szCs w:val="18"/>
        </w:rPr>
        <w:t>x</w:t>
      </w:r>
      <w:r>
        <w:rPr>
          <w:rFonts w:eastAsia="Times New Roman"/>
          <w:color w:val="000000"/>
          <w:sz w:val="18"/>
          <w:szCs w:val="18"/>
        </w:rPr>
        <w:t xml:space="preserve"> No </w:t>
      </w:r>
      <w:r>
        <w:rPr>
          <w:rFonts w:ascii="Wingdings" w:eastAsia="Times New Roman" w:hAnsi="Wingdings"/>
          <w:color w:val="000000"/>
          <w:sz w:val="18"/>
          <w:szCs w:val="18"/>
        </w:rPr>
        <w:t>o</w:t>
      </w:r>
    </w:p>
    <w:p w:rsidR="00000000" w:rsidRDefault="00375AF8">
      <w:pPr>
        <w:ind w:firstLine="1080"/>
        <w:divId w:val="2087992052"/>
        <w:rPr>
          <w:rFonts w:eastAsia="Times New Roman"/>
        </w:rPr>
      </w:pPr>
      <w:r>
        <w:rPr>
          <w:rFonts w:eastAsia="Times New Roman"/>
          <w:color w:val="000000"/>
          <w:sz w:val="18"/>
          <w:szCs w:val="18"/>
        </w:rPr>
        <w:t>Indicate by check mark whether the r</w:t>
      </w:r>
      <w:r>
        <w:rPr>
          <w:rFonts w:eastAsia="Times New Roman"/>
          <w:color w:val="000000"/>
          <w:sz w:val="18"/>
          <w:szCs w:val="18"/>
        </w:rPr>
        <w:t>egistrant has submitted electronically every Interactive Data File required to be submitted pursuant to Rule 405 of Regulation S-T (§ 232.405 of this chapter) during the preceding 12 months (or for such shorter period that the registrant was required to su</w:t>
      </w:r>
      <w:r>
        <w:rPr>
          <w:rFonts w:eastAsia="Times New Roman"/>
          <w:color w:val="000000"/>
          <w:sz w:val="18"/>
          <w:szCs w:val="18"/>
        </w:rPr>
        <w:t xml:space="preserve">bmit such files). Yes </w:t>
      </w:r>
      <w:r>
        <w:rPr>
          <w:rFonts w:ascii="Wingdings" w:eastAsia="Times New Roman" w:hAnsi="Wingdings"/>
          <w:color w:val="000000"/>
          <w:sz w:val="18"/>
          <w:szCs w:val="18"/>
        </w:rPr>
        <w:t>x</w:t>
      </w:r>
      <w:r>
        <w:rPr>
          <w:rFonts w:eastAsia="Times New Roman"/>
          <w:color w:val="000000"/>
          <w:sz w:val="18"/>
          <w:szCs w:val="18"/>
        </w:rPr>
        <w:t xml:space="preserve"> No </w:t>
      </w:r>
      <w:r>
        <w:rPr>
          <w:rFonts w:ascii="Wingdings" w:eastAsia="Times New Roman" w:hAnsi="Wingdings"/>
          <w:color w:val="000000"/>
          <w:sz w:val="18"/>
          <w:szCs w:val="18"/>
        </w:rPr>
        <w:t>o</w:t>
      </w:r>
    </w:p>
    <w:p w:rsidR="00000000" w:rsidRDefault="00375AF8">
      <w:pPr>
        <w:ind w:firstLine="1080"/>
        <w:divId w:val="649015653"/>
        <w:rPr>
          <w:rFonts w:eastAsia="Times New Roman"/>
        </w:rPr>
      </w:pPr>
      <w:r>
        <w:rPr>
          <w:rFonts w:eastAsia="Times New Roman"/>
          <w:color w:val="000000"/>
          <w:sz w:val="18"/>
          <w:szCs w:val="18"/>
        </w:rPr>
        <w:t>Indicate by check mark whether the registrant is a large accelerated filer, an accelerated filer, a non-accelerated filer, smaller reporting company or an emerging growth company. See the definitions of “large accelerated filer</w:t>
      </w:r>
      <w:r>
        <w:rPr>
          <w:rFonts w:eastAsia="Times New Roman"/>
          <w:color w:val="000000"/>
          <w:sz w:val="18"/>
          <w:szCs w:val="18"/>
        </w:rPr>
        <w:t>,”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908"/>
        <w:gridCol w:w="36"/>
        <w:gridCol w:w="69"/>
        <w:gridCol w:w="3833"/>
        <w:gridCol w:w="36"/>
        <w:gridCol w:w="69"/>
        <w:gridCol w:w="1909"/>
        <w:gridCol w:w="36"/>
        <w:gridCol w:w="70"/>
        <w:gridCol w:w="235"/>
        <w:gridCol w:w="36"/>
      </w:tblGrid>
      <w:tr w:rsidR="00000000">
        <w:trPr>
          <w:divId w:val="649015653"/>
        </w:trPr>
        <w:tc>
          <w:tcPr>
            <w:tcW w:w="50" w:type="pct"/>
            <w:vAlign w:val="center"/>
            <w:hideMark/>
          </w:tcPr>
          <w:p w:rsidR="00000000" w:rsidRDefault="00375AF8">
            <w:pPr>
              <w:ind w:firstLine="1080"/>
              <w:rPr>
                <w:rFonts w:eastAsia="Times New Roman"/>
              </w:rPr>
            </w:pPr>
          </w:p>
        </w:tc>
        <w:tc>
          <w:tcPr>
            <w:tcW w:w="115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23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115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149"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649015653"/>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lastRenderedPageBreak/>
              <w:t>Large Accelerated Filer</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ascii="Wingdings" w:eastAsia="Times New Roman" w:hAnsi="Wingdings"/>
                <w:color w:val="000000"/>
                <w:sz w:val="18"/>
                <w:szCs w:val="18"/>
              </w:rPr>
              <w:t>x</w:t>
            </w:r>
          </w:p>
        </w:tc>
      </w:tr>
      <w:tr w:rsidR="00000000">
        <w:trPr>
          <w:divId w:val="649015653"/>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ascii="Wingdings" w:eastAsia="Times New Roman" w:hAnsi="Wingdings"/>
                <w:color w:val="000000"/>
                <w:sz w:val="18"/>
                <w:szCs w:val="18"/>
              </w:rPr>
              <w:t>x</w:t>
            </w:r>
          </w:p>
        </w:tc>
      </w:tr>
      <w:tr w:rsidR="00000000">
        <w:trPr>
          <w:divId w:val="649015653"/>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r>
    </w:tbl>
    <w:p w:rsidR="00000000" w:rsidRDefault="00375AF8">
      <w:pPr>
        <w:ind w:firstLine="1080"/>
        <w:divId w:val="305818304"/>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8"/>
          <w:szCs w:val="18"/>
        </w:rPr>
        <w:t>x</w:t>
      </w:r>
    </w:p>
    <w:p w:rsidR="00000000" w:rsidRDefault="00375AF8">
      <w:pPr>
        <w:ind w:firstLine="1080"/>
        <w:divId w:val="2013220109"/>
        <w:rPr>
          <w:rFonts w:eastAsia="Times New Roman"/>
        </w:rPr>
      </w:pPr>
      <w:r>
        <w:rPr>
          <w:rFonts w:eastAsia="Times New Roman"/>
          <w:color w:val="000000"/>
          <w:sz w:val="18"/>
          <w:szCs w:val="18"/>
        </w:rPr>
        <w:t>Indi</w:t>
      </w:r>
      <w:r>
        <w:rPr>
          <w:rFonts w:eastAsia="Times New Roman"/>
          <w:color w:val="000000"/>
          <w:sz w:val="18"/>
          <w:szCs w:val="18"/>
        </w:rPr>
        <w:t xml:space="preserve">cate by check mark whether the registrant is a shell company (as defined in Rule 12b-2 of the Exchange Act.) Yes </w:t>
      </w:r>
      <w:r>
        <w:rPr>
          <w:rFonts w:ascii="Wingdings" w:eastAsia="Times New Roman" w:hAnsi="Wingdings"/>
          <w:color w:val="000000"/>
          <w:sz w:val="18"/>
          <w:szCs w:val="18"/>
        </w:rPr>
        <w:t>o</w:t>
      </w:r>
      <w:r>
        <w:rPr>
          <w:rFonts w:ascii="Wingdings" w:eastAsia="Times New Roman" w:hAnsi="Wingdings"/>
          <w:color w:val="000000"/>
          <w:sz w:val="18"/>
          <w:szCs w:val="18"/>
        </w:rPr>
        <w:t xml:space="preserve"> </w:t>
      </w:r>
      <w:r>
        <w:rPr>
          <w:rFonts w:eastAsia="Times New Roman"/>
          <w:color w:val="000000"/>
          <w:sz w:val="18"/>
          <w:szCs w:val="18"/>
        </w:rPr>
        <w:t xml:space="preserve">No </w:t>
      </w:r>
      <w:r>
        <w:rPr>
          <w:rFonts w:ascii="Wingdings" w:eastAsia="Times New Roman" w:hAnsi="Wingdings"/>
          <w:color w:val="000000"/>
          <w:sz w:val="18"/>
          <w:szCs w:val="18"/>
        </w:rPr>
        <w:t>x</w:t>
      </w:r>
      <w:r>
        <w:rPr>
          <w:rFonts w:ascii="Wingdings" w:eastAsia="Times New Roman" w:hAnsi="Wingdings"/>
          <w:color w:val="000000"/>
          <w:sz w:val="18"/>
          <w:szCs w:val="18"/>
        </w:rPr>
        <w:t xml:space="preserve"> </w:t>
      </w:r>
      <w:r>
        <w:rPr>
          <w:rFonts w:eastAsia="Times New Roman"/>
          <w:color w:val="000000"/>
          <w:sz w:val="18"/>
          <w:szCs w:val="18"/>
        </w:rPr>
        <w:t>As of August 5, 2022, the registrant had 70,419,388 shares of common stock, $0.001 par value per share, outstanding.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75050480"/>
          <w:jc w:val="center"/>
        </w:trPr>
        <w:tc>
          <w:tcPr>
            <w:tcW w:w="50" w:type="pct"/>
            <w:vAlign w:val="center"/>
            <w:hideMark/>
          </w:tcPr>
          <w:p w:rsidR="00000000" w:rsidRDefault="00375AF8">
            <w:pPr>
              <w:ind w:firstLine="1080"/>
              <w:rPr>
                <w:rFonts w:eastAsia="Times New Roman"/>
              </w:rPr>
            </w:pPr>
          </w:p>
        </w:tc>
        <w:tc>
          <w:tcPr>
            <w:tcW w:w="494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775050480"/>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375AF8">
            <w:pPr>
              <w:spacing w:after="100"/>
              <w:rPr>
                <w:rFonts w:eastAsia="Times New Roman"/>
                <w:sz w:val="20"/>
                <w:szCs w:val="20"/>
              </w:rPr>
            </w:pPr>
          </w:p>
        </w:tc>
      </w:tr>
    </w:tbl>
    <w:p w:rsidR="00000000" w:rsidRDefault="00375AF8">
      <w:pPr>
        <w:jc w:val="center"/>
        <w:divId w:val="2018462176"/>
        <w:rPr>
          <w:rFonts w:eastAsia="Times New Roman"/>
        </w:rPr>
      </w:pPr>
    </w:p>
    <w:p w:rsidR="00000000" w:rsidRDefault="00375AF8">
      <w:pPr>
        <w:rPr>
          <w:rFonts w:eastAsia="Times New Roman"/>
        </w:rPr>
      </w:pPr>
      <w:r>
        <w:rPr>
          <w:rFonts w:eastAsia="Times New Roman"/>
        </w:rPr>
        <w:pict>
          <v:rect id="_x0000_i1025" style="width:0;height:1.5pt" o:hralign="center" o:hrstd="t" o:hr="t" fillcolor="#a0a0a0" stroked="f"/>
        </w:pict>
      </w:r>
    </w:p>
    <w:p w:rsidR="00000000" w:rsidRDefault="00375AF8">
      <w:pPr>
        <w:divId w:val="808476837"/>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826364641"/>
        <w:rPr>
          <w:rFonts w:eastAsia="Times New Roman"/>
        </w:rPr>
      </w:pPr>
      <w:r>
        <w:rPr>
          <w:rFonts w:eastAsia="Times New Roman"/>
          <w:b/>
          <w:bCs/>
          <w:color w:val="000000"/>
          <w:sz w:val="18"/>
          <w:szCs w:val="18"/>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37"/>
        <w:gridCol w:w="36"/>
        <w:gridCol w:w="69"/>
        <w:gridCol w:w="6378"/>
        <w:gridCol w:w="36"/>
        <w:gridCol w:w="69"/>
        <w:gridCol w:w="876"/>
        <w:gridCol w:w="36"/>
      </w:tblGrid>
      <w:tr w:rsidR="00000000">
        <w:trPr>
          <w:divId w:val="722490108"/>
        </w:trPr>
        <w:tc>
          <w:tcPr>
            <w:tcW w:w="50" w:type="pct"/>
            <w:vAlign w:val="center"/>
            <w:hideMark/>
          </w:tcPr>
          <w:p w:rsidR="00000000" w:rsidRDefault="00375AF8">
            <w:pPr>
              <w:jc w:val="center"/>
              <w:rPr>
                <w:rFonts w:eastAsia="Times New Roman"/>
              </w:rPr>
            </w:pPr>
          </w:p>
        </w:tc>
        <w:tc>
          <w:tcPr>
            <w:tcW w:w="45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384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3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Page</w:t>
            </w:r>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495534840"/>
              <w:rPr>
                <w:rFonts w:eastAsia="Times New Roman"/>
              </w:rPr>
            </w:pPr>
            <w:hyperlink w:anchor="iffb89c91b68044fe89584fa1aa2f8679_13" w:history="1">
              <w:r>
                <w:rPr>
                  <w:rStyle w:val="a3"/>
                  <w:rFonts w:eastAsia="Times New Roman"/>
                  <w:b/>
                  <w:bCs/>
                  <w:color w:val="000000"/>
                  <w:sz w:val="18"/>
                  <w:szCs w:val="18"/>
                  <w:u w:val="none"/>
                </w:rPr>
                <w:t>PART I.</w:t>
              </w:r>
            </w:hyperlink>
          </w:p>
        </w:tc>
        <w:tc>
          <w:tcPr>
            <w:tcW w:w="0" w:type="auto"/>
            <w:gridSpan w:val="3"/>
            <w:tcMar>
              <w:top w:w="30" w:type="dxa"/>
              <w:left w:w="20" w:type="dxa"/>
              <w:bottom w:w="30" w:type="dxa"/>
              <w:right w:w="20" w:type="dxa"/>
            </w:tcMar>
            <w:vAlign w:val="center"/>
            <w:hideMark/>
          </w:tcPr>
          <w:p w:rsidR="00000000" w:rsidRDefault="00375AF8">
            <w:pPr>
              <w:spacing w:after="100"/>
              <w:divId w:val="878510348"/>
              <w:rPr>
                <w:rFonts w:eastAsia="Times New Roman"/>
              </w:rPr>
            </w:pPr>
            <w:hyperlink w:anchor="iffb89c91b68044fe89584fa1aa2f8679_13" w:history="1">
              <w:r>
                <w:rPr>
                  <w:rStyle w:val="a3"/>
                  <w:rFonts w:eastAsia="Times New Roman"/>
                  <w:b/>
                  <w:bCs/>
                  <w:sz w:val="18"/>
                  <w:szCs w:val="18"/>
                </w:rPr>
                <w:t>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rPr>
                <w:rFonts w:eastAsia="Times New Roman"/>
              </w:rPr>
            </w:pPr>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691223663"/>
              <w:rPr>
                <w:rFonts w:eastAsia="Times New Roman"/>
              </w:rPr>
            </w:pPr>
            <w:hyperlink w:anchor="iffb89c91b68044fe89584fa1aa2f8679_16" w:history="1">
              <w:r>
                <w:rPr>
                  <w:rStyle w:val="a3"/>
                  <w:rFonts w:eastAsia="Times New Roman"/>
                  <w:color w:val="000000"/>
                  <w:sz w:val="18"/>
                  <w:szCs w:val="18"/>
                  <w:u w:val="none"/>
                </w:rPr>
                <w:t>Item 1.</w:t>
              </w:r>
            </w:hyperlink>
          </w:p>
        </w:tc>
        <w:tc>
          <w:tcPr>
            <w:tcW w:w="0" w:type="auto"/>
            <w:gridSpan w:val="3"/>
            <w:tcMar>
              <w:top w:w="30" w:type="dxa"/>
              <w:left w:w="20" w:type="dxa"/>
              <w:bottom w:w="30" w:type="dxa"/>
              <w:right w:w="20" w:type="dxa"/>
            </w:tcMar>
            <w:vAlign w:val="center"/>
            <w:hideMark/>
          </w:tcPr>
          <w:p w:rsidR="00000000" w:rsidRDefault="00375AF8">
            <w:pPr>
              <w:spacing w:after="100"/>
              <w:divId w:val="365103830"/>
              <w:rPr>
                <w:rFonts w:eastAsia="Times New Roman"/>
              </w:rPr>
            </w:pPr>
            <w:hyperlink w:anchor="iffb89c91b68044fe89584fa1aa2f8679_16" w:history="1">
              <w:r>
                <w:rPr>
                  <w:rStyle w:val="a3"/>
                  <w:rFonts w:eastAsia="Times New Roman"/>
                  <w:sz w:val="18"/>
                  <w:szCs w:val="18"/>
                </w:rPr>
                <w:t>Financial Statements (Unaudited)</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6" w:history="1">
              <w:r>
                <w:rPr>
                  <w:rStyle w:val="a3"/>
                  <w:rFonts w:eastAsia="Times New Roman"/>
                  <w:color w:val="000000"/>
                  <w:sz w:val="18"/>
                  <w:szCs w:val="18"/>
                  <w:u w:val="none"/>
                </w:rPr>
                <w:t>3</w:t>
              </w:r>
            </w:hyperlink>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375AF8">
            <w:pPr>
              <w:spacing w:after="100"/>
              <w:divId w:val="1358582205"/>
              <w:rPr>
                <w:rFonts w:eastAsia="Times New Roman"/>
              </w:rPr>
            </w:pPr>
            <w:hyperlink w:anchor="iffb89c91b68044fe89584fa1aa2f8679_19" w:history="1">
              <w:r>
                <w:rPr>
                  <w:rStyle w:val="a3"/>
                  <w:rFonts w:eastAsia="Times New Roman"/>
                  <w:sz w:val="18"/>
                  <w:szCs w:val="18"/>
                </w:rPr>
                <w:t>Condensed Consolidated Balance Sheets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9" w:history="1">
              <w:r>
                <w:rPr>
                  <w:rStyle w:val="a3"/>
                  <w:rFonts w:eastAsia="Times New Roman"/>
                  <w:color w:val="000000"/>
                  <w:sz w:val="18"/>
                  <w:szCs w:val="18"/>
                  <w:u w:val="none"/>
                </w:rPr>
                <w:t>3</w:t>
              </w:r>
            </w:hyperlink>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375AF8">
            <w:pPr>
              <w:spacing w:after="100"/>
              <w:divId w:val="1604145662"/>
              <w:rPr>
                <w:rFonts w:eastAsia="Times New Roman"/>
              </w:rPr>
            </w:pPr>
            <w:hyperlink w:anchor="iffb89c91b68044fe89584fa1aa2f8679_22" w:history="1">
              <w:r>
                <w:rPr>
                  <w:rStyle w:val="a3"/>
                  <w:rFonts w:eastAsia="Times New Roman"/>
                  <w:sz w:val="18"/>
                  <w:szCs w:val="18"/>
                </w:rPr>
                <w:t>Condensed Consolidated Statements of Operations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22" w:history="1">
              <w:r>
                <w:rPr>
                  <w:rStyle w:val="a3"/>
                  <w:rFonts w:eastAsia="Times New Roman"/>
                  <w:color w:val="000000"/>
                  <w:sz w:val="18"/>
                  <w:szCs w:val="18"/>
                  <w:u w:val="none"/>
                </w:rPr>
                <w:t>4</w:t>
              </w:r>
            </w:hyperlink>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375AF8">
            <w:pPr>
              <w:spacing w:after="100"/>
              <w:divId w:val="226846236"/>
              <w:rPr>
                <w:rFonts w:eastAsia="Times New Roman"/>
              </w:rPr>
            </w:pPr>
            <w:hyperlink w:anchor="iffb89c91b68044fe89584fa1aa2f8679_376" w:history="1">
              <w:r>
                <w:rPr>
                  <w:rStyle w:val="a3"/>
                  <w:rFonts w:eastAsia="Times New Roman"/>
                  <w:sz w:val="18"/>
                  <w:szCs w:val="18"/>
                </w:rPr>
                <w:t>Condensed Consolidated Statements of Comprehensive (Loss) Income</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376" w:history="1">
              <w:r>
                <w:rPr>
                  <w:rStyle w:val="a3"/>
                  <w:rFonts w:eastAsia="Times New Roman"/>
                  <w:color w:val="000000"/>
                  <w:sz w:val="18"/>
                  <w:szCs w:val="18"/>
                  <w:u w:val="none"/>
                </w:rPr>
                <w:t>5</w:t>
              </w:r>
            </w:hyperlink>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375AF8">
            <w:pPr>
              <w:spacing w:after="100"/>
              <w:divId w:val="1599827696"/>
              <w:rPr>
                <w:rFonts w:eastAsia="Times New Roman"/>
              </w:rPr>
            </w:pPr>
            <w:hyperlink w:anchor="iffb89c91b68044fe89584fa1aa2f8679_25" w:history="1">
              <w:r>
                <w:rPr>
                  <w:rStyle w:val="a3"/>
                  <w:rFonts w:eastAsia="Times New Roman"/>
                  <w:sz w:val="18"/>
                  <w:szCs w:val="18"/>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25" w:history="1">
              <w:r>
                <w:rPr>
                  <w:rStyle w:val="a3"/>
                  <w:rFonts w:eastAsia="Times New Roman"/>
                  <w:color w:val="000000"/>
                  <w:sz w:val="18"/>
                  <w:szCs w:val="18"/>
                  <w:u w:val="none"/>
                </w:rPr>
                <w:t>6</w:t>
              </w:r>
            </w:hyperlink>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375AF8">
            <w:pPr>
              <w:spacing w:after="100"/>
              <w:divId w:val="265618370"/>
              <w:rPr>
                <w:rFonts w:eastAsia="Times New Roman"/>
              </w:rPr>
            </w:pPr>
            <w:hyperlink w:anchor="iffb89c91b68044fe89584fa1aa2f8679_28" w:history="1">
              <w:r>
                <w:rPr>
                  <w:rStyle w:val="a3"/>
                  <w:rFonts w:eastAsia="Times New Roman"/>
                  <w:sz w:val="18"/>
                  <w:szCs w:val="18"/>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28" w:history="1">
              <w:r>
                <w:rPr>
                  <w:rStyle w:val="a3"/>
                  <w:rFonts w:eastAsia="Times New Roman"/>
                  <w:color w:val="000000"/>
                  <w:sz w:val="18"/>
                  <w:szCs w:val="18"/>
                  <w:u w:val="none"/>
                </w:rPr>
                <w:t>7</w:t>
              </w:r>
            </w:hyperlink>
          </w:p>
        </w:tc>
      </w:tr>
      <w:tr w:rsidR="00000000">
        <w:trPr>
          <w:divId w:val="722490108"/>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375AF8">
            <w:pPr>
              <w:spacing w:after="100"/>
              <w:divId w:val="707922886"/>
              <w:rPr>
                <w:rFonts w:eastAsia="Times New Roman"/>
              </w:rPr>
            </w:pPr>
            <w:hyperlink w:anchor="iffb89c91b68044fe89584fa1aa2f8679_31" w:history="1">
              <w:r>
                <w:rPr>
                  <w:rStyle w:val="a3"/>
                  <w:rFonts w:eastAsia="Times New Roman"/>
                  <w:sz w:val="18"/>
                  <w:szCs w:val="18"/>
                </w:rPr>
                <w:t>Notes to Unaudited Condensed Consolidated Financial Statements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31" w:history="1">
              <w:r>
                <w:rPr>
                  <w:rStyle w:val="a3"/>
                  <w:rFonts w:eastAsia="Times New Roman"/>
                  <w:color w:val="000000"/>
                  <w:sz w:val="18"/>
                  <w:szCs w:val="18"/>
                  <w:u w:val="none"/>
                </w:rPr>
                <w:t>8</w:t>
              </w:r>
            </w:hyperlink>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1166022015"/>
              <w:rPr>
                <w:rFonts w:eastAsia="Times New Roman"/>
              </w:rPr>
            </w:pPr>
            <w:hyperlink w:anchor="iffb89c91b68044fe89584fa1aa2f8679_73" w:history="1">
              <w:r>
                <w:rPr>
                  <w:rStyle w:val="a3"/>
                  <w:rFonts w:eastAsia="Times New Roman"/>
                  <w:color w:val="000000"/>
                  <w:sz w:val="18"/>
                  <w:szCs w:val="18"/>
                  <w:u w:val="none"/>
                </w:rPr>
                <w:t>Item 2.</w:t>
              </w:r>
            </w:hyperlink>
          </w:p>
        </w:tc>
        <w:tc>
          <w:tcPr>
            <w:tcW w:w="0" w:type="auto"/>
            <w:gridSpan w:val="3"/>
            <w:tcMar>
              <w:top w:w="30" w:type="dxa"/>
              <w:left w:w="20" w:type="dxa"/>
              <w:bottom w:w="30" w:type="dxa"/>
              <w:right w:w="20" w:type="dxa"/>
            </w:tcMar>
            <w:vAlign w:val="center"/>
            <w:hideMark/>
          </w:tcPr>
          <w:p w:rsidR="00000000" w:rsidRDefault="00375AF8">
            <w:pPr>
              <w:spacing w:after="100"/>
              <w:divId w:val="908030102"/>
              <w:rPr>
                <w:rFonts w:eastAsia="Times New Roman"/>
              </w:rPr>
            </w:pPr>
            <w:hyperlink w:anchor="iffb89c91b68044fe89584fa1aa2f8679_73" w:history="1">
              <w:r>
                <w:rPr>
                  <w:rStyle w:val="a3"/>
                  <w:rFonts w:eastAsia="Times New Roman"/>
                  <w:sz w:val="18"/>
                  <w:szCs w:val="18"/>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73" w:history="1">
              <w:r>
                <w:rPr>
                  <w:rStyle w:val="a3"/>
                  <w:rFonts w:eastAsia="Times New Roman"/>
                  <w:color w:val="000000"/>
                  <w:sz w:val="18"/>
                  <w:szCs w:val="18"/>
                  <w:u w:val="none"/>
                </w:rPr>
                <w:t>21</w:t>
              </w:r>
            </w:hyperlink>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1311403259"/>
              <w:rPr>
                <w:rFonts w:eastAsia="Times New Roman"/>
              </w:rPr>
            </w:pPr>
            <w:hyperlink w:anchor="iffb89c91b68044fe89584fa1aa2f8679_100" w:history="1">
              <w:r>
                <w:rPr>
                  <w:rStyle w:val="a3"/>
                  <w:rFonts w:eastAsia="Times New Roman"/>
                  <w:color w:val="000000"/>
                  <w:sz w:val="18"/>
                  <w:szCs w:val="18"/>
                  <w:u w:val="none"/>
                </w:rPr>
                <w:t>Item 3.</w:t>
              </w:r>
            </w:hyperlink>
          </w:p>
        </w:tc>
        <w:tc>
          <w:tcPr>
            <w:tcW w:w="0" w:type="auto"/>
            <w:gridSpan w:val="3"/>
            <w:tcMar>
              <w:top w:w="30" w:type="dxa"/>
              <w:left w:w="20" w:type="dxa"/>
              <w:bottom w:w="30" w:type="dxa"/>
              <w:right w:w="20" w:type="dxa"/>
            </w:tcMar>
            <w:vAlign w:val="center"/>
            <w:hideMark/>
          </w:tcPr>
          <w:p w:rsidR="00000000" w:rsidRDefault="00375AF8">
            <w:pPr>
              <w:spacing w:after="100"/>
              <w:divId w:val="1967007353"/>
              <w:rPr>
                <w:rFonts w:eastAsia="Times New Roman"/>
              </w:rPr>
            </w:pPr>
            <w:hyperlink w:anchor="iffb89c91b68044fe89584fa1aa2f8679_100"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00" w:history="1">
              <w:r>
                <w:rPr>
                  <w:rStyle w:val="a3"/>
                  <w:rFonts w:eastAsia="Times New Roman"/>
                  <w:color w:val="000000"/>
                  <w:sz w:val="18"/>
                  <w:szCs w:val="18"/>
                  <w:u w:val="none"/>
                </w:rPr>
                <w:t>28</w:t>
              </w:r>
            </w:hyperlink>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221252746"/>
              <w:rPr>
                <w:rFonts w:eastAsia="Times New Roman"/>
              </w:rPr>
            </w:pPr>
            <w:hyperlink w:anchor="iffb89c91b68044fe89584fa1aa2f8679_103" w:history="1">
              <w:r>
                <w:rPr>
                  <w:rStyle w:val="a3"/>
                  <w:rFonts w:eastAsia="Times New Roman"/>
                  <w:color w:val="000000"/>
                  <w:sz w:val="18"/>
                  <w:szCs w:val="18"/>
                  <w:u w:val="none"/>
                </w:rPr>
                <w:t>Item 4.</w:t>
              </w:r>
            </w:hyperlink>
          </w:p>
        </w:tc>
        <w:tc>
          <w:tcPr>
            <w:tcW w:w="0" w:type="auto"/>
            <w:gridSpan w:val="3"/>
            <w:tcMar>
              <w:top w:w="30" w:type="dxa"/>
              <w:left w:w="20" w:type="dxa"/>
              <w:bottom w:w="30" w:type="dxa"/>
              <w:right w:w="20" w:type="dxa"/>
            </w:tcMar>
            <w:hideMark/>
          </w:tcPr>
          <w:p w:rsidR="00000000" w:rsidRDefault="00375AF8">
            <w:pPr>
              <w:spacing w:after="100"/>
              <w:divId w:val="102767840"/>
              <w:rPr>
                <w:rFonts w:eastAsia="Times New Roman"/>
              </w:rPr>
            </w:pPr>
            <w:hyperlink w:anchor="iffb89c91b68044fe89584fa1aa2f8679_103"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03" w:history="1">
              <w:r>
                <w:rPr>
                  <w:rStyle w:val="a3"/>
                  <w:rFonts w:eastAsia="Times New Roman"/>
                  <w:color w:val="000000"/>
                  <w:sz w:val="18"/>
                  <w:szCs w:val="18"/>
                  <w:u w:val="none"/>
                </w:rPr>
                <w:t>28</w:t>
              </w:r>
            </w:hyperlink>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1086269452"/>
              <w:rPr>
                <w:rFonts w:eastAsia="Times New Roman"/>
              </w:rPr>
            </w:pPr>
            <w:hyperlink w:anchor="iffb89c91b68044fe89584fa1aa2f8679_106" w:history="1">
              <w:r>
                <w:rPr>
                  <w:rStyle w:val="a3"/>
                  <w:rFonts w:eastAsia="Times New Roman"/>
                  <w:b/>
                  <w:bCs/>
                  <w:color w:val="000000"/>
                  <w:sz w:val="18"/>
                  <w:szCs w:val="18"/>
                  <w:u w:val="none"/>
                </w:rPr>
                <w:t>PART II.</w:t>
              </w:r>
            </w:hyperlink>
          </w:p>
        </w:tc>
        <w:tc>
          <w:tcPr>
            <w:tcW w:w="0" w:type="auto"/>
            <w:gridSpan w:val="3"/>
            <w:tcMar>
              <w:top w:w="30" w:type="dxa"/>
              <w:left w:w="20" w:type="dxa"/>
              <w:bottom w:w="30" w:type="dxa"/>
              <w:right w:w="20" w:type="dxa"/>
            </w:tcMar>
            <w:vAlign w:val="center"/>
            <w:hideMark/>
          </w:tcPr>
          <w:p w:rsidR="00000000" w:rsidRDefault="00375AF8">
            <w:pPr>
              <w:spacing w:after="100"/>
              <w:divId w:val="1897735332"/>
              <w:rPr>
                <w:rFonts w:eastAsia="Times New Roman"/>
              </w:rPr>
            </w:pPr>
            <w:hyperlink w:anchor="iffb89c91b68044fe89584fa1aa2f8679_106" w:history="1">
              <w:r>
                <w:rPr>
                  <w:rStyle w:val="a3"/>
                  <w:rFonts w:eastAsia="Times New Roman"/>
                  <w:b/>
                  <w:bCs/>
                  <w:sz w:val="18"/>
                  <w:szCs w:val="18"/>
                </w:rPr>
                <w:t>OTHER INFORMATION</w:t>
              </w:r>
            </w:hyperlink>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929122264"/>
              <w:rPr>
                <w:rFonts w:eastAsia="Times New Roman"/>
              </w:rPr>
            </w:pPr>
            <w:hyperlink w:anchor="iffb89c91b68044fe89584fa1aa2f8679_109" w:history="1">
              <w:r>
                <w:rPr>
                  <w:rStyle w:val="a3"/>
                  <w:rFonts w:eastAsia="Times New Roman"/>
                  <w:color w:val="000000"/>
                  <w:sz w:val="18"/>
                  <w:szCs w:val="18"/>
                  <w:u w:val="none"/>
                </w:rPr>
                <w:t>Item 1.</w:t>
              </w:r>
            </w:hyperlink>
          </w:p>
        </w:tc>
        <w:tc>
          <w:tcPr>
            <w:tcW w:w="0" w:type="auto"/>
            <w:gridSpan w:val="3"/>
            <w:tcMar>
              <w:top w:w="30" w:type="dxa"/>
              <w:left w:w="20" w:type="dxa"/>
              <w:bottom w:w="30" w:type="dxa"/>
              <w:right w:w="20" w:type="dxa"/>
            </w:tcMar>
            <w:vAlign w:val="center"/>
            <w:hideMark/>
          </w:tcPr>
          <w:p w:rsidR="00000000" w:rsidRDefault="00375AF8">
            <w:pPr>
              <w:spacing w:after="100"/>
              <w:divId w:val="927420147"/>
              <w:rPr>
                <w:rFonts w:eastAsia="Times New Roman"/>
              </w:rPr>
            </w:pPr>
            <w:hyperlink w:anchor="iffb89c91b68044fe89584fa1aa2f8679_109"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09" w:history="1">
              <w:r>
                <w:rPr>
                  <w:rStyle w:val="a3"/>
                  <w:rFonts w:eastAsia="Times New Roman"/>
                  <w:color w:val="000000"/>
                  <w:sz w:val="18"/>
                  <w:szCs w:val="18"/>
                  <w:u w:val="none"/>
                </w:rPr>
                <w:t>29</w:t>
              </w:r>
            </w:hyperlink>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1878007572"/>
              <w:rPr>
                <w:rFonts w:eastAsia="Times New Roman"/>
              </w:rPr>
            </w:pPr>
            <w:hyperlink w:anchor="iffb89c91b68044fe89584fa1aa2f8679_112" w:history="1">
              <w:r>
                <w:rPr>
                  <w:rStyle w:val="a3"/>
                  <w:rFonts w:eastAsia="Times New Roman"/>
                  <w:color w:val="000000"/>
                  <w:sz w:val="18"/>
                  <w:szCs w:val="18"/>
                  <w:u w:val="none"/>
                </w:rPr>
                <w:t>Item 1A.</w:t>
              </w:r>
            </w:hyperlink>
          </w:p>
        </w:tc>
        <w:tc>
          <w:tcPr>
            <w:tcW w:w="0" w:type="auto"/>
            <w:gridSpan w:val="3"/>
            <w:tcMar>
              <w:top w:w="30" w:type="dxa"/>
              <w:left w:w="20" w:type="dxa"/>
              <w:bottom w:w="30" w:type="dxa"/>
              <w:right w:w="20" w:type="dxa"/>
            </w:tcMar>
            <w:vAlign w:val="center"/>
            <w:hideMark/>
          </w:tcPr>
          <w:p w:rsidR="00000000" w:rsidRDefault="00375AF8">
            <w:pPr>
              <w:spacing w:after="100"/>
              <w:divId w:val="1668022431"/>
              <w:rPr>
                <w:rFonts w:eastAsia="Times New Roman"/>
              </w:rPr>
            </w:pPr>
            <w:hyperlink w:anchor="iffb89c91b68044fe89584fa1aa2f8679_112"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12" w:history="1">
              <w:r>
                <w:rPr>
                  <w:rStyle w:val="a3"/>
                  <w:rFonts w:eastAsia="Times New Roman"/>
                  <w:color w:val="000000"/>
                  <w:sz w:val="18"/>
                  <w:szCs w:val="18"/>
                  <w:u w:val="none"/>
                </w:rPr>
                <w:t>29</w:t>
              </w:r>
            </w:hyperlink>
          </w:p>
        </w:tc>
      </w:tr>
      <w:tr w:rsidR="00000000">
        <w:trPr>
          <w:divId w:val="722490108"/>
        </w:trPr>
        <w:tc>
          <w:tcPr>
            <w:tcW w:w="0" w:type="auto"/>
            <w:gridSpan w:val="3"/>
            <w:tcMar>
              <w:top w:w="30" w:type="dxa"/>
              <w:left w:w="20" w:type="dxa"/>
              <w:bottom w:w="30" w:type="dxa"/>
              <w:right w:w="20" w:type="dxa"/>
            </w:tcMar>
            <w:vAlign w:val="center"/>
            <w:hideMark/>
          </w:tcPr>
          <w:p w:rsidR="00000000" w:rsidRDefault="00375AF8">
            <w:pPr>
              <w:spacing w:after="100"/>
              <w:divId w:val="1236621198"/>
              <w:rPr>
                <w:rFonts w:eastAsia="Times New Roman"/>
              </w:rPr>
            </w:pPr>
            <w:hyperlink w:anchor="iffb89c91b68044fe89584fa1aa2f8679_115" w:history="1">
              <w:r>
                <w:rPr>
                  <w:rStyle w:val="a3"/>
                  <w:rFonts w:eastAsia="Times New Roman"/>
                  <w:color w:val="000000"/>
                  <w:sz w:val="18"/>
                  <w:szCs w:val="18"/>
                  <w:u w:val="none"/>
                </w:rPr>
                <w:t>Item 6.</w:t>
              </w:r>
            </w:hyperlink>
          </w:p>
        </w:tc>
        <w:tc>
          <w:tcPr>
            <w:tcW w:w="0" w:type="auto"/>
            <w:gridSpan w:val="3"/>
            <w:tcMar>
              <w:top w:w="30" w:type="dxa"/>
              <w:left w:w="20" w:type="dxa"/>
              <w:bottom w:w="30" w:type="dxa"/>
              <w:right w:w="20" w:type="dxa"/>
            </w:tcMar>
            <w:vAlign w:val="center"/>
            <w:hideMark/>
          </w:tcPr>
          <w:p w:rsidR="00000000" w:rsidRDefault="00375AF8">
            <w:pPr>
              <w:spacing w:after="100"/>
              <w:divId w:val="297423089"/>
              <w:rPr>
                <w:rFonts w:eastAsia="Times New Roman"/>
              </w:rPr>
            </w:pPr>
            <w:hyperlink w:anchor="iffb89c91b68044fe89584fa1aa2f8679_115"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hyperlink w:anchor="iffb89c91b68044fe89584fa1aa2f8679_115" w:history="1">
              <w:r>
                <w:rPr>
                  <w:rStyle w:val="a3"/>
                  <w:rFonts w:eastAsia="Times New Roman"/>
                  <w:color w:val="000000"/>
                  <w:sz w:val="18"/>
                  <w:szCs w:val="18"/>
                  <w:u w:val="none"/>
                </w:rPr>
                <w:t>59</w:t>
              </w:r>
            </w:hyperlink>
          </w:p>
        </w:tc>
      </w:tr>
      <w:tr w:rsidR="00000000">
        <w:trPr>
          <w:divId w:val="722490108"/>
        </w:trPr>
        <w:tc>
          <w:tcPr>
            <w:tcW w:w="0" w:type="auto"/>
            <w:gridSpan w:val="6"/>
            <w:tcMar>
              <w:top w:w="30" w:type="dxa"/>
              <w:left w:w="20" w:type="dxa"/>
              <w:bottom w:w="30" w:type="dxa"/>
              <w:right w:w="20" w:type="dxa"/>
            </w:tcMar>
            <w:vAlign w:val="center"/>
            <w:hideMark/>
          </w:tcPr>
          <w:p w:rsidR="00000000" w:rsidRDefault="00375AF8">
            <w:pPr>
              <w:spacing w:after="100"/>
              <w:divId w:val="1433548328"/>
              <w:rPr>
                <w:rFonts w:eastAsia="Times New Roman"/>
              </w:rPr>
            </w:pPr>
            <w:hyperlink w:anchor="iffb89c91b68044fe89584fa1aa2f8679_118" w:history="1">
              <w:r>
                <w:rPr>
                  <w:rStyle w:val="a3"/>
                  <w:rFonts w:eastAsia="Times New Roman"/>
                  <w:sz w:val="18"/>
                  <w:szCs w:val="18"/>
                </w:rPr>
                <w:t>Signatures</w:t>
              </w:r>
            </w:hyperlink>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r>
    </w:tbl>
    <w:p w:rsidR="00000000" w:rsidRDefault="00375AF8">
      <w:pPr>
        <w:jc w:val="center"/>
        <w:divId w:val="770323939"/>
        <w:rPr>
          <w:rFonts w:eastAsia="Times New Roman"/>
        </w:rPr>
      </w:pPr>
      <w:r>
        <w:rPr>
          <w:rFonts w:eastAsia="Times New Roman"/>
          <w:color w:val="000000"/>
          <w:sz w:val="18"/>
          <w:szCs w:val="18"/>
        </w:rPr>
        <w:t>i</w:t>
      </w:r>
    </w:p>
    <w:p w:rsidR="00000000" w:rsidRDefault="00375AF8">
      <w:pPr>
        <w:rPr>
          <w:rFonts w:eastAsia="Times New Roman"/>
        </w:rPr>
      </w:pPr>
      <w:r>
        <w:rPr>
          <w:rFonts w:eastAsia="Times New Roman"/>
        </w:rPr>
        <w:pict>
          <v:rect id="_x0000_i1026" style="width:0;height:1.5pt" o:hralign="center" o:hrstd="t" o:hr="t" fillcolor="#a0a0a0" stroked="f"/>
        </w:pict>
      </w:r>
    </w:p>
    <w:p w:rsidR="00000000" w:rsidRDefault="00375AF8">
      <w:pPr>
        <w:divId w:val="120979798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1102840450"/>
        <w:rPr>
          <w:rFonts w:eastAsia="Times New Roman"/>
        </w:rPr>
      </w:pPr>
      <w:r>
        <w:rPr>
          <w:rFonts w:eastAsia="Times New Roman"/>
          <w:b/>
          <w:bCs/>
          <w:color w:val="000000"/>
          <w:sz w:val="18"/>
          <w:szCs w:val="18"/>
        </w:rPr>
        <w:t>SPECIAL NOTE REGARDING FORWARD-LOOKING STATEMENTS</w:t>
      </w:r>
    </w:p>
    <w:p w:rsidR="00000000" w:rsidRDefault="00375AF8">
      <w:pPr>
        <w:ind w:firstLine="720"/>
        <w:jc w:val="both"/>
        <w:divId w:val="792795460"/>
        <w:rPr>
          <w:rFonts w:eastAsia="Times New Roman"/>
        </w:rPr>
      </w:pPr>
      <w:r>
        <w:rPr>
          <w:rFonts w:eastAsia="Times New Roman"/>
          <w:color w:val="000000"/>
          <w:sz w:val="18"/>
          <w:szCs w:val="18"/>
        </w:rPr>
        <w:t>This Quarterly Report on Form 10-Q contains forward-looking statements within the meaning of S</w:t>
      </w:r>
      <w:r>
        <w:rPr>
          <w:rFonts w:eastAsia="Times New Roman"/>
          <w:color w:val="000000"/>
          <w:sz w:val="18"/>
          <w:szCs w:val="18"/>
        </w:rPr>
        <w:t xml:space="preserve">ection 27A of the Securities Act of 1933, as amended, or the Securities Act, and Section 21E of the Securities Exchange </w:t>
      </w:r>
      <w:r>
        <w:rPr>
          <w:rFonts w:eastAsia="Times New Roman"/>
          <w:color w:val="000000"/>
          <w:sz w:val="18"/>
          <w:szCs w:val="18"/>
        </w:rPr>
        <w:lastRenderedPageBreak/>
        <w:t>Act of 1934, as amended, or the Exchange Act. All statements other than statements of historical fact are “forward-looking statements” f</w:t>
      </w:r>
      <w:r>
        <w:rPr>
          <w:rFonts w:eastAsia="Times New Roman"/>
          <w:color w:val="000000"/>
          <w:sz w:val="18"/>
          <w:szCs w:val="18"/>
        </w:rPr>
        <w:t>or purposes of this Quarterly Report on Form 10-Q. In some cases, you can identify forward-looking statements by terminology such as “aim,” “anticipate,” “assume,” “believe,” “contemplate,” continue,” “could,” “design,” “due,” “estimate,” “expect,” “goal,”</w:t>
      </w:r>
      <w:r>
        <w:rPr>
          <w:rFonts w:eastAsia="Times New Roman"/>
          <w:color w:val="000000"/>
          <w:sz w:val="18"/>
          <w:szCs w:val="18"/>
        </w:rPr>
        <w:t xml:space="preserve"> “intend,” “may,” “objective,” “plan,” “positioned,” “potential,” “predict,” “project,” “should,” “target,” “will,” “would” or the negative or plural of those terms, and similar expressions.</w:t>
      </w:r>
    </w:p>
    <w:p w:rsidR="00000000" w:rsidRDefault="00375AF8">
      <w:pPr>
        <w:ind w:firstLine="720"/>
        <w:jc w:val="both"/>
        <w:divId w:val="1140998462"/>
        <w:rPr>
          <w:rFonts w:eastAsia="Times New Roman"/>
        </w:rPr>
      </w:pPr>
      <w:r>
        <w:rPr>
          <w:rFonts w:eastAsia="Times New Roman"/>
          <w:color w:val="000000"/>
          <w:sz w:val="18"/>
          <w:szCs w:val="18"/>
        </w:rPr>
        <w:t>Forward-looking statements include, but are not limited to, state</w:t>
      </w:r>
      <w:r>
        <w:rPr>
          <w:rFonts w:eastAsia="Times New Roman"/>
          <w:color w:val="000000"/>
          <w:sz w:val="18"/>
          <w:szCs w:val="18"/>
        </w:rPr>
        <w:t>ments about:</w:t>
      </w:r>
    </w:p>
    <w:p w:rsidR="00000000" w:rsidRDefault="00375AF8">
      <w:pPr>
        <w:ind w:hanging="720"/>
        <w:jc w:val="both"/>
        <w:divId w:val="60448696"/>
        <w:rPr>
          <w:rFonts w:eastAsia="Times New Roman"/>
        </w:rPr>
      </w:pPr>
      <w:r>
        <w:rPr>
          <w:rFonts w:eastAsia="Times New Roman"/>
          <w:color w:val="000000"/>
          <w:sz w:val="18"/>
          <w:szCs w:val="18"/>
        </w:rPr>
        <w:t xml:space="preserve">•our ability to identify additional novel compounds with significant commercial potential to acquire or in-license; </w:t>
      </w:r>
    </w:p>
    <w:p w:rsidR="00000000" w:rsidRDefault="00375AF8">
      <w:pPr>
        <w:ind w:hanging="720"/>
        <w:jc w:val="both"/>
        <w:divId w:val="671496079"/>
        <w:rPr>
          <w:rFonts w:eastAsia="Times New Roman"/>
        </w:rPr>
      </w:pPr>
      <w:r>
        <w:rPr>
          <w:rFonts w:eastAsia="Times New Roman"/>
          <w:color w:val="000000"/>
          <w:sz w:val="18"/>
          <w:szCs w:val="18"/>
        </w:rPr>
        <w:t xml:space="preserve">•our ability to successfully acquire or in-license additional drug candidates on reasonable terms; </w:t>
      </w:r>
    </w:p>
    <w:p w:rsidR="00000000" w:rsidRDefault="00375AF8">
      <w:pPr>
        <w:ind w:hanging="720"/>
        <w:jc w:val="both"/>
        <w:divId w:val="236939430"/>
        <w:rPr>
          <w:rFonts w:eastAsia="Times New Roman"/>
        </w:rPr>
      </w:pPr>
      <w:r>
        <w:rPr>
          <w:rFonts w:eastAsia="Times New Roman"/>
          <w:color w:val="000000"/>
          <w:sz w:val="18"/>
          <w:szCs w:val="18"/>
        </w:rPr>
        <w:t>•our estimates regarding e</w:t>
      </w:r>
      <w:r>
        <w:rPr>
          <w:rFonts w:eastAsia="Times New Roman"/>
          <w:color w:val="000000"/>
          <w:sz w:val="18"/>
          <w:szCs w:val="18"/>
        </w:rPr>
        <w:t xml:space="preserve">xpenses, future revenue including any royalty or milestone payments, capital requirements and needs for additional financing; </w:t>
      </w:r>
    </w:p>
    <w:p w:rsidR="00000000" w:rsidRDefault="00375AF8">
      <w:pPr>
        <w:ind w:hanging="720"/>
        <w:jc w:val="both"/>
        <w:divId w:val="1441490551"/>
        <w:rPr>
          <w:rFonts w:eastAsia="Times New Roman"/>
        </w:rPr>
      </w:pPr>
      <w:r>
        <w:rPr>
          <w:rFonts w:eastAsia="Times New Roman"/>
          <w:color w:val="000000"/>
          <w:sz w:val="18"/>
          <w:szCs w:val="18"/>
        </w:rPr>
        <w:t xml:space="preserve">•our ability to obtain regulatory approval of our current and future drug candidates; </w:t>
      </w:r>
    </w:p>
    <w:p w:rsidR="00000000" w:rsidRDefault="00375AF8">
      <w:pPr>
        <w:ind w:hanging="720"/>
        <w:jc w:val="both"/>
        <w:divId w:val="2045668967"/>
        <w:rPr>
          <w:rFonts w:eastAsia="Times New Roman"/>
        </w:rPr>
      </w:pPr>
      <w:r>
        <w:rPr>
          <w:rFonts w:eastAsia="Times New Roman"/>
          <w:color w:val="000000"/>
          <w:sz w:val="18"/>
          <w:szCs w:val="18"/>
        </w:rPr>
        <w:t xml:space="preserve">•our expectations regarding the potential </w:t>
      </w:r>
      <w:r>
        <w:rPr>
          <w:rFonts w:eastAsia="Times New Roman"/>
          <w:color w:val="000000"/>
          <w:sz w:val="18"/>
          <w:szCs w:val="18"/>
        </w:rPr>
        <w:t>market size and the rate and degree of market acceptance of such drug candidates;</w:t>
      </w:r>
    </w:p>
    <w:p w:rsidR="00000000" w:rsidRDefault="00375AF8">
      <w:pPr>
        <w:ind w:hanging="720"/>
        <w:jc w:val="both"/>
        <w:divId w:val="192545735"/>
        <w:rPr>
          <w:rFonts w:eastAsia="Times New Roman"/>
        </w:rPr>
      </w:pPr>
      <w:r>
        <w:rPr>
          <w:rFonts w:eastAsia="Times New Roman"/>
          <w:color w:val="000000"/>
          <w:sz w:val="18"/>
          <w:szCs w:val="18"/>
        </w:rPr>
        <w:t xml:space="preserve">•our ability to fund our working capital requirements; </w:t>
      </w:r>
    </w:p>
    <w:p w:rsidR="00000000" w:rsidRDefault="00375AF8">
      <w:pPr>
        <w:ind w:hanging="720"/>
        <w:jc w:val="both"/>
        <w:divId w:val="1741101317"/>
        <w:rPr>
          <w:rFonts w:eastAsia="Times New Roman"/>
        </w:rPr>
      </w:pPr>
      <w:r>
        <w:rPr>
          <w:rFonts w:eastAsia="Times New Roman"/>
          <w:color w:val="000000"/>
          <w:sz w:val="18"/>
          <w:szCs w:val="18"/>
        </w:rPr>
        <w:t>•</w:t>
      </w:r>
      <w:r>
        <w:rPr>
          <w:rFonts w:eastAsia="Times New Roman"/>
          <w:color w:val="000000"/>
          <w:sz w:val="18"/>
          <w:szCs w:val="18"/>
        </w:rPr>
        <w:t xml:space="preserve">the implementation of our business model and strategic plans for our business and drug candidates; </w:t>
      </w:r>
    </w:p>
    <w:p w:rsidR="00000000" w:rsidRDefault="00375AF8">
      <w:pPr>
        <w:ind w:hanging="720"/>
        <w:jc w:val="both"/>
        <w:divId w:val="1897203549"/>
        <w:rPr>
          <w:rFonts w:eastAsia="Times New Roman"/>
        </w:rPr>
      </w:pPr>
      <w:r>
        <w:rPr>
          <w:rFonts w:eastAsia="Times New Roman"/>
          <w:color w:val="000000"/>
          <w:sz w:val="18"/>
          <w:szCs w:val="18"/>
        </w:rPr>
        <w:t xml:space="preserve">•developments or disputes concerning our intellectual property or other proprietary rights; </w:t>
      </w:r>
    </w:p>
    <w:p w:rsidR="00000000" w:rsidRDefault="00375AF8">
      <w:pPr>
        <w:ind w:hanging="720"/>
        <w:jc w:val="both"/>
        <w:divId w:val="1939827387"/>
        <w:rPr>
          <w:rFonts w:eastAsia="Times New Roman"/>
        </w:rPr>
      </w:pPr>
      <w:r>
        <w:rPr>
          <w:rFonts w:eastAsia="Times New Roman"/>
          <w:color w:val="000000"/>
          <w:sz w:val="18"/>
          <w:szCs w:val="18"/>
        </w:rPr>
        <w:t>•our ability to maintain and establish collaborations or obtain</w:t>
      </w:r>
      <w:r>
        <w:rPr>
          <w:rFonts w:eastAsia="Times New Roman"/>
          <w:color w:val="000000"/>
          <w:sz w:val="18"/>
          <w:szCs w:val="18"/>
        </w:rPr>
        <w:t xml:space="preserve"> additional funding; </w:t>
      </w:r>
    </w:p>
    <w:p w:rsidR="00000000" w:rsidRDefault="00375AF8">
      <w:pPr>
        <w:ind w:hanging="720"/>
        <w:jc w:val="both"/>
        <w:divId w:val="1053433151"/>
        <w:rPr>
          <w:rFonts w:eastAsia="Times New Roman"/>
        </w:rPr>
      </w:pPr>
      <w:r>
        <w:rPr>
          <w:rFonts w:eastAsia="Times New Roman"/>
          <w:color w:val="000000"/>
          <w:sz w:val="18"/>
          <w:szCs w:val="18"/>
        </w:rPr>
        <w:t>•statements regarding the impact of the COVID-19 pandemic and its effects on our operations, access to capital, research and development and clinical trials and potential disruption in the operations and business of third-party manufa</w:t>
      </w:r>
      <w:r>
        <w:rPr>
          <w:rFonts w:eastAsia="Times New Roman"/>
          <w:color w:val="000000"/>
          <w:sz w:val="18"/>
          <w:szCs w:val="18"/>
        </w:rPr>
        <w:t>cturers, contract research organizations, or CROs, other service providers, and collaborators with whom we conduct business;</w:t>
      </w:r>
    </w:p>
    <w:p w:rsidR="00000000" w:rsidRDefault="00375AF8">
      <w:pPr>
        <w:ind w:hanging="720"/>
        <w:jc w:val="both"/>
        <w:divId w:val="37290702"/>
        <w:rPr>
          <w:rFonts w:eastAsia="Times New Roman"/>
        </w:rPr>
      </w:pPr>
      <w:r>
        <w:rPr>
          <w:rFonts w:eastAsia="Times New Roman"/>
          <w:color w:val="000000"/>
          <w:sz w:val="18"/>
          <w:szCs w:val="18"/>
        </w:rPr>
        <w:t xml:space="preserve">•our expectations regarding government and third-party payor coverage and reimbursement; </w:t>
      </w:r>
    </w:p>
    <w:p w:rsidR="00000000" w:rsidRDefault="00375AF8">
      <w:pPr>
        <w:ind w:hanging="720"/>
        <w:jc w:val="both"/>
        <w:divId w:val="246043242"/>
        <w:rPr>
          <w:rFonts w:eastAsia="Times New Roman"/>
        </w:rPr>
      </w:pPr>
      <w:r>
        <w:rPr>
          <w:rFonts w:eastAsia="Times New Roman"/>
          <w:color w:val="000000"/>
          <w:sz w:val="18"/>
          <w:szCs w:val="18"/>
        </w:rPr>
        <w:t>•our ability to compete in the markets we</w:t>
      </w:r>
      <w:r>
        <w:rPr>
          <w:rFonts w:eastAsia="Times New Roman"/>
          <w:color w:val="000000"/>
          <w:sz w:val="18"/>
          <w:szCs w:val="18"/>
        </w:rPr>
        <w:t xml:space="preserve"> serve; </w:t>
      </w:r>
    </w:p>
    <w:p w:rsidR="00000000" w:rsidRDefault="00375AF8">
      <w:pPr>
        <w:ind w:hanging="720"/>
        <w:jc w:val="both"/>
        <w:divId w:val="1477339272"/>
        <w:rPr>
          <w:rFonts w:eastAsia="Times New Roman"/>
        </w:rPr>
      </w:pPr>
      <w:r>
        <w:rPr>
          <w:rFonts w:eastAsia="Times New Roman"/>
          <w:color w:val="000000"/>
          <w:sz w:val="18"/>
          <w:szCs w:val="18"/>
        </w:rPr>
        <w:t xml:space="preserve">•the impact of government laws and regulations; </w:t>
      </w:r>
    </w:p>
    <w:p w:rsidR="00000000" w:rsidRDefault="00375AF8">
      <w:pPr>
        <w:ind w:hanging="720"/>
        <w:jc w:val="both"/>
        <w:divId w:val="1059129240"/>
        <w:rPr>
          <w:rFonts w:eastAsia="Times New Roman"/>
        </w:rPr>
      </w:pPr>
      <w:r>
        <w:rPr>
          <w:rFonts w:eastAsia="Times New Roman"/>
          <w:color w:val="000000"/>
          <w:sz w:val="18"/>
          <w:szCs w:val="18"/>
        </w:rPr>
        <w:t xml:space="preserve">•developments relating to our competitors and our industry; and </w:t>
      </w:r>
    </w:p>
    <w:p w:rsidR="00000000" w:rsidRDefault="00375AF8">
      <w:pPr>
        <w:ind w:hanging="720"/>
        <w:jc w:val="both"/>
        <w:divId w:val="1389647658"/>
        <w:rPr>
          <w:rFonts w:eastAsia="Times New Roman"/>
        </w:rPr>
      </w:pPr>
      <w:r>
        <w:rPr>
          <w:rFonts w:eastAsia="Times New Roman"/>
          <w:color w:val="000000"/>
          <w:sz w:val="18"/>
          <w:szCs w:val="18"/>
        </w:rPr>
        <w:t xml:space="preserve">•the factors that may impact our financial results. </w:t>
      </w:r>
    </w:p>
    <w:p w:rsidR="00000000" w:rsidRDefault="00375AF8">
      <w:pPr>
        <w:ind w:firstLine="720"/>
        <w:jc w:val="both"/>
        <w:divId w:val="83845317"/>
        <w:rPr>
          <w:rFonts w:eastAsia="Times New Roman"/>
        </w:rPr>
      </w:pPr>
      <w:r>
        <w:rPr>
          <w:rFonts w:eastAsia="Times New Roman"/>
          <w:color w:val="000000"/>
          <w:sz w:val="18"/>
          <w:szCs w:val="18"/>
        </w:rPr>
        <w:t>Factors that may cause actual results to differ materially from current expectations include, among other things, those set forth in Part II, Item 1A, “Risk Factors,” herein and for the reasons described elsewhere in this Quarterly Report on Form 10-Q. Any</w:t>
      </w:r>
      <w:r>
        <w:rPr>
          <w:rFonts w:eastAsia="Times New Roman"/>
          <w:color w:val="000000"/>
          <w:sz w:val="18"/>
          <w:szCs w:val="18"/>
        </w:rPr>
        <w:t xml:space="preserve"> forward-looking statement in this Quarterly Report on Form 10-Q reflects our current view with respect to future events and is subject to these and other risks, uncertainties and assumptions relating to our operations, results of operations, industry and </w:t>
      </w:r>
      <w:r>
        <w:rPr>
          <w:rFonts w:eastAsia="Times New Roman"/>
          <w:color w:val="000000"/>
          <w:sz w:val="18"/>
          <w:szCs w:val="18"/>
        </w:rPr>
        <w:t>future growth. Given these uncertainties, you should not rely on these forward-looking statements as predictions of future events. Although we believe that the expectations reflected in the forward-looking statements are reasonable, we cannot guarantee fut</w:t>
      </w:r>
      <w:r>
        <w:rPr>
          <w:rFonts w:eastAsia="Times New Roman"/>
          <w:color w:val="000000"/>
          <w:sz w:val="18"/>
          <w:szCs w:val="18"/>
        </w:rPr>
        <w:t>ure results, levels of activity, performance or achievements. Except as required by law, we assume no obligation to update or revise these forward-looking statements for any reason, even if new information becomes available in the future.</w:t>
      </w:r>
    </w:p>
    <w:p w:rsidR="00000000" w:rsidRDefault="00375AF8">
      <w:pPr>
        <w:ind w:firstLine="720"/>
        <w:jc w:val="both"/>
        <w:divId w:val="45614916"/>
        <w:rPr>
          <w:rFonts w:eastAsia="Times New Roman"/>
        </w:rPr>
      </w:pPr>
      <w:r>
        <w:rPr>
          <w:rFonts w:eastAsia="Times New Roman"/>
          <w:color w:val="000000"/>
          <w:sz w:val="18"/>
          <w:szCs w:val="18"/>
        </w:rPr>
        <w:t>This Quarterly Re</w:t>
      </w:r>
      <w:r>
        <w:rPr>
          <w:rFonts w:eastAsia="Times New Roman"/>
          <w:color w:val="000000"/>
          <w:sz w:val="18"/>
          <w:szCs w:val="18"/>
        </w:rPr>
        <w:t>port on Form 10-Q also contains estimates, projections and other information concerning our industry, our business and the markets for certain drugs and consumer products, including data regarding the estimated size of those markets, their projected growth</w:t>
      </w:r>
      <w:r>
        <w:rPr>
          <w:rFonts w:eastAsia="Times New Roman"/>
          <w:color w:val="000000"/>
          <w:sz w:val="18"/>
          <w:szCs w:val="18"/>
        </w:rPr>
        <w:t xml:space="preserve"> rates and the incidence of certain medical conditions. Information that is based on estimates, forecasts, projections or similar methodologies is inherently subject to uncertainties and actual events or circumstances may differ materially from events and </w:t>
      </w:r>
      <w:r>
        <w:rPr>
          <w:rFonts w:eastAsia="Times New Roman"/>
          <w:color w:val="000000"/>
          <w:sz w:val="18"/>
          <w:szCs w:val="18"/>
        </w:rPr>
        <w:t>circumstances reflected in this information. Unless otherwise expressly stated, we obtained these industry, business, market and other data from reports, research surveys, studies and similar data prepared by third parties, industry, medical and general pu</w:t>
      </w:r>
      <w:r>
        <w:rPr>
          <w:rFonts w:eastAsia="Times New Roman"/>
          <w:color w:val="000000"/>
          <w:sz w:val="18"/>
          <w:szCs w:val="18"/>
        </w:rPr>
        <w:t>blications, government data and similar sources and we have not independently verified the data from third party sources. In some cases, we do not expressly refer to the sources from which these data are derived.</w:t>
      </w:r>
    </w:p>
    <w:p w:rsidR="00000000" w:rsidRDefault="00375AF8">
      <w:pPr>
        <w:ind w:firstLine="720"/>
        <w:jc w:val="both"/>
        <w:divId w:val="1047485162"/>
        <w:rPr>
          <w:rFonts w:eastAsia="Times New Roman"/>
        </w:rPr>
      </w:pPr>
      <w:r>
        <w:rPr>
          <w:rFonts w:eastAsia="Times New Roman"/>
          <w:color w:val="000000"/>
          <w:sz w:val="18"/>
          <w:szCs w:val="18"/>
        </w:rPr>
        <w:t>In this Quarterly Report on Form 10-Q, unle</w:t>
      </w:r>
      <w:r>
        <w:rPr>
          <w:rFonts w:eastAsia="Times New Roman"/>
          <w:color w:val="000000"/>
          <w:sz w:val="18"/>
          <w:szCs w:val="18"/>
        </w:rPr>
        <w:t>ss otherwise stated or as the context otherwise requires, references to “Ovid,” “the Company,” “we,” “us,” “our” and similar references refer to Ovid Therapeutics Inc. and its wholly owned subsidiaries. This Quarterly Report on Form 10-Q also contains refe</w:t>
      </w:r>
      <w:r>
        <w:rPr>
          <w:rFonts w:eastAsia="Times New Roman"/>
          <w:color w:val="000000"/>
          <w:sz w:val="18"/>
          <w:szCs w:val="18"/>
        </w:rPr>
        <w:t xml:space="preserve">rences to our trademarks and to trademarks belonging to other entities. Solely for convenience, trademarks and trade names referred to, including logos, artwork and other visual displays, may appear without the ® or TM symbols, but such references are not </w:t>
      </w:r>
      <w:r>
        <w:rPr>
          <w:rFonts w:eastAsia="Times New Roman"/>
          <w:color w:val="000000"/>
          <w:sz w:val="18"/>
          <w:szCs w:val="18"/>
        </w:rPr>
        <w:t>intended to indicate, in any way, that their respective owners will not assert, to the fullest extent under applicable law, their rights thereto. We do not intend our use or display of other companies’ trade names or trademarks to imply a relationship with</w:t>
      </w:r>
      <w:r>
        <w:rPr>
          <w:rFonts w:eastAsia="Times New Roman"/>
          <w:color w:val="000000"/>
          <w:sz w:val="18"/>
          <w:szCs w:val="18"/>
        </w:rPr>
        <w:t>, or endorsement or sponsorship of us by, any other companies.</w:t>
      </w:r>
    </w:p>
    <w:p w:rsidR="00000000" w:rsidRDefault="00375AF8">
      <w:pPr>
        <w:jc w:val="center"/>
        <w:divId w:val="1700617102"/>
        <w:rPr>
          <w:rFonts w:eastAsia="Times New Roman"/>
        </w:rPr>
      </w:pPr>
      <w:r>
        <w:rPr>
          <w:rFonts w:eastAsia="Times New Roman"/>
          <w:color w:val="000000"/>
          <w:sz w:val="18"/>
          <w:szCs w:val="18"/>
        </w:rPr>
        <w:t>ii</w:t>
      </w:r>
    </w:p>
    <w:p w:rsidR="00000000" w:rsidRDefault="00375AF8">
      <w:pPr>
        <w:rPr>
          <w:rFonts w:eastAsia="Times New Roman"/>
        </w:rPr>
      </w:pPr>
      <w:r>
        <w:rPr>
          <w:rFonts w:eastAsia="Times New Roman"/>
        </w:rPr>
        <w:pict>
          <v:rect id="_x0000_i1027" style="width:0;height:1.5pt" o:hralign="center" o:hrstd="t" o:hr="t" fillcolor="#a0a0a0" stroked="f"/>
        </w:pict>
      </w:r>
    </w:p>
    <w:p w:rsidR="00000000" w:rsidRDefault="00375AF8">
      <w:pPr>
        <w:divId w:val="2066487547"/>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1173452021"/>
        <w:rPr>
          <w:rFonts w:eastAsia="Times New Roman"/>
        </w:rPr>
      </w:pPr>
      <w:r>
        <w:rPr>
          <w:rFonts w:eastAsia="Times New Roman"/>
          <w:b/>
          <w:bCs/>
          <w:color w:val="000000"/>
          <w:sz w:val="18"/>
          <w:szCs w:val="18"/>
        </w:rPr>
        <w:lastRenderedPageBreak/>
        <w:t>PART I—FINANCIAL INFORMATION</w:t>
      </w:r>
    </w:p>
    <w:p w:rsidR="00000000" w:rsidRDefault="00375AF8">
      <w:pPr>
        <w:divId w:val="336735251"/>
        <w:rPr>
          <w:rFonts w:eastAsia="Times New Roman"/>
        </w:rPr>
      </w:pPr>
      <w:r>
        <w:rPr>
          <w:rFonts w:eastAsia="Times New Roman"/>
          <w:b/>
          <w:bCs/>
          <w:color w:val="000000"/>
          <w:sz w:val="18"/>
          <w:szCs w:val="18"/>
        </w:rPr>
        <w:t>Item 1. Financial Statements.</w:t>
      </w:r>
    </w:p>
    <w:p w:rsidR="00000000" w:rsidRDefault="00375AF8">
      <w:pPr>
        <w:jc w:val="center"/>
        <w:divId w:val="1716202320"/>
        <w:rPr>
          <w:rFonts w:eastAsia="Times New Roman"/>
        </w:rPr>
      </w:pPr>
      <w:r>
        <w:rPr>
          <w:rFonts w:eastAsia="Times New Roman"/>
          <w:b/>
          <w:bCs/>
          <w:color w:val="000000"/>
          <w:sz w:val="18"/>
          <w:szCs w:val="18"/>
        </w:rPr>
        <w:t>OVID THERAPEUTICS I</w:t>
      </w:r>
      <w:r>
        <w:rPr>
          <w:rFonts w:eastAsia="Times New Roman"/>
          <w:b/>
          <w:bCs/>
          <w:color w:val="000000"/>
          <w:sz w:val="18"/>
          <w:szCs w:val="18"/>
        </w:rPr>
        <w:t>NC.</w:t>
      </w:r>
    </w:p>
    <w:p w:rsidR="00000000" w:rsidRDefault="00375AF8">
      <w:pPr>
        <w:jc w:val="center"/>
        <w:rPr>
          <w:rFonts w:eastAsia="Times New Roman"/>
        </w:rPr>
      </w:pPr>
      <w:r>
        <w:rPr>
          <w:rFonts w:eastAsia="Times New Roman"/>
          <w:b/>
          <w:bCs/>
          <w:color w:val="000000"/>
          <w:sz w:val="18"/>
          <w:szCs w:val="18"/>
        </w:rPr>
        <w:t>Condensed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3"/>
        <w:gridCol w:w="5915"/>
        <w:gridCol w:w="41"/>
        <w:gridCol w:w="110"/>
        <w:gridCol w:w="953"/>
        <w:gridCol w:w="36"/>
        <w:gridCol w:w="36"/>
        <w:gridCol w:w="36"/>
        <w:gridCol w:w="36"/>
        <w:gridCol w:w="110"/>
        <w:gridCol w:w="954"/>
        <w:gridCol w:w="36"/>
      </w:tblGrid>
      <w:tr w:rsidR="00000000">
        <w:trPr>
          <w:divId w:val="1225794972"/>
        </w:trPr>
        <w:tc>
          <w:tcPr>
            <w:tcW w:w="50" w:type="pct"/>
            <w:vAlign w:val="center"/>
            <w:hideMark/>
          </w:tcPr>
          <w:p w:rsidR="00000000" w:rsidRDefault="00375AF8">
            <w:pPr>
              <w:jc w:val="center"/>
              <w:rPr>
                <w:rFonts w:eastAsia="Times New Roman"/>
              </w:rPr>
            </w:pPr>
          </w:p>
        </w:tc>
        <w:tc>
          <w:tcPr>
            <w:tcW w:w="359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June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122579497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(unaudited) </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72,811,755 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187,797,532 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Marketable securities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79,554,040 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2,715,134 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2,681,597 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Note receivable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1,000,000 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156,080,929 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190,479,129 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Height w:val="280"/>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Long-term equity investments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2,228,547 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1,631,992 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1,930,753 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1,930,753 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Security deposit</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80,114 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96,034 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1,243,128 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242,757 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Right-of-use asset, net</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15,437,584 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328,797 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164,092 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177,329,852 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194,544,757 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Height w:val="280"/>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Accounts payable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4,616,543 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7,127,046 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Accrued expenses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4,598,843 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7,671,275 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Height w:val="280"/>
        </w:trPr>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Long-term liabilities: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Lease liability</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15,966,970 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25,182,356 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14,798,321 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Height w:val="280"/>
        </w:trPr>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2579497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divId w:val="615252307"/>
              <w:rPr>
                <w:rFonts w:eastAsia="Times New Roman"/>
              </w:rPr>
            </w:pPr>
            <w:r>
              <w:rPr>
                <w:rFonts w:eastAsia="Times New Roman"/>
                <w:color w:val="000000"/>
                <w:sz w:val="18"/>
                <w:szCs w:val="18"/>
              </w:rPr>
              <w:t xml:space="preserve">Preferred stock, $0.001 par value; </w:t>
            </w:r>
            <w:r>
              <w:rPr>
                <w:rFonts w:eastAsia="Times New Roman"/>
                <w:color w:val="000000"/>
                <w:sz w:val="18"/>
                <w:szCs w:val="18"/>
              </w:rPr>
              <w:t>10,000,000 shares authorized; Series A convertible preferred stock, 10,000 shares designated, 1,250 shares issued and outstanding at June 30, 2022 and December 31, 2021</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divId w:val="1671832278"/>
              <w:rPr>
                <w:rFonts w:eastAsia="Times New Roman"/>
              </w:rPr>
            </w:pPr>
            <w:r>
              <w:rPr>
                <w:rFonts w:eastAsia="Times New Roman"/>
                <w:color w:val="000000"/>
                <w:sz w:val="18"/>
                <w:szCs w:val="18"/>
              </w:rPr>
              <w:t>Common stock, $0.001 par value; 125,000,000 shares authorized; 70,419,3</w:t>
            </w:r>
            <w:r>
              <w:rPr>
                <w:rFonts w:eastAsia="Times New Roman"/>
                <w:color w:val="000000"/>
                <w:sz w:val="18"/>
                <w:szCs w:val="18"/>
              </w:rPr>
              <w:t>88 and 70,364,912 shares issued and outstanding at June 30, 2022 and December 31, 2021, respectively</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70,414 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70,359 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Additional paid-in-capital</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354,221,191 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351,033,589 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(90,127)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(202,053,983)</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(171,357,513)</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lastRenderedPageBreak/>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152,147,496 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179,746,436 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25794972"/>
        </w:trPr>
        <w:tc>
          <w:tcPr>
            <w:tcW w:w="0" w:type="auto"/>
            <w:gridSpan w:val="3"/>
            <w:shd w:val="clear" w:color="auto" w:fill="FFFF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177,329,852 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194,544,757 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1583178861"/>
        <w:rPr>
          <w:rFonts w:eastAsia="Times New Roman"/>
        </w:rPr>
      </w:pPr>
      <w:r>
        <w:rPr>
          <w:rFonts w:eastAsia="Times New Roman"/>
          <w:color w:val="000000"/>
          <w:sz w:val="18"/>
          <w:szCs w:val="18"/>
        </w:rPr>
        <w:t>See accompanying notes to these unaudited condensed consolidated financial statements</w:t>
      </w:r>
    </w:p>
    <w:p w:rsidR="00000000" w:rsidRDefault="00375AF8">
      <w:pPr>
        <w:jc w:val="center"/>
        <w:divId w:val="1103837130"/>
        <w:rPr>
          <w:rFonts w:eastAsia="Times New Roman"/>
        </w:rPr>
      </w:pPr>
      <w:r>
        <w:rPr>
          <w:rFonts w:eastAsia="Times New Roman"/>
          <w:color w:val="000000"/>
          <w:sz w:val="18"/>
          <w:szCs w:val="18"/>
        </w:rPr>
        <w:t>3</w:t>
      </w:r>
    </w:p>
    <w:p w:rsidR="00000000" w:rsidRDefault="00375AF8">
      <w:pPr>
        <w:rPr>
          <w:rFonts w:eastAsia="Times New Roman"/>
        </w:rPr>
      </w:pPr>
      <w:r>
        <w:rPr>
          <w:rFonts w:eastAsia="Times New Roman"/>
        </w:rPr>
        <w:pict>
          <v:rect id="_x0000_i1028" style="width:0;height:1.5pt" o:hralign="center" o:hrstd="t" o:hr="t" fillcolor="#a0a0a0" stroked="f"/>
        </w:pict>
      </w:r>
    </w:p>
    <w:p w:rsidR="00000000" w:rsidRDefault="00375AF8">
      <w:pPr>
        <w:divId w:val="1989356392"/>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2131972051"/>
        <w:rPr>
          <w:rFonts w:eastAsia="Times New Roman"/>
        </w:rPr>
      </w:pPr>
      <w:r>
        <w:rPr>
          <w:rFonts w:eastAsia="Times New Roman"/>
          <w:b/>
          <w:bCs/>
          <w:color w:val="000000"/>
          <w:sz w:val="18"/>
          <w:szCs w:val="18"/>
        </w:rPr>
        <w:t>OVID THERAPEUTICS INC.</w:t>
      </w:r>
    </w:p>
    <w:p w:rsidR="00000000" w:rsidRDefault="00375AF8">
      <w:pPr>
        <w:jc w:val="center"/>
        <w:rPr>
          <w:rFonts w:eastAsia="Times New Roman"/>
        </w:rPr>
      </w:pPr>
      <w:r>
        <w:rPr>
          <w:rFonts w:eastAsia="Times New Roman"/>
          <w:b/>
          <w:bCs/>
          <w:color w:val="000000"/>
          <w:sz w:val="18"/>
          <w:szCs w:val="18"/>
        </w:rPr>
        <w:t xml:space="preserve">Condensed Consolidated Statements of Operations </w:t>
      </w:r>
    </w:p>
    <w:p w:rsidR="00000000" w:rsidRDefault="00375AF8">
      <w:pPr>
        <w:jc w:val="center"/>
        <w:rPr>
          <w:rFonts w:eastAsia="Times New Roman"/>
        </w:rPr>
      </w:pPr>
      <w:r>
        <w:rPr>
          <w:rFonts w:eastAsia="Times New Roman"/>
          <w:b/>
          <w:bCs/>
          <w:color w:val="000000"/>
          <w:sz w:val="18"/>
          <w:szCs w:val="18"/>
        </w:rPr>
        <w:t>(unaudited)</w:t>
      </w:r>
    </w:p>
    <w:tbl>
      <w:tblPr>
        <w:tblW w:w="4840" w:type="pct"/>
        <w:tblCellMar>
          <w:top w:w="15" w:type="dxa"/>
          <w:left w:w="15" w:type="dxa"/>
          <w:bottom w:w="15" w:type="dxa"/>
          <w:right w:w="15" w:type="dxa"/>
        </w:tblCellMar>
        <w:tblLook w:val="04A0" w:firstRow="1" w:lastRow="0" w:firstColumn="1" w:lastColumn="0" w:noHBand="0" w:noVBand="1"/>
      </w:tblPr>
      <w:tblGrid>
        <w:gridCol w:w="43"/>
        <w:gridCol w:w="2310"/>
        <w:gridCol w:w="39"/>
        <w:gridCol w:w="110"/>
        <w:gridCol w:w="1185"/>
        <w:gridCol w:w="36"/>
        <w:gridCol w:w="36"/>
        <w:gridCol w:w="36"/>
        <w:gridCol w:w="36"/>
        <w:gridCol w:w="110"/>
        <w:gridCol w:w="1185"/>
        <w:gridCol w:w="36"/>
        <w:gridCol w:w="36"/>
        <w:gridCol w:w="36"/>
        <w:gridCol w:w="36"/>
        <w:gridCol w:w="110"/>
        <w:gridCol w:w="1185"/>
        <w:gridCol w:w="36"/>
        <w:gridCol w:w="36"/>
        <w:gridCol w:w="36"/>
        <w:gridCol w:w="36"/>
        <w:gridCol w:w="110"/>
        <w:gridCol w:w="1185"/>
        <w:gridCol w:w="36"/>
      </w:tblGrid>
      <w:tr w:rsidR="00000000">
        <w:trPr>
          <w:divId w:val="1870675726"/>
        </w:trPr>
        <w:tc>
          <w:tcPr>
            <w:tcW w:w="50" w:type="pct"/>
            <w:vAlign w:val="center"/>
            <w:hideMark/>
          </w:tcPr>
          <w:p w:rsidR="00000000" w:rsidRDefault="00375AF8">
            <w:pPr>
              <w:jc w:val="center"/>
              <w:rPr>
                <w:rFonts w:eastAsia="Times New Roman"/>
              </w:rPr>
            </w:pPr>
          </w:p>
        </w:tc>
        <w:tc>
          <w:tcPr>
            <w:tcW w:w="150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78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1"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78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1"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78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1"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78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870675726"/>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Three Months Ended</w:t>
            </w:r>
            <w:r>
              <w:rPr>
                <w:rFonts w:eastAsia="Times New Roman"/>
                <w:b/>
                <w:bCs/>
                <w:color w:val="000000"/>
                <w:sz w:val="18"/>
                <w:szCs w:val="18"/>
              </w:rPr>
              <w:br/>
              <w:t>June 30, 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Three Months Ended</w:t>
            </w:r>
            <w:r>
              <w:rPr>
                <w:rFonts w:eastAsia="Times New Roman"/>
                <w:b/>
                <w:bCs/>
                <w:color w:val="000000"/>
                <w:sz w:val="18"/>
                <w:szCs w:val="18"/>
              </w:rPr>
              <w:br/>
              <w:t>June 30, 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Six Months Ended June 30, 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Six Months Ended June 30, 2021</w:t>
            </w: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870675726"/>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License and other revenue</w:t>
            </w: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1,445,366 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12,382,779 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License revenue - related party</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196,000,000 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1,445,366 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208,382,779 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870675726"/>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6,046,670 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7,683,668 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13,878,939 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23,932,581 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8,257,617 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6,629,158 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18,137,820 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22,205,707 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14,304,287 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14,312,826 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32,016,759 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46,138,288 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(Loss) 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(14,304,287)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(14,312,826)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(30,571,393)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162,244,491 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 (expense) income, net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(284,127)</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(2,517)</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(125,076)</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(52,250)</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(Loss) income before provision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(14,588,414)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(14,315,343)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162,192,241 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Provision for income taxes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1,473,084 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1,973,361 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(14,588,414)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w:t>
            </w:r>
            <w:r>
              <w:rPr>
                <w:rFonts w:eastAsia="Times New Roman"/>
                <w:color w:val="000000"/>
                <w:sz w:val="18"/>
                <w:szCs w:val="18"/>
              </w:rPr>
              <w:t>15,788,427)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160,218,880 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(0.44)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 per share,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(0.21)</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Weighted-average common shares outstanding, basic</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70,391,458 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67,818,366 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70,391,236 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66,953,431 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87067572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Weighted-average common shares outstanding, 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70,391,458 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67,818,366 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70,391,236 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67,565,761 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107431882"/>
        <w:rPr>
          <w:rFonts w:eastAsia="Times New Roman"/>
        </w:rPr>
      </w:pPr>
      <w:r>
        <w:rPr>
          <w:rFonts w:eastAsia="Times New Roman"/>
          <w:color w:val="000000"/>
          <w:sz w:val="18"/>
          <w:szCs w:val="18"/>
        </w:rPr>
        <w:t>See accompanying notes to these unaudited condensed consolidated financial statements</w:t>
      </w:r>
    </w:p>
    <w:p w:rsidR="00000000" w:rsidRDefault="00375AF8">
      <w:pPr>
        <w:jc w:val="center"/>
        <w:divId w:val="945885557"/>
        <w:rPr>
          <w:rFonts w:eastAsia="Times New Roman"/>
        </w:rPr>
      </w:pPr>
      <w:r>
        <w:rPr>
          <w:rFonts w:eastAsia="Times New Roman"/>
          <w:color w:val="000000"/>
          <w:sz w:val="18"/>
          <w:szCs w:val="18"/>
        </w:rPr>
        <w:t>4</w:t>
      </w:r>
    </w:p>
    <w:p w:rsidR="00000000" w:rsidRDefault="00375AF8">
      <w:pPr>
        <w:rPr>
          <w:rFonts w:eastAsia="Times New Roman"/>
        </w:rPr>
      </w:pPr>
      <w:r>
        <w:rPr>
          <w:rFonts w:eastAsia="Times New Roman"/>
        </w:rPr>
        <w:pict>
          <v:rect id="_x0000_i1029" style="width:0;height:1.5pt" o:hralign="center" o:hrstd="t" o:hr="t" fillcolor="#a0a0a0" stroked="f"/>
        </w:pict>
      </w:r>
    </w:p>
    <w:p w:rsidR="00000000" w:rsidRDefault="00375AF8">
      <w:pPr>
        <w:divId w:val="82015021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1316762713"/>
        <w:rPr>
          <w:rFonts w:eastAsia="Times New Roman"/>
        </w:rPr>
      </w:pPr>
      <w:r>
        <w:rPr>
          <w:rFonts w:eastAsia="Times New Roman"/>
          <w:b/>
          <w:bCs/>
          <w:color w:val="000000"/>
          <w:sz w:val="18"/>
          <w:szCs w:val="18"/>
        </w:rPr>
        <w:lastRenderedPageBreak/>
        <w:t>OVID THERAPEUTICS INC.</w:t>
      </w:r>
    </w:p>
    <w:p w:rsidR="00000000" w:rsidRDefault="00375AF8">
      <w:pPr>
        <w:jc w:val="center"/>
        <w:rPr>
          <w:rFonts w:eastAsia="Times New Roman"/>
        </w:rPr>
      </w:pPr>
      <w:r>
        <w:rPr>
          <w:rFonts w:eastAsia="Times New Roman"/>
          <w:b/>
          <w:bCs/>
          <w:color w:val="000000"/>
          <w:sz w:val="18"/>
          <w:szCs w:val="18"/>
        </w:rPr>
        <w:t>Con</w:t>
      </w:r>
      <w:r>
        <w:rPr>
          <w:rFonts w:eastAsia="Times New Roman"/>
          <w:b/>
          <w:bCs/>
          <w:color w:val="000000"/>
          <w:sz w:val="18"/>
          <w:szCs w:val="18"/>
        </w:rPr>
        <w:t xml:space="preserve">densed Consolidated Statements of Comprehensive (Loss) Income </w:t>
      </w:r>
    </w:p>
    <w:p w:rsidR="00000000" w:rsidRDefault="00375AF8">
      <w:pPr>
        <w:jc w:val="center"/>
        <w:rPr>
          <w:rFonts w:eastAsia="Times New Roman"/>
        </w:rPr>
      </w:pPr>
      <w:r>
        <w:rPr>
          <w:rFonts w:eastAsia="Times New Roman"/>
          <w:b/>
          <w:b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87"/>
        <w:gridCol w:w="37"/>
        <w:gridCol w:w="110"/>
        <w:gridCol w:w="930"/>
        <w:gridCol w:w="36"/>
        <w:gridCol w:w="36"/>
        <w:gridCol w:w="36"/>
        <w:gridCol w:w="36"/>
        <w:gridCol w:w="110"/>
        <w:gridCol w:w="930"/>
        <w:gridCol w:w="36"/>
        <w:gridCol w:w="36"/>
        <w:gridCol w:w="36"/>
        <w:gridCol w:w="36"/>
        <w:gridCol w:w="110"/>
        <w:gridCol w:w="931"/>
        <w:gridCol w:w="36"/>
        <w:gridCol w:w="36"/>
        <w:gridCol w:w="36"/>
        <w:gridCol w:w="36"/>
        <w:gridCol w:w="110"/>
        <w:gridCol w:w="945"/>
        <w:gridCol w:w="36"/>
      </w:tblGrid>
      <w:tr w:rsidR="00000000">
        <w:trPr>
          <w:jc w:val="center"/>
        </w:trPr>
        <w:tc>
          <w:tcPr>
            <w:tcW w:w="50" w:type="pct"/>
            <w:vAlign w:val="center"/>
            <w:hideMark/>
          </w:tcPr>
          <w:p w:rsidR="00000000" w:rsidRDefault="00375AF8">
            <w:pPr>
              <w:jc w:val="center"/>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Three Months Ended June 30, 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Three Months Ended June 30, 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Six Months Ended June 30, 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For The Six Months Ended June 30, 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(14,588,414)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(15,788,427)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160,218,880 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20"/>
                <w:szCs w:val="20"/>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20"/>
                <w:szCs w:val="20"/>
              </w:rPr>
              <w:t>Unrealized loss on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(90,127)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(90,127)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20"/>
                <w:szCs w:val="20"/>
              </w:rPr>
              <w:t>Comprehensive (loss)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(14,678,541)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(15,788,427)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(30,786,597)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160,218,880 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1485075888"/>
        <w:rPr>
          <w:rFonts w:eastAsia="Times New Roman"/>
        </w:rPr>
      </w:pPr>
      <w:r>
        <w:rPr>
          <w:rFonts w:eastAsia="Times New Roman"/>
          <w:color w:val="000000"/>
          <w:sz w:val="18"/>
          <w:szCs w:val="18"/>
        </w:rPr>
        <w:t>See accompanying notes to these una</w:t>
      </w:r>
      <w:r>
        <w:rPr>
          <w:rFonts w:eastAsia="Times New Roman"/>
          <w:color w:val="000000"/>
          <w:sz w:val="18"/>
          <w:szCs w:val="18"/>
        </w:rPr>
        <w:t>udited condensed consolidated financial statements</w:t>
      </w:r>
    </w:p>
    <w:p w:rsidR="00000000" w:rsidRDefault="00375AF8">
      <w:pPr>
        <w:jc w:val="center"/>
        <w:divId w:val="388498085"/>
        <w:rPr>
          <w:rFonts w:eastAsia="Times New Roman"/>
        </w:rPr>
      </w:pPr>
      <w:r>
        <w:rPr>
          <w:rFonts w:eastAsia="Times New Roman"/>
          <w:color w:val="000000"/>
          <w:sz w:val="18"/>
          <w:szCs w:val="18"/>
        </w:rPr>
        <w:t>5</w:t>
      </w:r>
    </w:p>
    <w:p w:rsidR="00000000" w:rsidRDefault="00375AF8">
      <w:pPr>
        <w:rPr>
          <w:rFonts w:eastAsia="Times New Roman"/>
        </w:rPr>
      </w:pPr>
      <w:r>
        <w:rPr>
          <w:rFonts w:eastAsia="Times New Roman"/>
        </w:rPr>
        <w:pict>
          <v:rect id="_x0000_i1030" style="width:0;height:1.5pt" o:hralign="center" o:hrstd="t" o:hr="t" fillcolor="#a0a0a0" stroked="f"/>
        </w:pict>
      </w:r>
    </w:p>
    <w:p w:rsidR="00000000" w:rsidRDefault="00375AF8">
      <w:pPr>
        <w:divId w:val="169511151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951205513"/>
        <w:rPr>
          <w:rFonts w:eastAsia="Times New Roman"/>
        </w:rPr>
      </w:pPr>
      <w:r>
        <w:rPr>
          <w:rFonts w:eastAsia="Times New Roman"/>
          <w:b/>
          <w:bCs/>
          <w:color w:val="000000"/>
          <w:sz w:val="18"/>
          <w:szCs w:val="18"/>
        </w:rPr>
        <w:t>OVID THERAPEUTICS INC.</w:t>
      </w:r>
    </w:p>
    <w:p w:rsidR="00000000" w:rsidRDefault="00375AF8">
      <w:pPr>
        <w:jc w:val="center"/>
        <w:rPr>
          <w:rFonts w:eastAsia="Times New Roman"/>
        </w:rPr>
      </w:pPr>
      <w:r>
        <w:rPr>
          <w:rFonts w:eastAsia="Times New Roman"/>
          <w:b/>
          <w:bCs/>
          <w:color w:val="000000"/>
          <w:sz w:val="18"/>
          <w:szCs w:val="18"/>
        </w:rPr>
        <w:t>Condensed Consolidated Statements of Stockholders’ Equity</w:t>
      </w:r>
    </w:p>
    <w:p w:rsidR="00000000" w:rsidRDefault="00375AF8">
      <w:pPr>
        <w:jc w:val="center"/>
        <w:rPr>
          <w:rFonts w:eastAsia="Times New Roman"/>
        </w:rPr>
      </w:pPr>
      <w:r>
        <w:rPr>
          <w:rFonts w:eastAsia="Times New Roman"/>
          <w:b/>
          <w:bCs/>
          <w:color w:val="000000"/>
          <w:sz w:val="18"/>
          <w:szCs w:val="18"/>
        </w:rPr>
        <w:t>(unaudite</w:t>
      </w:r>
      <w:r>
        <w:rPr>
          <w:rFonts w:eastAsia="Times New Roman"/>
          <w:b/>
          <w:bCs/>
          <w:color w:val="000000"/>
          <w:sz w:val="18"/>
          <w:szCs w:val="18"/>
        </w:rPr>
        <w:t>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942"/>
        <w:gridCol w:w="38"/>
        <w:gridCol w:w="58"/>
        <w:gridCol w:w="440"/>
        <w:gridCol w:w="37"/>
        <w:gridCol w:w="37"/>
        <w:gridCol w:w="36"/>
        <w:gridCol w:w="36"/>
        <w:gridCol w:w="101"/>
        <w:gridCol w:w="532"/>
        <w:gridCol w:w="36"/>
        <w:gridCol w:w="36"/>
        <w:gridCol w:w="36"/>
        <w:gridCol w:w="36"/>
        <w:gridCol w:w="91"/>
        <w:gridCol w:w="689"/>
        <w:gridCol w:w="36"/>
        <w:gridCol w:w="36"/>
        <w:gridCol w:w="36"/>
        <w:gridCol w:w="36"/>
        <w:gridCol w:w="100"/>
        <w:gridCol w:w="480"/>
        <w:gridCol w:w="36"/>
        <w:gridCol w:w="36"/>
        <w:gridCol w:w="36"/>
        <w:gridCol w:w="36"/>
        <w:gridCol w:w="100"/>
        <w:gridCol w:w="840"/>
        <w:gridCol w:w="36"/>
        <w:gridCol w:w="36"/>
        <w:gridCol w:w="36"/>
        <w:gridCol w:w="36"/>
        <w:gridCol w:w="108"/>
        <w:gridCol w:w="989"/>
        <w:gridCol w:w="36"/>
        <w:gridCol w:w="36"/>
        <w:gridCol w:w="36"/>
        <w:gridCol w:w="36"/>
        <w:gridCol w:w="100"/>
        <w:gridCol w:w="907"/>
        <w:gridCol w:w="36"/>
        <w:gridCol w:w="36"/>
        <w:gridCol w:w="36"/>
        <w:gridCol w:w="36"/>
        <w:gridCol w:w="100"/>
        <w:gridCol w:w="840"/>
        <w:gridCol w:w="36"/>
      </w:tblGrid>
      <w:tr w:rsidR="00000000">
        <w:trPr>
          <w:divId w:val="296496963"/>
          <w:jc w:val="center"/>
        </w:trPr>
        <w:tc>
          <w:tcPr>
            <w:tcW w:w="50" w:type="pct"/>
            <w:vAlign w:val="center"/>
            <w:hideMark/>
          </w:tcPr>
          <w:p w:rsidR="00000000" w:rsidRDefault="00375AF8">
            <w:pPr>
              <w:jc w:val="center"/>
              <w:rPr>
                <w:rFonts w:eastAsia="Times New Roman"/>
              </w:rPr>
            </w:pPr>
          </w:p>
        </w:tc>
        <w:tc>
          <w:tcPr>
            <w:tcW w:w="76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38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42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38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42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42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46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46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99"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296496963"/>
          <w:trHeight w:val="580"/>
          <w:jc w:val="center"/>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Series A</w:t>
            </w:r>
            <w:r>
              <w:rPr>
                <w:rFonts w:eastAsia="Times New Roman"/>
                <w:b/>
                <w:bCs/>
                <w:color w:val="000000"/>
                <w:sz w:val="16"/>
                <w:szCs w:val="16"/>
              </w:rPr>
              <w:br/>
              <w:t>Convertible</w:t>
            </w:r>
            <w:r>
              <w:rPr>
                <w:rFonts w:eastAsia="Times New Roman"/>
                <w:b/>
                <w:bCs/>
                <w:color w:val="000000"/>
                <w:sz w:val="16"/>
                <w:szCs w:val="16"/>
              </w:rPr>
              <w:br/>
              <w:t xml:space="preserve">Preferred Stock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 xml:space="preserve">Paid-In Capital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Accumulated Other Comprehensive Loss</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Total </w:t>
            </w:r>
          </w:p>
        </w:tc>
      </w:tr>
      <w:tr w:rsidR="00000000">
        <w:trPr>
          <w:divId w:val="296496963"/>
          <w:trHeight w:val="240"/>
          <w:jc w:val="center"/>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Amount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vMerge/>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vMerge/>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vMerge/>
            <w:vAlign w:val="center"/>
            <w:hideMark/>
          </w:tcPr>
          <w:p w:rsidR="00000000" w:rsidRDefault="00375AF8">
            <w:pPr>
              <w:spacing w:after="100"/>
              <w:rPr>
                <w:rFonts w:eastAsia="Times New Roman"/>
              </w:rPr>
            </w:pPr>
          </w:p>
        </w:tc>
      </w:tr>
      <w:tr w:rsidR="00375AF8">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Balance,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70,364,912 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70,359 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351,033,589 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(171,357,513)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179,746,436 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1,324,812 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1,324,812 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Issuance of common stock from 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52,333 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33,065 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33,079 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(16,108,056)</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(16,108,056)</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Balance,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70,417,245 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70,373 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352,391,466 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(187,465,569)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164,996,271 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1,720,217 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1,720,217 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Issuance of common stock from 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2,143 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109,507 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109,548 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(90,127)</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(90,127)</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(14,588,414)</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(14,588,414)</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375AF8">
        <w:trPr>
          <w:divId w:val="296496963"/>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Balance, June 30,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70,419,388 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70,414 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354,221,191 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(90,127)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(202,053,983)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152,147,496 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trHeight w:val="580"/>
          <w:jc w:val="center"/>
        </w:trPr>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9"/>
            <w:tcBorders>
              <w:top w:val="double" w:sz="6"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Series A</w:t>
            </w:r>
            <w:r>
              <w:rPr>
                <w:rFonts w:eastAsia="Times New Roman"/>
                <w:b/>
                <w:bCs/>
                <w:color w:val="000000"/>
                <w:sz w:val="16"/>
                <w:szCs w:val="16"/>
              </w:rPr>
              <w:br/>
              <w:t>Convertible</w:t>
            </w:r>
            <w:r>
              <w:rPr>
                <w:rFonts w:eastAsia="Times New Roman"/>
                <w:b/>
                <w:bCs/>
                <w:color w:val="000000"/>
                <w:sz w:val="16"/>
                <w:szCs w:val="16"/>
              </w:rPr>
              <w:br/>
              <w:t xml:space="preserve">Preferred Stock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Borders>
              <w:top w:val="double" w:sz="6"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 xml:space="preserve">Paid-In Capital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Accumulated Other Comprehensive Loss</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top w:val="double" w:sz="6"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Total </w:t>
            </w:r>
          </w:p>
        </w:tc>
      </w:tr>
      <w:tr w:rsidR="00000000">
        <w:trPr>
          <w:divId w:val="296496963"/>
          <w:trHeight w:val="240"/>
          <w:jc w:val="center"/>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Amount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tcBorders>
              <w:top w:val="double" w:sz="6" w:space="0" w:color="000000"/>
            </w:tcBorders>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vMerge/>
            <w:tcBorders>
              <w:top w:val="double" w:sz="6" w:space="0" w:color="000000"/>
            </w:tcBorders>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vMerge/>
            <w:tcBorders>
              <w:top w:val="double" w:sz="6" w:space="0" w:color="000000"/>
            </w:tcBorders>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vMerge/>
            <w:tcBorders>
              <w:top w:val="double" w:sz="6" w:space="0" w:color="000000"/>
            </w:tcBorders>
            <w:vAlign w:val="center"/>
            <w:hideMark/>
          </w:tcPr>
          <w:p w:rsidR="00000000" w:rsidRDefault="00375AF8">
            <w:pPr>
              <w:spacing w:after="100"/>
              <w:rPr>
                <w:rFonts w:eastAsia="Times New Roman"/>
              </w:rPr>
            </w:pPr>
          </w:p>
        </w:tc>
      </w:tr>
      <w:tr w:rsidR="00375AF8">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Balance,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65,743,170 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65,743 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337,758,007 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(294,192,097)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43,631,656 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Stock-based compensation expense</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1,320,002 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1,320,002 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Issuance of common stock from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34,256 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130,139 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130,173 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Issuance of common stock from exercise of stock options</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10,400 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11 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20,791 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20,802 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Conversion of series A convertible preferred stock to common stock</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(2,000)</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2,000,000 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(1,998)</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income</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176,007,307 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176,007,307 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Balance,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67,787,826 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67,788 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339,226,941 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(118,184,790)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221,109,940 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Stock-based compensation expense</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1,257,344 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w:t>
            </w: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1,257,344 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Issuance of common stock from 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46,121 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46 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130,610 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130,656 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96496963"/>
          <w:jc w:val="center"/>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loss</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(15,788,427)</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w:t>
            </w:r>
            <w:r>
              <w:rPr>
                <w:rFonts w:eastAsia="Times New Roman"/>
                <w:color w:val="000000"/>
                <w:sz w:val="16"/>
                <w:szCs w:val="16"/>
              </w:rPr>
              <w:t>15,788,427)</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375AF8">
        <w:trPr>
          <w:divId w:val="296496963"/>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Balance, June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67,833,947 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67,834 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340,614,895 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(133,973,217)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206,709,513 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732584949"/>
        <w:rPr>
          <w:rFonts w:eastAsia="Times New Roman"/>
        </w:rPr>
      </w:pPr>
      <w:r>
        <w:rPr>
          <w:rFonts w:eastAsia="Times New Roman"/>
          <w:color w:val="000000"/>
          <w:sz w:val="18"/>
          <w:szCs w:val="18"/>
        </w:rPr>
        <w:t>See accompanying notes to these unaudited condensed consolidated financial statements</w:t>
      </w:r>
    </w:p>
    <w:p w:rsidR="00000000" w:rsidRDefault="00375AF8">
      <w:pPr>
        <w:jc w:val="center"/>
        <w:divId w:val="1611737315"/>
        <w:rPr>
          <w:rFonts w:eastAsia="Times New Roman"/>
        </w:rPr>
      </w:pPr>
      <w:r>
        <w:rPr>
          <w:rFonts w:eastAsia="Times New Roman"/>
          <w:color w:val="000000"/>
          <w:sz w:val="18"/>
          <w:szCs w:val="18"/>
        </w:rPr>
        <w:t>6</w:t>
      </w:r>
    </w:p>
    <w:p w:rsidR="00000000" w:rsidRDefault="00375AF8">
      <w:pPr>
        <w:rPr>
          <w:rFonts w:eastAsia="Times New Roman"/>
        </w:rPr>
      </w:pPr>
      <w:r>
        <w:rPr>
          <w:rFonts w:eastAsia="Times New Roman"/>
        </w:rPr>
        <w:pict>
          <v:rect id="_x0000_i1031" style="width:0;height:1.5pt" o:hralign="center" o:hrstd="t" o:hr="t" fillcolor="#a0a0a0" stroked="f"/>
        </w:pict>
      </w:r>
    </w:p>
    <w:p w:rsidR="00000000" w:rsidRDefault="00375AF8">
      <w:pPr>
        <w:divId w:val="946278232"/>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1647665056"/>
        <w:rPr>
          <w:rFonts w:eastAsia="Times New Roman"/>
        </w:rPr>
      </w:pPr>
      <w:r>
        <w:rPr>
          <w:rFonts w:eastAsia="Times New Roman"/>
          <w:b/>
          <w:bCs/>
          <w:color w:val="000000"/>
          <w:sz w:val="18"/>
          <w:szCs w:val="18"/>
        </w:rPr>
        <w:t>OVID THE</w:t>
      </w:r>
      <w:r>
        <w:rPr>
          <w:rFonts w:eastAsia="Times New Roman"/>
          <w:b/>
          <w:bCs/>
          <w:color w:val="000000"/>
          <w:sz w:val="18"/>
          <w:szCs w:val="18"/>
        </w:rPr>
        <w:t>RAPEUTICS INC.</w:t>
      </w:r>
    </w:p>
    <w:p w:rsidR="00000000" w:rsidRDefault="00375AF8">
      <w:pPr>
        <w:jc w:val="center"/>
        <w:rPr>
          <w:rFonts w:eastAsia="Times New Roman"/>
        </w:rPr>
      </w:pPr>
      <w:r>
        <w:rPr>
          <w:rFonts w:eastAsia="Times New Roman"/>
          <w:b/>
          <w:bCs/>
          <w:color w:val="000000"/>
          <w:sz w:val="18"/>
          <w:szCs w:val="18"/>
        </w:rPr>
        <w:t>Condensed Consolidated Statements of Cash Flows</w:t>
      </w:r>
    </w:p>
    <w:p w:rsidR="00000000" w:rsidRDefault="00375AF8">
      <w:pPr>
        <w:jc w:val="center"/>
        <w:rPr>
          <w:rFonts w:eastAsia="Times New Roman"/>
        </w:rPr>
      </w:pPr>
      <w:r>
        <w:rPr>
          <w:rFonts w:eastAsia="Times New Roman"/>
          <w:b/>
          <w:b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01"/>
        <w:gridCol w:w="40"/>
        <w:gridCol w:w="100"/>
        <w:gridCol w:w="1122"/>
        <w:gridCol w:w="36"/>
        <w:gridCol w:w="36"/>
        <w:gridCol w:w="36"/>
        <w:gridCol w:w="36"/>
        <w:gridCol w:w="100"/>
        <w:gridCol w:w="1122"/>
        <w:gridCol w:w="36"/>
      </w:tblGrid>
      <w:tr w:rsidR="00000000">
        <w:trPr>
          <w:divId w:val="1601790899"/>
          <w:jc w:val="center"/>
        </w:trPr>
        <w:tc>
          <w:tcPr>
            <w:tcW w:w="50" w:type="pct"/>
            <w:vAlign w:val="center"/>
            <w:hideMark/>
          </w:tcPr>
          <w:p w:rsidR="00000000" w:rsidRDefault="00375AF8">
            <w:pPr>
              <w:jc w:val="center"/>
              <w:rPr>
                <w:rFonts w:eastAsia="Times New Roman"/>
              </w:rPr>
            </w:pPr>
          </w:p>
        </w:tc>
        <w:tc>
          <w:tcPr>
            <w:tcW w:w="3399"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70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70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Six Months Ended June 30, </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6"/>
                <w:szCs w:val="16"/>
              </w:rPr>
              <w:t xml:space="preserve">Six Months Ended June 30, </w:t>
            </w:r>
            <w:r>
              <w:rPr>
                <w:rFonts w:eastAsia="Times New Roman"/>
                <w:b/>
                <w:bCs/>
                <w:color w:val="000000"/>
                <w:sz w:val="16"/>
                <w:szCs w:val="16"/>
              </w:rPr>
              <w:br/>
              <w:t>2021</w:t>
            </w:r>
          </w:p>
        </w:tc>
      </w:tr>
      <w:tr w:rsidR="00000000">
        <w:trPr>
          <w:divId w:val="1601790899"/>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Cash flows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(loss) income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(30,696,470)</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160,218,880 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Adjustments to reconcile net (loss) income to cash (used in)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Non-cash consideration received in licensing agreement transaction</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(945,366)</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Unrealized loss on equity investment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348,812 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Change in accrued interest and accretion of discount on 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(223,649)</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3,045,029 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2,577,346 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172,105 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127,950 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Amortization of right-of-use asset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354,185 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Accretion of lease liability</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368,226 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50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Change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(230,877)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(1,023,996)</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Security deposit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15,920 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(27,100)</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Related party receivable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141,763 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Long-term prepaid expenses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477,171 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(2,510,503)</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(4,518,374)</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Accrued expenses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(3,072,434)</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(1,676,476)</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Deferred revenue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(12,382,779)</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74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Related party payable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(2,432,192)</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98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cash (used in)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(33,375,022)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141,482,193 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Purchase of marketable securities, net of interest earned</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(79,416,203)</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Issuance of convertible short-term note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(1,000,000)</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Purchase of long-term equity investment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(1,583,893)</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(1,085,840)</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Software development and other costs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(251,340)</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(11,515)</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98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(81,753,383)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(1,595,408)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ATM and other offering costs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(21,314)</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Proceeds from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115,705 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Proceeds from exercise of options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142,628 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151,458 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98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cash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142,628 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245,849 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trHeight w:val="300"/>
          <w:jc w:val="center"/>
        </w:trPr>
        <w:tc>
          <w:tcPr>
            <w:tcW w:w="0" w:type="auto"/>
            <w:gridSpan w:val="3"/>
            <w:shd w:val="clear" w:color="auto" w:fill="FFFFFF"/>
            <w:tcMar>
              <w:top w:w="0" w:type="dxa"/>
              <w:left w:w="98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Net (decrease) increase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(114,985,777)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140,132,634 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189,728,285 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72,033,930 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Cash, cash equivalents and restricted cash at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74,742,508 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212,166,564 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601790899"/>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Right-of-use asset obtained in exchange for lease liability</w:t>
            </w: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15,791,769 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Transaction costs related to purchase of long-term equity investment in accrued expenses</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24,054 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Stock option exercise receivables in prepaid expenses and other current assets</w:t>
            </w: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14,468 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1790899"/>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6"/>
                <w:szCs w:val="16"/>
              </w:rPr>
              <w:t>Purchase of property and equipment in accounts payable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6"/>
                <w:szCs w:val="16"/>
              </w:rPr>
              <w:t>3,005 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1601790899"/>
        <w:rPr>
          <w:rFonts w:eastAsia="Times New Roman"/>
        </w:rPr>
      </w:pPr>
      <w:r>
        <w:rPr>
          <w:rFonts w:eastAsia="Times New Roman"/>
          <w:color w:val="000000"/>
          <w:sz w:val="18"/>
          <w:szCs w:val="18"/>
        </w:rPr>
        <w:t>See accompanying notes to these unaudited condensed consolidated financial statements</w:t>
      </w:r>
    </w:p>
    <w:p w:rsidR="00000000" w:rsidRDefault="00375AF8">
      <w:pPr>
        <w:jc w:val="center"/>
        <w:divId w:val="2587615"/>
        <w:rPr>
          <w:rFonts w:eastAsia="Times New Roman"/>
        </w:rPr>
      </w:pPr>
      <w:r>
        <w:rPr>
          <w:rFonts w:eastAsia="Times New Roman"/>
          <w:color w:val="000000"/>
          <w:sz w:val="18"/>
          <w:szCs w:val="18"/>
        </w:rPr>
        <w:t>7</w:t>
      </w:r>
    </w:p>
    <w:p w:rsidR="00000000" w:rsidRDefault="00375AF8">
      <w:pPr>
        <w:rPr>
          <w:rFonts w:eastAsia="Times New Roman"/>
        </w:rPr>
      </w:pPr>
      <w:r>
        <w:rPr>
          <w:rFonts w:eastAsia="Times New Roman"/>
        </w:rPr>
        <w:pict>
          <v:rect id="_x0000_i1032" style="width:0;height:1.5pt" o:hralign="center" o:hrstd="t" o:hr="t" fillcolor="#a0a0a0" stroked="f"/>
        </w:pict>
      </w:r>
    </w:p>
    <w:p w:rsidR="00000000" w:rsidRDefault="00375AF8">
      <w:pPr>
        <w:divId w:val="1726678450"/>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662897483"/>
        <w:rPr>
          <w:rFonts w:eastAsia="Times New Roman"/>
        </w:rPr>
      </w:pPr>
      <w:r>
        <w:rPr>
          <w:rFonts w:eastAsia="Times New Roman"/>
          <w:b/>
          <w:bCs/>
          <w:color w:val="000000"/>
          <w:sz w:val="18"/>
          <w:szCs w:val="18"/>
        </w:rPr>
        <w:t>OVID THERAPEUTICS INC.</w:t>
      </w:r>
    </w:p>
    <w:p w:rsidR="00000000" w:rsidRDefault="00375AF8">
      <w:pPr>
        <w:jc w:val="center"/>
        <w:rPr>
          <w:rFonts w:eastAsia="Times New Roman"/>
        </w:rPr>
      </w:pPr>
      <w:r>
        <w:rPr>
          <w:rFonts w:eastAsia="Times New Roman"/>
          <w:b/>
          <w:bCs/>
          <w:color w:val="000000"/>
          <w:sz w:val="20"/>
          <w:szCs w:val="20"/>
        </w:rPr>
        <w:t>NOTES TO CONDENSED CONSOLIDATED FINANCIAL STATEMENTS</w:t>
      </w:r>
    </w:p>
    <w:p w:rsidR="00000000" w:rsidRDefault="00375AF8">
      <w:pPr>
        <w:jc w:val="center"/>
        <w:rPr>
          <w:rFonts w:eastAsia="Times New Roman"/>
        </w:rPr>
      </w:pPr>
      <w:r>
        <w:rPr>
          <w:rFonts w:eastAsia="Times New Roman"/>
          <w:b/>
          <w:bCs/>
          <w:color w:val="000000"/>
          <w:sz w:val="20"/>
          <w:szCs w:val="20"/>
        </w:rPr>
        <w:t>(unaudited)</w:t>
      </w:r>
    </w:p>
    <w:p w:rsidR="00000000" w:rsidRDefault="00375AF8">
      <w:pPr>
        <w:jc w:val="both"/>
        <w:divId w:val="1439332519"/>
        <w:rPr>
          <w:rFonts w:eastAsia="Times New Roman"/>
        </w:rPr>
      </w:pPr>
      <w:r>
        <w:rPr>
          <w:rFonts w:eastAsia="Times New Roman"/>
          <w:b/>
          <w:bCs/>
          <w:color w:val="000000"/>
          <w:sz w:val="18"/>
          <w:szCs w:val="18"/>
        </w:rPr>
        <w:t>NOTE 1 – NATURE OF OPERATIONS</w:t>
      </w:r>
    </w:p>
    <w:p w:rsidR="00000000" w:rsidRDefault="00375AF8">
      <w:pPr>
        <w:ind w:firstLine="720"/>
        <w:jc w:val="both"/>
        <w:divId w:val="1291977698"/>
        <w:rPr>
          <w:rFonts w:eastAsia="Times New Roman"/>
        </w:rPr>
      </w:pPr>
      <w:r>
        <w:rPr>
          <w:rFonts w:eastAsia="Times New Roman"/>
          <w:color w:val="000000"/>
          <w:sz w:val="18"/>
          <w:szCs w:val="18"/>
        </w:rPr>
        <w:t xml:space="preserve">Ovid Therapeutics Inc. (the “Company”) was incorporated under the laws of the state of Delaware on April 1, 2014 and maintains its principal office in New York, </w:t>
      </w:r>
      <w:r>
        <w:rPr>
          <w:rFonts w:eastAsia="Times New Roman"/>
          <w:color w:val="000000"/>
          <w:sz w:val="18"/>
          <w:szCs w:val="18"/>
        </w:rPr>
        <w:t>New York. The Company commenced operations on April 1, 2014 (date of inception). The Company is a biopharmaceutical company focused exclusively on developing impactful medicines for patients and families living with rare neurological disorders.</w:t>
      </w:r>
    </w:p>
    <w:p w:rsidR="00000000" w:rsidRDefault="00375AF8">
      <w:pPr>
        <w:ind w:firstLine="720"/>
        <w:jc w:val="both"/>
        <w:divId w:val="1819223911"/>
        <w:rPr>
          <w:rFonts w:eastAsia="Times New Roman"/>
        </w:rPr>
      </w:pPr>
      <w:r>
        <w:rPr>
          <w:rFonts w:eastAsia="Times New Roman"/>
          <w:color w:val="000000"/>
          <w:sz w:val="18"/>
          <w:szCs w:val="18"/>
        </w:rPr>
        <w:t>Since its i</w:t>
      </w:r>
      <w:r>
        <w:rPr>
          <w:rFonts w:eastAsia="Times New Roman"/>
          <w:color w:val="000000"/>
          <w:sz w:val="18"/>
          <w:szCs w:val="18"/>
        </w:rPr>
        <w:t>nception, the Company has devoted substantially all of its efforts to business development, research and development, recruiting management and technical staff, and raising capital. The Company is subject to risks and uncertainties common to early-stage co</w:t>
      </w:r>
      <w:r>
        <w:rPr>
          <w:rFonts w:eastAsia="Times New Roman"/>
          <w:color w:val="000000"/>
          <w:sz w:val="18"/>
          <w:szCs w:val="18"/>
        </w:rPr>
        <w:t>mpanies in the biotechnology industry, including, but not limited to, development and regulatory success, development by competitors of new technological innovations, dependence on key personnel, protection of proprietary technology, compliance with govern</w:t>
      </w:r>
      <w:r>
        <w:rPr>
          <w:rFonts w:eastAsia="Times New Roman"/>
          <w:color w:val="000000"/>
          <w:sz w:val="18"/>
          <w:szCs w:val="18"/>
        </w:rPr>
        <w:t>ment regulations, and ability to secure additional capital to fund operations.</w:t>
      </w:r>
    </w:p>
    <w:p w:rsidR="00000000" w:rsidRDefault="00375AF8">
      <w:pPr>
        <w:ind w:firstLine="720"/>
        <w:jc w:val="both"/>
        <w:divId w:val="1005284942"/>
        <w:rPr>
          <w:rFonts w:eastAsia="Times New Roman"/>
        </w:rPr>
      </w:pPr>
      <w:r>
        <w:rPr>
          <w:rFonts w:eastAsia="Times New Roman"/>
          <w:color w:val="000000"/>
          <w:sz w:val="18"/>
          <w:szCs w:val="18"/>
        </w:rPr>
        <w:t>Historically, the Company’s major sources of cash have been composed of proceeds from various public and private offerings of its capital stock, revenue from collaboration agree</w:t>
      </w:r>
      <w:r>
        <w:rPr>
          <w:rFonts w:eastAsia="Times New Roman"/>
          <w:color w:val="000000"/>
          <w:sz w:val="18"/>
          <w:szCs w:val="18"/>
        </w:rPr>
        <w:t xml:space="preserve">ments, option exercises and interest income. As of June 30, 2022, the Company had approximately $152.4 million in cash, cash equivalents and marketable securities. Since inception, the Company has generated $222.4 million in revenue, primarily pursuant to </w:t>
      </w:r>
      <w:r>
        <w:rPr>
          <w:rFonts w:eastAsia="Times New Roman"/>
          <w:color w:val="000000"/>
          <w:sz w:val="18"/>
          <w:szCs w:val="18"/>
        </w:rPr>
        <w:t>the Company’s royalty, license and termination agreement (the “Takeda License and Termination Agreement”) with Takeda Pharmaceutical Company Limited (“Takeda”). Historically, the Company has incurred recurring losses, has experienced negative operating cas</w:t>
      </w:r>
      <w:r>
        <w:rPr>
          <w:rFonts w:eastAsia="Times New Roman"/>
          <w:color w:val="000000"/>
          <w:sz w:val="18"/>
          <w:szCs w:val="18"/>
        </w:rPr>
        <w:t>h flows and requires significant cash resources to execute its business plans. The Company has an accumulated deficit of $202.1 million as of June 30, 2022, working capital of $146.9 million and had cash used in operating activities of $33.4 million for th</w:t>
      </w:r>
      <w:r>
        <w:rPr>
          <w:rFonts w:eastAsia="Times New Roman"/>
          <w:color w:val="000000"/>
          <w:sz w:val="18"/>
          <w:szCs w:val="18"/>
        </w:rPr>
        <w:t xml:space="preserve">e six months ended June 30, 2022. </w:t>
      </w:r>
    </w:p>
    <w:p w:rsidR="00000000" w:rsidRDefault="00375AF8">
      <w:pPr>
        <w:ind w:firstLine="720"/>
        <w:jc w:val="both"/>
        <w:divId w:val="1563711289"/>
        <w:rPr>
          <w:rFonts w:eastAsia="Times New Roman"/>
        </w:rPr>
      </w:pPr>
      <w:r>
        <w:rPr>
          <w:rFonts w:eastAsia="Times New Roman"/>
          <w:color w:val="000000"/>
          <w:sz w:val="18"/>
          <w:szCs w:val="18"/>
        </w:rPr>
        <w:t>The Company recorded net losses of $14.6 million and $30.7 million during the three and six months ended June 30, 2022, respectively, and expects to incur losses in subsequent periods for at least the next several years a</w:t>
      </w:r>
      <w:r>
        <w:rPr>
          <w:rFonts w:eastAsia="Times New Roman"/>
          <w:color w:val="000000"/>
          <w:sz w:val="18"/>
          <w:szCs w:val="18"/>
        </w:rPr>
        <w:t xml:space="preserve">nd is highly dependent on its ability to find additional sources of funding through either equity offerings, debt financings, collaborations, strategic alliances, licensing agreements or a combination of any such transactions. Management believes that the </w:t>
      </w:r>
      <w:r>
        <w:rPr>
          <w:rFonts w:eastAsia="Times New Roman"/>
          <w:color w:val="000000"/>
          <w:sz w:val="18"/>
          <w:szCs w:val="18"/>
        </w:rPr>
        <w:t>Company’s existing cash, cash equivalents and marketable securities as of June 30, 2022 will be sufficient to fund its current operating plans through at least the next 12 months from the date of filing of the Company’s Quarterly Report on Form 10-Q. Adequ</w:t>
      </w:r>
      <w:r>
        <w:rPr>
          <w:rFonts w:eastAsia="Times New Roman"/>
          <w:color w:val="000000"/>
          <w:sz w:val="18"/>
          <w:szCs w:val="18"/>
        </w:rPr>
        <w:t>ate additional funding may not be available to the Company on acceptable terms or at all. The failure to raise capital as and when needed could have a negative impact on the Company’s financial condition and ability to pursue its business strategy. The Com</w:t>
      </w:r>
      <w:r>
        <w:rPr>
          <w:rFonts w:eastAsia="Times New Roman"/>
          <w:color w:val="000000"/>
          <w:sz w:val="18"/>
          <w:szCs w:val="18"/>
        </w:rPr>
        <w:t>pany may be required to delay, reduce the scope of or eliminate research and development programs, or obtain funds through arrangements with collaborators or others that may require the Company to relinquish rights to certain drug candidates that the Compa</w:t>
      </w:r>
      <w:r>
        <w:rPr>
          <w:rFonts w:eastAsia="Times New Roman"/>
          <w:color w:val="000000"/>
          <w:sz w:val="18"/>
          <w:szCs w:val="18"/>
        </w:rPr>
        <w:t>ny might otherwise seek to develop or commercialize independently.</w:t>
      </w:r>
    </w:p>
    <w:p w:rsidR="00000000" w:rsidRDefault="00375AF8">
      <w:pPr>
        <w:ind w:firstLine="720"/>
        <w:jc w:val="both"/>
        <w:divId w:val="1400595164"/>
        <w:rPr>
          <w:rFonts w:eastAsia="Times New Roman"/>
        </w:rPr>
      </w:pPr>
      <w:r>
        <w:rPr>
          <w:rFonts w:eastAsia="Times New Roman"/>
          <w:color w:val="000000"/>
          <w:sz w:val="18"/>
          <w:szCs w:val="18"/>
        </w:rPr>
        <w:t>The Company has implemented business continuity plans designed to address and mitigate the impact of the COVID-19 pandemic on its business. The extent to which the ongoing COVID-19 pandemic</w:t>
      </w:r>
      <w:r>
        <w:rPr>
          <w:rFonts w:eastAsia="Times New Roman"/>
          <w:color w:val="000000"/>
          <w:sz w:val="18"/>
          <w:szCs w:val="18"/>
        </w:rPr>
        <w:t xml:space="preserve"> impacts the Company's business, its clinical development and regulatory efforts, its corporate development objectives and the value of and market for the Company's common stock, will depend on future developments that are highly uncertain and cannot be pr</w:t>
      </w:r>
      <w:r>
        <w:rPr>
          <w:rFonts w:eastAsia="Times New Roman"/>
          <w:color w:val="000000"/>
          <w:sz w:val="18"/>
          <w:szCs w:val="18"/>
        </w:rPr>
        <w:t>edicted with confidence at this time, such as the ultimate duration of the pandemic, the extent of sustained or new travel restrictions, social distancing and business closure requirements in the United States, Europe and other countries, and the effective</w:t>
      </w:r>
      <w:r>
        <w:rPr>
          <w:rFonts w:eastAsia="Times New Roman"/>
          <w:color w:val="000000"/>
          <w:sz w:val="18"/>
          <w:szCs w:val="18"/>
        </w:rPr>
        <w:t xml:space="preserve">ness of actions taken globally to contain and treat the disease, including vaccination efforts. The global economic slowdown, the overall disruption of global healthcare systems and the other risks and uncertainties associated with the pandemic could have </w:t>
      </w:r>
      <w:r>
        <w:rPr>
          <w:rFonts w:eastAsia="Times New Roman"/>
          <w:color w:val="000000"/>
          <w:sz w:val="18"/>
          <w:szCs w:val="18"/>
        </w:rPr>
        <w:t>a material adverse effect on the Company's business, financial condition, results of operations and growth prospects.</w:t>
      </w:r>
    </w:p>
    <w:p w:rsidR="00000000" w:rsidRDefault="00375AF8">
      <w:pPr>
        <w:ind w:firstLine="720"/>
        <w:jc w:val="both"/>
        <w:divId w:val="939293682"/>
        <w:rPr>
          <w:rFonts w:eastAsia="Times New Roman"/>
        </w:rPr>
      </w:pPr>
      <w:r>
        <w:rPr>
          <w:rFonts w:eastAsia="Times New Roman"/>
          <w:color w:val="000000"/>
          <w:sz w:val="18"/>
          <w:szCs w:val="18"/>
        </w:rPr>
        <w:t xml:space="preserve">In addition, the Company is subject to other challenges and risks specific to its business and its ability to execute on its strategy, as </w:t>
      </w:r>
      <w:r>
        <w:rPr>
          <w:rFonts w:eastAsia="Times New Roman"/>
          <w:color w:val="000000"/>
          <w:sz w:val="18"/>
          <w:szCs w:val="18"/>
        </w:rPr>
        <w:t>well as risks and uncertainties common to companies in the pharmaceutical industry with development and commercial operations, including, without limitation, risks and uncertainties associated with: obtaining regulatory approval of the Company's product ca</w:t>
      </w:r>
      <w:r>
        <w:rPr>
          <w:rFonts w:eastAsia="Times New Roman"/>
          <w:color w:val="000000"/>
          <w:sz w:val="18"/>
          <w:szCs w:val="18"/>
        </w:rPr>
        <w:t>ndidates; delays or problems in the supply of the Company's product candidates, loss of single source suppliers or failure to comply with manufacturing regulations; identifying, acquiring or in-licensing additional products or product candidates; pharmaceu</w:t>
      </w:r>
      <w:r>
        <w:rPr>
          <w:rFonts w:eastAsia="Times New Roman"/>
          <w:color w:val="000000"/>
          <w:sz w:val="18"/>
          <w:szCs w:val="18"/>
        </w:rPr>
        <w:t xml:space="preserve">tical product development and the inherent uncertainty of clinical success; and the challenges of protecting and enhancing our intellectual property rights; complying with applicable regulatory requirements. In addition, to the extent the ongoing COVID-19 </w:t>
      </w:r>
      <w:r>
        <w:rPr>
          <w:rFonts w:eastAsia="Times New Roman"/>
          <w:color w:val="000000"/>
          <w:sz w:val="18"/>
          <w:szCs w:val="18"/>
        </w:rPr>
        <w:t>pandemic adversely affects the Company's business and results of operations, it may also have the effect of heightening many of the other risks and uncertainties discussed above.</w:t>
      </w:r>
    </w:p>
    <w:p w:rsidR="00000000" w:rsidRDefault="00375AF8">
      <w:pPr>
        <w:jc w:val="both"/>
        <w:divId w:val="788818920"/>
        <w:rPr>
          <w:rFonts w:eastAsia="Times New Roman"/>
        </w:rPr>
      </w:pPr>
      <w:r>
        <w:rPr>
          <w:rFonts w:eastAsia="Times New Roman"/>
          <w:b/>
          <w:bCs/>
          <w:color w:val="000000"/>
          <w:sz w:val="18"/>
          <w:szCs w:val="18"/>
        </w:rPr>
        <w:t>NOTE 2 – SUMMARY OF SIGNIFICANT ACCOUNTING POLICIES</w:t>
      </w:r>
    </w:p>
    <w:p w:rsidR="00000000" w:rsidRDefault="00375AF8">
      <w:pPr>
        <w:ind w:firstLine="720"/>
        <w:jc w:val="both"/>
        <w:divId w:val="1338075958"/>
        <w:rPr>
          <w:rFonts w:eastAsia="Times New Roman"/>
        </w:rPr>
      </w:pPr>
      <w:r>
        <w:rPr>
          <w:rFonts w:eastAsia="Times New Roman"/>
          <w:color w:val="000000"/>
          <w:sz w:val="18"/>
          <w:szCs w:val="18"/>
        </w:rPr>
        <w:t>The Company’s significant</w:t>
      </w:r>
      <w:r>
        <w:rPr>
          <w:rFonts w:eastAsia="Times New Roman"/>
          <w:color w:val="000000"/>
          <w:sz w:val="18"/>
          <w:szCs w:val="18"/>
        </w:rPr>
        <w:t xml:space="preserve"> accounting policies are described in Note 2, “Summary of Significant Accounting Policies,” in the Company’s Annual Report on Form 10-K filed with the U.S. Securities and Exchange Commission (“SEC”) on March 15, 2022. </w:t>
      </w:r>
    </w:p>
    <w:p w:rsidR="00000000" w:rsidRDefault="00375AF8">
      <w:pPr>
        <w:jc w:val="both"/>
        <w:divId w:val="356078695"/>
        <w:rPr>
          <w:rFonts w:eastAsia="Times New Roman"/>
        </w:rPr>
      </w:pPr>
      <w:r>
        <w:rPr>
          <w:rFonts w:eastAsia="Times New Roman"/>
          <w:b/>
          <w:bCs/>
          <w:color w:val="000000"/>
          <w:sz w:val="18"/>
          <w:szCs w:val="18"/>
        </w:rPr>
        <w:t>(A) Unaudited Interim Condensed Conso</w:t>
      </w:r>
      <w:r>
        <w:rPr>
          <w:rFonts w:eastAsia="Times New Roman"/>
          <w:b/>
          <w:bCs/>
          <w:color w:val="000000"/>
          <w:sz w:val="18"/>
          <w:szCs w:val="18"/>
        </w:rPr>
        <w:t>lidated Financial Statements</w:t>
      </w:r>
    </w:p>
    <w:p w:rsidR="00000000" w:rsidRDefault="00375AF8">
      <w:pPr>
        <w:ind w:firstLine="720"/>
        <w:jc w:val="both"/>
        <w:divId w:val="544414064"/>
        <w:rPr>
          <w:rFonts w:eastAsia="Times New Roman"/>
        </w:rPr>
      </w:pPr>
      <w:r>
        <w:rPr>
          <w:rFonts w:eastAsia="Times New Roman"/>
          <w:color w:val="000000"/>
          <w:sz w:val="18"/>
          <w:szCs w:val="18"/>
        </w:rPr>
        <w:t>The interim condensed consolidated balance sheet at June 30, 2022, the condensed consolidated statements of operations, comprehensive (loss) income, cash flows, and stockholders’ equity for the three and six months ended June 3</w:t>
      </w:r>
      <w:r>
        <w:rPr>
          <w:rFonts w:eastAsia="Times New Roman"/>
          <w:color w:val="000000"/>
          <w:sz w:val="18"/>
          <w:szCs w:val="18"/>
        </w:rPr>
        <w:t xml:space="preserve">0, 2022 and 2021 are unaudited. The accompanying unaudited condensed consolidated financial statements have been prepared in accordance with U.S. </w:t>
      </w:r>
    </w:p>
    <w:p w:rsidR="00000000" w:rsidRDefault="00375AF8">
      <w:pPr>
        <w:jc w:val="center"/>
        <w:divId w:val="1976906881"/>
        <w:rPr>
          <w:rFonts w:eastAsia="Times New Roman"/>
        </w:rPr>
      </w:pPr>
      <w:r>
        <w:rPr>
          <w:rFonts w:eastAsia="Times New Roman"/>
          <w:color w:val="000000"/>
          <w:sz w:val="18"/>
          <w:szCs w:val="18"/>
        </w:rPr>
        <w:t>8</w:t>
      </w:r>
    </w:p>
    <w:p w:rsidR="00000000" w:rsidRDefault="00375AF8">
      <w:pPr>
        <w:rPr>
          <w:rFonts w:eastAsia="Times New Roman"/>
        </w:rPr>
      </w:pPr>
      <w:r>
        <w:rPr>
          <w:rFonts w:eastAsia="Times New Roman"/>
        </w:rPr>
        <w:pict>
          <v:rect id="_x0000_i1033" style="width:0;height:1.5pt" o:hralign="center" o:hrstd="t" o:hr="t" fillcolor="#a0a0a0" stroked="f"/>
        </w:pict>
      </w:r>
    </w:p>
    <w:p w:rsidR="00000000" w:rsidRDefault="00375AF8">
      <w:pPr>
        <w:divId w:val="37898763"/>
        <w:rPr>
          <w:rFonts w:eastAsia="Times New Roman"/>
        </w:rPr>
      </w:pPr>
      <w:hyperlink w:anchor="iffb89c91b68044fe89584fa1aa2f8679_7" w:history="1">
        <w:r>
          <w:rPr>
            <w:rStyle w:val="a3"/>
            <w:rFonts w:eastAsia="Times New Roman"/>
            <w:sz w:val="18"/>
            <w:szCs w:val="18"/>
          </w:rPr>
          <w:t>Table of Con</w:t>
        </w:r>
        <w:r>
          <w:rPr>
            <w:rStyle w:val="a3"/>
            <w:rFonts w:eastAsia="Times New Roman"/>
            <w:sz w:val="18"/>
            <w:szCs w:val="18"/>
          </w:rPr>
          <w:t>tents</w:t>
        </w:r>
      </w:hyperlink>
    </w:p>
    <w:p w:rsidR="00000000" w:rsidRDefault="00375AF8">
      <w:pPr>
        <w:jc w:val="both"/>
        <w:divId w:val="1589273156"/>
        <w:rPr>
          <w:rFonts w:eastAsia="Times New Roman"/>
        </w:rPr>
      </w:pPr>
      <w:r>
        <w:rPr>
          <w:rFonts w:eastAsia="Times New Roman"/>
          <w:color w:val="000000"/>
          <w:sz w:val="18"/>
          <w:szCs w:val="18"/>
        </w:rPr>
        <w:t>generally accepted accounting principles (“GAAP”) and following the requirements of the SEC for interim reporting. As permitted under those rules, certain footnotes or other financial information that are normally required by GAAP are condensed or om</w:t>
      </w:r>
      <w:r>
        <w:rPr>
          <w:rFonts w:eastAsia="Times New Roman"/>
          <w:color w:val="000000"/>
          <w:sz w:val="18"/>
          <w:szCs w:val="18"/>
        </w:rPr>
        <w:t xml:space="preserve">itted. These condensed consolidated financial statements have been prepared on the same basis as the Company’s annual financial statements and, in the opinion of management, reflect all adjustments, consisting only of normal recurring adjustments that are </w:t>
      </w:r>
      <w:r>
        <w:rPr>
          <w:rFonts w:eastAsia="Times New Roman"/>
          <w:color w:val="000000"/>
          <w:sz w:val="18"/>
          <w:szCs w:val="18"/>
        </w:rPr>
        <w:t>necessary for a fair statement of its financial information. The results of operations for the three and six month periods ended June 30, 2022 and 2021 are not necessarily indicative of the results to be expected for the year ending December 31, 2022 or fo</w:t>
      </w:r>
      <w:r>
        <w:rPr>
          <w:rFonts w:eastAsia="Times New Roman"/>
          <w:color w:val="000000"/>
          <w:sz w:val="18"/>
          <w:szCs w:val="18"/>
        </w:rPr>
        <w:t>r any other future annual or interim period. The balance sheet as of December 31, 2021 included herein was derived from the audited financial statements as of that date. These interim condensed consolidated financial statements should be read in conjunctio</w:t>
      </w:r>
      <w:r>
        <w:rPr>
          <w:rFonts w:eastAsia="Times New Roman"/>
          <w:color w:val="000000"/>
          <w:sz w:val="18"/>
          <w:szCs w:val="18"/>
        </w:rPr>
        <w:t>n with the Company’s audited financial statements as of and for the year ended December 31, 2021 included in the Company’s Annual Report on Form 10-K.</w:t>
      </w:r>
    </w:p>
    <w:p w:rsidR="00000000" w:rsidRDefault="00375AF8">
      <w:pPr>
        <w:jc w:val="both"/>
        <w:divId w:val="3826177"/>
        <w:rPr>
          <w:rFonts w:eastAsia="Times New Roman"/>
        </w:rPr>
      </w:pPr>
      <w:r>
        <w:rPr>
          <w:rFonts w:eastAsia="Times New Roman"/>
          <w:b/>
          <w:bCs/>
          <w:color w:val="000000"/>
          <w:sz w:val="18"/>
          <w:szCs w:val="18"/>
        </w:rPr>
        <w:t>(B) Basis of Presentation and Consolidation</w:t>
      </w:r>
    </w:p>
    <w:p w:rsidR="00000000" w:rsidRDefault="00375AF8">
      <w:pPr>
        <w:ind w:firstLine="720"/>
        <w:jc w:val="both"/>
        <w:divId w:val="1973173335"/>
        <w:rPr>
          <w:rFonts w:eastAsia="Times New Roman"/>
        </w:rPr>
      </w:pPr>
      <w:r>
        <w:rPr>
          <w:rFonts w:eastAsia="Times New Roman"/>
          <w:color w:val="000000"/>
          <w:sz w:val="18"/>
          <w:szCs w:val="18"/>
        </w:rPr>
        <w:t xml:space="preserve">The accompanying condensed consolidated financial statements </w:t>
      </w:r>
      <w:r>
        <w:rPr>
          <w:rFonts w:eastAsia="Times New Roman"/>
          <w:color w:val="000000"/>
          <w:sz w:val="18"/>
          <w:szCs w:val="18"/>
        </w:rPr>
        <w:t>have been prepared in conformity with GAAP and include the accounts of Ovid Therapeutics Inc. and its wholly owned subsidiary, Ovid Therapeutics Hong Kong Limited. All intercompany transactions and balances have been eliminated in consolidation.</w:t>
      </w:r>
    </w:p>
    <w:p w:rsidR="00000000" w:rsidRDefault="00375AF8">
      <w:pPr>
        <w:jc w:val="both"/>
        <w:divId w:val="1991210748"/>
        <w:rPr>
          <w:rFonts w:eastAsia="Times New Roman"/>
        </w:rPr>
      </w:pPr>
      <w:r>
        <w:rPr>
          <w:rFonts w:eastAsia="Times New Roman"/>
          <w:b/>
          <w:bCs/>
          <w:color w:val="000000"/>
          <w:sz w:val="18"/>
          <w:szCs w:val="18"/>
        </w:rPr>
        <w:t>(C) Use of</w:t>
      </w:r>
      <w:r>
        <w:rPr>
          <w:rFonts w:eastAsia="Times New Roman"/>
          <w:b/>
          <w:bCs/>
          <w:color w:val="000000"/>
          <w:sz w:val="18"/>
          <w:szCs w:val="18"/>
        </w:rPr>
        <w:t xml:space="preserve"> Estimates</w:t>
      </w:r>
    </w:p>
    <w:p w:rsidR="00000000" w:rsidRDefault="00375AF8">
      <w:pPr>
        <w:ind w:firstLine="720"/>
        <w:jc w:val="both"/>
        <w:divId w:val="1548492836"/>
        <w:rPr>
          <w:rFonts w:eastAsia="Times New Roman"/>
        </w:rPr>
      </w:pPr>
      <w:r>
        <w:rPr>
          <w:rFonts w:eastAsia="Times New Roman"/>
          <w:color w:val="000000"/>
          <w:sz w:val="18"/>
          <w:szCs w:val="18"/>
        </w:rPr>
        <w:t>The preparation of financial statements in conformity with GAAP requires management to make estimates and assumptions that affect the reported amounts of assets and liabilities and disclosure of contingent assets and liabilities at the date of t</w:t>
      </w:r>
      <w:r>
        <w:rPr>
          <w:rFonts w:eastAsia="Times New Roman"/>
          <w:color w:val="000000"/>
          <w:sz w:val="18"/>
          <w:szCs w:val="18"/>
        </w:rPr>
        <w:t>he financial statements and the reported amounts of income and expenses during the reporting period. Actual results could differ materially from those estimates.</w:t>
      </w:r>
    </w:p>
    <w:p w:rsidR="00000000" w:rsidRDefault="00375AF8">
      <w:pPr>
        <w:jc w:val="both"/>
        <w:divId w:val="381371086"/>
        <w:rPr>
          <w:rFonts w:eastAsia="Times New Roman"/>
        </w:rPr>
      </w:pPr>
      <w:r>
        <w:rPr>
          <w:rFonts w:eastAsia="Times New Roman"/>
          <w:b/>
          <w:bCs/>
          <w:color w:val="000000"/>
          <w:sz w:val="18"/>
          <w:szCs w:val="18"/>
        </w:rPr>
        <w:t>(D) Marketable Securities</w:t>
      </w:r>
    </w:p>
    <w:p w:rsidR="00000000" w:rsidRDefault="00375AF8">
      <w:pPr>
        <w:ind w:firstLine="720"/>
        <w:jc w:val="both"/>
        <w:divId w:val="1861165930"/>
        <w:rPr>
          <w:rFonts w:eastAsia="Times New Roman"/>
        </w:rPr>
      </w:pPr>
      <w:r>
        <w:rPr>
          <w:rFonts w:eastAsia="Times New Roman"/>
          <w:color w:val="000000"/>
          <w:sz w:val="18"/>
          <w:szCs w:val="18"/>
        </w:rPr>
        <w:t>Marketable securities consists of investments in U.S. treasury instr</w:t>
      </w:r>
      <w:r>
        <w:rPr>
          <w:rFonts w:eastAsia="Times New Roman"/>
          <w:color w:val="000000"/>
          <w:sz w:val="18"/>
          <w:szCs w:val="18"/>
        </w:rPr>
        <w:t xml:space="preserve">uments which are considered available-for-sale securities. The Company classifies its marketable securities with maturities of less than one year from the balance sheet date as current assets on its consolidated balance sheets. Unrealized gains and losses </w:t>
      </w:r>
      <w:r>
        <w:rPr>
          <w:rFonts w:eastAsia="Times New Roman"/>
          <w:color w:val="000000"/>
          <w:sz w:val="18"/>
          <w:szCs w:val="18"/>
        </w:rPr>
        <w:t>on these securities that are determined to be temporary are reported as a separate component of accumulated other comprehensive loss in stockholder's equity.</w:t>
      </w:r>
    </w:p>
    <w:p w:rsidR="00000000" w:rsidRDefault="00375AF8">
      <w:pPr>
        <w:jc w:val="both"/>
        <w:divId w:val="946961544"/>
        <w:rPr>
          <w:rFonts w:eastAsia="Times New Roman"/>
        </w:rPr>
      </w:pPr>
      <w:r>
        <w:rPr>
          <w:rFonts w:eastAsia="Times New Roman"/>
          <w:b/>
          <w:bCs/>
          <w:color w:val="000000"/>
          <w:sz w:val="18"/>
          <w:szCs w:val="18"/>
        </w:rPr>
        <w:t>(E) Restricted Cash</w:t>
      </w:r>
    </w:p>
    <w:p w:rsidR="00000000" w:rsidRDefault="00375AF8">
      <w:pPr>
        <w:ind w:firstLine="720"/>
        <w:jc w:val="both"/>
        <w:divId w:val="324935281"/>
        <w:rPr>
          <w:rFonts w:eastAsia="Times New Roman"/>
        </w:rPr>
      </w:pPr>
      <w:r>
        <w:rPr>
          <w:rFonts w:eastAsia="Times New Roman"/>
          <w:color w:val="000000"/>
          <w:sz w:val="18"/>
          <w:szCs w:val="18"/>
        </w:rPr>
        <w:t>The Company classifies as restricted cash all cash pledged as collateral to se</w:t>
      </w:r>
      <w:r>
        <w:rPr>
          <w:rFonts w:eastAsia="Times New Roman"/>
          <w:color w:val="000000"/>
          <w:sz w:val="18"/>
          <w:szCs w:val="18"/>
        </w:rPr>
        <w:t>cure long-term obligations and all cash whose use is otherwise limited by contractual provisions. Amounts are reported as non-current unless restrictions are expected to be released in the next 12 months.</w:t>
      </w:r>
    </w:p>
    <w:p w:rsidR="00000000" w:rsidRDefault="00375AF8">
      <w:pPr>
        <w:jc w:val="both"/>
        <w:divId w:val="1801802688"/>
        <w:rPr>
          <w:rFonts w:eastAsia="Times New Roman"/>
        </w:rPr>
      </w:pPr>
      <w:r>
        <w:rPr>
          <w:rFonts w:eastAsia="Times New Roman"/>
          <w:b/>
          <w:bCs/>
          <w:color w:val="000000"/>
          <w:sz w:val="18"/>
          <w:szCs w:val="18"/>
        </w:rPr>
        <w:t>(F) Long-Term Equity Investments</w:t>
      </w:r>
    </w:p>
    <w:p w:rsidR="00000000" w:rsidRDefault="00375AF8">
      <w:pPr>
        <w:ind w:firstLine="720"/>
        <w:jc w:val="both"/>
        <w:divId w:val="347953808"/>
        <w:rPr>
          <w:rFonts w:eastAsia="Times New Roman"/>
        </w:rPr>
      </w:pPr>
      <w:r>
        <w:rPr>
          <w:rFonts w:eastAsia="Times New Roman"/>
          <w:color w:val="000000"/>
          <w:sz w:val="18"/>
          <w:szCs w:val="18"/>
        </w:rPr>
        <w:t>Long-term equity investments consist of an equity investment in a private company through preferred shares, which are not considered in-substance common stock, that is accounted for at cost, with adjustments for observable changes in prices or impairments,</w:t>
      </w:r>
      <w:r>
        <w:rPr>
          <w:rFonts w:eastAsia="Times New Roman"/>
          <w:color w:val="000000"/>
          <w:sz w:val="18"/>
          <w:szCs w:val="18"/>
        </w:rPr>
        <w:t xml:space="preserve"> and is classified within long-term equity investments on our consolidated balance sheets with adjustments recognized in other (expense) income, net on our consolidated statements of operations. The Company has determined that the equity investment does no</w:t>
      </w:r>
      <w:r>
        <w:rPr>
          <w:rFonts w:eastAsia="Times New Roman"/>
          <w:color w:val="000000"/>
          <w:sz w:val="18"/>
          <w:szCs w:val="18"/>
        </w:rPr>
        <w:t>t have a readily determinable fair value and elected the measurement alternative. Therefore, the equity investment’s carrying amount will be adjusted to fair value at the time of the next observable price change for the identical or similar investment of t</w:t>
      </w:r>
      <w:r>
        <w:rPr>
          <w:rFonts w:eastAsia="Times New Roman"/>
          <w:color w:val="000000"/>
          <w:sz w:val="18"/>
          <w:szCs w:val="18"/>
        </w:rPr>
        <w:t>he same issuer or when an impairment is recognized. Each reporting period, the Company performs a qualitative assessment to evaluate whether the investment is impaired. The assessment includes a review of recent operating results and trends, recent sales/a</w:t>
      </w:r>
      <w:r>
        <w:rPr>
          <w:rFonts w:eastAsia="Times New Roman"/>
          <w:color w:val="000000"/>
          <w:sz w:val="18"/>
          <w:szCs w:val="18"/>
        </w:rPr>
        <w:t xml:space="preserve">cquisitions of the investee securities, and other publicly available data. If the investment is impaired, the Company writes it down to its estimated fair value. As of June 30, 2022 and December 31, 2021, the equity investment had a carrying value of $1.6 </w:t>
      </w:r>
      <w:r>
        <w:rPr>
          <w:rFonts w:eastAsia="Times New Roman"/>
          <w:color w:val="000000"/>
          <w:sz w:val="18"/>
          <w:szCs w:val="18"/>
        </w:rPr>
        <w:t xml:space="preserve">million. </w:t>
      </w:r>
    </w:p>
    <w:p w:rsidR="00000000" w:rsidRDefault="00375AF8">
      <w:pPr>
        <w:ind w:firstLine="720"/>
        <w:jc w:val="both"/>
        <w:divId w:val="1812596862"/>
        <w:rPr>
          <w:rFonts w:eastAsia="Times New Roman"/>
        </w:rPr>
      </w:pPr>
      <w:r>
        <w:rPr>
          <w:rFonts w:eastAsia="Times New Roman"/>
          <w:color w:val="000000"/>
          <w:sz w:val="18"/>
          <w:szCs w:val="18"/>
        </w:rPr>
        <w:t>Long-term equity investments also consist of an equity investment in the common shares of Marinus Pharmaceuticals, Inc. ("Marinus") that were received as non-cash consideration via the terms of a licensing agreement executed between the two compa</w:t>
      </w:r>
      <w:r>
        <w:rPr>
          <w:rFonts w:eastAsia="Times New Roman"/>
          <w:color w:val="000000"/>
          <w:sz w:val="18"/>
          <w:szCs w:val="18"/>
        </w:rPr>
        <w:t>nies effective March 2022. The equity shares are marked-to-market at each reporting date with changes in the fair value being reflected in the carrying value of the investment on the Company's consolidated balance sheets and other income (expense) on the C</w:t>
      </w:r>
      <w:r>
        <w:rPr>
          <w:rFonts w:eastAsia="Times New Roman"/>
          <w:color w:val="000000"/>
          <w:sz w:val="18"/>
          <w:szCs w:val="18"/>
        </w:rPr>
        <w:t>ompany's consolidated statements of operations. As of June 30, 2022, the equity investment in Marinus had a carrying value of approximately $0.6 million.</w:t>
      </w:r>
    </w:p>
    <w:p w:rsidR="00000000" w:rsidRDefault="00375AF8">
      <w:pPr>
        <w:jc w:val="both"/>
        <w:divId w:val="1676565906"/>
        <w:rPr>
          <w:rFonts w:eastAsia="Times New Roman"/>
        </w:rPr>
      </w:pPr>
      <w:r>
        <w:rPr>
          <w:rFonts w:eastAsia="Times New Roman"/>
          <w:b/>
          <w:bCs/>
          <w:color w:val="000000"/>
          <w:sz w:val="18"/>
          <w:szCs w:val="18"/>
        </w:rPr>
        <w:t>(G) Note Receivable</w:t>
      </w:r>
    </w:p>
    <w:p w:rsidR="00000000" w:rsidRDefault="00375AF8">
      <w:pPr>
        <w:ind w:firstLine="720"/>
        <w:jc w:val="both"/>
        <w:divId w:val="1080906042"/>
        <w:rPr>
          <w:rFonts w:eastAsia="Times New Roman"/>
        </w:rPr>
      </w:pPr>
      <w:r>
        <w:rPr>
          <w:rFonts w:eastAsia="Times New Roman"/>
          <w:color w:val="000000"/>
          <w:sz w:val="18"/>
          <w:szCs w:val="18"/>
        </w:rPr>
        <w:t>On March 17, 2022, the Company issued a convertible promissory note to a related p</w:t>
      </w:r>
      <w:r>
        <w:rPr>
          <w:rFonts w:eastAsia="Times New Roman"/>
          <w:color w:val="000000"/>
          <w:sz w:val="18"/>
          <w:szCs w:val="18"/>
        </w:rPr>
        <w:t>arty, in which the Company has a long-term equity investment, with a principal amount of $1.0 million. The note has certain features that may allow the Company to acquire additional equity or to settle in cash. Either option would result in the Company rec</w:t>
      </w:r>
      <w:r>
        <w:rPr>
          <w:rFonts w:eastAsia="Times New Roman"/>
          <w:color w:val="000000"/>
          <w:sz w:val="18"/>
          <w:szCs w:val="18"/>
        </w:rPr>
        <w:t>eiving an amount at least equal to the outstanding principal balance plus accrued and unpaid interest. The Company will receive interest on the convertible promissory note at the rate of 1.5% per annum payable upon conversion or maturity of the note on Mar</w:t>
      </w:r>
      <w:r>
        <w:rPr>
          <w:rFonts w:eastAsia="Times New Roman"/>
          <w:color w:val="000000"/>
          <w:sz w:val="18"/>
          <w:szCs w:val="18"/>
        </w:rPr>
        <w:t>ch 17, 2023.</w:t>
      </w:r>
    </w:p>
    <w:p w:rsidR="00000000" w:rsidRDefault="00375AF8">
      <w:pPr>
        <w:ind w:firstLine="720"/>
        <w:jc w:val="both"/>
        <w:divId w:val="1109859927"/>
        <w:rPr>
          <w:rFonts w:eastAsia="Times New Roman"/>
        </w:rPr>
      </w:pPr>
      <w:r>
        <w:rPr>
          <w:rFonts w:eastAsia="Times New Roman"/>
          <w:color w:val="000000"/>
          <w:sz w:val="18"/>
          <w:szCs w:val="18"/>
        </w:rPr>
        <w:t>The Company has elected to measure the note using the fair value option at each reporting date. Under the fair value option, bifurcation of an embedded derivative is not necessary, and all related gains and losses on the host contract and derivatives due t</w:t>
      </w:r>
      <w:r>
        <w:rPr>
          <w:rFonts w:eastAsia="Times New Roman"/>
          <w:color w:val="000000"/>
          <w:sz w:val="18"/>
          <w:szCs w:val="18"/>
        </w:rPr>
        <w:t>o changes in the fair value will be reflected in other income (expense), net, in the Company's consolidated statements of operations.</w:t>
      </w:r>
    </w:p>
    <w:p w:rsidR="00000000" w:rsidRDefault="00375AF8">
      <w:pPr>
        <w:jc w:val="both"/>
        <w:divId w:val="115494437"/>
        <w:rPr>
          <w:rFonts w:eastAsia="Times New Roman"/>
        </w:rPr>
      </w:pPr>
      <w:r>
        <w:rPr>
          <w:rFonts w:eastAsia="Times New Roman"/>
          <w:b/>
          <w:bCs/>
          <w:color w:val="000000"/>
          <w:sz w:val="18"/>
          <w:szCs w:val="18"/>
        </w:rPr>
        <w:t>(H) Fair Value of Financial Instruments</w:t>
      </w:r>
    </w:p>
    <w:p w:rsidR="00000000" w:rsidRDefault="00375AF8">
      <w:pPr>
        <w:ind w:firstLine="720"/>
        <w:jc w:val="both"/>
        <w:divId w:val="2037149408"/>
        <w:rPr>
          <w:rFonts w:eastAsia="Times New Roman"/>
        </w:rPr>
      </w:pPr>
      <w:r>
        <w:rPr>
          <w:rFonts w:eastAsia="Times New Roman"/>
          <w:color w:val="000000"/>
          <w:sz w:val="18"/>
          <w:szCs w:val="18"/>
        </w:rPr>
        <w:t>Financial Accounting Standards Board (“FASB”) guidance specifies a hierarchy of va</w:t>
      </w:r>
      <w:r>
        <w:rPr>
          <w:rFonts w:eastAsia="Times New Roman"/>
          <w:color w:val="000000"/>
          <w:sz w:val="18"/>
          <w:szCs w:val="18"/>
        </w:rPr>
        <w:t xml:space="preserve">luation techniques based on whether the inputs to those valuation techniques are observable or unobservable. Observable inputs reflect market data obtained from independent </w:t>
      </w:r>
    </w:p>
    <w:p w:rsidR="00000000" w:rsidRDefault="00375AF8">
      <w:pPr>
        <w:jc w:val="center"/>
        <w:divId w:val="966277531"/>
        <w:rPr>
          <w:rFonts w:eastAsia="Times New Roman"/>
        </w:rPr>
      </w:pPr>
      <w:r>
        <w:rPr>
          <w:rFonts w:eastAsia="Times New Roman"/>
          <w:color w:val="000000"/>
          <w:sz w:val="18"/>
          <w:szCs w:val="18"/>
        </w:rPr>
        <w:t>9</w:t>
      </w:r>
    </w:p>
    <w:p w:rsidR="00000000" w:rsidRDefault="00375AF8">
      <w:pPr>
        <w:rPr>
          <w:rFonts w:eastAsia="Times New Roman"/>
        </w:rPr>
      </w:pPr>
      <w:r>
        <w:rPr>
          <w:rFonts w:eastAsia="Times New Roman"/>
        </w:rPr>
        <w:pict>
          <v:rect id="_x0000_i1034" style="width:0;height:1.5pt" o:hralign="center" o:hrstd="t" o:hr="t" fillcolor="#a0a0a0" stroked="f"/>
        </w:pict>
      </w:r>
    </w:p>
    <w:p w:rsidR="00000000" w:rsidRDefault="00375AF8">
      <w:pPr>
        <w:divId w:val="122043260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738941608"/>
        <w:rPr>
          <w:rFonts w:eastAsia="Times New Roman"/>
        </w:rPr>
      </w:pPr>
      <w:r>
        <w:rPr>
          <w:rFonts w:eastAsia="Times New Roman"/>
          <w:color w:val="000000"/>
          <w:sz w:val="18"/>
          <w:szCs w:val="18"/>
        </w:rPr>
        <w:t>sources, while unobservable inputs reflect market assumptions. The hierarchy gives the highest priority to unadjusted quoted prices in active markets for identical assets or liabilities (Level 1 measurement) and the lowest p</w:t>
      </w:r>
      <w:r>
        <w:rPr>
          <w:rFonts w:eastAsia="Times New Roman"/>
          <w:color w:val="000000"/>
          <w:sz w:val="18"/>
          <w:szCs w:val="18"/>
        </w:rPr>
        <w:t>riority to unobservable inputs (Level 3 measurement).</w:t>
      </w:r>
    </w:p>
    <w:p w:rsidR="00000000" w:rsidRDefault="00375AF8">
      <w:pPr>
        <w:ind w:firstLine="720"/>
        <w:jc w:val="both"/>
        <w:divId w:val="1932082143"/>
        <w:rPr>
          <w:rFonts w:eastAsia="Times New Roman"/>
        </w:rPr>
      </w:pPr>
      <w:r>
        <w:rPr>
          <w:rFonts w:eastAsia="Times New Roman"/>
          <w:color w:val="000000"/>
          <w:sz w:val="18"/>
          <w:szCs w:val="18"/>
        </w:rPr>
        <w:t>The three levels of the fair value hierarchy are as follows:</w:t>
      </w:r>
    </w:p>
    <w:p w:rsidR="00000000" w:rsidRDefault="00375AF8">
      <w:pPr>
        <w:ind w:hanging="720"/>
        <w:jc w:val="both"/>
        <w:divId w:val="1848328820"/>
        <w:rPr>
          <w:rFonts w:eastAsia="Times New Roman"/>
        </w:rPr>
      </w:pPr>
      <w:r>
        <w:rPr>
          <w:rFonts w:eastAsia="Times New Roman"/>
          <w:color w:val="000000"/>
          <w:sz w:val="18"/>
          <w:szCs w:val="18"/>
        </w:rPr>
        <w:t>•Level 1—Unadjusted quoted prices in active markets for identical assets or liabilities that the reporting entity has the ability to access a</w:t>
      </w:r>
      <w:r>
        <w:rPr>
          <w:rFonts w:eastAsia="Times New Roman"/>
          <w:color w:val="000000"/>
          <w:sz w:val="18"/>
          <w:szCs w:val="18"/>
        </w:rPr>
        <w:t>t the measurement date. Level 1 primarily consists of financial instruments whose value is based on quoted market prices such as exchange-traded instruments and listed equities. The Company’s Level 1 assets consisted of investments in a U.S. treasury money</w:t>
      </w:r>
      <w:r>
        <w:rPr>
          <w:rFonts w:eastAsia="Times New Roman"/>
          <w:color w:val="000000"/>
          <w:sz w:val="18"/>
          <w:szCs w:val="18"/>
        </w:rPr>
        <w:t xml:space="preserve"> market fund and equity securities totaling approximately $55.6 million as of June 30, 2022. The Company's Level 1 assets consisted of money market funds and short-term investments of $187.6 million as of December 31, 2021.</w:t>
      </w:r>
    </w:p>
    <w:p w:rsidR="00000000" w:rsidRDefault="00375AF8">
      <w:pPr>
        <w:ind w:hanging="720"/>
        <w:jc w:val="both"/>
        <w:divId w:val="1919243247"/>
        <w:rPr>
          <w:rFonts w:eastAsia="Times New Roman"/>
        </w:rPr>
      </w:pPr>
      <w:r>
        <w:rPr>
          <w:rFonts w:eastAsia="Times New Roman"/>
          <w:color w:val="000000"/>
          <w:sz w:val="18"/>
          <w:szCs w:val="18"/>
        </w:rPr>
        <w:t>•Level 2—Inputs other than quote</w:t>
      </w:r>
      <w:r>
        <w:rPr>
          <w:rFonts w:eastAsia="Times New Roman"/>
          <w:color w:val="000000"/>
          <w:sz w:val="18"/>
          <w:szCs w:val="18"/>
        </w:rPr>
        <w:t>d prices included within Level 1 that are observable for the asset or liability, either directly or indirectly (e.g., quoted prices of similar assets or liabilities in active markets, or quoted prices for identical or similar assets or liabilities in marke</w:t>
      </w:r>
      <w:r>
        <w:rPr>
          <w:rFonts w:eastAsia="Times New Roman"/>
          <w:color w:val="000000"/>
          <w:sz w:val="18"/>
          <w:szCs w:val="18"/>
        </w:rPr>
        <w:t>ts that are not active). Level 2 includes financial instruments that are valued using models or other valuation methodologies. The Company's Level 2 assets consisted of U.S. treasury bills totaling approximately $94.5 million as of June 30, 2022. The Compa</w:t>
      </w:r>
      <w:r>
        <w:rPr>
          <w:rFonts w:eastAsia="Times New Roman"/>
          <w:color w:val="000000"/>
          <w:sz w:val="18"/>
          <w:szCs w:val="18"/>
        </w:rPr>
        <w:t>ny had no Level 2 assets or liabilities as of December 31, 2021.</w:t>
      </w:r>
    </w:p>
    <w:p w:rsidR="00000000" w:rsidRDefault="00375AF8">
      <w:pPr>
        <w:ind w:hanging="720"/>
        <w:jc w:val="both"/>
        <w:divId w:val="732965570"/>
        <w:rPr>
          <w:rFonts w:eastAsia="Times New Roman"/>
        </w:rPr>
      </w:pPr>
      <w:r>
        <w:rPr>
          <w:rFonts w:eastAsia="Times New Roman"/>
          <w:color w:val="000000"/>
          <w:sz w:val="18"/>
          <w:szCs w:val="18"/>
        </w:rPr>
        <w:t>•Level 3—Unobservable inputs for the asset or liability. Financial instruments are considered Level 3 when their fair values are determined using pricing models, discounted cash flows or simi</w:t>
      </w:r>
      <w:r>
        <w:rPr>
          <w:rFonts w:eastAsia="Times New Roman"/>
          <w:color w:val="000000"/>
          <w:sz w:val="18"/>
          <w:szCs w:val="18"/>
        </w:rPr>
        <w:t>lar techniques and at least one significant model assumption or input is unobservable. The Company's Level 3 assets consists of the convertible note receivable totaling $1.0 million as of June 30, 2022. There were no Level 3 assets or liabilities as of Dec</w:t>
      </w:r>
      <w:r>
        <w:rPr>
          <w:rFonts w:eastAsia="Times New Roman"/>
          <w:color w:val="000000"/>
          <w:sz w:val="18"/>
          <w:szCs w:val="18"/>
        </w:rPr>
        <w:t>ember 31, 2021.</w:t>
      </w:r>
    </w:p>
    <w:p w:rsidR="00000000" w:rsidRDefault="00375AF8">
      <w:pPr>
        <w:ind w:firstLine="720"/>
        <w:jc w:val="both"/>
        <w:divId w:val="1443911978"/>
        <w:rPr>
          <w:rFonts w:eastAsia="Times New Roman"/>
        </w:rPr>
      </w:pPr>
      <w:r>
        <w:rPr>
          <w:rFonts w:eastAsia="Times New Roman"/>
          <w:color w:val="000000"/>
          <w:sz w:val="18"/>
          <w:szCs w:val="18"/>
        </w:rPr>
        <w:t>The carrying amounts reported in the balance sheets for cash and cash equivalents, other current assets, accounts payable and accrued expenses approximate their fair value based on the short-term maturity of these instruments.</w:t>
      </w:r>
    </w:p>
    <w:p w:rsidR="00000000" w:rsidRDefault="00375AF8">
      <w:pPr>
        <w:jc w:val="both"/>
        <w:divId w:val="958339617"/>
        <w:rPr>
          <w:rFonts w:eastAsia="Times New Roman"/>
        </w:rPr>
      </w:pPr>
      <w:r>
        <w:rPr>
          <w:rFonts w:eastAsia="Times New Roman"/>
          <w:b/>
          <w:bCs/>
          <w:color w:val="000000"/>
          <w:sz w:val="18"/>
          <w:szCs w:val="18"/>
        </w:rPr>
        <w:t>(I) Leases</w:t>
      </w:r>
    </w:p>
    <w:p w:rsidR="00000000" w:rsidRDefault="00375AF8">
      <w:pPr>
        <w:ind w:firstLine="720"/>
        <w:jc w:val="both"/>
        <w:divId w:val="2140219155"/>
        <w:rPr>
          <w:rFonts w:eastAsia="Times New Roman"/>
        </w:rPr>
      </w:pPr>
      <w:r>
        <w:rPr>
          <w:rFonts w:eastAsia="Times New Roman"/>
          <w:color w:val="000000"/>
          <w:sz w:val="18"/>
          <w:szCs w:val="18"/>
        </w:rPr>
        <w:t>Th</w:t>
      </w:r>
      <w:r>
        <w:rPr>
          <w:rFonts w:eastAsia="Times New Roman"/>
          <w:color w:val="000000"/>
          <w:sz w:val="18"/>
          <w:szCs w:val="18"/>
        </w:rPr>
        <w:t>e Company determines if an arrangement is a lease at inception and recognizes the lease in accordance with ASC 842. Operating leases are included in right-of-use ("ROU") assets, current liabilities, and long-term lease liability in the Company's consolidat</w:t>
      </w:r>
      <w:r>
        <w:rPr>
          <w:rFonts w:eastAsia="Times New Roman"/>
          <w:color w:val="000000"/>
          <w:sz w:val="18"/>
          <w:szCs w:val="18"/>
        </w:rPr>
        <w:t>ed balance sheets. ROU assets represent the right to use an underlying asset for the lease term and lease liabilities represent the Company's obligation to make lease payments arising from the lease. Operating lease ROU assets and liabilities are recognize</w:t>
      </w:r>
      <w:r>
        <w:rPr>
          <w:rFonts w:eastAsia="Times New Roman"/>
          <w:color w:val="000000"/>
          <w:sz w:val="18"/>
          <w:szCs w:val="18"/>
        </w:rPr>
        <w:t>d at the lease commencement date based on the present value of the lease payments over the lease term. The Company determines the portion of the lease liability that is current as the difference between the calculated lease liability at the end of the curr</w:t>
      </w:r>
      <w:r>
        <w:rPr>
          <w:rFonts w:eastAsia="Times New Roman"/>
          <w:color w:val="000000"/>
          <w:sz w:val="18"/>
          <w:szCs w:val="18"/>
        </w:rPr>
        <w:t xml:space="preserve">ent period and the lease liability that is projected 12 months from the current period. The Company determined that there was no current lease liability for the period ended June 30, 2022, which is due primarily to the free rental period for the Company's </w:t>
      </w:r>
      <w:r>
        <w:rPr>
          <w:rFonts w:eastAsia="Times New Roman"/>
          <w:color w:val="000000"/>
          <w:sz w:val="18"/>
          <w:szCs w:val="18"/>
        </w:rPr>
        <w:t xml:space="preserve">Hudson Commons lease. </w:t>
      </w:r>
    </w:p>
    <w:p w:rsidR="00000000" w:rsidRDefault="00375AF8">
      <w:pPr>
        <w:jc w:val="both"/>
        <w:divId w:val="370156400"/>
        <w:rPr>
          <w:rFonts w:eastAsia="Times New Roman"/>
        </w:rPr>
      </w:pPr>
      <w:r>
        <w:rPr>
          <w:rFonts w:eastAsia="Times New Roman"/>
          <w:b/>
          <w:bCs/>
          <w:color w:val="000000"/>
          <w:sz w:val="18"/>
          <w:szCs w:val="18"/>
        </w:rPr>
        <w:t>(J) Revenue Recognition</w:t>
      </w:r>
    </w:p>
    <w:p w:rsidR="00000000" w:rsidRDefault="00375AF8">
      <w:pPr>
        <w:ind w:firstLine="720"/>
        <w:jc w:val="both"/>
        <w:divId w:val="19169145"/>
        <w:rPr>
          <w:rFonts w:eastAsia="Times New Roman"/>
        </w:rPr>
      </w:pPr>
      <w:r>
        <w:rPr>
          <w:rFonts w:eastAsia="Times New Roman"/>
          <w:color w:val="000000"/>
          <w:sz w:val="18"/>
          <w:szCs w:val="18"/>
        </w:rPr>
        <w:t>Under ASC 606, an entity recognizes revenue when its customer obtains control of promised goods or services, in an amount that reflects the consideration that the entity expects to receive in exchange for thos</w:t>
      </w:r>
      <w:r>
        <w:rPr>
          <w:rFonts w:eastAsia="Times New Roman"/>
          <w:color w:val="000000"/>
          <w:sz w:val="18"/>
          <w:szCs w:val="18"/>
        </w:rPr>
        <w:t>e goods or services. In applying ASC 606, the Company performs the following five steps: (i) identify the contract(s) with a customer; (ii) identify the promises and performance obligations in the contract; (iii) determine the transaction price; (iv) alloc</w:t>
      </w:r>
      <w:r>
        <w:rPr>
          <w:rFonts w:eastAsia="Times New Roman"/>
          <w:color w:val="000000"/>
          <w:sz w:val="18"/>
          <w:szCs w:val="18"/>
        </w:rPr>
        <w:t>ate the transaction price to the performance obligations in the contract; and (v) recognize revenue when (or as) it satisfies the performance obligations. The Company only applies the five-step model to contracts when it is probable that it will collect th</w:t>
      </w:r>
      <w:r>
        <w:rPr>
          <w:rFonts w:eastAsia="Times New Roman"/>
          <w:color w:val="000000"/>
          <w:sz w:val="18"/>
          <w:szCs w:val="18"/>
        </w:rPr>
        <w:t>e consideration to which it is entitled in exchange for the goods or services the Company transfers to the customer. At contract inception, once the contract is determined to be within the scope of ASC 606, the Company assesses the goods or services promis</w:t>
      </w:r>
      <w:r>
        <w:rPr>
          <w:rFonts w:eastAsia="Times New Roman"/>
          <w:color w:val="000000"/>
          <w:sz w:val="18"/>
          <w:szCs w:val="18"/>
        </w:rPr>
        <w:t>ed within each contract, determines those that are performance obligations and assesses whether each promised good or service is distinct. The Company then recognizes as revenue the amount of the transaction price that is allocated to the respective perfor</w:t>
      </w:r>
      <w:r>
        <w:rPr>
          <w:rFonts w:eastAsia="Times New Roman"/>
          <w:color w:val="000000"/>
          <w:sz w:val="18"/>
          <w:szCs w:val="18"/>
        </w:rPr>
        <w:t>mance obligation when (or as) the performance obligation is satisfied.</w:t>
      </w:r>
    </w:p>
    <w:p w:rsidR="00000000" w:rsidRDefault="00375AF8">
      <w:pPr>
        <w:ind w:firstLine="720"/>
        <w:jc w:val="both"/>
        <w:divId w:val="1781222214"/>
        <w:rPr>
          <w:rFonts w:eastAsia="Times New Roman"/>
        </w:rPr>
      </w:pPr>
      <w:r>
        <w:rPr>
          <w:rFonts w:eastAsia="Times New Roman"/>
          <w:color w:val="000000"/>
          <w:sz w:val="18"/>
          <w:szCs w:val="18"/>
        </w:rPr>
        <w:t>Prior to recognizing revenue, the Company makes estimates of the transaction price, including variable consideration that is subject to a constraint. Amounts of variable consideration a</w:t>
      </w:r>
      <w:r>
        <w:rPr>
          <w:rFonts w:eastAsia="Times New Roman"/>
          <w:color w:val="000000"/>
          <w:sz w:val="18"/>
          <w:szCs w:val="18"/>
        </w:rPr>
        <w:t>re included in the transaction price to the extent that it is probable that a significant reversal in the amount of cumulative revenue recognized will not occur and when the uncertainty associated with the variable consideration is subsequently resolved.</w:t>
      </w:r>
    </w:p>
    <w:p w:rsidR="00000000" w:rsidRDefault="00375AF8">
      <w:pPr>
        <w:ind w:firstLine="720"/>
        <w:jc w:val="both"/>
        <w:divId w:val="1543516166"/>
        <w:rPr>
          <w:rFonts w:eastAsia="Times New Roman"/>
        </w:rPr>
      </w:pPr>
      <w:r>
        <w:rPr>
          <w:rFonts w:eastAsia="Times New Roman"/>
          <w:color w:val="000000"/>
          <w:sz w:val="18"/>
          <w:szCs w:val="18"/>
        </w:rPr>
        <w:t>I</w:t>
      </w:r>
      <w:r>
        <w:rPr>
          <w:rFonts w:eastAsia="Times New Roman"/>
          <w:color w:val="000000"/>
          <w:sz w:val="18"/>
          <w:szCs w:val="18"/>
        </w:rPr>
        <w:t>f there are multiple distinct performance obligations, the Company allocates the transaction price to each distinct performance obligation based on its relative standalone selling price. The standalone selling price is generally determined using expected c</w:t>
      </w:r>
      <w:r>
        <w:rPr>
          <w:rFonts w:eastAsia="Times New Roman"/>
          <w:color w:val="000000"/>
          <w:sz w:val="18"/>
          <w:szCs w:val="18"/>
        </w:rPr>
        <w:t>ost and comparable transactions. Revenue for performance obligations recognized over time is recognized by measuring the progress toward complete satisfaction of the performance obligations using an input measure.</w:t>
      </w:r>
    </w:p>
    <w:p w:rsidR="00000000" w:rsidRDefault="00375AF8">
      <w:pPr>
        <w:ind w:firstLine="720"/>
        <w:jc w:val="both"/>
        <w:divId w:val="2007635737"/>
        <w:rPr>
          <w:rFonts w:eastAsia="Times New Roman"/>
        </w:rPr>
      </w:pPr>
      <w:r>
        <w:rPr>
          <w:rFonts w:eastAsia="Times New Roman"/>
          <w:color w:val="000000"/>
          <w:sz w:val="18"/>
          <w:szCs w:val="18"/>
        </w:rPr>
        <w:t>Non-refundable upfront fees allocated to l</w:t>
      </w:r>
      <w:r>
        <w:rPr>
          <w:rFonts w:eastAsia="Times New Roman"/>
          <w:color w:val="000000"/>
          <w:sz w:val="18"/>
          <w:szCs w:val="18"/>
        </w:rPr>
        <w:t>icenses that are not contingent on any future performance and require no consequential continuing involvement by the Company, are recognized as revenue when the license term commences and the licensed data, technology or product is delivered. The Company d</w:t>
      </w:r>
      <w:r>
        <w:rPr>
          <w:rFonts w:eastAsia="Times New Roman"/>
          <w:color w:val="000000"/>
          <w:sz w:val="18"/>
          <w:szCs w:val="18"/>
        </w:rPr>
        <w:t>efers recognition of upfront license fees if the performance obligations are not satisfied.</w:t>
      </w:r>
    </w:p>
    <w:p w:rsidR="00000000" w:rsidRDefault="00375AF8">
      <w:pPr>
        <w:jc w:val="center"/>
        <w:divId w:val="773133327"/>
        <w:rPr>
          <w:rFonts w:eastAsia="Times New Roman"/>
        </w:rPr>
      </w:pPr>
      <w:r>
        <w:rPr>
          <w:rFonts w:eastAsia="Times New Roman"/>
          <w:color w:val="000000"/>
          <w:sz w:val="18"/>
          <w:szCs w:val="18"/>
        </w:rPr>
        <w:t>10</w:t>
      </w:r>
    </w:p>
    <w:p w:rsidR="00000000" w:rsidRDefault="00375AF8">
      <w:pPr>
        <w:rPr>
          <w:rFonts w:eastAsia="Times New Roman"/>
        </w:rPr>
      </w:pPr>
      <w:r>
        <w:rPr>
          <w:rFonts w:eastAsia="Times New Roman"/>
        </w:rPr>
        <w:pict>
          <v:rect id="_x0000_i1035" style="width:0;height:1.5pt" o:hralign="center" o:hrstd="t" o:hr="t" fillcolor="#a0a0a0" stroked="f"/>
        </w:pict>
      </w:r>
    </w:p>
    <w:p w:rsidR="00000000" w:rsidRDefault="00375AF8">
      <w:pPr>
        <w:divId w:val="1798450143"/>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35297830"/>
        <w:rPr>
          <w:rFonts w:eastAsia="Times New Roman"/>
        </w:rPr>
      </w:pPr>
      <w:r>
        <w:rPr>
          <w:rFonts w:eastAsia="Times New Roman"/>
          <w:b/>
          <w:bCs/>
          <w:color w:val="000000"/>
          <w:sz w:val="18"/>
          <w:szCs w:val="18"/>
        </w:rPr>
        <w:t xml:space="preserve">(K) </w:t>
      </w:r>
      <w:r>
        <w:rPr>
          <w:rFonts w:eastAsia="Times New Roman"/>
          <w:b/>
          <w:bCs/>
          <w:color w:val="000000"/>
          <w:sz w:val="18"/>
          <w:szCs w:val="18"/>
        </w:rPr>
        <w:t>Net (Loss) Income Per Share</w:t>
      </w:r>
    </w:p>
    <w:p w:rsidR="00000000" w:rsidRDefault="00375AF8">
      <w:pPr>
        <w:ind w:firstLine="720"/>
        <w:jc w:val="both"/>
        <w:divId w:val="194848421"/>
        <w:rPr>
          <w:rFonts w:eastAsia="Times New Roman"/>
        </w:rPr>
      </w:pPr>
      <w:r>
        <w:rPr>
          <w:rFonts w:eastAsia="Times New Roman"/>
          <w:color w:val="000000"/>
          <w:sz w:val="18"/>
          <w:szCs w:val="18"/>
        </w:rPr>
        <w:t>Net (loss) income, basic per share is calculated by dividing the net income attributable to common stockholders by the weighted-average number of shares of common stock outstanding. The Company applies the two-class method to al</w:t>
      </w:r>
      <w:r>
        <w:rPr>
          <w:rFonts w:eastAsia="Times New Roman"/>
          <w:color w:val="000000"/>
          <w:sz w:val="18"/>
          <w:szCs w:val="18"/>
        </w:rPr>
        <w:t>locate earnings between common stock and participating securities.</w:t>
      </w:r>
    </w:p>
    <w:p w:rsidR="00000000" w:rsidRDefault="00375AF8">
      <w:pPr>
        <w:ind w:firstLine="720"/>
        <w:jc w:val="both"/>
        <w:divId w:val="231817666"/>
        <w:rPr>
          <w:rFonts w:eastAsia="Times New Roman"/>
        </w:rPr>
      </w:pPr>
      <w:r>
        <w:rPr>
          <w:rFonts w:eastAsia="Times New Roman"/>
          <w:color w:val="000000"/>
          <w:sz w:val="18"/>
          <w:szCs w:val="18"/>
        </w:rPr>
        <w:t>Net income, diluted per share attributable to common stockholders adjusts the basic earnings per share attributable to common stockholders and the weighted-average number of shares of commo</w:t>
      </w:r>
      <w:r>
        <w:rPr>
          <w:rFonts w:eastAsia="Times New Roman"/>
          <w:color w:val="000000"/>
          <w:sz w:val="18"/>
          <w:szCs w:val="18"/>
        </w:rPr>
        <w:t xml:space="preserve">n stock outstanding for the potential dilutive impact of stock options using the treasury-stock method and preferred stock using the if-converted method. </w:t>
      </w:r>
    </w:p>
    <w:p w:rsidR="00000000" w:rsidRDefault="00375AF8">
      <w:pPr>
        <w:ind w:firstLine="720"/>
        <w:jc w:val="both"/>
        <w:divId w:val="1159341998"/>
        <w:rPr>
          <w:rFonts w:eastAsia="Times New Roman"/>
        </w:rPr>
      </w:pPr>
      <w:r>
        <w:rPr>
          <w:rFonts w:eastAsia="Times New Roman"/>
          <w:color w:val="000000"/>
          <w:sz w:val="18"/>
          <w:szCs w:val="18"/>
        </w:rPr>
        <w:t>Net loss, diluted per share is equivalent to the basic net loss per share due to the exclusion of out</w:t>
      </w:r>
      <w:r>
        <w:rPr>
          <w:rFonts w:eastAsia="Times New Roman"/>
          <w:color w:val="000000"/>
          <w:sz w:val="18"/>
          <w:szCs w:val="18"/>
        </w:rPr>
        <w:t>standing stock options and convertible preferred stock because the inclusion of these securities would result in an anti-dilutive effect on per share amounts.</w:t>
      </w:r>
    </w:p>
    <w:p w:rsidR="00000000" w:rsidRDefault="00375AF8">
      <w:pPr>
        <w:jc w:val="both"/>
        <w:divId w:val="1270548490"/>
        <w:rPr>
          <w:rFonts w:eastAsia="Times New Roman"/>
        </w:rPr>
      </w:pPr>
      <w:r>
        <w:rPr>
          <w:rFonts w:eastAsia="Times New Roman"/>
          <w:b/>
          <w:bCs/>
          <w:color w:val="000000"/>
          <w:sz w:val="18"/>
          <w:szCs w:val="18"/>
        </w:rPr>
        <w:t>(L) Recent Accounting Pronouncements</w:t>
      </w:r>
    </w:p>
    <w:p w:rsidR="00000000" w:rsidRDefault="00375AF8">
      <w:pPr>
        <w:ind w:firstLine="720"/>
        <w:jc w:val="both"/>
        <w:divId w:val="66615029"/>
        <w:rPr>
          <w:rFonts w:eastAsia="Times New Roman"/>
        </w:rPr>
      </w:pPr>
      <w:r>
        <w:rPr>
          <w:rFonts w:eastAsia="Times New Roman"/>
          <w:color w:val="000000"/>
          <w:sz w:val="18"/>
          <w:szCs w:val="18"/>
        </w:rPr>
        <w:t>The Company has reviewed recently issued accounting standard</w:t>
      </w:r>
      <w:r>
        <w:rPr>
          <w:rFonts w:eastAsia="Times New Roman"/>
          <w:color w:val="000000"/>
          <w:sz w:val="18"/>
          <w:szCs w:val="18"/>
        </w:rPr>
        <w:t>s and plans to adopt those that are applicable. The Company does not expect the adoption of those standards to have a material impact on its financial position, results of operations, or cash flows.</w:t>
      </w:r>
    </w:p>
    <w:p w:rsidR="00000000" w:rsidRDefault="00375AF8">
      <w:pPr>
        <w:ind w:firstLine="720"/>
        <w:jc w:val="both"/>
        <w:divId w:val="1243182107"/>
        <w:rPr>
          <w:rFonts w:eastAsia="Times New Roman"/>
        </w:rPr>
      </w:pPr>
      <w:r>
        <w:rPr>
          <w:rFonts w:eastAsia="Times New Roman"/>
          <w:color w:val="000000"/>
          <w:sz w:val="18"/>
          <w:szCs w:val="18"/>
        </w:rPr>
        <w:t>The Company adopts new pronouncements relating to general</w:t>
      </w:r>
      <w:r>
        <w:rPr>
          <w:rFonts w:eastAsia="Times New Roman"/>
          <w:color w:val="000000"/>
          <w:sz w:val="18"/>
          <w:szCs w:val="18"/>
        </w:rPr>
        <w:t>ly accepted accounting principles applicable to the Company as they are issued, which may be in advance of their effective date. Management does not believe that any recently issued, but not yet effective accounting standards, if currently adopted, would h</w:t>
      </w:r>
      <w:r>
        <w:rPr>
          <w:rFonts w:eastAsia="Times New Roman"/>
          <w:color w:val="000000"/>
          <w:sz w:val="18"/>
          <w:szCs w:val="18"/>
        </w:rPr>
        <w:t>ave a material effect on the accompanying financial statements.</w:t>
      </w:r>
    </w:p>
    <w:p w:rsidR="00000000" w:rsidRDefault="00375AF8">
      <w:pPr>
        <w:divId w:val="1744182680"/>
        <w:rPr>
          <w:rFonts w:eastAsia="Times New Roman"/>
        </w:rPr>
      </w:pPr>
      <w:r>
        <w:rPr>
          <w:rFonts w:eastAsia="Times New Roman"/>
          <w:b/>
          <w:bCs/>
          <w:color w:val="000000"/>
          <w:sz w:val="18"/>
          <w:szCs w:val="18"/>
        </w:rPr>
        <w:t>NOTE 3 – CASH, CASH EQUIVALENTS AND MARKETABLE SECURITIES</w:t>
      </w:r>
    </w:p>
    <w:p w:rsidR="00000000" w:rsidRDefault="00375AF8">
      <w:pPr>
        <w:ind w:firstLine="720"/>
        <w:jc w:val="both"/>
        <w:divId w:val="1771311591"/>
        <w:rPr>
          <w:rFonts w:eastAsia="Times New Roman"/>
        </w:rPr>
      </w:pPr>
      <w:r>
        <w:rPr>
          <w:rFonts w:eastAsia="Times New Roman"/>
          <w:color w:val="000000"/>
          <w:sz w:val="18"/>
          <w:szCs w:val="18"/>
        </w:rPr>
        <w:t>The following tables summarize the fair value of cash, cash equivalents and marketable securities as well as gross unrealized holding gains and losses as of June 30,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584"/>
        <w:gridCol w:w="37"/>
        <w:gridCol w:w="110"/>
        <w:gridCol w:w="945"/>
        <w:gridCol w:w="36"/>
        <w:gridCol w:w="36"/>
        <w:gridCol w:w="36"/>
        <w:gridCol w:w="36"/>
        <w:gridCol w:w="111"/>
        <w:gridCol w:w="917"/>
        <w:gridCol w:w="36"/>
        <w:gridCol w:w="36"/>
        <w:gridCol w:w="36"/>
        <w:gridCol w:w="36"/>
        <w:gridCol w:w="111"/>
        <w:gridCol w:w="929"/>
        <w:gridCol w:w="36"/>
        <w:gridCol w:w="36"/>
        <w:gridCol w:w="36"/>
        <w:gridCol w:w="36"/>
        <w:gridCol w:w="110"/>
        <w:gridCol w:w="945"/>
        <w:gridCol w:w="36"/>
      </w:tblGrid>
      <w:tr w:rsidR="00000000">
        <w:trPr>
          <w:divId w:val="120420601"/>
        </w:trPr>
        <w:tc>
          <w:tcPr>
            <w:tcW w:w="50" w:type="pct"/>
            <w:vAlign w:val="center"/>
            <w:hideMark/>
          </w:tcPr>
          <w:p w:rsidR="00000000" w:rsidRDefault="00375AF8">
            <w:pPr>
              <w:ind w:firstLine="720"/>
              <w:jc w:val="both"/>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20420601"/>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June 30, 2022</w:t>
            </w:r>
          </w:p>
        </w:tc>
      </w:tr>
      <w:tr w:rsidR="00000000">
        <w:trPr>
          <w:divId w:val="120420601"/>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Amortized</w:t>
            </w:r>
            <w:r>
              <w:rPr>
                <w:rFonts w:eastAsia="Times New Roman"/>
                <w:color w:val="000000"/>
                <w:sz w:val="18"/>
                <w:szCs w:val="18"/>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value</w:t>
            </w:r>
          </w:p>
        </w:tc>
      </w:tr>
      <w:tr w:rsidR="00000000">
        <w:trPr>
          <w:divId w:val="120420601"/>
        </w:trPr>
        <w:tc>
          <w:tcPr>
            <w:tcW w:w="0" w:type="auto"/>
            <w:gridSpan w:val="3"/>
            <w:shd w:val="clear" w:color="auto" w:fill="CCEEFF"/>
            <w:tcMar>
              <w:top w:w="30" w:type="dxa"/>
              <w:left w:w="1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2,860,631 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2,860,631 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0420601"/>
        </w:trPr>
        <w:tc>
          <w:tcPr>
            <w:tcW w:w="0" w:type="auto"/>
            <w:gridSpan w:val="3"/>
            <w:shd w:val="clear" w:color="auto" w:fill="FFFFFF"/>
            <w:tcMar>
              <w:top w:w="30" w:type="dxa"/>
              <w:left w:w="1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69,951,125 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69,951,125 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0420601"/>
        </w:trPr>
        <w:tc>
          <w:tcPr>
            <w:tcW w:w="0" w:type="auto"/>
            <w:gridSpan w:val="3"/>
            <w:shd w:val="clear" w:color="auto" w:fill="CCEEFF"/>
            <w:tcMar>
              <w:top w:w="30" w:type="dxa"/>
              <w:left w:w="1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79,644,167 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(90,127)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79,554,040 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2042060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cash, cash equivalents and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152,455,922 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(90,127)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152,365,795 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82"/>
        <w:gridCol w:w="144"/>
        <w:gridCol w:w="144"/>
        <w:gridCol w:w="1003"/>
        <w:gridCol w:w="144"/>
        <w:gridCol w:w="144"/>
        <w:gridCol w:w="144"/>
        <w:gridCol w:w="144"/>
        <w:gridCol w:w="144"/>
        <w:gridCol w:w="1003"/>
        <w:gridCol w:w="144"/>
        <w:gridCol w:w="144"/>
        <w:gridCol w:w="144"/>
        <w:gridCol w:w="144"/>
        <w:gridCol w:w="144"/>
        <w:gridCol w:w="1003"/>
        <w:gridCol w:w="144"/>
        <w:gridCol w:w="144"/>
        <w:gridCol w:w="144"/>
        <w:gridCol w:w="144"/>
        <w:gridCol w:w="144"/>
        <w:gridCol w:w="1003"/>
        <w:gridCol w:w="144"/>
      </w:tblGrid>
      <w:tr w:rsidR="00000000">
        <w:tc>
          <w:tcPr>
            <w:tcW w:w="50" w:type="pct"/>
            <w:vAlign w:val="center"/>
            <w:hideMark/>
          </w:tcPr>
          <w:p w:rsidR="00000000" w:rsidRDefault="00375AF8">
            <w:pPr>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December 31, 2021</w:t>
            </w:r>
          </w:p>
        </w:tc>
      </w:tr>
      <w:tr w:rsidR="00000000">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Amortized</w:t>
            </w:r>
            <w:r>
              <w:rPr>
                <w:rFonts w:eastAsia="Times New Roman"/>
                <w:color w:val="000000"/>
                <w:sz w:val="18"/>
                <w:szCs w:val="18"/>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Gross unrealized</w:t>
            </w:r>
            <w:r>
              <w:rPr>
                <w:rFonts w:eastAsia="Times New Roman"/>
                <w:color w:val="000000"/>
                <w:sz w:val="18"/>
                <w:szCs w:val="18"/>
              </w:rPr>
              <w:br/>
              <w:t>holding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value</w:t>
            </w: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205,555 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205,555 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c>
          <w:tcPr>
            <w:tcW w:w="0" w:type="auto"/>
            <w:gridSpan w:val="3"/>
            <w:shd w:val="clear" w:color="auto" w:fill="FFFFFF"/>
            <w:tcMar>
              <w:top w:w="30" w:type="dxa"/>
              <w:left w:w="1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Money market funds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187,591,977 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187,591,977 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Marketable securities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cash, cash equivalents and marketable securities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187,797,532 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187,797,532 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1470902971"/>
        <w:rPr>
          <w:rFonts w:eastAsia="Times New Roman"/>
        </w:rPr>
      </w:pPr>
      <w:r>
        <w:rPr>
          <w:rFonts w:eastAsia="Times New Roman"/>
          <w:color w:val="000000"/>
          <w:sz w:val="18"/>
          <w:szCs w:val="18"/>
        </w:rPr>
        <w:t>The Company did not hold any securities that were in an unrealized loss position for more than 12 mon</w:t>
      </w:r>
      <w:r>
        <w:rPr>
          <w:rFonts w:eastAsia="Times New Roman"/>
          <w:color w:val="000000"/>
          <w:sz w:val="18"/>
          <w:szCs w:val="18"/>
        </w:rPr>
        <w:t>ths as of June 30, 2022 and December 31, 2021.</w:t>
      </w:r>
    </w:p>
    <w:p w:rsidR="00000000" w:rsidRDefault="00375AF8">
      <w:pPr>
        <w:jc w:val="both"/>
        <w:divId w:val="951396829"/>
        <w:rPr>
          <w:rFonts w:eastAsia="Times New Roman"/>
        </w:rPr>
      </w:pPr>
      <w:r>
        <w:rPr>
          <w:rFonts w:eastAsia="Times New Roman"/>
          <w:b/>
          <w:bCs/>
          <w:color w:val="000000"/>
          <w:sz w:val="18"/>
          <w:szCs w:val="18"/>
        </w:rPr>
        <w:t>NOTE 4 – PROPERTY AND EQUIPMENT AND INTANGIBLE ASSETS</w:t>
      </w:r>
    </w:p>
    <w:p w:rsidR="00000000" w:rsidRDefault="00375AF8">
      <w:pPr>
        <w:ind w:firstLine="1080"/>
        <w:jc w:val="both"/>
        <w:divId w:val="674652356"/>
        <w:rPr>
          <w:rFonts w:eastAsia="Times New Roman"/>
        </w:rPr>
      </w:pPr>
      <w:r>
        <w:rPr>
          <w:rFonts w:eastAsia="Times New Roman"/>
          <w:color w:val="000000"/>
          <w:sz w:val="18"/>
          <w:szCs w:val="18"/>
        </w:rPr>
        <w:t>Property and equipment is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922"/>
        <w:gridCol w:w="37"/>
        <w:gridCol w:w="110"/>
        <w:gridCol w:w="954"/>
        <w:gridCol w:w="36"/>
        <w:gridCol w:w="36"/>
        <w:gridCol w:w="36"/>
        <w:gridCol w:w="36"/>
        <w:gridCol w:w="111"/>
        <w:gridCol w:w="954"/>
        <w:gridCol w:w="36"/>
      </w:tblGrid>
      <w:tr w:rsidR="00000000">
        <w:trPr>
          <w:divId w:val="1470397215"/>
        </w:trPr>
        <w:tc>
          <w:tcPr>
            <w:tcW w:w="50" w:type="pct"/>
            <w:vAlign w:val="center"/>
            <w:hideMark/>
          </w:tcPr>
          <w:p w:rsidR="00000000" w:rsidRDefault="00375AF8">
            <w:pPr>
              <w:ind w:firstLine="1080"/>
              <w:jc w:val="both"/>
              <w:rPr>
                <w:rFonts w:eastAsia="Times New Roman"/>
              </w:rPr>
            </w:pPr>
          </w:p>
        </w:tc>
        <w:tc>
          <w:tcPr>
            <w:tcW w:w="359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470397215"/>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June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1470397215"/>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Furniture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1,303,094 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504,965 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470397215"/>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Leasehold improvements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287,712 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470397215"/>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Less 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(347,678)</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(262,208)</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470397215"/>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property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1,243,128 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242,757 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231476413"/>
        <w:rPr>
          <w:rFonts w:eastAsia="Times New Roman"/>
        </w:rPr>
      </w:pPr>
      <w:r>
        <w:rPr>
          <w:rFonts w:eastAsia="Times New Roman"/>
          <w:color w:val="000000"/>
          <w:sz w:val="18"/>
          <w:szCs w:val="18"/>
        </w:rPr>
        <w:t xml:space="preserve">Depreciation expense was $54,631 and $17,834 </w:t>
      </w:r>
      <w:r>
        <w:rPr>
          <w:rFonts w:eastAsia="Times New Roman"/>
          <w:color w:val="000000"/>
          <w:sz w:val="18"/>
          <w:szCs w:val="18"/>
        </w:rPr>
        <w:t>for the three months ended June 30, 2022 and 2021, respectively. Depreciation expense was $85,470 and $36,478 for the six months ended June 30, 2022 and 2021, respectively.</w:t>
      </w:r>
    </w:p>
    <w:p w:rsidR="00000000" w:rsidRDefault="00375AF8">
      <w:pPr>
        <w:jc w:val="center"/>
        <w:divId w:val="889154060"/>
        <w:rPr>
          <w:rFonts w:eastAsia="Times New Roman"/>
        </w:rPr>
      </w:pPr>
      <w:r>
        <w:rPr>
          <w:rFonts w:eastAsia="Times New Roman"/>
          <w:color w:val="000000"/>
          <w:sz w:val="18"/>
          <w:szCs w:val="18"/>
        </w:rPr>
        <w:t>11</w:t>
      </w:r>
    </w:p>
    <w:p w:rsidR="00000000" w:rsidRDefault="00375AF8">
      <w:pPr>
        <w:rPr>
          <w:rFonts w:eastAsia="Times New Roman"/>
        </w:rPr>
      </w:pPr>
      <w:r>
        <w:rPr>
          <w:rFonts w:eastAsia="Times New Roman"/>
        </w:rPr>
        <w:pict>
          <v:rect id="_x0000_i1036" style="width:0;height:1.5pt" o:hralign="center" o:hrstd="t" o:hr="t" fillcolor="#a0a0a0" stroked="f"/>
        </w:pict>
      </w:r>
    </w:p>
    <w:p w:rsidR="00000000" w:rsidRDefault="00375AF8">
      <w:pPr>
        <w:divId w:val="445194256"/>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1605766043"/>
        <w:rPr>
          <w:rFonts w:eastAsia="Times New Roman"/>
        </w:rPr>
      </w:pPr>
      <w:r>
        <w:rPr>
          <w:rFonts w:eastAsia="Times New Roman"/>
          <w:color w:val="000000"/>
          <w:sz w:val="18"/>
          <w:szCs w:val="18"/>
        </w:rPr>
        <w:t>Intangible assets, net of accumulated amortization was $328,797 and $164,092 as of June 30, 2022 and December </w:t>
      </w:r>
      <w:r>
        <w:rPr>
          <w:rFonts w:eastAsia="Times New Roman"/>
          <w:color w:val="000000"/>
          <w:sz w:val="18"/>
          <w:szCs w:val="18"/>
        </w:rPr>
        <w:t xml:space="preserve">31, 2021, respectively, and are included in other assets. Amortization expense was $32,153 and $35,381 for the three months ended June 30, 2022 and 2021, respectively. Amortization expense was $86,636 and $91,473 for the six months ended June 30, 2022 and </w:t>
      </w:r>
      <w:r>
        <w:rPr>
          <w:rFonts w:eastAsia="Times New Roman"/>
          <w:color w:val="000000"/>
          <w:sz w:val="18"/>
          <w:szCs w:val="18"/>
        </w:rPr>
        <w:t>2021, respectively.</w:t>
      </w:r>
    </w:p>
    <w:p w:rsidR="00000000" w:rsidRDefault="00375AF8">
      <w:pPr>
        <w:jc w:val="both"/>
        <w:divId w:val="1072891234"/>
        <w:rPr>
          <w:rFonts w:eastAsia="Times New Roman"/>
        </w:rPr>
      </w:pPr>
      <w:r>
        <w:rPr>
          <w:rFonts w:eastAsia="Times New Roman"/>
          <w:b/>
          <w:bCs/>
          <w:color w:val="000000"/>
          <w:sz w:val="18"/>
          <w:szCs w:val="18"/>
        </w:rPr>
        <w:t>NOTE 5 – LEASES</w:t>
      </w:r>
    </w:p>
    <w:p w:rsidR="00000000" w:rsidRDefault="00375AF8">
      <w:pPr>
        <w:ind w:firstLine="720"/>
        <w:jc w:val="both"/>
        <w:divId w:val="226577472"/>
        <w:rPr>
          <w:rFonts w:eastAsia="Times New Roman"/>
        </w:rPr>
      </w:pPr>
      <w:r>
        <w:rPr>
          <w:rFonts w:eastAsia="Times New Roman"/>
          <w:color w:val="000000"/>
          <w:sz w:val="18"/>
          <w:szCs w:val="18"/>
        </w:rPr>
        <w:t>During September 2021, the Company entered into a 10-year lease agreement for its corporate headquarters with a term commencing March 10, 2022, for approximately 19,143 square feet of office space at Hudson Commons in Ne</w:t>
      </w:r>
      <w:r>
        <w:rPr>
          <w:rFonts w:eastAsia="Times New Roman"/>
          <w:color w:val="000000"/>
          <w:sz w:val="18"/>
          <w:szCs w:val="18"/>
        </w:rPr>
        <w:t>w York, NY. The lease provides for monthly rental payments over the lease term. The base rent under the lease is currently $2.3 million per year. Rent payments commence 10 months following the commencement date of the lease, or January 10, 2023, and contin</w:t>
      </w:r>
      <w:r>
        <w:rPr>
          <w:rFonts w:eastAsia="Times New Roman"/>
          <w:color w:val="000000"/>
          <w:sz w:val="18"/>
          <w:szCs w:val="18"/>
        </w:rPr>
        <w:t>ue for 10 years following the rent commencement date. Rent also includes two months of free rent in the 6th and 7th months following the rent commencement date. The Company issued a letter of credit in the amount of $1.9 million in association with the exe</w:t>
      </w:r>
      <w:r>
        <w:rPr>
          <w:rFonts w:eastAsia="Times New Roman"/>
          <w:color w:val="000000"/>
          <w:sz w:val="18"/>
          <w:szCs w:val="18"/>
        </w:rPr>
        <w:t>cution of the lease agreement; the letter of credit is characterized as restricted cash on the balance sheet.</w:t>
      </w:r>
    </w:p>
    <w:p w:rsidR="00000000" w:rsidRDefault="00375AF8">
      <w:pPr>
        <w:ind w:firstLine="720"/>
        <w:jc w:val="both"/>
        <w:divId w:val="1524782112"/>
        <w:rPr>
          <w:rFonts w:eastAsia="Times New Roman"/>
        </w:rPr>
      </w:pPr>
      <w:r>
        <w:rPr>
          <w:rFonts w:eastAsia="Times New Roman"/>
          <w:color w:val="000000"/>
          <w:sz w:val="18"/>
          <w:szCs w:val="18"/>
        </w:rPr>
        <w:t>The Hudson Commons lease has a remaining lease term of 10 years and includes a single renewal option for an additional 5 years. The Company did no</w:t>
      </w:r>
      <w:r>
        <w:rPr>
          <w:rFonts w:eastAsia="Times New Roman"/>
          <w:color w:val="000000"/>
          <w:sz w:val="18"/>
          <w:szCs w:val="18"/>
        </w:rPr>
        <w:t>t include the renewal option in the lease term when calculating the lease liability as the Company is not reasonably certain that it will exercise the renewal option. The present value of the lease payments is calculated using an incremental borrowing rate</w:t>
      </w:r>
      <w:r>
        <w:rPr>
          <w:rFonts w:eastAsia="Times New Roman"/>
          <w:color w:val="000000"/>
          <w:sz w:val="18"/>
          <w:szCs w:val="18"/>
        </w:rPr>
        <w:t xml:space="preserve"> of 7.02%. Lease expense is included in general and administrative and research and development expenses in the condensed consolidated statements of operations.</w:t>
      </w:r>
    </w:p>
    <w:p w:rsidR="00000000" w:rsidRDefault="00375AF8">
      <w:pPr>
        <w:ind w:firstLine="720"/>
        <w:jc w:val="both"/>
        <w:divId w:val="1685784084"/>
        <w:rPr>
          <w:rFonts w:eastAsia="Times New Roman"/>
        </w:rPr>
      </w:pPr>
      <w:r>
        <w:rPr>
          <w:rFonts w:eastAsia="Times New Roman"/>
          <w:color w:val="000000"/>
          <w:sz w:val="18"/>
          <w:szCs w:val="18"/>
        </w:rPr>
        <w:t>ROU asset and lease liabilities related to the Company's operating lease are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92"/>
        <w:gridCol w:w="37"/>
        <w:gridCol w:w="110"/>
        <w:gridCol w:w="976"/>
        <w:gridCol w:w="36"/>
      </w:tblGrid>
      <w:tr w:rsidR="00000000">
        <w:trPr>
          <w:divId w:val="964234750"/>
        </w:trPr>
        <w:tc>
          <w:tcPr>
            <w:tcW w:w="50" w:type="pct"/>
            <w:vAlign w:val="center"/>
            <w:hideMark/>
          </w:tcPr>
          <w:p w:rsidR="00000000" w:rsidRDefault="00375AF8">
            <w:pPr>
              <w:ind w:firstLine="720"/>
              <w:jc w:val="both"/>
              <w:rPr>
                <w:rFonts w:eastAsia="Times New Roman"/>
              </w:rPr>
            </w:pPr>
          </w:p>
        </w:tc>
        <w:tc>
          <w:tcPr>
            <w:tcW w:w="428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96423475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June 30,</w:t>
            </w:r>
            <w:r>
              <w:rPr>
                <w:rFonts w:eastAsia="Times New Roman"/>
                <w:b/>
                <w:bCs/>
                <w:color w:val="000000"/>
                <w:sz w:val="18"/>
                <w:szCs w:val="18"/>
              </w:rPr>
              <w:br/>
              <w:t>2022</w:t>
            </w:r>
          </w:p>
        </w:tc>
      </w:tr>
      <w:tr w:rsidR="00000000">
        <w:trPr>
          <w:divId w:val="964234750"/>
        </w:trPr>
        <w:tc>
          <w:tcPr>
            <w:tcW w:w="0" w:type="auto"/>
            <w:gridSpan w:val="3"/>
            <w:shd w:val="clear" w:color="auto" w:fill="CCEEFF"/>
            <w:tcMar>
              <w:top w:w="30" w:type="dxa"/>
              <w:left w:w="20" w:type="dxa"/>
              <w:bottom w:w="30" w:type="dxa"/>
              <w:right w:w="20" w:type="dxa"/>
            </w:tcMar>
            <w:vAlign w:val="center"/>
            <w:hideMark/>
          </w:tcPr>
          <w:p w:rsidR="00000000" w:rsidRDefault="00375AF8">
            <w:pPr>
              <w:spacing w:after="100"/>
              <w:rPr>
                <w:rFonts w:eastAsia="Times New Roman"/>
              </w:rPr>
            </w:pPr>
            <w:r>
              <w:rPr>
                <w:rFonts w:eastAsia="Times New Roman"/>
                <w:color w:val="000000"/>
                <w:sz w:val="18"/>
                <w:szCs w:val="18"/>
              </w:rPr>
              <w:t>Right-of-use asset</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375AF8">
            <w:pPr>
              <w:spacing w:after="100"/>
              <w:jc w:val="right"/>
              <w:rPr>
                <w:rFonts w:eastAsia="Times New Roman"/>
              </w:rPr>
            </w:pPr>
            <w:r>
              <w:rPr>
                <w:rFonts w:eastAsia="Times New Roman"/>
                <w:color w:val="000000"/>
                <w:sz w:val="18"/>
                <w:szCs w:val="18"/>
              </w:rPr>
              <w:t>15,437,584 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375AF8">
            <w:pPr>
              <w:spacing w:after="100"/>
              <w:jc w:val="right"/>
              <w:rPr>
                <w:rFonts w:eastAsia="Times New Roman"/>
              </w:rPr>
            </w:pPr>
          </w:p>
        </w:tc>
      </w:tr>
      <w:tr w:rsidR="00000000">
        <w:trPr>
          <w:divId w:val="964234750"/>
        </w:trPr>
        <w:tc>
          <w:tcPr>
            <w:tcW w:w="0" w:type="auto"/>
            <w:gridSpan w:val="3"/>
            <w:shd w:val="clear" w:color="auto" w:fill="FFFFFF"/>
            <w:tcMar>
              <w:top w:w="30" w:type="dxa"/>
              <w:left w:w="20" w:type="dxa"/>
              <w:bottom w:w="30" w:type="dxa"/>
              <w:right w:w="20" w:type="dxa"/>
            </w:tcMar>
            <w:vAlign w:val="center"/>
            <w:hideMark/>
          </w:tcPr>
          <w:p w:rsidR="00000000" w:rsidRDefault="00375AF8">
            <w:pPr>
              <w:spacing w:after="100"/>
              <w:rPr>
                <w:rFonts w:eastAsia="Times New Roman"/>
              </w:rPr>
            </w:pPr>
            <w:r>
              <w:rPr>
                <w:rFonts w:eastAsia="Times New Roman"/>
                <w:color w:val="000000"/>
                <w:sz w:val="18"/>
                <w:szCs w:val="18"/>
              </w:rPr>
              <w:t>Current lease liability</w:t>
            </w:r>
          </w:p>
        </w:tc>
        <w:tc>
          <w:tcPr>
            <w:tcW w:w="0" w:type="auto"/>
            <w:gridSpan w:val="2"/>
            <w:shd w:val="clear" w:color="auto" w:fill="FFFFFF"/>
            <w:tcMar>
              <w:top w:w="30" w:type="dxa"/>
              <w:left w:w="20" w:type="dxa"/>
              <w:bottom w:w="30" w:type="dxa"/>
              <w:right w:w="0" w:type="dxa"/>
            </w:tcMar>
            <w:vAlign w:val="center"/>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375AF8">
            <w:pPr>
              <w:spacing w:after="100"/>
              <w:jc w:val="right"/>
              <w:rPr>
                <w:rFonts w:eastAsia="Times New Roman"/>
              </w:rPr>
            </w:pPr>
          </w:p>
        </w:tc>
      </w:tr>
      <w:tr w:rsidR="00000000">
        <w:trPr>
          <w:divId w:val="964234750"/>
        </w:trPr>
        <w:tc>
          <w:tcPr>
            <w:tcW w:w="0" w:type="auto"/>
            <w:gridSpan w:val="3"/>
            <w:shd w:val="clear" w:color="auto" w:fill="CCEEFF"/>
            <w:tcMar>
              <w:top w:w="30" w:type="dxa"/>
              <w:left w:w="20" w:type="dxa"/>
              <w:bottom w:w="30" w:type="dxa"/>
              <w:right w:w="20" w:type="dxa"/>
            </w:tcMar>
            <w:vAlign w:val="center"/>
            <w:hideMark/>
          </w:tcPr>
          <w:p w:rsidR="00000000" w:rsidRDefault="00375AF8">
            <w:pPr>
              <w:spacing w:after="100"/>
              <w:rPr>
                <w:rFonts w:eastAsia="Times New Roman"/>
              </w:rPr>
            </w:pPr>
            <w:r>
              <w:rPr>
                <w:rFonts w:eastAsia="Times New Roman"/>
                <w:color w:val="000000"/>
                <w:sz w:val="18"/>
                <w:szCs w:val="18"/>
              </w:rPr>
              <w:t>Long-term lease liability</w:t>
            </w:r>
          </w:p>
        </w:tc>
        <w:tc>
          <w:tcPr>
            <w:tcW w:w="0" w:type="auto"/>
            <w:shd w:val="clear" w:color="auto" w:fill="CCEEFF"/>
            <w:tcMar>
              <w:top w:w="30" w:type="dxa"/>
              <w:left w:w="20" w:type="dxa"/>
              <w:bottom w:w="30" w:type="dxa"/>
              <w:right w:w="0" w:type="dxa"/>
            </w:tcMar>
            <w:vAlign w:val="center"/>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375AF8">
            <w:pPr>
              <w:spacing w:after="100"/>
              <w:jc w:val="right"/>
              <w:rPr>
                <w:rFonts w:eastAsia="Times New Roman"/>
              </w:rPr>
            </w:pPr>
            <w:r>
              <w:rPr>
                <w:rFonts w:eastAsia="Times New Roman"/>
                <w:color w:val="000000"/>
                <w:sz w:val="18"/>
                <w:szCs w:val="18"/>
              </w:rPr>
              <w:t>15,966,970 </w:t>
            </w:r>
          </w:p>
        </w:tc>
        <w:tc>
          <w:tcPr>
            <w:tcW w:w="0" w:type="auto"/>
            <w:shd w:val="clear" w:color="auto" w:fill="CCEEFF"/>
            <w:tcMar>
              <w:top w:w="30" w:type="dxa"/>
              <w:left w:w="0" w:type="dxa"/>
              <w:bottom w:w="30" w:type="dxa"/>
              <w:right w:w="20" w:type="dxa"/>
            </w:tcMar>
            <w:vAlign w:val="center"/>
            <w:hideMark/>
          </w:tcPr>
          <w:p w:rsidR="00000000" w:rsidRDefault="00375AF8">
            <w:pPr>
              <w:spacing w:after="100"/>
              <w:jc w:val="right"/>
              <w:rPr>
                <w:rFonts w:eastAsia="Times New Roman"/>
              </w:rPr>
            </w:pPr>
          </w:p>
        </w:tc>
      </w:tr>
    </w:tbl>
    <w:p w:rsidR="00000000" w:rsidRDefault="00375AF8">
      <w:pPr>
        <w:ind w:firstLine="720"/>
        <w:jc w:val="both"/>
        <w:divId w:val="1605646989"/>
        <w:rPr>
          <w:rFonts w:eastAsia="Times New Roman"/>
        </w:rPr>
      </w:pPr>
      <w:r>
        <w:rPr>
          <w:rFonts w:eastAsia="Times New Roman"/>
          <w:color w:val="000000"/>
          <w:sz w:val="18"/>
          <w:szCs w:val="18"/>
        </w:rPr>
        <w:t>The components of operating lease cost for the six months ended June 30,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93"/>
        <w:gridCol w:w="36"/>
        <w:gridCol w:w="110"/>
        <w:gridCol w:w="976"/>
        <w:gridCol w:w="36"/>
      </w:tblGrid>
      <w:tr w:rsidR="00000000">
        <w:trPr>
          <w:divId w:val="792796704"/>
        </w:trPr>
        <w:tc>
          <w:tcPr>
            <w:tcW w:w="50" w:type="pct"/>
            <w:vAlign w:val="center"/>
            <w:hideMark/>
          </w:tcPr>
          <w:p w:rsidR="00000000" w:rsidRDefault="00375AF8">
            <w:pPr>
              <w:ind w:firstLine="720"/>
              <w:jc w:val="both"/>
              <w:rPr>
                <w:rFonts w:eastAsia="Times New Roman"/>
              </w:rPr>
            </w:pPr>
          </w:p>
        </w:tc>
        <w:tc>
          <w:tcPr>
            <w:tcW w:w="428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792796704"/>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June 30,</w:t>
            </w:r>
            <w:r>
              <w:rPr>
                <w:rFonts w:eastAsia="Times New Roman"/>
                <w:b/>
                <w:bCs/>
                <w:color w:val="000000"/>
                <w:sz w:val="18"/>
                <w:szCs w:val="18"/>
              </w:rPr>
              <w:br/>
              <w:t>2022</w:t>
            </w:r>
          </w:p>
        </w:tc>
      </w:tr>
      <w:tr w:rsidR="00000000">
        <w:trPr>
          <w:divId w:val="792796704"/>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722,411 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792796704"/>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Variable lease cost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792796704"/>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Short-term lease cost</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1164005006"/>
        <w:rPr>
          <w:rFonts w:eastAsia="Times New Roman"/>
        </w:rPr>
      </w:pPr>
      <w:r>
        <w:rPr>
          <w:rFonts w:eastAsia="Times New Roman"/>
          <w:color w:val="000000"/>
          <w:sz w:val="18"/>
          <w:szCs w:val="18"/>
        </w:rPr>
        <w:t>Future minimum commitments under the non-cancelable operating lease are as follows:</w:t>
      </w:r>
    </w:p>
    <w:tbl>
      <w:tblPr>
        <w:tblW w:w="5000" w:type="pct"/>
        <w:tblCellMar>
          <w:top w:w="15" w:type="dxa"/>
          <w:left w:w="15" w:type="dxa"/>
          <w:bottom w:w="15" w:type="dxa"/>
          <w:right w:w="15" w:type="dxa"/>
        </w:tblCellMar>
        <w:tblLook w:val="04A0" w:firstRow="1" w:lastRow="0" w:firstColumn="1" w:lastColumn="0" w:noHBand="0" w:noVBand="1"/>
      </w:tblPr>
      <w:tblGrid>
        <w:gridCol w:w="55"/>
        <w:gridCol w:w="7093"/>
        <w:gridCol w:w="36"/>
        <w:gridCol w:w="110"/>
        <w:gridCol w:w="976"/>
        <w:gridCol w:w="36"/>
      </w:tblGrid>
      <w:tr w:rsidR="00000000">
        <w:trPr>
          <w:divId w:val="317266912"/>
        </w:trPr>
        <w:tc>
          <w:tcPr>
            <w:tcW w:w="50" w:type="pct"/>
            <w:vAlign w:val="center"/>
            <w:hideMark/>
          </w:tcPr>
          <w:p w:rsidR="00000000" w:rsidRDefault="00375AF8">
            <w:pPr>
              <w:ind w:firstLine="720"/>
              <w:jc w:val="both"/>
              <w:rPr>
                <w:rFonts w:eastAsia="Times New Roman"/>
              </w:rPr>
            </w:pPr>
          </w:p>
        </w:tc>
        <w:tc>
          <w:tcPr>
            <w:tcW w:w="428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31726691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2023</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1,672,886 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31726691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2024</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2,316,303 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31726691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2025</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2,316,303 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31726691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2026</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2,316,303 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317266912"/>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2027</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2,316,303 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317266912"/>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Thereafter</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12,347,235 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317266912"/>
        </w:trPr>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23,285,333 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both"/>
        <w:divId w:val="2125422633"/>
        <w:rPr>
          <w:rFonts w:eastAsia="Times New Roman"/>
        </w:rPr>
      </w:pPr>
      <w:r>
        <w:rPr>
          <w:rFonts w:eastAsia="Times New Roman"/>
          <w:b/>
          <w:bCs/>
          <w:color w:val="000000"/>
          <w:sz w:val="18"/>
          <w:szCs w:val="18"/>
        </w:rPr>
        <w:t>NOTE 6 – ACCRUED EXPENSES</w:t>
      </w:r>
    </w:p>
    <w:p w:rsidR="00000000" w:rsidRDefault="00375AF8">
      <w:pPr>
        <w:ind w:firstLine="720"/>
        <w:jc w:val="both"/>
        <w:divId w:val="940914866"/>
        <w:rPr>
          <w:rFonts w:eastAsia="Times New Roman"/>
        </w:rPr>
      </w:pPr>
      <w:r>
        <w:rPr>
          <w:rFonts w:eastAsia="Times New Roman"/>
          <w:color w:val="000000"/>
          <w:sz w:val="18"/>
          <w:szCs w:val="18"/>
        </w:rPr>
        <w:t>Accrued expenses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5922"/>
        <w:gridCol w:w="37"/>
        <w:gridCol w:w="110"/>
        <w:gridCol w:w="954"/>
        <w:gridCol w:w="36"/>
        <w:gridCol w:w="36"/>
        <w:gridCol w:w="36"/>
        <w:gridCol w:w="36"/>
        <w:gridCol w:w="110"/>
        <w:gridCol w:w="955"/>
        <w:gridCol w:w="36"/>
      </w:tblGrid>
      <w:tr w:rsidR="00000000">
        <w:trPr>
          <w:divId w:val="1076048750"/>
        </w:trPr>
        <w:tc>
          <w:tcPr>
            <w:tcW w:w="50" w:type="pct"/>
            <w:vAlign w:val="center"/>
            <w:hideMark/>
          </w:tcPr>
          <w:p w:rsidR="00000000" w:rsidRDefault="00375AF8">
            <w:pPr>
              <w:ind w:firstLine="720"/>
              <w:jc w:val="both"/>
              <w:rPr>
                <w:rFonts w:eastAsia="Times New Roman"/>
              </w:rPr>
            </w:pPr>
          </w:p>
        </w:tc>
        <w:tc>
          <w:tcPr>
            <w:tcW w:w="359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07604875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June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1076048750"/>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Payroll and bonus accrual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2,925,196 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3,764,666 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076048750"/>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Research and development accrual</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771,066 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1,795,190 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076048750"/>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Professional fees accrual</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396,563 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1,564,955 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076048750"/>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Accrued taxes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222,536 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076048750"/>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283,482 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546,464 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076048750"/>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4,598,843 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7,671,275 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287859811"/>
        <w:rPr>
          <w:rFonts w:eastAsia="Times New Roman"/>
        </w:rPr>
      </w:pPr>
      <w:r>
        <w:rPr>
          <w:rFonts w:eastAsia="Times New Roman"/>
          <w:color w:val="000000"/>
          <w:sz w:val="18"/>
          <w:szCs w:val="18"/>
        </w:rPr>
        <w:t>12</w:t>
      </w:r>
    </w:p>
    <w:p w:rsidR="00000000" w:rsidRDefault="00375AF8">
      <w:pPr>
        <w:rPr>
          <w:rFonts w:eastAsia="Times New Roman"/>
        </w:rPr>
      </w:pPr>
      <w:r>
        <w:rPr>
          <w:rFonts w:eastAsia="Times New Roman"/>
        </w:rPr>
        <w:pict>
          <v:rect id="_x0000_i1037" style="width:0;height:1.5pt" o:hralign="center" o:hrstd="t" o:hr="t" fillcolor="#a0a0a0" stroked="f"/>
        </w:pict>
      </w:r>
    </w:p>
    <w:p w:rsidR="00000000" w:rsidRDefault="00375AF8">
      <w:pPr>
        <w:divId w:val="177243387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526019237"/>
        <w:rPr>
          <w:rFonts w:eastAsia="Times New Roman"/>
        </w:rPr>
      </w:pPr>
      <w:r>
        <w:rPr>
          <w:rFonts w:eastAsia="Times New Roman"/>
          <w:b/>
          <w:bCs/>
          <w:color w:val="000000"/>
          <w:sz w:val="18"/>
          <w:szCs w:val="18"/>
        </w:rPr>
        <w:t>NOTE 7 – STOCKHOLDERS’ EQUITY AND PREFERRED STOCK</w:t>
      </w:r>
    </w:p>
    <w:p w:rsidR="00000000" w:rsidRDefault="00375AF8">
      <w:pPr>
        <w:ind w:firstLine="720"/>
        <w:jc w:val="both"/>
        <w:divId w:val="1639535264"/>
        <w:rPr>
          <w:rFonts w:eastAsia="Times New Roman"/>
        </w:rPr>
      </w:pPr>
      <w:r>
        <w:rPr>
          <w:rFonts w:eastAsia="Times New Roman"/>
          <w:color w:val="000000"/>
          <w:sz w:val="18"/>
          <w:szCs w:val="18"/>
        </w:rPr>
        <w:t>The Company’s capital structure consists of common stock and convertible preferred stock ("Pre</w:t>
      </w:r>
      <w:r>
        <w:rPr>
          <w:rFonts w:eastAsia="Times New Roman"/>
          <w:color w:val="000000"/>
          <w:sz w:val="18"/>
          <w:szCs w:val="18"/>
        </w:rPr>
        <w:t xml:space="preserve">ferred Stock"). Pursuant to the Company’s amended and restated certificate of incorporation, as amended, the Company is authorized to issue up to 125,000,000 shares of common stock and 10,000,000 shares of Preferred Stock. The Company has designated 1,250 </w:t>
      </w:r>
      <w:r>
        <w:rPr>
          <w:rFonts w:eastAsia="Times New Roman"/>
          <w:color w:val="000000"/>
          <w:sz w:val="18"/>
          <w:szCs w:val="18"/>
        </w:rPr>
        <w:t>of the 10,000,000 authorized shares of Preferred Stock as non-voting Series A Convertible Preferred Stock (“Series A Preferred Stock”).</w:t>
      </w:r>
    </w:p>
    <w:p w:rsidR="00000000" w:rsidRDefault="00375AF8">
      <w:pPr>
        <w:ind w:firstLine="720"/>
        <w:jc w:val="both"/>
        <w:divId w:val="1508444043"/>
        <w:rPr>
          <w:rFonts w:eastAsia="Times New Roman"/>
        </w:rPr>
      </w:pPr>
      <w:r>
        <w:rPr>
          <w:rFonts w:eastAsia="Times New Roman"/>
          <w:color w:val="000000"/>
          <w:sz w:val="18"/>
          <w:szCs w:val="18"/>
        </w:rPr>
        <w:t>The holders of common stock are entitled to one vote for each share held. The holders of common stock have no preemptive</w:t>
      </w:r>
      <w:r>
        <w:rPr>
          <w:rFonts w:eastAsia="Times New Roman"/>
          <w:color w:val="000000"/>
          <w:sz w:val="18"/>
          <w:szCs w:val="18"/>
        </w:rPr>
        <w:t xml:space="preserve"> or other subscription rights, and there are no redemption or sinking fund provisions with respect to such shares. Subject to preferences that may apply to any outstanding series of Preferred Stock, holders of the common stock are entitled to receive ratab</w:t>
      </w:r>
      <w:r>
        <w:rPr>
          <w:rFonts w:eastAsia="Times New Roman"/>
          <w:color w:val="000000"/>
          <w:sz w:val="18"/>
          <w:szCs w:val="18"/>
        </w:rPr>
        <w:t>ly any dividends declared on a non-cumulative basis. The common stock is subordinate to all series of Preferred Stock with respect to rights upon liquidation, winding up and dissolution of the Company. The holders of common stock are entitled to liquidatio</w:t>
      </w:r>
      <w:r>
        <w:rPr>
          <w:rFonts w:eastAsia="Times New Roman"/>
          <w:color w:val="000000"/>
          <w:sz w:val="18"/>
          <w:szCs w:val="18"/>
        </w:rPr>
        <w:t>n proceeds after all liquidation preferences for the Preferred Stock are satisfied.</w:t>
      </w:r>
    </w:p>
    <w:p w:rsidR="00000000" w:rsidRDefault="00375AF8">
      <w:pPr>
        <w:ind w:firstLine="720"/>
        <w:jc w:val="both"/>
        <w:divId w:val="1725714386"/>
        <w:rPr>
          <w:rFonts w:eastAsia="Times New Roman"/>
        </w:rPr>
      </w:pPr>
      <w:r>
        <w:rPr>
          <w:rFonts w:eastAsia="Times New Roman"/>
          <w:color w:val="000000"/>
          <w:sz w:val="18"/>
          <w:szCs w:val="18"/>
        </w:rPr>
        <w:t>In November 2020, the Company entered into a sales agreement (the “2020 ATM agreement”) with Cowen and Company, LLC (“Cowen”), under which the Company may offer and sell in</w:t>
      </w:r>
      <w:r>
        <w:rPr>
          <w:rFonts w:eastAsia="Times New Roman"/>
          <w:color w:val="000000"/>
          <w:sz w:val="18"/>
          <w:szCs w:val="18"/>
        </w:rPr>
        <w:t xml:space="preserve"> “at the market offerings,” from time to time at its sole discretion, shares of its common stock having an aggregate offering price of up to $75.0 million through Cowen acting as sales agent. As of June 30, 2022, the Company has not sold any shares of its </w:t>
      </w:r>
      <w:r>
        <w:rPr>
          <w:rFonts w:eastAsia="Times New Roman"/>
          <w:color w:val="000000"/>
          <w:sz w:val="18"/>
          <w:szCs w:val="18"/>
        </w:rPr>
        <w:t>common stock under the 2020 ATM agreement.</w:t>
      </w:r>
    </w:p>
    <w:p w:rsidR="00000000" w:rsidRDefault="00375AF8">
      <w:pPr>
        <w:ind w:firstLine="720"/>
        <w:jc w:val="both"/>
        <w:divId w:val="1515654984"/>
        <w:rPr>
          <w:rFonts w:eastAsia="Times New Roman"/>
        </w:rPr>
      </w:pPr>
      <w:r>
        <w:rPr>
          <w:rFonts w:eastAsia="Times New Roman"/>
          <w:color w:val="000000"/>
          <w:sz w:val="18"/>
          <w:szCs w:val="18"/>
        </w:rPr>
        <w:t>There were 1,250 shares of Series A Preferred Stock outstanding as of June 30, 2022 and December 31, 2021. Each share of Series A Preferred Stock is convertible into 1,000 shares of common stock at any time at the</w:t>
      </w:r>
      <w:r>
        <w:rPr>
          <w:rFonts w:eastAsia="Times New Roman"/>
          <w:color w:val="000000"/>
          <w:sz w:val="18"/>
          <w:szCs w:val="18"/>
        </w:rPr>
        <w:t xml:space="preserve"> holder’s option. However, the holder will be prohibited, subject to certain exceptions, from converting shares of Series A Preferred Stock into shares of common stock if, as a result of such conversion, the holder, together with its affiliates, would own </w:t>
      </w:r>
      <w:r>
        <w:rPr>
          <w:rFonts w:eastAsia="Times New Roman"/>
          <w:color w:val="000000"/>
          <w:sz w:val="18"/>
          <w:szCs w:val="18"/>
        </w:rPr>
        <w:t>more than, at the written election of the holder, either 9.99% or 14.99% of the total number of shares of common stock then issued and outstanding, which percentage may be changed at the holder’s election to any other number less than or equal to 19.99% up</w:t>
      </w:r>
      <w:r>
        <w:rPr>
          <w:rFonts w:eastAsia="Times New Roman"/>
          <w:color w:val="000000"/>
          <w:sz w:val="18"/>
          <w:szCs w:val="18"/>
        </w:rPr>
        <w:t>on 61 days’ notice to the Company; provided, however, that effective 61 days after delivery of such notice, such beneficial ownership limitations shall not be applicable to any holder that beneficially owns either 10.0% or 15.0%, as applicable based on the</w:t>
      </w:r>
      <w:r>
        <w:rPr>
          <w:rFonts w:eastAsia="Times New Roman"/>
          <w:color w:val="000000"/>
          <w:sz w:val="18"/>
          <w:szCs w:val="18"/>
        </w:rPr>
        <w:t xml:space="preserve"> holder’s initial written election noted above, of the total number of shares of common stock issued and outstanding immediately prior to delivery of such notice. In the event of a liquidation, dissolution, or winding up of the Company, holders of Series A</w:t>
      </w:r>
      <w:r>
        <w:rPr>
          <w:rFonts w:eastAsia="Times New Roman"/>
          <w:color w:val="000000"/>
          <w:sz w:val="18"/>
          <w:szCs w:val="18"/>
        </w:rPr>
        <w:t xml:space="preserve"> Preferred Stock will receive a payment equal to $0.001 per share of Series A Preferred Stock before any proceeds are distributed to the holders of common stock.</w:t>
      </w:r>
    </w:p>
    <w:p w:rsidR="00000000" w:rsidRDefault="00375AF8">
      <w:pPr>
        <w:ind w:firstLine="720"/>
        <w:jc w:val="both"/>
        <w:divId w:val="1299148232"/>
        <w:rPr>
          <w:rFonts w:eastAsia="Times New Roman"/>
        </w:rPr>
      </w:pPr>
      <w:r>
        <w:rPr>
          <w:rFonts w:eastAsia="Times New Roman"/>
          <w:color w:val="000000"/>
          <w:sz w:val="18"/>
          <w:szCs w:val="18"/>
        </w:rPr>
        <w:t xml:space="preserve">In March 2021, certain of the Company’s stockholders elected to convert an aggregate of 2,000 </w:t>
      </w:r>
      <w:r>
        <w:rPr>
          <w:rFonts w:eastAsia="Times New Roman"/>
          <w:color w:val="000000"/>
          <w:sz w:val="18"/>
          <w:szCs w:val="18"/>
        </w:rPr>
        <w:t>shares of Series A Preferred Stock owned by such holders into an aggregate of 2,000,000 shares of the Company’s common stock.</w:t>
      </w:r>
    </w:p>
    <w:p w:rsidR="00000000" w:rsidRDefault="00375AF8">
      <w:pPr>
        <w:jc w:val="both"/>
        <w:divId w:val="695496770"/>
        <w:rPr>
          <w:rFonts w:eastAsia="Times New Roman"/>
        </w:rPr>
      </w:pPr>
      <w:r>
        <w:rPr>
          <w:rFonts w:eastAsia="Times New Roman"/>
          <w:b/>
          <w:bCs/>
          <w:color w:val="000000"/>
          <w:sz w:val="18"/>
          <w:szCs w:val="18"/>
        </w:rPr>
        <w:t>Dividends</w:t>
      </w:r>
    </w:p>
    <w:p w:rsidR="00000000" w:rsidRDefault="00375AF8">
      <w:pPr>
        <w:ind w:firstLine="720"/>
        <w:jc w:val="both"/>
        <w:divId w:val="778915867"/>
        <w:rPr>
          <w:rFonts w:eastAsia="Times New Roman"/>
        </w:rPr>
      </w:pPr>
      <w:r>
        <w:rPr>
          <w:rFonts w:eastAsia="Times New Roman"/>
          <w:color w:val="000000"/>
          <w:sz w:val="18"/>
          <w:szCs w:val="18"/>
        </w:rPr>
        <w:t>Holders of Series A preferred stock are entitled to receive dividends at a rate equal to (on an as-if-converted-to-commo</w:t>
      </w:r>
      <w:r>
        <w:rPr>
          <w:rFonts w:eastAsia="Times New Roman"/>
          <w:color w:val="000000"/>
          <w:sz w:val="18"/>
          <w:szCs w:val="18"/>
        </w:rPr>
        <w:t>n stock basis), and in the same form and manner as, dividends (other than dividends in the form of the issuance of common stock) actually paid on shares of common stock. No dividends on the common stock shall be declared and paid unless dividends on the Pr</w:t>
      </w:r>
      <w:r>
        <w:rPr>
          <w:rFonts w:eastAsia="Times New Roman"/>
          <w:color w:val="000000"/>
          <w:sz w:val="18"/>
          <w:szCs w:val="18"/>
        </w:rPr>
        <w:t>eferred Stock have been declared and paid. Through June 30, 2022, the Company has not declared any dividends.</w:t>
      </w:r>
    </w:p>
    <w:p w:rsidR="00000000" w:rsidRDefault="00375AF8">
      <w:pPr>
        <w:jc w:val="both"/>
        <w:divId w:val="872695948"/>
        <w:rPr>
          <w:rFonts w:eastAsia="Times New Roman"/>
        </w:rPr>
      </w:pPr>
      <w:r>
        <w:rPr>
          <w:rFonts w:eastAsia="Times New Roman"/>
          <w:b/>
          <w:bCs/>
          <w:color w:val="000000"/>
          <w:sz w:val="18"/>
          <w:szCs w:val="18"/>
        </w:rPr>
        <w:t>NOTE 8 – STOCK-BASED COMPENSATION</w:t>
      </w:r>
    </w:p>
    <w:p w:rsidR="00000000" w:rsidRDefault="00375AF8">
      <w:pPr>
        <w:ind w:firstLine="720"/>
        <w:jc w:val="both"/>
        <w:divId w:val="1103645311"/>
        <w:rPr>
          <w:rFonts w:eastAsia="Times New Roman"/>
        </w:rPr>
      </w:pPr>
      <w:r>
        <w:rPr>
          <w:rFonts w:eastAsia="Times New Roman"/>
          <w:color w:val="000000"/>
          <w:sz w:val="18"/>
          <w:szCs w:val="18"/>
        </w:rPr>
        <w:t xml:space="preserve">The Company's Board of Directors adopted and the Company's stockholders approved the 2017 Equity Incentive Plan </w:t>
      </w:r>
      <w:r>
        <w:rPr>
          <w:rFonts w:eastAsia="Times New Roman"/>
          <w:color w:val="000000"/>
          <w:sz w:val="18"/>
          <w:szCs w:val="18"/>
        </w:rPr>
        <w:t>(“2017 Plan”), which became effective immediately on May 4, 2017. The initial reserve of shares of common stock under the 2017 Plan was 3,052,059 shares. The 2017 Plan provides for the grant of incentive stock options, non-statutory stock options, restrict</w:t>
      </w:r>
      <w:r>
        <w:rPr>
          <w:rFonts w:eastAsia="Times New Roman"/>
          <w:color w:val="000000"/>
          <w:sz w:val="18"/>
          <w:szCs w:val="18"/>
        </w:rPr>
        <w:t>ed stock awards, restricted stock unit awards, stock appreciation rights, performance-based stock awards, and other forms of stock-based awards. Additionally, the 2017 Plan provides for the grant of performance cash awards. The Company's employees, officer</w:t>
      </w:r>
      <w:r>
        <w:rPr>
          <w:rFonts w:eastAsia="Times New Roman"/>
          <w:color w:val="000000"/>
          <w:sz w:val="18"/>
          <w:szCs w:val="18"/>
        </w:rPr>
        <w:t>s, directors and consultants and advisors are eligible to receive awards under the 2017 Plan. Following the adoption of the 2017 Plan, no further awards will be granted under the Company’s prior plan. Pursuant to the terms of the 2017 Plan, on each January</w:t>
      </w:r>
      <w:r>
        <w:rPr>
          <w:rFonts w:eastAsia="Times New Roman"/>
          <w:color w:val="000000"/>
          <w:sz w:val="18"/>
          <w:szCs w:val="18"/>
        </w:rPr>
        <w:t xml:space="preserve"> 1st, the plan limit shall be increased by the lesser of (x) 5% of the number of shares of common stock outstanding as of the immediately preceding December 31 and (y) such lesser number as the Board of Directors may determine in its discretion. On January</w:t>
      </w:r>
      <w:r>
        <w:rPr>
          <w:rFonts w:eastAsia="Times New Roman"/>
          <w:color w:val="000000"/>
          <w:sz w:val="18"/>
          <w:szCs w:val="18"/>
        </w:rPr>
        <w:t> 1, 2022 and January 1, 2021, respectively, an additional 1,000,000 and 3,287,158 shares were reserved for issuance under the 2017 Plan. As of June 30, 2022, there were 2,706,415 shares of the Company’s common stock reserved and available for issuance unde</w:t>
      </w:r>
      <w:r>
        <w:rPr>
          <w:rFonts w:eastAsia="Times New Roman"/>
          <w:color w:val="000000"/>
          <w:sz w:val="18"/>
          <w:szCs w:val="18"/>
        </w:rPr>
        <w:t xml:space="preserve">r the 2017 Plan. </w:t>
      </w:r>
    </w:p>
    <w:p w:rsidR="00000000" w:rsidRDefault="00375AF8">
      <w:pPr>
        <w:ind w:firstLine="720"/>
        <w:jc w:val="both"/>
        <w:divId w:val="938930"/>
        <w:rPr>
          <w:rFonts w:eastAsia="Times New Roman"/>
        </w:rPr>
      </w:pPr>
      <w:r>
        <w:rPr>
          <w:rFonts w:eastAsia="Times New Roman"/>
          <w:color w:val="000000"/>
          <w:sz w:val="18"/>
          <w:szCs w:val="18"/>
        </w:rPr>
        <w:t xml:space="preserve">The Company's Board of Directors adopted, and the Company's stockholders approved the 2017 Employee Stock Purchase Plan (the “2017 ESPP”), which became effective immediately prior to the execution of the underwriting agreement related to </w:t>
      </w:r>
      <w:r>
        <w:rPr>
          <w:rFonts w:eastAsia="Times New Roman"/>
          <w:color w:val="000000"/>
          <w:sz w:val="18"/>
          <w:szCs w:val="18"/>
        </w:rPr>
        <w:t>the Company’s initial public offering on May 4, 2017. The 2017 ESPP allows employees to purchase common stock of the Company at a 15% discount to the market price on designated semi-annual purchase dates. During the three months ended June 30, 2022 and 202</w:t>
      </w:r>
      <w:r>
        <w:rPr>
          <w:rFonts w:eastAsia="Times New Roman"/>
          <w:color w:val="000000"/>
          <w:sz w:val="18"/>
          <w:szCs w:val="18"/>
        </w:rPr>
        <w:t>1, no shares were purchased under the 2017 ESPP, and the Company recorded expense of $20,176 and $37,849, respectively. During the six months ended June 30, 2022 and 2021, 38,583 and 34,256 shares, respectively, were purchased under the 2017 ESPP and the C</w:t>
      </w:r>
      <w:r>
        <w:rPr>
          <w:rFonts w:eastAsia="Times New Roman"/>
          <w:color w:val="000000"/>
          <w:sz w:val="18"/>
          <w:szCs w:val="18"/>
        </w:rPr>
        <w:t>ompany recorded expense of $41,195 and $56,636, respectively. The initial reserve of shares of common stock that may be issued under the 2017 ESPP was 279,069 shares. The number of shares of common stock reserved for issuance under the 2017 ESPP will autom</w:t>
      </w:r>
      <w:r>
        <w:rPr>
          <w:rFonts w:eastAsia="Times New Roman"/>
          <w:color w:val="000000"/>
          <w:sz w:val="18"/>
          <w:szCs w:val="18"/>
        </w:rPr>
        <w:t xml:space="preserve">atically increase on January 1 of each year, beginning on January 1, 2018 and continuing through and including January 1, 2027, by the lesser of (i) 1% of the total number of shares of the Company’s common stock outstanding on December 31 of the preceding </w:t>
      </w:r>
      <w:r>
        <w:rPr>
          <w:rFonts w:eastAsia="Times New Roman"/>
          <w:color w:val="000000"/>
          <w:sz w:val="18"/>
          <w:szCs w:val="18"/>
        </w:rPr>
        <w:t xml:space="preserve">calendar year, (ii) 550,000 shares or (iii) such lesser number of shares determined by our Board. The Board acted prior to each of January 1, 2021 and January 1, 2022 to provide that there be no increase in the number of shares reserved for issuance under </w:t>
      </w:r>
      <w:r>
        <w:rPr>
          <w:rFonts w:eastAsia="Times New Roman"/>
          <w:color w:val="000000"/>
          <w:sz w:val="18"/>
          <w:szCs w:val="18"/>
        </w:rPr>
        <w:t>the 2017 ESPP on either such date. As of June 30, 2022, there were 454,479 shares of the Company’s common stock reserved for issuance under the 2017 ESPP.</w:t>
      </w:r>
    </w:p>
    <w:p w:rsidR="00000000" w:rsidRDefault="00375AF8">
      <w:pPr>
        <w:jc w:val="center"/>
        <w:divId w:val="1713191060"/>
        <w:rPr>
          <w:rFonts w:eastAsia="Times New Roman"/>
        </w:rPr>
      </w:pPr>
      <w:r>
        <w:rPr>
          <w:rFonts w:eastAsia="Times New Roman"/>
          <w:color w:val="000000"/>
          <w:sz w:val="18"/>
          <w:szCs w:val="18"/>
        </w:rPr>
        <w:t>13</w:t>
      </w:r>
    </w:p>
    <w:p w:rsidR="00000000" w:rsidRDefault="00375AF8">
      <w:pPr>
        <w:rPr>
          <w:rFonts w:eastAsia="Times New Roman"/>
        </w:rPr>
      </w:pPr>
      <w:r>
        <w:rPr>
          <w:rFonts w:eastAsia="Times New Roman"/>
        </w:rPr>
        <w:pict>
          <v:rect id="_x0000_i1038" style="width:0;height:1.5pt" o:hralign="center" o:hrstd="t" o:hr="t" fillcolor="#a0a0a0" stroked="f"/>
        </w:pict>
      </w:r>
    </w:p>
    <w:p w:rsidR="00000000" w:rsidRDefault="00375AF8">
      <w:pPr>
        <w:divId w:val="2063599343"/>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597182081"/>
        <w:rPr>
          <w:rFonts w:eastAsia="Times New Roman"/>
        </w:rPr>
      </w:pPr>
      <w:r>
        <w:rPr>
          <w:rFonts w:eastAsia="Times New Roman"/>
          <w:color w:val="000000"/>
          <w:sz w:val="18"/>
          <w:szCs w:val="18"/>
        </w:rPr>
        <w:t>Unless specified otherwise in an individual option agreement, stock options granted under the prior plan and the 2017 Plan generally have a ten-year term and a four-year graded ves</w:t>
      </w:r>
      <w:r>
        <w:rPr>
          <w:rFonts w:eastAsia="Times New Roman"/>
          <w:color w:val="000000"/>
          <w:sz w:val="18"/>
          <w:szCs w:val="18"/>
        </w:rPr>
        <w:t>ting period. The vesting requirement is generally conditioned upon the grantee’s continued service with the Company during the vesting period. Once vested, all awards are exercisable from the date of grant until they expire. The option grants are non-trans</w:t>
      </w:r>
      <w:r>
        <w:rPr>
          <w:rFonts w:eastAsia="Times New Roman"/>
          <w:color w:val="000000"/>
          <w:sz w:val="18"/>
          <w:szCs w:val="18"/>
        </w:rPr>
        <w:t>ferable. Vested options generally remain exercisable for 90 days subsequent to the termination of the option holder’s service with the Company. In the event of option holder’s death or disability while employed by or providing service to the Company, the e</w:t>
      </w:r>
      <w:r>
        <w:rPr>
          <w:rFonts w:eastAsia="Times New Roman"/>
          <w:color w:val="000000"/>
          <w:sz w:val="18"/>
          <w:szCs w:val="18"/>
        </w:rPr>
        <w:t>xercisable period extends to 12 months.</w:t>
      </w:r>
    </w:p>
    <w:p w:rsidR="00000000" w:rsidRDefault="00375AF8">
      <w:pPr>
        <w:ind w:firstLine="720"/>
        <w:jc w:val="both"/>
        <w:divId w:val="1352995434"/>
        <w:rPr>
          <w:rFonts w:eastAsia="Times New Roman"/>
        </w:rPr>
      </w:pPr>
      <w:r>
        <w:rPr>
          <w:rFonts w:eastAsia="Times New Roman"/>
          <w:color w:val="000000"/>
          <w:sz w:val="18"/>
          <w:szCs w:val="18"/>
        </w:rPr>
        <w:t>Performance-based option awards generally have similar terms, with vesting commencing on the date the performance condition is achieved and expire in accordance with the specific terms of the agreement. At June 30, 2</w:t>
      </w:r>
      <w:r>
        <w:rPr>
          <w:rFonts w:eastAsia="Times New Roman"/>
          <w:color w:val="000000"/>
          <w:sz w:val="18"/>
          <w:szCs w:val="18"/>
        </w:rPr>
        <w:t xml:space="preserve">022, there were 150,000 performance-based options outstanding and unvested that include options to be granted upon the achievement of certain research and development milestones. </w:t>
      </w:r>
    </w:p>
    <w:p w:rsidR="00000000" w:rsidRDefault="00375AF8">
      <w:pPr>
        <w:ind w:firstLine="720"/>
        <w:jc w:val="both"/>
        <w:divId w:val="1888374043"/>
        <w:rPr>
          <w:rFonts w:eastAsia="Times New Roman"/>
        </w:rPr>
      </w:pPr>
      <w:r>
        <w:rPr>
          <w:rFonts w:eastAsia="Times New Roman"/>
          <w:color w:val="000000"/>
          <w:sz w:val="18"/>
          <w:szCs w:val="18"/>
        </w:rPr>
        <w:t>The fair value of options granted during the three and six months ended June</w:t>
      </w:r>
      <w:r>
        <w:rPr>
          <w:rFonts w:eastAsia="Times New Roman"/>
          <w:color w:val="000000"/>
          <w:sz w:val="18"/>
          <w:szCs w:val="18"/>
        </w:rPr>
        <w:t> 30, 2022 and 2021 was estimated using the Black-Scholes option valuation model. The inputs for the Black-Scholes option valuation model require significant assumptions that are detailed in the table below. The risk-free interest rates were based on the ra</w:t>
      </w:r>
      <w:r>
        <w:rPr>
          <w:rFonts w:eastAsia="Times New Roman"/>
          <w:color w:val="000000"/>
          <w:sz w:val="18"/>
          <w:szCs w:val="18"/>
        </w:rPr>
        <w:t>te for U.S. Treasury securities at the date of grant with maturity dates approximately equal to the expected life at the grant date. The expected life was based on the simplified method in accordance with the SEC Staff Accounting Bulletin No. Topic 14D. Th</w:t>
      </w:r>
      <w:r>
        <w:rPr>
          <w:rFonts w:eastAsia="Times New Roman"/>
          <w:color w:val="000000"/>
          <w:sz w:val="18"/>
          <w:szCs w:val="18"/>
        </w:rPr>
        <w:t xml:space="preserve">e expected volatility was estimated based on historical volatility information of peer companies that are publicly available. </w:t>
      </w:r>
    </w:p>
    <w:p w:rsidR="00000000" w:rsidRDefault="00375AF8">
      <w:pPr>
        <w:ind w:firstLine="720"/>
        <w:jc w:val="both"/>
        <w:divId w:val="369575549"/>
        <w:rPr>
          <w:rFonts w:eastAsia="Times New Roman"/>
        </w:rPr>
      </w:pPr>
      <w:r>
        <w:rPr>
          <w:rFonts w:eastAsia="Times New Roman"/>
          <w:color w:val="000000"/>
          <w:sz w:val="18"/>
          <w:szCs w:val="18"/>
        </w:rPr>
        <w:t xml:space="preserve">All assumptions used to calculate the grant date fair value of nonemployee options are generally consistent with the assumptions </w:t>
      </w:r>
      <w:r>
        <w:rPr>
          <w:rFonts w:eastAsia="Times New Roman"/>
          <w:color w:val="000000"/>
          <w:sz w:val="18"/>
          <w:szCs w:val="18"/>
        </w:rPr>
        <w:t>used for options granted to employees. In the event the Company terminates any of its consulting agreements, the unvested options underlying the agreements would also be canceled.</w:t>
      </w:r>
    </w:p>
    <w:p w:rsidR="00000000" w:rsidRDefault="00375AF8">
      <w:pPr>
        <w:ind w:firstLine="720"/>
        <w:jc w:val="both"/>
        <w:divId w:val="1446577070"/>
        <w:rPr>
          <w:rFonts w:eastAsia="Times New Roman"/>
        </w:rPr>
      </w:pPr>
      <w:r>
        <w:rPr>
          <w:rFonts w:eastAsia="Times New Roman"/>
          <w:color w:val="000000"/>
          <w:sz w:val="18"/>
          <w:szCs w:val="18"/>
        </w:rPr>
        <w:t>The Company did not grant any stock options to nonemployee consultants for s</w:t>
      </w:r>
      <w:r>
        <w:rPr>
          <w:rFonts w:eastAsia="Times New Roman"/>
          <w:color w:val="000000"/>
          <w:sz w:val="18"/>
          <w:szCs w:val="18"/>
        </w:rPr>
        <w:t>ervices rendered during the three months ended June 30, 2022 and 2021. The Company granted no stock options to nonemployee consultants for services rendered during the six months ended June 30, 2022, and 170,000 during the six months ended June 30, 2021. T</w:t>
      </w:r>
      <w:r>
        <w:rPr>
          <w:rFonts w:eastAsia="Times New Roman"/>
          <w:color w:val="000000"/>
          <w:sz w:val="18"/>
          <w:szCs w:val="18"/>
        </w:rPr>
        <w:t>here were 130,834 and 191,875 unvested nonemployee options outstanding as of June 30, 2022 and 2021, respectively. Total expense recognized related to nonemployee stock options for the three months ended June 30, 2022 and 2021, was $160,337 and $55,310, re</w:t>
      </w:r>
      <w:r>
        <w:rPr>
          <w:rFonts w:eastAsia="Times New Roman"/>
          <w:color w:val="000000"/>
          <w:sz w:val="18"/>
          <w:szCs w:val="18"/>
        </w:rPr>
        <w:t>spectively. Total expense recognized related to nonemployee stock options for the six months ended June 30, 2022 and 2021 was $355,107 and $91,000, respectively. Total unrecognized compensation expenses related to the nonemployee stock options was $1.1 mil</w:t>
      </w:r>
      <w:r>
        <w:rPr>
          <w:rFonts w:eastAsia="Times New Roman"/>
          <w:color w:val="000000"/>
          <w:sz w:val="18"/>
          <w:szCs w:val="18"/>
        </w:rPr>
        <w:t>lion as of June 30, 2022. The Company did not recognize any expense for nonemployee performance-based option awards during the three months or six months ended June 30, 2022 or 2021.</w:t>
      </w:r>
    </w:p>
    <w:p w:rsidR="00000000" w:rsidRDefault="00375AF8">
      <w:pPr>
        <w:ind w:firstLine="720"/>
        <w:jc w:val="both"/>
        <w:divId w:val="1049963770"/>
        <w:rPr>
          <w:rFonts w:eastAsia="Times New Roman"/>
        </w:rPr>
      </w:pPr>
      <w:r>
        <w:rPr>
          <w:rFonts w:eastAsia="Times New Roman"/>
          <w:color w:val="000000"/>
          <w:sz w:val="18"/>
          <w:szCs w:val="18"/>
        </w:rPr>
        <w:t>The Company granted 2,426,750 and 363,000 stock options to employees duri</w:t>
      </w:r>
      <w:r>
        <w:rPr>
          <w:rFonts w:eastAsia="Times New Roman"/>
          <w:color w:val="000000"/>
          <w:sz w:val="18"/>
          <w:szCs w:val="18"/>
        </w:rPr>
        <w:t>ng the three months ended June 30, 2022 and 2021, respectively. The Company granted 4,296,355 and 1,006,600 stock options to employees during the six months ended June 30, 2022 and 2021 respectively. There were 7,354,964 and 4,749,550 unvested employee opt</w:t>
      </w:r>
      <w:r>
        <w:rPr>
          <w:rFonts w:eastAsia="Times New Roman"/>
          <w:color w:val="000000"/>
          <w:sz w:val="18"/>
          <w:szCs w:val="18"/>
        </w:rPr>
        <w:t>ions outstanding as of June 30, 2022, and 2021, respectively. Total expense recognized related to the employee stock options for the three months ended June 30, 2022 and 2021 was $1.5 million and $1.2 million, respectively. Total expense recognized related</w:t>
      </w:r>
      <w:r>
        <w:rPr>
          <w:rFonts w:eastAsia="Times New Roman"/>
          <w:color w:val="000000"/>
          <w:sz w:val="18"/>
          <w:szCs w:val="18"/>
        </w:rPr>
        <w:t xml:space="preserve"> to the employee stock options for the six months ended June 30, 2022 and 2021 was $2.6 million and $2.4 million, respectively. Total unrecognized compensation expense related to employee stock options was $14.3 million as of June 30, 2022. During the thre</w:t>
      </w:r>
      <w:r>
        <w:rPr>
          <w:rFonts w:eastAsia="Times New Roman"/>
          <w:color w:val="000000"/>
          <w:sz w:val="18"/>
          <w:szCs w:val="18"/>
        </w:rPr>
        <w:t>e and six months ended June 30, 2022 and 2021, the Company did not recognize any expense for employee performance-based option awards.</w:t>
      </w:r>
    </w:p>
    <w:p w:rsidR="00000000" w:rsidRDefault="00375AF8">
      <w:pPr>
        <w:ind w:firstLine="720"/>
        <w:jc w:val="both"/>
        <w:divId w:val="267812767"/>
        <w:rPr>
          <w:rFonts w:eastAsia="Times New Roman"/>
        </w:rPr>
      </w:pPr>
      <w:r>
        <w:rPr>
          <w:rFonts w:eastAsia="Times New Roman"/>
          <w:color w:val="000000"/>
          <w:sz w:val="18"/>
          <w:szCs w:val="18"/>
        </w:rPr>
        <w:t>The Company’s stock-based compensation expense was recognized in operating expense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90"/>
        <w:gridCol w:w="37"/>
        <w:gridCol w:w="110"/>
        <w:gridCol w:w="933"/>
        <w:gridCol w:w="36"/>
        <w:gridCol w:w="36"/>
        <w:gridCol w:w="36"/>
        <w:gridCol w:w="36"/>
        <w:gridCol w:w="110"/>
        <w:gridCol w:w="933"/>
        <w:gridCol w:w="36"/>
        <w:gridCol w:w="36"/>
        <w:gridCol w:w="36"/>
        <w:gridCol w:w="36"/>
        <w:gridCol w:w="110"/>
        <w:gridCol w:w="933"/>
        <w:gridCol w:w="36"/>
        <w:gridCol w:w="36"/>
        <w:gridCol w:w="36"/>
        <w:gridCol w:w="36"/>
        <w:gridCol w:w="110"/>
        <w:gridCol w:w="934"/>
        <w:gridCol w:w="36"/>
      </w:tblGrid>
      <w:tr w:rsidR="00000000">
        <w:trPr>
          <w:divId w:val="1935046849"/>
        </w:trPr>
        <w:tc>
          <w:tcPr>
            <w:tcW w:w="50" w:type="pct"/>
            <w:vAlign w:val="center"/>
            <w:hideMark/>
          </w:tcPr>
          <w:p w:rsidR="00000000" w:rsidRDefault="00375AF8">
            <w:pPr>
              <w:ind w:firstLine="720"/>
              <w:jc w:val="both"/>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935046849"/>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rPr>
          <w:divId w:val="1935046849"/>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rPr>
          <w:divId w:val="193504684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Research and development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387,384 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430,638 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782,876 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888,673 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935046849"/>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1,332,833 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826,707 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2,262,153 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1,688,673 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935046849"/>
        </w:trPr>
        <w:tc>
          <w:tcPr>
            <w:tcW w:w="0" w:type="auto"/>
            <w:gridSpan w:val="3"/>
            <w:shd w:val="clear" w:color="auto" w:fill="CCEEFF"/>
            <w:tcMar>
              <w:top w:w="30" w:type="dxa"/>
              <w:left w:w="167" w:type="dxa"/>
              <w:bottom w:w="30" w:type="dxa"/>
              <w:right w:w="20" w:type="dxa"/>
            </w:tcMar>
            <w:hideMark/>
          </w:tcPr>
          <w:p w:rsidR="00000000" w:rsidRDefault="00375AF8">
            <w:pPr>
              <w:spacing w:after="100"/>
              <w:rPr>
                <w:rFonts w:eastAsia="Times New Roman"/>
              </w:rPr>
            </w:pPr>
            <w:r>
              <w:rPr>
                <w:rFonts w:eastAsia="Times New Roman"/>
                <w:color w:val="000000"/>
                <w:sz w:val="18"/>
                <w:szCs w:val="18"/>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1,720,217 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1,257,345 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3,045,029 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2,577,346 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682"/>
        <w:gridCol w:w="144"/>
        <w:gridCol w:w="144"/>
        <w:gridCol w:w="1003"/>
        <w:gridCol w:w="144"/>
        <w:gridCol w:w="144"/>
        <w:gridCol w:w="144"/>
        <w:gridCol w:w="144"/>
        <w:gridCol w:w="144"/>
        <w:gridCol w:w="1003"/>
        <w:gridCol w:w="144"/>
        <w:gridCol w:w="144"/>
        <w:gridCol w:w="144"/>
        <w:gridCol w:w="144"/>
        <w:gridCol w:w="144"/>
        <w:gridCol w:w="1003"/>
        <w:gridCol w:w="144"/>
        <w:gridCol w:w="144"/>
        <w:gridCol w:w="144"/>
        <w:gridCol w:w="144"/>
        <w:gridCol w:w="144"/>
        <w:gridCol w:w="1003"/>
        <w:gridCol w:w="144"/>
      </w:tblGrid>
      <w:tr w:rsidR="00000000">
        <w:tc>
          <w:tcPr>
            <w:tcW w:w="50" w:type="pct"/>
            <w:vAlign w:val="center"/>
            <w:hideMark/>
          </w:tcPr>
          <w:p w:rsidR="00000000" w:rsidRDefault="00375AF8">
            <w:pPr>
              <w:jc w:val="both"/>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Stock options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1,700,041 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1,219,496 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3,003,834 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2,520,710 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20,176 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37,849 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41,195 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56,636 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1,720,217 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1,257,345 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3,045,029 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2,577,346 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5333719"/>
        <w:rPr>
          <w:rFonts w:eastAsia="Times New Roman"/>
        </w:rPr>
      </w:pPr>
      <w:r>
        <w:rPr>
          <w:rFonts w:eastAsia="Times New Roman"/>
          <w:color w:val="000000"/>
          <w:sz w:val="18"/>
          <w:szCs w:val="18"/>
        </w:rPr>
        <w:t>14</w:t>
      </w:r>
    </w:p>
    <w:p w:rsidR="00000000" w:rsidRDefault="00375AF8">
      <w:pPr>
        <w:rPr>
          <w:rFonts w:eastAsia="Times New Roman"/>
        </w:rPr>
      </w:pPr>
      <w:r>
        <w:rPr>
          <w:rFonts w:eastAsia="Times New Roman"/>
        </w:rPr>
        <w:pict>
          <v:rect id="_x0000_i1039" style="width:0;height:1.5pt" o:hralign="center" o:hrstd="t" o:hr="t" fillcolor="#a0a0a0" stroked="f"/>
        </w:pict>
      </w:r>
    </w:p>
    <w:p w:rsidR="00000000" w:rsidRDefault="00375AF8">
      <w:pPr>
        <w:divId w:val="34370262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598833143"/>
        <w:rPr>
          <w:rFonts w:eastAsia="Times New Roman"/>
        </w:rPr>
      </w:pPr>
      <w:r>
        <w:rPr>
          <w:rFonts w:eastAsia="Times New Roman"/>
          <w:color w:val="000000"/>
          <w:sz w:val="18"/>
          <w:szCs w:val="18"/>
        </w:rPr>
        <w:t>The fair value of employee options granted during the three and six months ended June 30, 2022 and 2021 was estimated by utilizing the following assumptions: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445"/>
        <w:gridCol w:w="36"/>
        <w:gridCol w:w="111"/>
        <w:gridCol w:w="866"/>
        <w:gridCol w:w="171"/>
        <w:gridCol w:w="36"/>
        <w:gridCol w:w="36"/>
        <w:gridCol w:w="36"/>
        <w:gridCol w:w="111"/>
        <w:gridCol w:w="738"/>
        <w:gridCol w:w="171"/>
        <w:gridCol w:w="36"/>
        <w:gridCol w:w="36"/>
        <w:gridCol w:w="36"/>
        <w:gridCol w:w="111"/>
        <w:gridCol w:w="866"/>
        <w:gridCol w:w="171"/>
        <w:gridCol w:w="36"/>
        <w:gridCol w:w="36"/>
        <w:gridCol w:w="36"/>
        <w:gridCol w:w="111"/>
        <w:gridCol w:w="866"/>
        <w:gridCol w:w="171"/>
      </w:tblGrid>
      <w:tr w:rsidR="00000000">
        <w:trPr>
          <w:divId w:val="360666574"/>
        </w:trPr>
        <w:tc>
          <w:tcPr>
            <w:tcW w:w="50" w:type="pct"/>
            <w:vAlign w:val="center"/>
            <w:hideMark/>
          </w:tcPr>
          <w:p w:rsidR="00000000" w:rsidRDefault="00375AF8">
            <w:pPr>
              <w:ind w:firstLine="720"/>
              <w:jc w:val="both"/>
              <w:rPr>
                <w:rFonts w:eastAsia="Times New Roman"/>
              </w:rPr>
            </w:pPr>
          </w:p>
        </w:tc>
        <w:tc>
          <w:tcPr>
            <w:tcW w:w="221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360666574"/>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rPr>
          <w:divId w:val="360666574"/>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rPr>
          <w:divId w:val="360666574"/>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p>
          <w:p w:rsidR="00000000" w:rsidRDefault="00375AF8">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p>
          <w:p w:rsidR="00000000" w:rsidRDefault="00375AF8">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r>
      <w:tr w:rsidR="00000000">
        <w:trPr>
          <w:divId w:val="360666574"/>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Volatility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87.20 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86.13 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87.20 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81.72 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r>
      <w:tr w:rsidR="00000000">
        <w:trPr>
          <w:divId w:val="360666574"/>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Expected term in years</w:t>
            </w:r>
          </w:p>
        </w:tc>
        <w:tc>
          <w:tcPr>
            <w:tcW w:w="0" w:type="auto"/>
            <w:gridSpan w:val="3"/>
            <w:shd w:val="clear" w:color="auto" w:fill="FFFFFF"/>
            <w:tcMar>
              <w:top w:w="30" w:type="dxa"/>
              <w:left w:w="20" w:type="dxa"/>
              <w:bottom w:w="30" w:type="dxa"/>
              <w:right w:w="260" w:type="dxa"/>
            </w:tcMar>
            <w:vAlign w:val="bottom"/>
            <w:hideMark/>
          </w:tcPr>
          <w:p w:rsidR="00000000" w:rsidRDefault="00375AF8">
            <w:pPr>
              <w:spacing w:after="100"/>
              <w:jc w:val="right"/>
              <w:rPr>
                <w:rFonts w:eastAsia="Times New Roman"/>
              </w:rPr>
            </w:pPr>
            <w:r>
              <w:rPr>
                <w:rFonts w:eastAsia="Times New Roman"/>
                <w:color w:val="000000"/>
                <w:sz w:val="18"/>
                <w:szCs w:val="18"/>
              </w:rPr>
              <w:t>6.08</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375AF8">
            <w:pPr>
              <w:spacing w:after="100"/>
              <w:jc w:val="right"/>
              <w:rPr>
                <w:rFonts w:eastAsia="Times New Roman"/>
              </w:rPr>
            </w:pPr>
            <w:r>
              <w:rPr>
                <w:rFonts w:eastAsia="Times New Roman"/>
                <w:color w:val="000000"/>
                <w:sz w:val="18"/>
                <w:szCs w:val="18"/>
              </w:rPr>
              <w:t>5.91</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375AF8">
            <w:pPr>
              <w:spacing w:after="100"/>
              <w:jc w:val="right"/>
              <w:rPr>
                <w:rFonts w:eastAsia="Times New Roman"/>
              </w:rPr>
            </w:pPr>
            <w:r>
              <w:rPr>
                <w:rFonts w:eastAsia="Times New Roman"/>
                <w:color w:val="000000"/>
                <w:sz w:val="18"/>
                <w:szCs w:val="18"/>
              </w:rPr>
              <w:t>6.08</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375AF8">
            <w:pPr>
              <w:spacing w:after="100"/>
              <w:jc w:val="right"/>
              <w:rPr>
                <w:rFonts w:eastAsia="Times New Roman"/>
              </w:rPr>
            </w:pPr>
            <w:r>
              <w:rPr>
                <w:rFonts w:eastAsia="Times New Roman"/>
                <w:color w:val="000000"/>
                <w:sz w:val="18"/>
                <w:szCs w:val="18"/>
              </w:rPr>
              <w:t>6.04</w:t>
            </w:r>
          </w:p>
        </w:tc>
      </w:tr>
      <w:tr w:rsidR="00000000">
        <w:trPr>
          <w:divId w:val="360666574"/>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Dividend rate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r>
      <w:tr w:rsidR="00000000">
        <w:trPr>
          <w:divId w:val="360666574"/>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0.99 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2.16 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0.73 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r>
      <w:tr w:rsidR="00000000">
        <w:trPr>
          <w:divId w:val="360666574"/>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Fair value of option on grant date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1669091778"/>
        <w:rPr>
          <w:rFonts w:eastAsia="Times New Roman"/>
        </w:rPr>
      </w:pPr>
      <w:r>
        <w:rPr>
          <w:rFonts w:eastAsia="Times New Roman"/>
          <w:color w:val="000000"/>
          <w:sz w:val="18"/>
          <w:szCs w:val="18"/>
        </w:rPr>
        <w:t>The fair value of nonemployee options granted during the three and six months ended June 30, 2022 and 2021 was estimated by utilizing the following assumptions: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347"/>
        <w:gridCol w:w="36"/>
        <w:gridCol w:w="111"/>
        <w:gridCol w:w="817"/>
        <w:gridCol w:w="171"/>
        <w:gridCol w:w="37"/>
        <w:gridCol w:w="121"/>
        <w:gridCol w:w="37"/>
        <w:gridCol w:w="111"/>
        <w:gridCol w:w="818"/>
        <w:gridCol w:w="171"/>
        <w:gridCol w:w="36"/>
        <w:gridCol w:w="36"/>
        <w:gridCol w:w="36"/>
        <w:gridCol w:w="111"/>
        <w:gridCol w:w="818"/>
        <w:gridCol w:w="171"/>
        <w:gridCol w:w="37"/>
        <w:gridCol w:w="110"/>
        <w:gridCol w:w="37"/>
        <w:gridCol w:w="111"/>
        <w:gridCol w:w="818"/>
        <w:gridCol w:w="171"/>
      </w:tblGrid>
      <w:tr w:rsidR="00000000">
        <w:trPr>
          <w:divId w:val="1079014735"/>
          <w:jc w:val="center"/>
        </w:trPr>
        <w:tc>
          <w:tcPr>
            <w:tcW w:w="50" w:type="pct"/>
            <w:vAlign w:val="center"/>
            <w:hideMark/>
          </w:tcPr>
          <w:p w:rsidR="00000000" w:rsidRDefault="00375AF8">
            <w:pPr>
              <w:ind w:firstLine="720"/>
              <w:jc w:val="both"/>
              <w:rPr>
                <w:rFonts w:eastAsia="Times New Roman"/>
              </w:rPr>
            </w:pPr>
          </w:p>
        </w:tc>
        <w:tc>
          <w:tcPr>
            <w:tcW w:w="221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079014735"/>
          <w:jc w:val="center"/>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rPr>
          <w:divId w:val="1079014735"/>
          <w:jc w:val="center"/>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rPr>
          <w:divId w:val="1079014735"/>
          <w:jc w:val="center"/>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p>
          <w:p w:rsidR="00000000" w:rsidRDefault="00375AF8">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p>
          <w:p w:rsidR="00000000" w:rsidRDefault="00375AF8">
            <w:pPr>
              <w:spacing w:after="100"/>
              <w:jc w:val="center"/>
              <w:rPr>
                <w:rFonts w:eastAsia="Times New Roman"/>
              </w:rPr>
            </w:pPr>
            <w:r>
              <w:rPr>
                <w:rFonts w:eastAsia="Times New Roman"/>
                <w:b/>
                <w:bCs/>
                <w:color w:val="000000"/>
                <w:sz w:val="18"/>
                <w:szCs w:val="18"/>
              </w:rPr>
              <w:t>Average</w:t>
            </w:r>
            <w:r>
              <w:rPr>
                <w:rFonts w:eastAsia="Times New Roman"/>
                <w:color w:val="000000"/>
                <w:sz w:val="18"/>
                <w:szCs w:val="18"/>
              </w:rPr>
              <w:t xml:space="preserve">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p>
        </w:tc>
      </w:tr>
      <w:tr w:rsidR="00000000">
        <w:trPr>
          <w:divId w:val="107901473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Volatility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80.43 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80.43 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r>
      <w:tr w:rsidR="00000000">
        <w:trPr>
          <w:divId w:val="1079014735"/>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Expected term in years</w:t>
            </w:r>
          </w:p>
        </w:tc>
        <w:tc>
          <w:tcPr>
            <w:tcW w:w="0" w:type="auto"/>
            <w:gridSpan w:val="3"/>
            <w:shd w:val="clear" w:color="auto" w:fill="FFFFFF"/>
            <w:tcMar>
              <w:top w:w="30" w:type="dxa"/>
              <w:left w:w="20" w:type="dxa"/>
              <w:bottom w:w="30" w:type="dxa"/>
              <w:right w:w="160" w:type="dxa"/>
            </w:tcMar>
            <w:vAlign w:val="bottom"/>
            <w:hideMark/>
          </w:tcPr>
          <w:p w:rsidR="00000000" w:rsidRDefault="00375AF8">
            <w:pPr>
              <w:spacing w:after="100"/>
              <w:jc w:val="right"/>
              <w:rPr>
                <w:rFonts w:eastAsia="Times New Roman"/>
              </w:rPr>
            </w:pPr>
            <w:r>
              <w:rPr>
                <w:rFonts w:eastAsia="Times New Roman"/>
                <w:color w:val="000000"/>
                <w:sz w:val="18"/>
                <w:szCs w:val="18"/>
              </w:rPr>
              <w:t>0.00</w:t>
            </w:r>
          </w:p>
        </w:tc>
        <w:tc>
          <w:tcPr>
            <w:tcW w:w="0" w:type="auto"/>
            <w:gridSpan w:val="3"/>
            <w:shd w:val="clear" w:color="auto" w:fill="FFFFFF"/>
            <w:tcMar>
              <w:top w:w="0" w:type="dxa"/>
              <w:left w:w="20" w:type="dxa"/>
              <w:bottom w:w="0" w:type="dxa"/>
              <w:right w:w="14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375AF8">
            <w:pPr>
              <w:spacing w:after="100"/>
              <w:jc w:val="right"/>
              <w:rPr>
                <w:rFonts w:eastAsia="Times New Roman"/>
              </w:rPr>
            </w:pPr>
            <w:r>
              <w:rPr>
                <w:rFonts w:eastAsia="Times New Roman"/>
                <w:color w:val="000000"/>
                <w:sz w:val="18"/>
                <w:szCs w:val="18"/>
              </w:rPr>
              <w:t>6.23</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375AF8">
            <w:pPr>
              <w:spacing w:after="100"/>
              <w:jc w:val="right"/>
              <w:rPr>
                <w:rFonts w:eastAsia="Times New Roman"/>
              </w:rPr>
            </w:pPr>
            <w:r>
              <w:rPr>
                <w:rFonts w:eastAsia="Times New Roman"/>
                <w:color w:val="000000"/>
                <w:sz w:val="18"/>
                <w:szCs w:val="18"/>
              </w:rPr>
              <w:t>0.00</w:t>
            </w:r>
          </w:p>
        </w:tc>
        <w:tc>
          <w:tcPr>
            <w:tcW w:w="0" w:type="auto"/>
            <w:gridSpan w:val="3"/>
            <w:shd w:val="clear" w:color="auto" w:fill="FFFFFF"/>
            <w:tcMar>
              <w:top w:w="0" w:type="dxa"/>
              <w:left w:w="20" w:type="dxa"/>
              <w:bottom w:w="0" w:type="dxa"/>
              <w:right w:w="14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30" w:type="dxa"/>
              <w:left w:w="20" w:type="dxa"/>
              <w:bottom w:w="30" w:type="dxa"/>
              <w:right w:w="160" w:type="dxa"/>
            </w:tcMar>
            <w:vAlign w:val="bottom"/>
            <w:hideMark/>
          </w:tcPr>
          <w:p w:rsidR="00000000" w:rsidRDefault="00375AF8">
            <w:pPr>
              <w:spacing w:after="100"/>
              <w:jc w:val="right"/>
              <w:rPr>
                <w:rFonts w:eastAsia="Times New Roman"/>
              </w:rPr>
            </w:pPr>
            <w:r>
              <w:rPr>
                <w:rFonts w:eastAsia="Times New Roman"/>
                <w:color w:val="000000"/>
                <w:sz w:val="18"/>
                <w:szCs w:val="18"/>
              </w:rPr>
              <w:t>6.23</w:t>
            </w:r>
          </w:p>
        </w:tc>
      </w:tr>
      <w:tr w:rsidR="00000000">
        <w:trPr>
          <w:divId w:val="107901473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Dividend rate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r>
      <w:tr w:rsidR="00000000">
        <w:trPr>
          <w:divId w:val="1079014735"/>
          <w:jc w:val="center"/>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w:t>
            </w:r>
          </w:p>
        </w:tc>
      </w:tr>
      <w:tr w:rsidR="00000000">
        <w:trPr>
          <w:divId w:val="107901473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Fair value of option on grant date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2.49 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358747111"/>
        <w:rPr>
          <w:rFonts w:eastAsia="Times New Roman"/>
        </w:rPr>
      </w:pPr>
      <w:r>
        <w:rPr>
          <w:rFonts w:eastAsia="Times New Roman"/>
          <w:color w:val="000000"/>
          <w:sz w:val="18"/>
          <w:szCs w:val="18"/>
        </w:rPr>
        <w:t>The following table summarizes the number of options outstanding and the weighted average exercise price:</w:t>
      </w:r>
    </w:p>
    <w:tbl>
      <w:tblPr>
        <w:tblW w:w="5000" w:type="pct"/>
        <w:tblCellMar>
          <w:top w:w="15" w:type="dxa"/>
          <w:left w:w="15" w:type="dxa"/>
          <w:bottom w:w="15" w:type="dxa"/>
          <w:right w:w="15" w:type="dxa"/>
        </w:tblCellMar>
        <w:tblLook w:val="04A0" w:firstRow="1" w:lastRow="0" w:firstColumn="1" w:lastColumn="0" w:noHBand="0" w:noVBand="1"/>
      </w:tblPr>
      <w:tblGrid>
        <w:gridCol w:w="37"/>
        <w:gridCol w:w="3639"/>
        <w:gridCol w:w="36"/>
        <w:gridCol w:w="67"/>
        <w:gridCol w:w="927"/>
        <w:gridCol w:w="36"/>
        <w:gridCol w:w="36"/>
        <w:gridCol w:w="36"/>
        <w:gridCol w:w="36"/>
        <w:gridCol w:w="111"/>
        <w:gridCol w:w="957"/>
        <w:gridCol w:w="36"/>
        <w:gridCol w:w="36"/>
        <w:gridCol w:w="36"/>
        <w:gridCol w:w="36"/>
        <w:gridCol w:w="74"/>
        <w:gridCol w:w="922"/>
        <w:gridCol w:w="36"/>
        <w:gridCol w:w="36"/>
        <w:gridCol w:w="36"/>
        <w:gridCol w:w="36"/>
        <w:gridCol w:w="110"/>
        <w:gridCol w:w="958"/>
        <w:gridCol w:w="36"/>
      </w:tblGrid>
      <w:tr w:rsidR="00000000">
        <w:trPr>
          <w:divId w:val="1547838319"/>
        </w:trPr>
        <w:tc>
          <w:tcPr>
            <w:tcW w:w="50" w:type="pct"/>
            <w:vAlign w:val="center"/>
            <w:hideMark/>
          </w:tcPr>
          <w:p w:rsidR="00000000" w:rsidRDefault="00375AF8">
            <w:pPr>
              <w:ind w:firstLine="720"/>
              <w:jc w:val="both"/>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547838319"/>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Number of Shares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Exercise</w:t>
            </w:r>
            <w:r>
              <w:rPr>
                <w:rFonts w:eastAsia="Times New Roman"/>
                <w:b/>
                <w:bCs/>
                <w:color w:val="000000"/>
                <w:sz w:val="18"/>
                <w:szCs w:val="18"/>
              </w:rPr>
              <w:br/>
              <w:t>Price</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Weighted</w:t>
            </w:r>
            <w:r>
              <w:rPr>
                <w:rFonts w:eastAsia="Times New Roman"/>
                <w:b/>
                <w:bCs/>
                <w:color w:val="000000"/>
                <w:sz w:val="18"/>
                <w:szCs w:val="18"/>
              </w:rPr>
              <w:br/>
              <w:t>Average</w:t>
            </w:r>
            <w:r>
              <w:rPr>
                <w:rFonts w:eastAsia="Times New Roman"/>
                <w:b/>
                <w:bCs/>
                <w:color w:val="000000"/>
                <w:sz w:val="18"/>
                <w:szCs w:val="18"/>
              </w:rPr>
              <w:br/>
              <w:t>Remaining</w:t>
            </w:r>
            <w:r>
              <w:rPr>
                <w:rFonts w:eastAsia="Times New Roman"/>
                <w:b/>
                <w:bCs/>
                <w:color w:val="000000"/>
                <w:sz w:val="18"/>
                <w:szCs w:val="18"/>
              </w:rPr>
              <w:br/>
              <w:t>Contractual</w:t>
            </w:r>
            <w:r>
              <w:rPr>
                <w:rFonts w:eastAsia="Times New Roman"/>
                <w:b/>
                <w:bCs/>
                <w:color w:val="000000"/>
                <w:sz w:val="18"/>
                <w:szCs w:val="18"/>
              </w:rPr>
              <w:br/>
              <w:t>Life in Years</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Aggregate</w:t>
            </w:r>
            <w:r>
              <w:rPr>
                <w:rFonts w:eastAsia="Times New Roman"/>
                <w:b/>
                <w:bCs/>
                <w:color w:val="000000"/>
                <w:sz w:val="18"/>
                <w:szCs w:val="18"/>
              </w:rPr>
              <w:br/>
              <w:t>Intrinsic</w:t>
            </w:r>
            <w:r>
              <w:rPr>
                <w:rFonts w:eastAsia="Times New Roman"/>
                <w:b/>
                <w:bCs/>
                <w:color w:val="000000"/>
                <w:sz w:val="18"/>
                <w:szCs w:val="18"/>
              </w:rPr>
              <w:br/>
              <w:t>Value</w:t>
            </w:r>
          </w:p>
        </w:tc>
      </w:tr>
      <w:tr w:rsidR="00000000">
        <w:trPr>
          <w:divId w:val="154783831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Options outstanding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10,776,758 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6.07</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2,389,890 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547838319"/>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Granted</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4,296,355 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9.68</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54783831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Exercised</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(15,893)</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547838319"/>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Forfeited or expired</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(1,605,703)</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5.93 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54783831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Options outstanding June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13,451,517 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7.53</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329,651 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547838319"/>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Vested and exercisable at June 30, 2022</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5,965,719 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5.44 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5.69</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297,953 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1833254239"/>
        <w:rPr>
          <w:rFonts w:eastAsia="Times New Roman"/>
        </w:rPr>
      </w:pPr>
      <w:r>
        <w:rPr>
          <w:rFonts w:eastAsia="Times New Roman"/>
          <w:color w:val="000000"/>
          <w:sz w:val="18"/>
          <w:szCs w:val="18"/>
        </w:rPr>
        <w:t xml:space="preserve">At June 30, 2022 there was approximately $15.4 million of unamortized share–based compensation expense related to employee </w:t>
      </w:r>
      <w:r>
        <w:rPr>
          <w:rFonts w:eastAsia="Times New Roman"/>
          <w:color w:val="000000"/>
          <w:sz w:val="18"/>
          <w:szCs w:val="18"/>
        </w:rPr>
        <w:t>and nonemployee grants, which is expected to be recognized over a remaining average vesting period of 2.53 years.</w:t>
      </w:r>
    </w:p>
    <w:p w:rsidR="00000000" w:rsidRDefault="00375AF8">
      <w:pPr>
        <w:jc w:val="both"/>
        <w:divId w:val="210461764"/>
        <w:rPr>
          <w:rFonts w:eastAsia="Times New Roman"/>
        </w:rPr>
      </w:pPr>
      <w:r>
        <w:rPr>
          <w:rFonts w:eastAsia="Times New Roman"/>
          <w:b/>
          <w:bCs/>
          <w:color w:val="000000"/>
          <w:sz w:val="18"/>
          <w:szCs w:val="18"/>
        </w:rPr>
        <w:t>NOTE 9 – INCOME TAXES</w:t>
      </w:r>
    </w:p>
    <w:p w:rsidR="00000000" w:rsidRDefault="00375AF8">
      <w:pPr>
        <w:ind w:firstLine="720"/>
        <w:jc w:val="both"/>
        <w:divId w:val="451092293"/>
        <w:rPr>
          <w:rFonts w:eastAsia="Times New Roman"/>
        </w:rPr>
      </w:pPr>
      <w:r>
        <w:rPr>
          <w:rFonts w:eastAsia="Times New Roman"/>
          <w:color w:val="000000"/>
          <w:sz w:val="18"/>
          <w:szCs w:val="18"/>
        </w:rPr>
        <w:t>The Company’</w:t>
      </w:r>
      <w:r>
        <w:rPr>
          <w:rFonts w:eastAsia="Times New Roman"/>
          <w:color w:val="000000"/>
          <w:sz w:val="18"/>
          <w:szCs w:val="18"/>
        </w:rPr>
        <w:t xml:space="preserve">s interim income tax provision consists of U.S. federal and state income taxes based on the estimated annual effective tax rate that the Company expects for the full year together with the tax effect of discrete items. Each quarter the Company updates its </w:t>
      </w:r>
      <w:r>
        <w:rPr>
          <w:rFonts w:eastAsia="Times New Roman"/>
          <w:color w:val="000000"/>
          <w:sz w:val="18"/>
          <w:szCs w:val="18"/>
        </w:rPr>
        <w:t>estimate of the annual effective tax rate and records cumulative adjustments as necessary. As of June 30, 2022, the Company was in a pre-tax loss position, and is anticipated to remain so throughout the year.</w:t>
      </w:r>
    </w:p>
    <w:p w:rsidR="00000000" w:rsidRDefault="00375AF8">
      <w:pPr>
        <w:ind w:firstLine="720"/>
        <w:jc w:val="both"/>
        <w:divId w:val="462699167"/>
        <w:rPr>
          <w:rFonts w:eastAsia="Times New Roman"/>
        </w:rPr>
      </w:pPr>
      <w:r>
        <w:rPr>
          <w:rFonts w:eastAsia="Times New Roman"/>
          <w:color w:val="000000"/>
          <w:sz w:val="18"/>
          <w:szCs w:val="18"/>
        </w:rPr>
        <w:t>For the three and six months ended June 30, 202</w:t>
      </w:r>
      <w:r>
        <w:rPr>
          <w:rFonts w:eastAsia="Times New Roman"/>
          <w:color w:val="000000"/>
          <w:sz w:val="18"/>
          <w:szCs w:val="18"/>
        </w:rPr>
        <w:t>2, the Company did not record a tax provision.</w:t>
      </w:r>
    </w:p>
    <w:p w:rsidR="00000000" w:rsidRDefault="00375AF8">
      <w:pPr>
        <w:ind w:firstLine="720"/>
        <w:jc w:val="both"/>
        <w:divId w:val="80764584"/>
        <w:rPr>
          <w:rFonts w:eastAsia="Times New Roman"/>
        </w:rPr>
      </w:pPr>
      <w:r>
        <w:rPr>
          <w:rFonts w:eastAsia="Times New Roman"/>
          <w:color w:val="000000"/>
          <w:sz w:val="18"/>
          <w:szCs w:val="18"/>
        </w:rPr>
        <w:t xml:space="preserve">In assessing the realizability of deferred tax assets, management evaluates whether it is more likely than not that some portion or all of the deferred tax assets will be realized. The ultimate realization of </w:t>
      </w:r>
      <w:r>
        <w:rPr>
          <w:rFonts w:eastAsia="Times New Roman"/>
          <w:color w:val="000000"/>
          <w:sz w:val="18"/>
          <w:szCs w:val="18"/>
        </w:rPr>
        <w:t>deferred tax assets is dependent upon the generation of future taxable income in those periods in which temporary differences become deductible and/or net operating losses can be utilized. Management assesses all positive and negative evidence when determi</w:t>
      </w:r>
      <w:r>
        <w:rPr>
          <w:rFonts w:eastAsia="Times New Roman"/>
          <w:color w:val="000000"/>
          <w:sz w:val="18"/>
          <w:szCs w:val="18"/>
        </w:rPr>
        <w:t>ning the amount of the net deferred tax assets that are more likely than not to be realized. This evidence includes, but is not limited to, prior earnings history, scheduled reversal of taxable temporary differences, tax planning strategies and projected f</w:t>
      </w:r>
      <w:r>
        <w:rPr>
          <w:rFonts w:eastAsia="Times New Roman"/>
          <w:color w:val="000000"/>
          <w:sz w:val="18"/>
          <w:szCs w:val="18"/>
        </w:rPr>
        <w:t>uture taxable income. Significant weight is given to positive and negative evidence that is objectively verifiable. Based on these factors, including cumulative losses in recent years, the Company continues to maintain a full valuation allowance against it</w:t>
      </w:r>
      <w:r>
        <w:rPr>
          <w:rFonts w:eastAsia="Times New Roman"/>
          <w:color w:val="000000"/>
          <w:sz w:val="18"/>
          <w:szCs w:val="18"/>
        </w:rPr>
        <w:t>s net deferred tax assets as of June 30, 2022.</w:t>
      </w:r>
    </w:p>
    <w:p w:rsidR="00000000" w:rsidRDefault="00375AF8">
      <w:pPr>
        <w:jc w:val="center"/>
        <w:divId w:val="1732340586"/>
        <w:rPr>
          <w:rFonts w:eastAsia="Times New Roman"/>
        </w:rPr>
      </w:pPr>
      <w:r>
        <w:rPr>
          <w:rFonts w:eastAsia="Times New Roman"/>
          <w:color w:val="000000"/>
          <w:sz w:val="18"/>
          <w:szCs w:val="18"/>
        </w:rPr>
        <w:t>15</w:t>
      </w:r>
    </w:p>
    <w:p w:rsidR="00000000" w:rsidRDefault="00375AF8">
      <w:pPr>
        <w:rPr>
          <w:rFonts w:eastAsia="Times New Roman"/>
        </w:rPr>
      </w:pPr>
      <w:r>
        <w:rPr>
          <w:rFonts w:eastAsia="Times New Roman"/>
        </w:rPr>
        <w:pict>
          <v:rect id="_x0000_i1040" style="width:0;height:1.5pt" o:hralign="center" o:hrstd="t" o:hr="t" fillcolor="#a0a0a0" stroked="f"/>
        </w:pict>
      </w:r>
    </w:p>
    <w:p w:rsidR="00000000" w:rsidRDefault="00375AF8">
      <w:pPr>
        <w:divId w:val="1801341220"/>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318769241"/>
        <w:rPr>
          <w:rFonts w:eastAsia="Times New Roman"/>
        </w:rPr>
      </w:pPr>
      <w:r>
        <w:rPr>
          <w:rFonts w:eastAsia="Times New Roman"/>
          <w:b/>
          <w:bCs/>
          <w:color w:val="000000"/>
          <w:sz w:val="18"/>
          <w:szCs w:val="18"/>
        </w:rPr>
        <w:t>NOTE 10 – COMMITMENTS AND CONTINGENCIES</w:t>
      </w:r>
    </w:p>
    <w:p w:rsidR="00000000" w:rsidRDefault="00375AF8">
      <w:pPr>
        <w:jc w:val="both"/>
        <w:divId w:val="1482767624"/>
        <w:rPr>
          <w:rFonts w:eastAsia="Times New Roman"/>
        </w:rPr>
      </w:pPr>
      <w:r>
        <w:rPr>
          <w:rFonts w:eastAsia="Times New Roman"/>
          <w:b/>
          <w:bCs/>
          <w:color w:val="000000"/>
          <w:sz w:val="18"/>
          <w:szCs w:val="18"/>
        </w:rPr>
        <w:t>License Agreements</w:t>
      </w:r>
    </w:p>
    <w:p w:rsidR="00000000" w:rsidRDefault="00375AF8">
      <w:pPr>
        <w:jc w:val="both"/>
        <w:divId w:val="1896315661"/>
        <w:rPr>
          <w:rFonts w:eastAsia="Times New Roman"/>
        </w:rPr>
      </w:pPr>
      <w:r>
        <w:rPr>
          <w:rFonts w:eastAsia="Times New Roman"/>
          <w:i/>
          <w:iCs/>
          <w:color w:val="000000"/>
          <w:sz w:val="18"/>
          <w:szCs w:val="18"/>
        </w:rPr>
        <w:t>H. Lundbeck A/S License Agreement</w:t>
      </w:r>
    </w:p>
    <w:p w:rsidR="00000000" w:rsidRDefault="00375AF8">
      <w:pPr>
        <w:ind w:firstLine="720"/>
        <w:jc w:val="both"/>
        <w:divId w:val="1263341917"/>
        <w:rPr>
          <w:rFonts w:eastAsia="Times New Roman"/>
        </w:rPr>
      </w:pPr>
      <w:r>
        <w:rPr>
          <w:rFonts w:eastAsia="Times New Roman"/>
          <w:color w:val="000000"/>
          <w:sz w:val="18"/>
          <w:szCs w:val="18"/>
        </w:rPr>
        <w:t>On March 26, 2015, the Company entered into an exclusive agreement with H. Lundbeck A/S (“Lundbeck”) for a worldwide perpetual licensing right related to the research, development and commercialization of OV101 (gaboxadol). On May 10, 2019, the parties ame</w:t>
      </w:r>
      <w:r>
        <w:rPr>
          <w:rFonts w:eastAsia="Times New Roman"/>
          <w:color w:val="000000"/>
          <w:sz w:val="18"/>
          <w:szCs w:val="18"/>
        </w:rPr>
        <w:t>nded the license agreement.</w:t>
      </w:r>
    </w:p>
    <w:p w:rsidR="00000000" w:rsidRDefault="00375AF8">
      <w:pPr>
        <w:ind w:firstLine="720"/>
        <w:jc w:val="both"/>
        <w:divId w:val="998997488"/>
        <w:rPr>
          <w:rFonts w:eastAsia="Times New Roman"/>
        </w:rPr>
      </w:pPr>
      <w:r>
        <w:rPr>
          <w:rFonts w:eastAsia="Times New Roman"/>
          <w:color w:val="000000"/>
          <w:sz w:val="18"/>
          <w:szCs w:val="18"/>
        </w:rPr>
        <w:t>Pursuant to the Lundbeck license agreement, as of the first amendment, the Company agreed to make milestone payments totaling up to $189.0 million upon the achievement of certain developmental, regulatory and sales milestones. T</w:t>
      </w:r>
      <w:r>
        <w:rPr>
          <w:rFonts w:eastAsia="Times New Roman"/>
          <w:color w:val="000000"/>
          <w:sz w:val="18"/>
          <w:szCs w:val="18"/>
        </w:rPr>
        <w:t>he first payment of $1.0 million is due upon the successful completion of the first Phase 3 trial for a product in which OV101 is an active ingredient. In addition, the agreement calls for the Company to pay royalties for an initial term based on a low dou</w:t>
      </w:r>
      <w:r>
        <w:rPr>
          <w:rFonts w:eastAsia="Times New Roman"/>
          <w:color w:val="000000"/>
          <w:sz w:val="18"/>
          <w:szCs w:val="18"/>
        </w:rPr>
        <w:t>ble-digit percentage of sales and provides for the reduction of royalties in certain limited circumstances.</w:t>
      </w:r>
    </w:p>
    <w:p w:rsidR="00000000" w:rsidRDefault="00375AF8">
      <w:pPr>
        <w:ind w:firstLine="720"/>
        <w:jc w:val="both"/>
        <w:divId w:val="470947787"/>
        <w:rPr>
          <w:rFonts w:eastAsia="Times New Roman"/>
        </w:rPr>
      </w:pPr>
      <w:r>
        <w:rPr>
          <w:rFonts w:eastAsia="Times New Roman"/>
          <w:color w:val="000000"/>
          <w:sz w:val="18"/>
          <w:szCs w:val="18"/>
        </w:rPr>
        <w:t>Thereafter, the Company closed its OV101 program in Angelman syndrome in early 2021. On February 1, 2022, the Company entered into Amendment No. 3 t</w:t>
      </w:r>
      <w:r>
        <w:rPr>
          <w:rFonts w:eastAsia="Times New Roman"/>
          <w:color w:val="000000"/>
          <w:sz w:val="18"/>
          <w:szCs w:val="18"/>
        </w:rPr>
        <w:t>o the Lundbeck agreement, or Amendment No. 3, to permit its performance under the Healx License and Option Agreement. Under the terms of Amendment No. 3, if Healx exercises its option, the Company will owe Lundbeck a share of all milestone and royalty paym</w:t>
      </w:r>
      <w:r>
        <w:rPr>
          <w:rFonts w:eastAsia="Times New Roman"/>
          <w:color w:val="000000"/>
          <w:sz w:val="18"/>
          <w:szCs w:val="18"/>
        </w:rPr>
        <w:t>ents received from Healx if the Company chooses not to exercise the Ovid Opt-In Right. If the Company chooses to exercise the Ovid Opt-In Right and to co-develop and co-commercialize the program with Healx, the Company will owe a share of the net profit sh</w:t>
      </w:r>
      <w:r>
        <w:rPr>
          <w:rFonts w:eastAsia="Times New Roman"/>
          <w:color w:val="000000"/>
          <w:sz w:val="18"/>
          <w:szCs w:val="18"/>
        </w:rPr>
        <w:t>are to Lundbeck (see further discussion below in Note 11, Healx License and Option Agreement).</w:t>
      </w:r>
    </w:p>
    <w:p w:rsidR="00000000" w:rsidRDefault="00375AF8">
      <w:pPr>
        <w:jc w:val="both"/>
        <w:divId w:val="1407996732"/>
        <w:rPr>
          <w:rFonts w:eastAsia="Times New Roman"/>
        </w:rPr>
      </w:pPr>
      <w:r>
        <w:rPr>
          <w:rFonts w:eastAsia="Times New Roman"/>
          <w:i/>
          <w:iCs/>
          <w:color w:val="000000"/>
          <w:sz w:val="18"/>
          <w:szCs w:val="18"/>
        </w:rPr>
        <w:t>Northwestern University License Agreement</w:t>
      </w:r>
    </w:p>
    <w:p w:rsidR="00000000" w:rsidRDefault="00375AF8">
      <w:pPr>
        <w:ind w:firstLine="720"/>
        <w:jc w:val="both"/>
        <w:divId w:val="1173111686"/>
        <w:rPr>
          <w:rFonts w:eastAsia="Times New Roman"/>
        </w:rPr>
      </w:pPr>
      <w:r>
        <w:rPr>
          <w:rFonts w:eastAsia="Times New Roman"/>
          <w:color w:val="000000"/>
          <w:sz w:val="18"/>
          <w:szCs w:val="18"/>
        </w:rPr>
        <w:t xml:space="preserve">In December 2016, the Company entered into a license agreement with Northwestern University, or Northwestern, pursuant </w:t>
      </w:r>
      <w:r>
        <w:rPr>
          <w:rFonts w:eastAsia="Times New Roman"/>
          <w:color w:val="000000"/>
          <w:sz w:val="18"/>
          <w:szCs w:val="18"/>
        </w:rPr>
        <w:t>to which Northwestern granted the Company an exclusive, worldwide license to patent rights of certain inventions, or the Northwestern Patent Rights, which relate to a specific compound and related methods of use for such compound, along with certain Know-H</w:t>
      </w:r>
      <w:r>
        <w:rPr>
          <w:rFonts w:eastAsia="Times New Roman"/>
          <w:color w:val="000000"/>
          <w:sz w:val="18"/>
          <w:szCs w:val="18"/>
        </w:rPr>
        <w:t>ow related to the practice of the inventions claimed in the Northwestern Patents. The Company is developing OV329 under this agreement.</w:t>
      </w:r>
    </w:p>
    <w:p w:rsidR="00000000" w:rsidRDefault="00375AF8">
      <w:pPr>
        <w:ind w:firstLine="720"/>
        <w:jc w:val="both"/>
        <w:divId w:val="91977427"/>
        <w:rPr>
          <w:rFonts w:eastAsia="Times New Roman"/>
        </w:rPr>
      </w:pPr>
      <w:r>
        <w:rPr>
          <w:rFonts w:eastAsia="Times New Roman"/>
          <w:color w:val="000000"/>
          <w:sz w:val="18"/>
          <w:szCs w:val="18"/>
        </w:rPr>
        <w:t>Under the Northwestern agreement, the Company was granted exclusive rights to research, develop, manufacture and commerc</w:t>
      </w:r>
      <w:r>
        <w:rPr>
          <w:rFonts w:eastAsia="Times New Roman"/>
          <w:color w:val="000000"/>
          <w:sz w:val="18"/>
          <w:szCs w:val="18"/>
        </w:rPr>
        <w:t>ialize products utilizing the Northwestern Patent Rights for all uses. The Company has agreed that it will not use the Northwestern Patent Rights to develop any products for the treatment of cancer, but Northwestern may not grant rights in the technology t</w:t>
      </w:r>
      <w:r>
        <w:rPr>
          <w:rFonts w:eastAsia="Times New Roman"/>
          <w:color w:val="000000"/>
          <w:sz w:val="18"/>
          <w:szCs w:val="18"/>
        </w:rPr>
        <w:t>o others for use in cancer. The Company also has an option, exercisable during the term of the agreement to an exclusive license under certain intellectual property rights covering novel compounds with the same or similar mechanism of action as the primary</w:t>
      </w:r>
      <w:r>
        <w:rPr>
          <w:rFonts w:eastAsia="Times New Roman"/>
          <w:color w:val="000000"/>
          <w:sz w:val="18"/>
          <w:szCs w:val="18"/>
        </w:rPr>
        <w:t xml:space="preserve"> compound that is the subject of the license agreement. Northwestern has retained the right, on behalf of itself and other non-profit institutions, to use the Northwestern Patent Rights and practice the inventions claimed therein for educational and resear</w:t>
      </w:r>
      <w:r>
        <w:rPr>
          <w:rFonts w:eastAsia="Times New Roman"/>
          <w:color w:val="000000"/>
          <w:sz w:val="18"/>
          <w:szCs w:val="18"/>
        </w:rPr>
        <w:t xml:space="preserve">ch purposes and to publish information about the inventions covered by the Northwestern Patent Rights. </w:t>
      </w:r>
    </w:p>
    <w:p w:rsidR="00000000" w:rsidRDefault="00375AF8">
      <w:pPr>
        <w:ind w:firstLine="720"/>
        <w:jc w:val="both"/>
        <w:divId w:val="585892302"/>
        <w:rPr>
          <w:rFonts w:eastAsia="Times New Roman"/>
        </w:rPr>
      </w:pPr>
      <w:r>
        <w:rPr>
          <w:rFonts w:eastAsia="Times New Roman"/>
          <w:color w:val="000000"/>
          <w:sz w:val="18"/>
          <w:szCs w:val="18"/>
        </w:rPr>
        <w:t xml:space="preserve">Upon entry into the Northwestern agreement, the Company paid an upfront non-creditable one-time license issuance fee of $75,000, and is required to pay </w:t>
      </w:r>
      <w:r>
        <w:rPr>
          <w:rFonts w:eastAsia="Times New Roman"/>
          <w:color w:val="000000"/>
          <w:sz w:val="18"/>
          <w:szCs w:val="18"/>
        </w:rPr>
        <w:t>an annual license maintenance fee of $20,000, which will be creditable against any royalties payable to Northwestern following first commercial sale of licensed products under the agreement. The Company is responsible for all ongoing costs of filing, prose</w:t>
      </w:r>
      <w:r>
        <w:rPr>
          <w:rFonts w:eastAsia="Times New Roman"/>
          <w:color w:val="000000"/>
          <w:sz w:val="18"/>
          <w:szCs w:val="18"/>
        </w:rPr>
        <w:t>cuting and maintaining the Northwestern Patents, but also has the right to control such activities using its own patent counsel. In consideration for the rights granted to the Company under the Northwestern agreement, the Company is required to pay to Nort</w:t>
      </w:r>
      <w:r>
        <w:rPr>
          <w:rFonts w:eastAsia="Times New Roman"/>
          <w:color w:val="000000"/>
          <w:sz w:val="18"/>
          <w:szCs w:val="18"/>
        </w:rPr>
        <w:t>hwestern up to an aggregate of $5.3 million upon the achievement of certain development and regulatory milestones for the first product covered by the Northwestern Patents, and upon commercialization of any such products, will be required to pay to Northwe</w:t>
      </w:r>
      <w:r>
        <w:rPr>
          <w:rFonts w:eastAsia="Times New Roman"/>
          <w:color w:val="000000"/>
          <w:sz w:val="18"/>
          <w:szCs w:val="18"/>
        </w:rPr>
        <w:t>stern a tiered royalty on net sales of such products by the Company, its affiliates or sublicensees, at percentages in the low to mid single-digits, subject to standard reductions and offsets. The Company’s royalty obligations continue on a product-by-prod</w:t>
      </w:r>
      <w:r>
        <w:rPr>
          <w:rFonts w:eastAsia="Times New Roman"/>
          <w:color w:val="000000"/>
          <w:sz w:val="18"/>
          <w:szCs w:val="18"/>
        </w:rPr>
        <w:t>uct and country-by-country basis until the later of the expiration of the last-to-expire valid claim in a licensed patent covering the applicable product in such country and 10 years following the first commercial sale of such product in such country. If t</w:t>
      </w:r>
      <w:r>
        <w:rPr>
          <w:rFonts w:eastAsia="Times New Roman"/>
          <w:color w:val="000000"/>
          <w:sz w:val="18"/>
          <w:szCs w:val="18"/>
        </w:rPr>
        <w:t xml:space="preserve">he Company sublicenses a Northwestern Patent Right, it will be obligated to pay to Northwestern a specified percentage of sublicense revenue received by the Company, ranging from the high single digits to the low-teens. </w:t>
      </w:r>
    </w:p>
    <w:p w:rsidR="00000000" w:rsidRDefault="00375AF8">
      <w:pPr>
        <w:ind w:firstLine="720"/>
        <w:jc w:val="both"/>
        <w:divId w:val="1337918860"/>
        <w:rPr>
          <w:rFonts w:eastAsia="Times New Roman"/>
        </w:rPr>
      </w:pPr>
      <w:r>
        <w:rPr>
          <w:rFonts w:eastAsia="Times New Roman"/>
          <w:color w:val="000000"/>
          <w:sz w:val="18"/>
          <w:szCs w:val="18"/>
        </w:rPr>
        <w:t>The Northwestern agreement requires</w:t>
      </w:r>
      <w:r>
        <w:rPr>
          <w:rFonts w:eastAsia="Times New Roman"/>
          <w:color w:val="000000"/>
          <w:sz w:val="18"/>
          <w:szCs w:val="18"/>
        </w:rPr>
        <w:t xml:space="preserve"> that the Company use commercially reasonable efforts to develop and commercialize at least one product that is covered by the Northwestern Patent Rights.</w:t>
      </w:r>
    </w:p>
    <w:p w:rsidR="00000000" w:rsidRDefault="00375AF8">
      <w:pPr>
        <w:ind w:firstLine="720"/>
        <w:jc w:val="both"/>
        <w:divId w:val="1580139968"/>
        <w:rPr>
          <w:rFonts w:eastAsia="Times New Roman"/>
        </w:rPr>
      </w:pPr>
      <w:r>
        <w:rPr>
          <w:rFonts w:eastAsia="Times New Roman"/>
          <w:color w:val="000000"/>
          <w:sz w:val="18"/>
          <w:szCs w:val="18"/>
        </w:rPr>
        <w:t>Unless earlier terminated, the Northwestern agreement will remain in force until the expiration of th</w:t>
      </w:r>
      <w:r>
        <w:rPr>
          <w:rFonts w:eastAsia="Times New Roman"/>
          <w:color w:val="000000"/>
          <w:sz w:val="18"/>
          <w:szCs w:val="18"/>
        </w:rPr>
        <w:t xml:space="preserve">e Company’s payment obligations thereunder. The Company has the right to terminate the agreement for any reason upon prior written notice or for an uncured material breach by Northwestern. Northwestern may terminate the agreement for the Company’s uncured </w:t>
      </w:r>
      <w:r>
        <w:rPr>
          <w:rFonts w:eastAsia="Times New Roman"/>
          <w:color w:val="000000"/>
          <w:sz w:val="18"/>
          <w:szCs w:val="18"/>
        </w:rPr>
        <w:t>material breach or insolvency.</w:t>
      </w:r>
    </w:p>
    <w:p w:rsidR="00000000" w:rsidRDefault="00375AF8">
      <w:pPr>
        <w:jc w:val="both"/>
        <w:divId w:val="445393530"/>
        <w:rPr>
          <w:rFonts w:eastAsia="Times New Roman"/>
        </w:rPr>
      </w:pPr>
      <w:r>
        <w:rPr>
          <w:rFonts w:eastAsia="Times New Roman"/>
          <w:i/>
          <w:iCs/>
          <w:color w:val="000000"/>
          <w:sz w:val="18"/>
          <w:szCs w:val="18"/>
        </w:rPr>
        <w:t>AstraZeneca AB License Agreement</w:t>
      </w:r>
    </w:p>
    <w:p w:rsidR="00000000" w:rsidRDefault="00375AF8">
      <w:pPr>
        <w:ind w:firstLine="720"/>
        <w:jc w:val="both"/>
        <w:divId w:val="728501033"/>
        <w:rPr>
          <w:rFonts w:eastAsia="Times New Roman"/>
        </w:rPr>
      </w:pPr>
      <w:r>
        <w:rPr>
          <w:rFonts w:eastAsia="Times New Roman"/>
          <w:color w:val="000000"/>
          <w:sz w:val="18"/>
          <w:szCs w:val="18"/>
        </w:rPr>
        <w:t>On December 30, 2021, the Company entered into an exclusive license agreement with AstraZeneca AB, for a library of early-stage small molecules targeting the KCC2 transporter, including lead c</w:t>
      </w:r>
      <w:r>
        <w:rPr>
          <w:rFonts w:eastAsia="Times New Roman"/>
          <w:color w:val="000000"/>
          <w:sz w:val="18"/>
          <w:szCs w:val="18"/>
        </w:rPr>
        <w:t>andidate OV350. Upon execution of the agreement, the Company was obligated to pay an upfront cash payment of $5.0 million and issued shares of the Company's common stock in an amount that equaled $7.3 million based on the volume-weighted average price of s</w:t>
      </w:r>
      <w:r>
        <w:rPr>
          <w:rFonts w:eastAsia="Times New Roman"/>
          <w:color w:val="000000"/>
          <w:sz w:val="18"/>
          <w:szCs w:val="18"/>
        </w:rPr>
        <w:t>hares of the Company's common stock for the 30 business days immediately preceding the execution date of the transaction. Since the intangibles acquired in the AstraZeneca license agreement do not have an alternative future use, all costs incurred were tre</w:t>
      </w:r>
      <w:r>
        <w:rPr>
          <w:rFonts w:eastAsia="Times New Roman"/>
          <w:color w:val="000000"/>
          <w:sz w:val="18"/>
          <w:szCs w:val="18"/>
        </w:rPr>
        <w:t>ated as research and development expense. The Company recorded a total of $12.3 million as research and development expense related to this agreement during December 2021.</w:t>
      </w:r>
    </w:p>
    <w:p w:rsidR="00000000" w:rsidRDefault="00375AF8">
      <w:pPr>
        <w:jc w:val="center"/>
        <w:divId w:val="748431093"/>
        <w:rPr>
          <w:rFonts w:eastAsia="Times New Roman"/>
        </w:rPr>
      </w:pPr>
      <w:r>
        <w:rPr>
          <w:rFonts w:eastAsia="Times New Roman"/>
          <w:color w:val="000000"/>
          <w:sz w:val="18"/>
          <w:szCs w:val="18"/>
        </w:rPr>
        <w:t>16</w:t>
      </w:r>
    </w:p>
    <w:p w:rsidR="00000000" w:rsidRDefault="00375AF8">
      <w:pPr>
        <w:rPr>
          <w:rFonts w:eastAsia="Times New Roman"/>
        </w:rPr>
      </w:pPr>
      <w:r>
        <w:rPr>
          <w:rFonts w:eastAsia="Times New Roman"/>
        </w:rPr>
        <w:pict>
          <v:rect id="_x0000_i1041" style="width:0;height:1.5pt" o:hralign="center" o:hrstd="t" o:hr="t" fillcolor="#a0a0a0" stroked="f"/>
        </w:pict>
      </w:r>
    </w:p>
    <w:p w:rsidR="00000000" w:rsidRDefault="00375AF8">
      <w:pPr>
        <w:divId w:val="142464592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822352492"/>
        <w:rPr>
          <w:rFonts w:eastAsia="Times New Roman"/>
        </w:rPr>
      </w:pPr>
      <w:r>
        <w:rPr>
          <w:rFonts w:eastAsia="Times New Roman"/>
          <w:color w:val="000000"/>
          <w:sz w:val="18"/>
          <w:szCs w:val="18"/>
        </w:rPr>
        <w:t>Pursuant to the AstraZeneca license agreement, the Company agreed to potential milestone payments of up to $203.0 million upon the achievement of certain developmental, regulatory and sales milestones. The first payment of $</w:t>
      </w:r>
      <w:r>
        <w:rPr>
          <w:rFonts w:eastAsia="Times New Roman"/>
          <w:color w:val="000000"/>
          <w:sz w:val="18"/>
          <w:szCs w:val="18"/>
        </w:rPr>
        <w:t xml:space="preserve">3.0 million is due upon the successful completion of the first Phase 2 clinical study of a licensed product following a positive biomarker readout in a Phase 1 clinical study. </w:t>
      </w:r>
    </w:p>
    <w:p w:rsidR="00000000" w:rsidRDefault="00375AF8">
      <w:pPr>
        <w:ind w:firstLine="720"/>
        <w:jc w:val="both"/>
        <w:divId w:val="1008752189"/>
        <w:rPr>
          <w:rFonts w:eastAsia="Times New Roman"/>
        </w:rPr>
      </w:pPr>
      <w:r>
        <w:rPr>
          <w:rFonts w:eastAsia="Times New Roman"/>
          <w:color w:val="000000"/>
          <w:sz w:val="18"/>
          <w:szCs w:val="18"/>
        </w:rPr>
        <w:t>As of June 30, 2022, none of these contingent payments were considered probable</w:t>
      </w:r>
      <w:r>
        <w:rPr>
          <w:rFonts w:eastAsia="Times New Roman"/>
          <w:color w:val="000000"/>
          <w:sz w:val="18"/>
          <w:szCs w:val="18"/>
        </w:rPr>
        <w:t>.</w:t>
      </w:r>
    </w:p>
    <w:p w:rsidR="00000000" w:rsidRDefault="00375AF8">
      <w:pPr>
        <w:jc w:val="both"/>
        <w:divId w:val="132529184"/>
        <w:rPr>
          <w:rFonts w:eastAsia="Times New Roman"/>
        </w:rPr>
      </w:pPr>
      <w:r>
        <w:rPr>
          <w:rFonts w:eastAsia="Times New Roman"/>
          <w:b/>
          <w:bCs/>
          <w:color w:val="000000"/>
          <w:sz w:val="18"/>
          <w:szCs w:val="18"/>
        </w:rPr>
        <w:t>Contingencies</w:t>
      </w:r>
    </w:p>
    <w:p w:rsidR="00000000" w:rsidRDefault="00375AF8">
      <w:pPr>
        <w:ind w:firstLine="720"/>
        <w:jc w:val="both"/>
        <w:divId w:val="957373488"/>
        <w:rPr>
          <w:rFonts w:eastAsia="Times New Roman"/>
        </w:rPr>
      </w:pPr>
      <w:r>
        <w:rPr>
          <w:rFonts w:eastAsia="Times New Roman"/>
          <w:color w:val="000000"/>
          <w:sz w:val="18"/>
          <w:szCs w:val="18"/>
        </w:rPr>
        <w:t xml:space="preserve">Liabilities for loss contingencies arising from claims, assessments, litigation, fines, and penalties and other sources are recorded when it is probable that a liability has been incurred and the amount can be reasonably estimated. Legal costs incurred in </w:t>
      </w:r>
      <w:r>
        <w:rPr>
          <w:rFonts w:eastAsia="Times New Roman"/>
          <w:color w:val="000000"/>
          <w:sz w:val="18"/>
          <w:szCs w:val="18"/>
        </w:rPr>
        <w:t>connection with loss contingencies are expensed as incurred. The Company is not currently involved in any legal matters arising in the normal course of business.</w:t>
      </w:r>
    </w:p>
    <w:p w:rsidR="00000000" w:rsidRDefault="00375AF8">
      <w:pPr>
        <w:ind w:firstLine="720"/>
        <w:jc w:val="both"/>
        <w:divId w:val="874538317"/>
        <w:rPr>
          <w:rFonts w:eastAsia="Times New Roman"/>
        </w:rPr>
      </w:pPr>
      <w:r>
        <w:rPr>
          <w:rFonts w:eastAsia="Times New Roman"/>
          <w:color w:val="000000"/>
          <w:sz w:val="18"/>
          <w:szCs w:val="18"/>
        </w:rPr>
        <w:t>Under the terms of their respective employment agreements, certain of our executive officers a</w:t>
      </w:r>
      <w:r>
        <w:rPr>
          <w:rFonts w:eastAsia="Times New Roman"/>
          <w:color w:val="000000"/>
          <w:sz w:val="18"/>
          <w:szCs w:val="18"/>
        </w:rPr>
        <w:t xml:space="preserve">re eligible to receive severance payments and benefits upon a termination without “cause” or due to “permanent disability,” or upon “resignation for good reason,” contingent upon the executive officer’s delivery to the Company of a satisfactory release of </w:t>
      </w:r>
      <w:r>
        <w:rPr>
          <w:rFonts w:eastAsia="Times New Roman"/>
          <w:color w:val="000000"/>
          <w:sz w:val="18"/>
          <w:szCs w:val="18"/>
        </w:rPr>
        <w:t>claims, and subject to the executive officer’s compliance with non-competition and non-solicitation restrictive covenants.</w:t>
      </w:r>
    </w:p>
    <w:p w:rsidR="00000000" w:rsidRDefault="00375AF8">
      <w:pPr>
        <w:jc w:val="both"/>
        <w:divId w:val="1508639892"/>
        <w:rPr>
          <w:rFonts w:eastAsia="Times New Roman"/>
        </w:rPr>
      </w:pPr>
      <w:r>
        <w:rPr>
          <w:rFonts w:eastAsia="Times New Roman"/>
          <w:b/>
          <w:bCs/>
          <w:color w:val="000000"/>
          <w:sz w:val="18"/>
          <w:szCs w:val="18"/>
        </w:rPr>
        <w:t>NOTE 11 – COLLABORATION AND LICENSE AGREEMENTS</w:t>
      </w:r>
    </w:p>
    <w:p w:rsidR="00000000" w:rsidRDefault="00375AF8">
      <w:pPr>
        <w:jc w:val="both"/>
        <w:divId w:val="443963541"/>
        <w:rPr>
          <w:rFonts w:eastAsia="Times New Roman"/>
        </w:rPr>
      </w:pPr>
      <w:r>
        <w:rPr>
          <w:rFonts w:eastAsia="Times New Roman"/>
          <w:b/>
          <w:bCs/>
          <w:color w:val="000000"/>
          <w:sz w:val="18"/>
          <w:szCs w:val="18"/>
        </w:rPr>
        <w:t>Angelini Collaboration</w:t>
      </w:r>
    </w:p>
    <w:p w:rsidR="00000000" w:rsidRDefault="00375AF8">
      <w:pPr>
        <w:ind w:firstLine="720"/>
        <w:jc w:val="both"/>
        <w:divId w:val="1539246253"/>
        <w:rPr>
          <w:rFonts w:eastAsia="Times New Roman"/>
        </w:rPr>
      </w:pPr>
      <w:r>
        <w:rPr>
          <w:rFonts w:eastAsia="Times New Roman"/>
          <w:color w:val="000000"/>
          <w:sz w:val="18"/>
          <w:szCs w:val="18"/>
        </w:rPr>
        <w:t xml:space="preserve">On July 9, 2020, the Company entered into the Angelini License </w:t>
      </w:r>
      <w:r>
        <w:rPr>
          <w:rFonts w:eastAsia="Times New Roman"/>
          <w:color w:val="000000"/>
          <w:sz w:val="18"/>
          <w:szCs w:val="18"/>
        </w:rPr>
        <w:t>Agreement, pursuant to which the Company granted to Angelini exclusive rights to develop and commercialize OV101, a selective agonist of the GABAA receptor, for the treatment of Angelman syndrome in the European Economic Area as well as Switzerland, the Un</w:t>
      </w:r>
      <w:r>
        <w:rPr>
          <w:rFonts w:eastAsia="Times New Roman"/>
          <w:color w:val="000000"/>
          <w:sz w:val="18"/>
          <w:szCs w:val="18"/>
        </w:rPr>
        <w:t xml:space="preserve">ited Kingdom, Russia and Turkey (the “European Territory”). </w:t>
      </w:r>
    </w:p>
    <w:p w:rsidR="00000000" w:rsidRDefault="00375AF8">
      <w:pPr>
        <w:ind w:firstLine="720"/>
        <w:jc w:val="both"/>
        <w:divId w:val="1720281897"/>
        <w:rPr>
          <w:rFonts w:eastAsia="Times New Roman"/>
        </w:rPr>
      </w:pPr>
      <w:r>
        <w:rPr>
          <w:rFonts w:eastAsia="Times New Roman"/>
          <w:color w:val="000000"/>
          <w:sz w:val="18"/>
          <w:szCs w:val="18"/>
        </w:rPr>
        <w:t>On March 29, 2021, the Company received a notice of termination of the Angelini License Agreement. Subsequently, Angelini and the Company mutually agreed to waive the six month termination notice</w:t>
      </w:r>
      <w:r>
        <w:rPr>
          <w:rFonts w:eastAsia="Times New Roman"/>
          <w:color w:val="000000"/>
          <w:sz w:val="18"/>
          <w:szCs w:val="18"/>
        </w:rPr>
        <w:t xml:space="preserve"> provisions and the Angelini License Agreement terminated effective March 31, 2021. The Company has been released from its performance obligations and will not be entitled to any future milestone payments under the Angelini License Agreement.</w:t>
      </w:r>
    </w:p>
    <w:p w:rsidR="00000000" w:rsidRDefault="00375AF8">
      <w:pPr>
        <w:ind w:firstLine="720"/>
        <w:jc w:val="both"/>
        <w:divId w:val="486283133"/>
        <w:rPr>
          <w:rFonts w:eastAsia="Times New Roman"/>
        </w:rPr>
      </w:pPr>
      <w:r>
        <w:rPr>
          <w:rFonts w:eastAsia="Times New Roman"/>
          <w:color w:val="000000"/>
          <w:sz w:val="18"/>
          <w:szCs w:val="18"/>
        </w:rPr>
        <w:t>The Company e</w:t>
      </w:r>
      <w:r>
        <w:rPr>
          <w:rFonts w:eastAsia="Times New Roman"/>
          <w:color w:val="000000"/>
          <w:sz w:val="18"/>
          <w:szCs w:val="18"/>
        </w:rPr>
        <w:t>valuated the Angelini License Agreement to determine whether it was a collaborative arrangement for purposes of ASC 808. The Company concluded that because Angelini was not the ultimate decision maker or the legal owner of the license, Angelini was not con</w:t>
      </w:r>
      <w:r>
        <w:rPr>
          <w:rFonts w:eastAsia="Times New Roman"/>
          <w:color w:val="000000"/>
          <w:sz w:val="18"/>
          <w:szCs w:val="18"/>
        </w:rPr>
        <w:t>sidered an active participant and therefore the Angelini License Agreement was outside of the scope of ASC 808. The Company concluded that Angelini was a customer with regard to the combined license and research and development activities and as such the A</w:t>
      </w:r>
      <w:r>
        <w:rPr>
          <w:rFonts w:eastAsia="Times New Roman"/>
          <w:color w:val="000000"/>
          <w:sz w:val="18"/>
          <w:szCs w:val="18"/>
        </w:rPr>
        <w:t>ngelini License Agreement should be evaluated under ASC 606.</w:t>
      </w:r>
    </w:p>
    <w:p w:rsidR="00000000" w:rsidRDefault="00375AF8">
      <w:pPr>
        <w:ind w:firstLine="720"/>
        <w:jc w:val="both"/>
        <w:divId w:val="818766959"/>
        <w:rPr>
          <w:rFonts w:eastAsia="Times New Roman"/>
        </w:rPr>
      </w:pPr>
      <w:r>
        <w:rPr>
          <w:rFonts w:eastAsia="Times New Roman"/>
          <w:color w:val="000000"/>
          <w:sz w:val="18"/>
          <w:szCs w:val="18"/>
        </w:rPr>
        <w:t>The Company identified the following material promises under the Angelini License Agreement: (1) licensing of intellectual property with respect to OV101; (2) completion of certain ongoing trials</w:t>
      </w:r>
      <w:r>
        <w:rPr>
          <w:rFonts w:eastAsia="Times New Roman"/>
          <w:color w:val="000000"/>
          <w:sz w:val="18"/>
          <w:szCs w:val="18"/>
        </w:rPr>
        <w:t>; (3) transfer of a specified amount of compound and related information; (4) potential for funding 35% of the cost for Angelini future trials limited to $7.0 million; and (5) completion of the manufacturing process technology transfer.</w:t>
      </w:r>
    </w:p>
    <w:p w:rsidR="00000000" w:rsidRDefault="00375AF8">
      <w:pPr>
        <w:ind w:firstLine="720"/>
        <w:jc w:val="both"/>
        <w:divId w:val="581336728"/>
        <w:rPr>
          <w:rFonts w:eastAsia="Times New Roman"/>
        </w:rPr>
      </w:pPr>
      <w:r>
        <w:rPr>
          <w:rFonts w:eastAsia="Times New Roman"/>
          <w:color w:val="000000"/>
          <w:sz w:val="18"/>
          <w:szCs w:val="18"/>
        </w:rPr>
        <w:t>The Company determi</w:t>
      </w:r>
      <w:r>
        <w:rPr>
          <w:rFonts w:eastAsia="Times New Roman"/>
          <w:color w:val="000000"/>
          <w:sz w:val="18"/>
          <w:szCs w:val="18"/>
        </w:rPr>
        <w:t>ned that the $7.0 million represented a potential payment to a customer and was deferred. The transfer of compound and related information was considered a contingent milestone payment that will be recognized upon acceptance by Angelini of the milestone. T</w:t>
      </w:r>
      <w:r>
        <w:rPr>
          <w:rFonts w:eastAsia="Times New Roman"/>
          <w:color w:val="000000"/>
          <w:sz w:val="18"/>
          <w:szCs w:val="18"/>
        </w:rPr>
        <w:t>he Company further determined that the license and the completion of ongoing trials were distinct from each other, as each had value without the other. As such, for the purposes of ASC 606, the Company determined that these two material promises, represent</w:t>
      </w:r>
      <w:r>
        <w:rPr>
          <w:rFonts w:eastAsia="Times New Roman"/>
          <w:color w:val="000000"/>
          <w:sz w:val="18"/>
          <w:szCs w:val="18"/>
        </w:rPr>
        <w:t>ed distinct performance obligations.</w:t>
      </w:r>
    </w:p>
    <w:p w:rsidR="00000000" w:rsidRDefault="00375AF8">
      <w:pPr>
        <w:ind w:firstLine="720"/>
        <w:jc w:val="both"/>
        <w:divId w:val="1178277741"/>
        <w:rPr>
          <w:rFonts w:eastAsia="Times New Roman"/>
        </w:rPr>
      </w:pPr>
      <w:r>
        <w:rPr>
          <w:rFonts w:eastAsia="Times New Roman"/>
          <w:color w:val="000000"/>
          <w:sz w:val="18"/>
          <w:szCs w:val="18"/>
        </w:rPr>
        <w:t>Pursuant to the Angelini License Agreement and during the year ended December 31, 2020, Angelini made an upfront payment to the Company of $20.0 million. Upon the transfer of the specified amount of compound and related</w:t>
      </w:r>
      <w:r>
        <w:rPr>
          <w:rFonts w:eastAsia="Times New Roman"/>
          <w:color w:val="000000"/>
          <w:sz w:val="18"/>
          <w:szCs w:val="18"/>
        </w:rPr>
        <w:t xml:space="preserve"> information and acceptance by Angelini, Angelini paid the Company an additional $5.0 million. This payment was determined to be variable consideration which was constrained and not considered part of the upfront transaction price allocation. The Company d</w:t>
      </w:r>
      <w:r>
        <w:rPr>
          <w:rFonts w:eastAsia="Times New Roman"/>
          <w:color w:val="000000"/>
          <w:sz w:val="18"/>
          <w:szCs w:val="18"/>
        </w:rPr>
        <w:t>etermined the transaction price was equal to the upfront fee of $20.0 million. The transaction price was allocated based on the standalone selling price of the license and the ongoing trials.</w:t>
      </w:r>
    </w:p>
    <w:p w:rsidR="00000000" w:rsidRDefault="00375AF8">
      <w:pPr>
        <w:ind w:firstLine="720"/>
        <w:jc w:val="both"/>
        <w:divId w:val="1193567656"/>
        <w:rPr>
          <w:rFonts w:eastAsia="Times New Roman"/>
        </w:rPr>
      </w:pPr>
      <w:r>
        <w:rPr>
          <w:rFonts w:eastAsia="Times New Roman"/>
          <w:color w:val="000000"/>
          <w:sz w:val="18"/>
          <w:szCs w:val="18"/>
        </w:rPr>
        <w:t>During the six months ended June 30, 2022, no revenue was recogn</w:t>
      </w:r>
      <w:r>
        <w:rPr>
          <w:rFonts w:eastAsia="Times New Roman"/>
          <w:color w:val="000000"/>
          <w:sz w:val="18"/>
          <w:szCs w:val="18"/>
        </w:rPr>
        <w:t>ized pursuant to the Angelini License Agreement. During the six months ended June 30, 2021 and effective upon termination of the Angelini License Agreement, the Company recognized $12.4 million of revenue consisting of $5.4 million of license revenue relat</w:t>
      </w:r>
      <w:r>
        <w:rPr>
          <w:rFonts w:eastAsia="Times New Roman"/>
          <w:color w:val="000000"/>
          <w:sz w:val="18"/>
          <w:szCs w:val="18"/>
        </w:rPr>
        <w:t>ed to ongoing trials and the $7.0 million related to the potential 35% funding of the cost for Angelini future trials.</w:t>
      </w:r>
    </w:p>
    <w:p w:rsidR="00000000" w:rsidRDefault="00375AF8">
      <w:pPr>
        <w:jc w:val="both"/>
        <w:divId w:val="1930309845"/>
        <w:rPr>
          <w:rFonts w:eastAsia="Times New Roman"/>
        </w:rPr>
      </w:pPr>
      <w:r>
        <w:rPr>
          <w:rFonts w:eastAsia="Times New Roman"/>
          <w:b/>
          <w:bCs/>
          <w:color w:val="000000"/>
          <w:sz w:val="18"/>
          <w:szCs w:val="18"/>
        </w:rPr>
        <w:t>Takeda Collaboration</w:t>
      </w:r>
    </w:p>
    <w:p w:rsidR="00000000" w:rsidRDefault="00375AF8">
      <w:pPr>
        <w:ind w:firstLine="720"/>
        <w:jc w:val="both"/>
        <w:divId w:val="1847162065"/>
        <w:rPr>
          <w:rFonts w:eastAsia="Times New Roman"/>
        </w:rPr>
      </w:pPr>
      <w:r>
        <w:rPr>
          <w:rFonts w:eastAsia="Times New Roman"/>
          <w:color w:val="000000"/>
          <w:sz w:val="18"/>
          <w:szCs w:val="18"/>
        </w:rPr>
        <w:t>On January 6, 2017, the Company entered into a license and collaboration agreement with Takeda under which the Compa</w:t>
      </w:r>
      <w:r>
        <w:rPr>
          <w:rFonts w:eastAsia="Times New Roman"/>
          <w:color w:val="000000"/>
          <w:sz w:val="18"/>
          <w:szCs w:val="18"/>
        </w:rPr>
        <w:t>ny licensed from Takeda certain exclusive rights to develop and commercialize soticlestat in certain territories.</w:t>
      </w:r>
    </w:p>
    <w:p w:rsidR="00000000" w:rsidRDefault="00375AF8">
      <w:pPr>
        <w:ind w:firstLine="720"/>
        <w:jc w:val="both"/>
        <w:divId w:val="613288751"/>
        <w:rPr>
          <w:rFonts w:eastAsia="Times New Roman"/>
        </w:rPr>
      </w:pPr>
      <w:r>
        <w:rPr>
          <w:rFonts w:eastAsia="Times New Roman"/>
          <w:color w:val="000000"/>
          <w:sz w:val="18"/>
          <w:szCs w:val="18"/>
        </w:rPr>
        <w:t>In March 2021, the Company entered into the Takeda License and Termination Agreement, pursuant to which Takeda secured rights to the Company’s</w:t>
      </w:r>
      <w:r>
        <w:rPr>
          <w:rFonts w:eastAsia="Times New Roman"/>
          <w:color w:val="000000"/>
          <w:sz w:val="18"/>
          <w:szCs w:val="18"/>
        </w:rPr>
        <w:t xml:space="preserve"> 50% global share in soticlestat, and the Company granted to Takeda an exclusive worldwide license under the Company’s relevant intellectual property rights to develop and commercialize the investigational medicine soticlestat for the treatment of developm</w:t>
      </w:r>
      <w:r>
        <w:rPr>
          <w:rFonts w:eastAsia="Times New Roman"/>
          <w:color w:val="000000"/>
          <w:sz w:val="18"/>
          <w:szCs w:val="18"/>
        </w:rPr>
        <w:t xml:space="preserve">ental and epileptic encephalopathies, including Dravet syndrome and Lennox-Gastaut syndrome. </w:t>
      </w:r>
    </w:p>
    <w:p w:rsidR="00000000" w:rsidRDefault="00375AF8">
      <w:pPr>
        <w:jc w:val="center"/>
        <w:divId w:val="301233428"/>
        <w:rPr>
          <w:rFonts w:eastAsia="Times New Roman"/>
        </w:rPr>
      </w:pPr>
      <w:r>
        <w:rPr>
          <w:rFonts w:eastAsia="Times New Roman"/>
          <w:color w:val="000000"/>
          <w:sz w:val="18"/>
          <w:szCs w:val="18"/>
        </w:rPr>
        <w:t>17</w:t>
      </w:r>
    </w:p>
    <w:p w:rsidR="00000000" w:rsidRDefault="00375AF8">
      <w:pPr>
        <w:rPr>
          <w:rFonts w:eastAsia="Times New Roman"/>
        </w:rPr>
      </w:pPr>
      <w:r>
        <w:rPr>
          <w:rFonts w:eastAsia="Times New Roman"/>
        </w:rPr>
        <w:pict>
          <v:rect id="_x0000_i1042" style="width:0;height:1.5pt" o:hralign="center" o:hrstd="t" o:hr="t" fillcolor="#a0a0a0" stroked="f"/>
        </w:pict>
      </w:r>
    </w:p>
    <w:p w:rsidR="00000000" w:rsidRDefault="00375AF8">
      <w:pPr>
        <w:divId w:val="209400838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2138260658"/>
        <w:rPr>
          <w:rFonts w:eastAsia="Times New Roman"/>
        </w:rPr>
      </w:pPr>
      <w:r>
        <w:rPr>
          <w:rFonts w:eastAsia="Times New Roman"/>
          <w:color w:val="000000"/>
          <w:sz w:val="18"/>
          <w:szCs w:val="18"/>
        </w:rPr>
        <w:t>Under the Takeda License and Termination Agreement, all rights in soticlestat were owned by Takeda or exclusively licensed to Takeda by the Comp</w:t>
      </w:r>
      <w:r>
        <w:rPr>
          <w:rFonts w:eastAsia="Times New Roman"/>
          <w:color w:val="000000"/>
          <w:sz w:val="18"/>
          <w:szCs w:val="18"/>
        </w:rPr>
        <w:t>any. Takeda assumed all responsibility for, and costs of, both development and commercialization of soticlestat, and the Company will no longer have any financial obligation to Takeda under the original collaboration agreement, including milestone payments</w:t>
      </w:r>
      <w:r>
        <w:rPr>
          <w:rFonts w:eastAsia="Times New Roman"/>
          <w:color w:val="000000"/>
          <w:sz w:val="18"/>
          <w:szCs w:val="18"/>
        </w:rPr>
        <w:t xml:space="preserve"> or any future development and commercialization costs. On March 29, 2021 upon the closing of the Takeda License and Termination Agreement, the Company received an upfront payment of $196.0 million and, if soticlestat is successfully developed, will be eli</w:t>
      </w:r>
      <w:r>
        <w:rPr>
          <w:rFonts w:eastAsia="Times New Roman"/>
          <w:color w:val="000000"/>
          <w:sz w:val="18"/>
          <w:szCs w:val="18"/>
        </w:rPr>
        <w:t>gible to receive up to an additional $660.0 million upon Takeda achieving developmental, regulatory and sales milestones. In addition, the Company will be entitled to receive tiered royalties beginning in the low double-digits, and up to 20% on sales of so</w:t>
      </w:r>
      <w:r>
        <w:rPr>
          <w:rFonts w:eastAsia="Times New Roman"/>
          <w:color w:val="000000"/>
          <w:sz w:val="18"/>
          <w:szCs w:val="18"/>
        </w:rPr>
        <w:t xml:space="preserve">ticlestat if regulatory approval is achieved. Royalties will be payable on a country-by-country and product-by-product basis for any indications that soticlestat is approved for and sold during the period beginning on the date of the first commercial sale </w:t>
      </w:r>
      <w:r>
        <w:rPr>
          <w:rFonts w:eastAsia="Times New Roman"/>
          <w:color w:val="000000"/>
          <w:sz w:val="18"/>
          <w:szCs w:val="18"/>
        </w:rPr>
        <w:t>of such product in such country and ending on the later to occur of the expiration of patent rights covering the product in such country and a specified anniversary of such first commercial sale.</w:t>
      </w:r>
    </w:p>
    <w:p w:rsidR="00000000" w:rsidRDefault="00375AF8">
      <w:pPr>
        <w:ind w:firstLine="720"/>
        <w:jc w:val="both"/>
        <w:divId w:val="1873424112"/>
        <w:rPr>
          <w:rFonts w:eastAsia="Times New Roman"/>
        </w:rPr>
      </w:pPr>
      <w:r>
        <w:rPr>
          <w:rFonts w:eastAsia="Times New Roman"/>
          <w:color w:val="000000"/>
          <w:sz w:val="18"/>
          <w:szCs w:val="18"/>
        </w:rPr>
        <w:t>The Company identified the following material promises under</w:t>
      </w:r>
      <w:r>
        <w:rPr>
          <w:rFonts w:eastAsia="Times New Roman"/>
          <w:color w:val="000000"/>
          <w:sz w:val="18"/>
          <w:szCs w:val="18"/>
        </w:rPr>
        <w:t xml:space="preserve"> the Takeda License and Termination Agreement: (1) no later than the second business day prior to the closing of the Takeda License and Termination Agreement (the “Closing Date”), the Company and Takeda were required to agree on an estimate of the developm</w:t>
      </w:r>
      <w:r>
        <w:rPr>
          <w:rFonts w:eastAsia="Times New Roman"/>
          <w:color w:val="000000"/>
          <w:sz w:val="18"/>
          <w:szCs w:val="18"/>
        </w:rPr>
        <w:t>ent expenses that accrued, or would accrue, under the original collaboration agreement as of March 31, 2021; (2) on the Closing Date, the Company was required to (i) provide and transfer to Takeda the materials, information and data relating to the soticle</w:t>
      </w:r>
      <w:r>
        <w:rPr>
          <w:rFonts w:eastAsia="Times New Roman"/>
          <w:color w:val="000000"/>
          <w:sz w:val="18"/>
          <w:szCs w:val="18"/>
        </w:rPr>
        <w:t>stat program, including clinical trial data and results, as further set forth in the Takeda License and Termination Agreement, (ii) assign to Takeda certain agreements applicable to the soticlestat program, and (iii) assign to Takeda all of its right, titl</w:t>
      </w:r>
      <w:r>
        <w:rPr>
          <w:rFonts w:eastAsia="Times New Roman"/>
          <w:color w:val="000000"/>
          <w:sz w:val="18"/>
          <w:szCs w:val="18"/>
        </w:rPr>
        <w:t xml:space="preserve">e and interest in, to and under all intellectual property rights developed or created pursuant to the original collaboration agreement and owned jointly by the Company and Takeda as of the Closing Date; (3) within 45 days after March 31, 2021, the Company </w:t>
      </w:r>
      <w:r>
        <w:rPr>
          <w:rFonts w:eastAsia="Times New Roman"/>
          <w:color w:val="000000"/>
          <w:sz w:val="18"/>
          <w:szCs w:val="18"/>
        </w:rPr>
        <w:t>and Takeda were required to provide a written report to the finance officer designated by the other party setting forth a final total of the development expenses that accrued as of March 31, 2021 and, within 10 business days after receipt of such report, t</w:t>
      </w:r>
      <w:r>
        <w:rPr>
          <w:rFonts w:eastAsia="Times New Roman"/>
          <w:color w:val="000000"/>
          <w:sz w:val="18"/>
          <w:szCs w:val="18"/>
        </w:rPr>
        <w:t>he finance officers shall agree on whether a net settlement payment is due from Takeda to the Company or from the Company to Takeda; and (4) within 75 days after the Closing Date, to the extent not provided on the Closing Date, Ovid shall provide to Takeda</w:t>
      </w:r>
      <w:r>
        <w:rPr>
          <w:rFonts w:eastAsia="Times New Roman"/>
          <w:color w:val="000000"/>
          <w:sz w:val="18"/>
          <w:szCs w:val="18"/>
        </w:rPr>
        <w:t xml:space="preserve"> (i) any materials, information and data relating to the soticlestat program, including clinical trial data and results, as further set forth in the Takeda License and Termination Agreement, (ii) other documents (including all expired agreements and relate</w:t>
      </w:r>
      <w:r>
        <w:rPr>
          <w:rFonts w:eastAsia="Times New Roman"/>
          <w:color w:val="000000"/>
          <w:sz w:val="18"/>
          <w:szCs w:val="18"/>
        </w:rPr>
        <w:t xml:space="preserve">d data developed thereunder) to the extent relating to the soticlestat program that are necessary for the exploitation, development, commercialization and manufacture of soticlestat, as further set forth in the Takeda License and Termination Agreement and </w:t>
      </w:r>
      <w:r>
        <w:rPr>
          <w:rFonts w:eastAsia="Times New Roman"/>
          <w:color w:val="000000"/>
          <w:sz w:val="18"/>
          <w:szCs w:val="18"/>
        </w:rPr>
        <w:t>(iii) any tangible embodiments of the intellectual property rights controlled by Ovid that are reasonably necessary for, used in or held for use in Takeda’s exploitation of the soticlestat program.</w:t>
      </w:r>
    </w:p>
    <w:p w:rsidR="00000000" w:rsidRDefault="00375AF8">
      <w:pPr>
        <w:ind w:firstLine="720"/>
        <w:jc w:val="both"/>
        <w:divId w:val="1281573590"/>
        <w:rPr>
          <w:rFonts w:eastAsia="Times New Roman"/>
        </w:rPr>
      </w:pPr>
      <w:r>
        <w:rPr>
          <w:rFonts w:eastAsia="Times New Roman"/>
          <w:color w:val="000000"/>
          <w:sz w:val="18"/>
          <w:szCs w:val="18"/>
        </w:rPr>
        <w:t>The Company determined the transaction price is equal to t</w:t>
      </w:r>
      <w:r>
        <w:rPr>
          <w:rFonts w:eastAsia="Times New Roman"/>
          <w:color w:val="000000"/>
          <w:sz w:val="18"/>
          <w:szCs w:val="18"/>
        </w:rPr>
        <w:t>he upfront fee of $196.0 million and is associated with all four performance obligations identified above. It is noted that the incremental effort associated with performance obligations three and four is negligible and not material in the context of the T</w:t>
      </w:r>
      <w:r>
        <w:rPr>
          <w:rFonts w:eastAsia="Times New Roman"/>
          <w:color w:val="000000"/>
          <w:sz w:val="18"/>
          <w:szCs w:val="18"/>
        </w:rPr>
        <w:t>akeda License and Termination Agreement since all of the information is related to the collaboration period for which the Company already has the information readily available. Therefore, since they are not material in the context of the Takeda License and</w:t>
      </w:r>
      <w:r>
        <w:rPr>
          <w:rFonts w:eastAsia="Times New Roman"/>
          <w:color w:val="000000"/>
          <w:sz w:val="18"/>
          <w:szCs w:val="18"/>
        </w:rPr>
        <w:t xml:space="preserve"> Termination Agreement, the full upfront fee was allocated to the two performance obligations satisfied at closing.</w:t>
      </w:r>
    </w:p>
    <w:p w:rsidR="00000000" w:rsidRDefault="00375AF8">
      <w:pPr>
        <w:ind w:firstLine="720"/>
        <w:jc w:val="both"/>
        <w:divId w:val="447742182"/>
        <w:rPr>
          <w:rFonts w:eastAsia="Times New Roman"/>
        </w:rPr>
      </w:pPr>
      <w:r>
        <w:rPr>
          <w:rFonts w:eastAsia="Times New Roman"/>
          <w:color w:val="000000"/>
          <w:sz w:val="18"/>
          <w:szCs w:val="18"/>
        </w:rPr>
        <w:t>During the six months ended June 30, 2022, no expense was recognized pursuant to the Takeda License and Termination Agreement. During the si</w:t>
      </w:r>
      <w:r>
        <w:rPr>
          <w:rFonts w:eastAsia="Times New Roman"/>
          <w:color w:val="000000"/>
          <w:sz w:val="18"/>
          <w:szCs w:val="18"/>
        </w:rPr>
        <w:t xml:space="preserve">x months ended June 30, 2021, the Company recognized a credit in research and development expenses of $2.6 million and recognized $0.1 million in general and administrative expenses representing costs which were reimbursed to the Company from Takeda. </w:t>
      </w:r>
    </w:p>
    <w:p w:rsidR="00000000" w:rsidRDefault="00375AF8">
      <w:pPr>
        <w:jc w:val="both"/>
        <w:divId w:val="200554909"/>
        <w:rPr>
          <w:rFonts w:eastAsia="Times New Roman"/>
        </w:rPr>
      </w:pPr>
      <w:r>
        <w:rPr>
          <w:rFonts w:eastAsia="Times New Roman"/>
          <w:b/>
          <w:bCs/>
          <w:color w:val="000000"/>
          <w:sz w:val="18"/>
          <w:szCs w:val="18"/>
        </w:rPr>
        <w:t>Heal</w:t>
      </w:r>
      <w:r>
        <w:rPr>
          <w:rFonts w:eastAsia="Times New Roman"/>
          <w:b/>
          <w:bCs/>
          <w:color w:val="000000"/>
          <w:sz w:val="18"/>
          <w:szCs w:val="18"/>
        </w:rPr>
        <w:t>x License and Option Agreement</w:t>
      </w:r>
    </w:p>
    <w:p w:rsidR="00000000" w:rsidRDefault="00375AF8">
      <w:pPr>
        <w:ind w:firstLine="720"/>
        <w:jc w:val="both"/>
        <w:divId w:val="1661500497"/>
        <w:rPr>
          <w:rFonts w:eastAsia="Times New Roman"/>
        </w:rPr>
      </w:pPr>
      <w:r>
        <w:rPr>
          <w:rFonts w:eastAsia="Times New Roman"/>
          <w:color w:val="000000"/>
          <w:sz w:val="18"/>
          <w:szCs w:val="18"/>
        </w:rPr>
        <w:t xml:space="preserve">On February 1, 2022, the Company entered into the Healx License and Option Agreement. Under the terms of the Healx License and Option Agreement, Healx has secured a one-year option to investigate gaboxadol (OV101) as part of </w:t>
      </w:r>
      <w:r>
        <w:rPr>
          <w:rFonts w:eastAsia="Times New Roman"/>
          <w:color w:val="000000"/>
          <w:sz w:val="18"/>
          <w:szCs w:val="18"/>
        </w:rPr>
        <w:t>a potential combination therapy for Fragile X syndrome in a Phase 2A clinical trial, as well as a treatment for other indications, for an upfront payment of $0.5 million, and fees to support prosecution and maintenance of our relevant intellectual property</w:t>
      </w:r>
      <w:r>
        <w:rPr>
          <w:rFonts w:eastAsia="Times New Roman"/>
          <w:color w:val="000000"/>
          <w:sz w:val="18"/>
          <w:szCs w:val="18"/>
        </w:rPr>
        <w:t xml:space="preserve"> rights. At the end of the one-year option period, Healx has the option to secure rights to an exclusive license under our relevant intellectual property rights, in exchange for an additional payment of $2.0 million, development and commercial milestone pa</w:t>
      </w:r>
      <w:r>
        <w:rPr>
          <w:rFonts w:eastAsia="Times New Roman"/>
          <w:color w:val="000000"/>
          <w:sz w:val="18"/>
          <w:szCs w:val="18"/>
        </w:rPr>
        <w:t>yments, and low to mid-tier double digit royalties. Royalties are payable on a country-by-country and product-by-product basis during the period beginning on the date of the first commercial sale of such product in such country and ending on the later to o</w:t>
      </w:r>
      <w:r>
        <w:rPr>
          <w:rFonts w:eastAsia="Times New Roman"/>
          <w:color w:val="000000"/>
          <w:sz w:val="18"/>
          <w:szCs w:val="18"/>
        </w:rPr>
        <w:t xml:space="preserve">ccur of the expiration of patent rights covering the product in such country and a specified anniversary of such first commercial sale. </w:t>
      </w:r>
    </w:p>
    <w:p w:rsidR="00000000" w:rsidRDefault="00375AF8">
      <w:pPr>
        <w:ind w:firstLine="720"/>
        <w:jc w:val="both"/>
        <w:divId w:val="1308129444"/>
        <w:rPr>
          <w:rFonts w:eastAsia="Times New Roman"/>
        </w:rPr>
      </w:pPr>
      <w:r>
        <w:rPr>
          <w:rFonts w:eastAsia="Times New Roman"/>
          <w:color w:val="000000"/>
          <w:sz w:val="18"/>
          <w:szCs w:val="18"/>
        </w:rPr>
        <w:t>Healx will assume all responsibility for, and costs of, both development and commercialization of gaboxadol following t</w:t>
      </w:r>
      <w:r>
        <w:rPr>
          <w:rFonts w:eastAsia="Times New Roman"/>
          <w:color w:val="000000"/>
          <w:sz w:val="18"/>
          <w:szCs w:val="18"/>
        </w:rPr>
        <w:t>he exercise of the option. The Company will retain the option to co-develop and co-commercialize the program with Healx, or the Ovid Opt-In Right, at the end of a positive readout of clinical phase 2B and would share net profits and losses in lieu of the m</w:t>
      </w:r>
      <w:r>
        <w:rPr>
          <w:rFonts w:eastAsia="Times New Roman"/>
          <w:color w:val="000000"/>
          <w:sz w:val="18"/>
          <w:szCs w:val="18"/>
        </w:rPr>
        <w:t>ilestones and royalty payments. If the Ovid-Opt-In Right were exercised, the Company would be required to pay Healx 50% of development costs. The Company does not plan to conduct further trials of gaboxadol. The term of the Healx License and Option Agreeme</w:t>
      </w:r>
      <w:r>
        <w:rPr>
          <w:rFonts w:eastAsia="Times New Roman"/>
          <w:color w:val="000000"/>
          <w:sz w:val="18"/>
          <w:szCs w:val="18"/>
        </w:rPr>
        <w:t>nt will continue until the later of (a) the expiration of all relevant royalty terms, or in the event that Healx does not exercise its option during the option period defined in the Healx License and Option Agreement, or the Option Period, the expiration o</w:t>
      </w:r>
      <w:r>
        <w:rPr>
          <w:rFonts w:eastAsia="Times New Roman"/>
          <w:color w:val="000000"/>
          <w:sz w:val="18"/>
          <w:szCs w:val="18"/>
        </w:rPr>
        <w:t>f such period, or (b) in the event that Healx does exercise its option during the Option Period, and the Company does not exercise the Ovid Opt-In Right during the period of time we have to opt-in, or the Opt-In Period, or the opt-in terms are otherwise te</w:t>
      </w:r>
      <w:r>
        <w:rPr>
          <w:rFonts w:eastAsia="Times New Roman"/>
          <w:color w:val="000000"/>
          <w:sz w:val="18"/>
          <w:szCs w:val="18"/>
        </w:rPr>
        <w:t>rminated, upon the expiration of all payment obligations, or (c) in the event that Healx does exercise the Option during the Option Period, and the Company does exercise the Ovid Opt-In Right during the Opt-In Period, such time as neither Healx nor Ovid is</w:t>
      </w:r>
      <w:r>
        <w:rPr>
          <w:rFonts w:eastAsia="Times New Roman"/>
          <w:color w:val="000000"/>
          <w:sz w:val="18"/>
          <w:szCs w:val="18"/>
        </w:rPr>
        <w:t xml:space="preserve"> continuing to exploit the gaboxadol. As part of the revised contractual obligations with Lundbeck, Ovid will owe Lundbeck a share of all milestone and royalty payments received from Healx, if we do not </w:t>
      </w:r>
    </w:p>
    <w:p w:rsidR="00000000" w:rsidRDefault="00375AF8">
      <w:pPr>
        <w:jc w:val="center"/>
        <w:divId w:val="1790783806"/>
        <w:rPr>
          <w:rFonts w:eastAsia="Times New Roman"/>
        </w:rPr>
      </w:pPr>
      <w:r>
        <w:rPr>
          <w:rFonts w:eastAsia="Times New Roman"/>
          <w:color w:val="000000"/>
          <w:sz w:val="18"/>
          <w:szCs w:val="18"/>
        </w:rPr>
        <w:t>18</w:t>
      </w:r>
    </w:p>
    <w:p w:rsidR="00000000" w:rsidRDefault="00375AF8">
      <w:pPr>
        <w:rPr>
          <w:rFonts w:eastAsia="Times New Roman"/>
        </w:rPr>
      </w:pPr>
      <w:r>
        <w:rPr>
          <w:rFonts w:eastAsia="Times New Roman"/>
        </w:rPr>
        <w:pict>
          <v:rect id="_x0000_i1043" style="width:0;height:1.5pt" o:hralign="center" o:hrstd="t" o:hr="t" fillcolor="#a0a0a0" stroked="f"/>
        </w:pict>
      </w:r>
    </w:p>
    <w:p w:rsidR="00000000" w:rsidRDefault="00375AF8">
      <w:pPr>
        <w:divId w:val="1911498695"/>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681779611"/>
        <w:rPr>
          <w:rFonts w:eastAsia="Times New Roman"/>
        </w:rPr>
      </w:pPr>
      <w:r>
        <w:rPr>
          <w:rFonts w:eastAsia="Times New Roman"/>
          <w:color w:val="000000"/>
          <w:sz w:val="18"/>
          <w:szCs w:val="18"/>
        </w:rPr>
        <w:t>exercise the Ovid Opt-In Right. If we do exercise the Ovid Opt-In Right to co-develop and co-commercialize the program with Healx, we will owe a share of the net profit share to Lundbeck.</w:t>
      </w:r>
    </w:p>
    <w:p w:rsidR="00000000" w:rsidRDefault="00375AF8">
      <w:pPr>
        <w:ind w:firstLine="720"/>
        <w:jc w:val="both"/>
        <w:divId w:val="1149398396"/>
        <w:rPr>
          <w:rFonts w:eastAsia="Times New Roman"/>
        </w:rPr>
      </w:pPr>
      <w:r>
        <w:rPr>
          <w:rFonts w:eastAsia="Times New Roman"/>
          <w:color w:val="000000"/>
          <w:sz w:val="18"/>
          <w:szCs w:val="18"/>
        </w:rPr>
        <w:t>No revenue was recognized relating to this agreement during the thre</w:t>
      </w:r>
      <w:r>
        <w:rPr>
          <w:rFonts w:eastAsia="Times New Roman"/>
          <w:color w:val="000000"/>
          <w:sz w:val="18"/>
          <w:szCs w:val="18"/>
        </w:rPr>
        <w:t>e months ended June 30, 2022. During the six months ended June 30, 2022, the Company recorded revenue of $0.5 million associated with the Healx License and Option Agreement.</w:t>
      </w:r>
    </w:p>
    <w:p w:rsidR="00000000" w:rsidRDefault="00375AF8">
      <w:pPr>
        <w:jc w:val="both"/>
        <w:divId w:val="1167289603"/>
        <w:rPr>
          <w:rFonts w:eastAsia="Times New Roman"/>
        </w:rPr>
      </w:pPr>
      <w:r>
        <w:rPr>
          <w:rFonts w:eastAsia="Times New Roman"/>
          <w:b/>
          <w:bCs/>
          <w:color w:val="000000"/>
          <w:sz w:val="18"/>
          <w:szCs w:val="18"/>
        </w:rPr>
        <w:t>Marinus Pharmaceuticals Out-License Agreement</w:t>
      </w:r>
      <w:r>
        <w:rPr>
          <w:rFonts w:eastAsia="Times New Roman"/>
          <w:i/>
          <w:iCs/>
          <w:color w:val="000000"/>
          <w:sz w:val="18"/>
          <w:szCs w:val="18"/>
        </w:rPr>
        <w:t xml:space="preserve"> </w:t>
      </w:r>
    </w:p>
    <w:p w:rsidR="00000000" w:rsidRDefault="00375AF8">
      <w:pPr>
        <w:ind w:firstLine="720"/>
        <w:jc w:val="both"/>
        <w:divId w:val="734739787"/>
        <w:rPr>
          <w:rFonts w:eastAsia="Times New Roman"/>
        </w:rPr>
      </w:pPr>
      <w:r>
        <w:rPr>
          <w:rFonts w:eastAsia="Times New Roman"/>
          <w:color w:val="000000"/>
          <w:sz w:val="18"/>
          <w:szCs w:val="18"/>
        </w:rPr>
        <w:t>On March 1, 2022, the Company enter</w:t>
      </w:r>
      <w:r>
        <w:rPr>
          <w:rFonts w:eastAsia="Times New Roman"/>
          <w:color w:val="000000"/>
          <w:sz w:val="18"/>
          <w:szCs w:val="18"/>
        </w:rPr>
        <w:t xml:space="preserve">ed into an exclusive patent license agreement with Marinus, or the Marinus License Agreement. Under the Marinus License Agreement, the Company granted Marinus an exclusive, non-transferable (except as expressly provided therein), royalty-bearing right and </w:t>
      </w:r>
      <w:r>
        <w:rPr>
          <w:rFonts w:eastAsia="Times New Roman"/>
          <w:color w:val="000000"/>
          <w:sz w:val="18"/>
          <w:szCs w:val="18"/>
        </w:rPr>
        <w:t>license under certain Ovid patents relating to ganaxolone to develop, make, have made, commercialize, promote, distribute, sell, offer for sale and import licensed products in the territory (which consist of the United States, the European Economic Area, U</w:t>
      </w:r>
      <w:r>
        <w:rPr>
          <w:rFonts w:eastAsia="Times New Roman"/>
          <w:color w:val="000000"/>
          <w:sz w:val="18"/>
          <w:szCs w:val="18"/>
        </w:rPr>
        <w:t>nited Kingdom and Switzerland) for the treatment of CDKL5 deficiency disorders. Following the date of regulatory approval by the FDA of the first licensed product in the territory which was received on March 18, 2022, Marinus issued, at the Company's optio</w:t>
      </w:r>
      <w:r>
        <w:rPr>
          <w:rFonts w:eastAsia="Times New Roman"/>
          <w:color w:val="000000"/>
          <w:sz w:val="18"/>
          <w:szCs w:val="18"/>
        </w:rPr>
        <w:t>n, 123,255 shares of Marinus common stock, par value $0.001 per share, as payment. The Marinus License Agreement also provides for payment of royalties from Marinus to the Company in single digits on net sales of each such licensed product sold.</w:t>
      </w:r>
    </w:p>
    <w:p w:rsidR="00000000" w:rsidRDefault="00375AF8">
      <w:pPr>
        <w:ind w:firstLine="720"/>
        <w:jc w:val="both"/>
        <w:divId w:val="195703272"/>
        <w:rPr>
          <w:rFonts w:eastAsia="Times New Roman"/>
        </w:rPr>
      </w:pPr>
      <w:r>
        <w:rPr>
          <w:rFonts w:eastAsia="Times New Roman"/>
          <w:color w:val="000000"/>
          <w:sz w:val="18"/>
          <w:szCs w:val="18"/>
        </w:rPr>
        <w:t>The Compan</w:t>
      </w:r>
      <w:r>
        <w:rPr>
          <w:rFonts w:eastAsia="Times New Roman"/>
          <w:color w:val="000000"/>
          <w:sz w:val="18"/>
          <w:szCs w:val="18"/>
        </w:rPr>
        <w:t>y recorded revenue and an associated investment in equity securities of approximately $0.9 million related to the patent license agreement on March 18, 2022, based on the price of Marinus common stock on March 1, 2022. The Company had an unrealized loss on</w:t>
      </w:r>
      <w:r>
        <w:rPr>
          <w:rFonts w:eastAsia="Times New Roman"/>
          <w:color w:val="000000"/>
          <w:sz w:val="18"/>
          <w:szCs w:val="18"/>
        </w:rPr>
        <w:t xml:space="preserve"> the Marinus common stock of $0.6 million and $0.3 million for the three and six months ended June 30, 2022, which was recorded as an unrealized loss on equity securities and is reflected in other (expense) income, net in the condensed consolidated stateme</w:t>
      </w:r>
      <w:r>
        <w:rPr>
          <w:rFonts w:eastAsia="Times New Roman"/>
          <w:color w:val="000000"/>
          <w:sz w:val="18"/>
          <w:szCs w:val="18"/>
        </w:rPr>
        <w:t>nts of operations.</w:t>
      </w:r>
    </w:p>
    <w:p w:rsidR="00000000" w:rsidRDefault="00375AF8">
      <w:pPr>
        <w:jc w:val="both"/>
        <w:divId w:val="481313954"/>
        <w:rPr>
          <w:rFonts w:eastAsia="Times New Roman"/>
        </w:rPr>
      </w:pPr>
      <w:r>
        <w:rPr>
          <w:rFonts w:eastAsia="Times New Roman"/>
          <w:b/>
          <w:bCs/>
          <w:color w:val="000000"/>
          <w:sz w:val="18"/>
          <w:szCs w:val="18"/>
        </w:rPr>
        <w:t>NOTE 12 – RELATED PARTY TRANSACTIONS</w:t>
      </w:r>
    </w:p>
    <w:p w:rsidR="00000000" w:rsidRDefault="00375AF8">
      <w:pPr>
        <w:ind w:firstLine="720"/>
        <w:jc w:val="both"/>
        <w:divId w:val="216475090"/>
        <w:rPr>
          <w:rFonts w:eastAsia="Times New Roman"/>
        </w:rPr>
      </w:pPr>
      <w:r>
        <w:rPr>
          <w:rFonts w:eastAsia="Times New Roman"/>
          <w:color w:val="000000"/>
          <w:sz w:val="18"/>
          <w:szCs w:val="18"/>
        </w:rPr>
        <w:t>In March 2021, the Company entered into the Takeda License and Termination Agreement with Takeda. For a description of the Takeda License and Termination Agreement, see Note 11.</w:t>
      </w:r>
    </w:p>
    <w:p w:rsidR="00000000" w:rsidRDefault="00375AF8">
      <w:pPr>
        <w:jc w:val="both"/>
        <w:divId w:val="184095267"/>
        <w:rPr>
          <w:rFonts w:eastAsia="Times New Roman"/>
        </w:rPr>
      </w:pPr>
      <w:r>
        <w:rPr>
          <w:rFonts w:eastAsia="Times New Roman"/>
          <w:b/>
          <w:bCs/>
          <w:color w:val="000000"/>
          <w:sz w:val="18"/>
          <w:szCs w:val="18"/>
        </w:rPr>
        <w:t>NOTE 13 – NET (LOSS) I</w:t>
      </w:r>
      <w:r>
        <w:rPr>
          <w:rFonts w:eastAsia="Times New Roman"/>
          <w:b/>
          <w:bCs/>
          <w:color w:val="000000"/>
          <w:sz w:val="18"/>
          <w:szCs w:val="18"/>
        </w:rPr>
        <w:t>NCOME PER SHARE</w:t>
      </w:r>
    </w:p>
    <w:p w:rsidR="00000000" w:rsidRDefault="00375AF8">
      <w:pPr>
        <w:ind w:firstLine="720"/>
        <w:jc w:val="both"/>
        <w:divId w:val="1699164826"/>
        <w:rPr>
          <w:rFonts w:eastAsia="Times New Roman"/>
        </w:rPr>
      </w:pPr>
      <w:r>
        <w:rPr>
          <w:rFonts w:eastAsia="Times New Roman"/>
          <w:color w:val="000000"/>
          <w:sz w:val="18"/>
          <w:szCs w:val="18"/>
        </w:rPr>
        <w:t xml:space="preserve">Basic net (loss) income per share is calculated based upon the weighted-average number of common shares outstanding during the period, excluding outstanding stock options that have not yet vested. Diluted net income per share is calculated </w:t>
      </w:r>
      <w:r>
        <w:rPr>
          <w:rFonts w:eastAsia="Times New Roman"/>
          <w:color w:val="000000"/>
          <w:sz w:val="18"/>
          <w:szCs w:val="18"/>
        </w:rPr>
        <w:t>based upon the weighted-average number of common shares outstanding during the period plus the dilutive impact of weighted-average common equivalent shares outstanding during the period resulting from the assumed exercise of outstanding stock options deter</w:t>
      </w:r>
      <w:r>
        <w:rPr>
          <w:rFonts w:eastAsia="Times New Roman"/>
          <w:color w:val="000000"/>
          <w:sz w:val="18"/>
          <w:szCs w:val="18"/>
        </w:rPr>
        <w:t>mined under the treasury stock method and the assumed conversion of preferred stock into common shares determined using the if-converted method. Diluted net loss per share is equivalent to the basic net loss per share due to the exclusion of outstanding st</w:t>
      </w:r>
      <w:r>
        <w:rPr>
          <w:rFonts w:eastAsia="Times New Roman"/>
          <w:color w:val="000000"/>
          <w:sz w:val="18"/>
          <w:szCs w:val="18"/>
        </w:rPr>
        <w:t>ock options and convertible preferred stock because the inclusion of these securities would result in an anti-dilutive effect on per share amounts.</w:t>
      </w:r>
    </w:p>
    <w:p w:rsidR="00000000" w:rsidRDefault="00375AF8">
      <w:pPr>
        <w:ind w:firstLine="720"/>
        <w:jc w:val="both"/>
        <w:divId w:val="1347751426"/>
        <w:rPr>
          <w:rFonts w:eastAsia="Times New Roman"/>
        </w:rPr>
      </w:pPr>
      <w:r>
        <w:rPr>
          <w:rFonts w:eastAsia="Times New Roman"/>
          <w:color w:val="000000"/>
          <w:sz w:val="18"/>
          <w:szCs w:val="18"/>
        </w:rPr>
        <w:t>The basic and diluted net (loss) income per common share is presented in conformity with the two-class metho</w:t>
      </w:r>
      <w:r>
        <w:rPr>
          <w:rFonts w:eastAsia="Times New Roman"/>
          <w:color w:val="000000"/>
          <w:sz w:val="18"/>
          <w:szCs w:val="18"/>
        </w:rPr>
        <w:t>d required for participating securities and multiple classes of shares. The Company considers its preferred stock to be participating securities.</w:t>
      </w:r>
    </w:p>
    <w:p w:rsidR="00000000" w:rsidRDefault="00375AF8">
      <w:pPr>
        <w:ind w:firstLine="720"/>
        <w:jc w:val="both"/>
        <w:divId w:val="2130930889"/>
        <w:rPr>
          <w:rFonts w:eastAsia="Times New Roman"/>
        </w:rPr>
      </w:pPr>
      <w:r>
        <w:rPr>
          <w:rFonts w:eastAsia="Times New Roman"/>
          <w:color w:val="000000"/>
          <w:sz w:val="18"/>
          <w:szCs w:val="18"/>
        </w:rPr>
        <w:t xml:space="preserve">For any period in which the Company records net income, undistributed earnings allocated to the participating </w:t>
      </w:r>
      <w:r>
        <w:rPr>
          <w:rFonts w:eastAsia="Times New Roman"/>
          <w:color w:val="000000"/>
          <w:sz w:val="18"/>
          <w:szCs w:val="18"/>
        </w:rPr>
        <w:t>securities are subtracted from net income in determining net income attributable to common stockholders. The undistributed earnings have been allocated based on the participation rights of preferred stock and common shares as if the earnings for the year h</w:t>
      </w:r>
      <w:r>
        <w:rPr>
          <w:rFonts w:eastAsia="Times New Roman"/>
          <w:color w:val="000000"/>
          <w:sz w:val="18"/>
          <w:szCs w:val="18"/>
        </w:rPr>
        <w:t>ave been distributed. For periods in which the Company recognizes a net loss, undistributed losses are allocated only to common shares as the participating securities do not contractually participate in the Company’s losses. Basic net (loss) income per sha</w:t>
      </w:r>
      <w:r>
        <w:rPr>
          <w:rFonts w:eastAsia="Times New Roman"/>
          <w:color w:val="000000"/>
          <w:sz w:val="18"/>
          <w:szCs w:val="18"/>
        </w:rPr>
        <w:t>re is computed by dividing the net (loss) income attributable to common stockholders by the weighted-average number of common shares outstanding during the period. Participating securities are excluded from basic weighted-average common shares outstanding.</w:t>
      </w:r>
    </w:p>
    <w:p w:rsidR="00000000" w:rsidRDefault="00375AF8">
      <w:pPr>
        <w:jc w:val="center"/>
        <w:divId w:val="2070810336"/>
        <w:rPr>
          <w:rFonts w:eastAsia="Times New Roman"/>
        </w:rPr>
      </w:pPr>
      <w:r>
        <w:rPr>
          <w:rFonts w:eastAsia="Times New Roman"/>
          <w:color w:val="000000"/>
          <w:sz w:val="18"/>
          <w:szCs w:val="18"/>
        </w:rPr>
        <w:t>19</w:t>
      </w:r>
    </w:p>
    <w:p w:rsidR="00000000" w:rsidRDefault="00375AF8">
      <w:pPr>
        <w:rPr>
          <w:rFonts w:eastAsia="Times New Roman"/>
        </w:rPr>
      </w:pPr>
      <w:r>
        <w:rPr>
          <w:rFonts w:eastAsia="Times New Roman"/>
        </w:rPr>
        <w:pict>
          <v:rect id="_x0000_i1044" style="width:0;height:1.5pt" o:hralign="center" o:hrstd="t" o:hr="t" fillcolor="#a0a0a0" stroked="f"/>
        </w:pict>
      </w:r>
    </w:p>
    <w:p w:rsidR="00000000" w:rsidRDefault="00375AF8">
      <w:pPr>
        <w:divId w:val="669138942"/>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800533692"/>
        <w:rPr>
          <w:rFonts w:eastAsia="Times New Roman"/>
        </w:rPr>
      </w:pPr>
      <w:r>
        <w:rPr>
          <w:rFonts w:eastAsia="Times New Roman"/>
          <w:color w:val="000000"/>
          <w:sz w:val="18"/>
          <w:szCs w:val="18"/>
        </w:rPr>
        <w:t>The following table summarizes the calculation of basic and diluted net (loss) income per share:</w:t>
      </w:r>
    </w:p>
    <w:tbl>
      <w:tblPr>
        <w:tblW w:w="5000" w:type="pct"/>
        <w:tblCellMar>
          <w:top w:w="15" w:type="dxa"/>
          <w:left w:w="15" w:type="dxa"/>
          <w:bottom w:w="15" w:type="dxa"/>
          <w:right w:w="15" w:type="dxa"/>
        </w:tblCellMar>
        <w:tblLook w:val="04A0" w:firstRow="1" w:lastRow="0" w:firstColumn="1" w:lastColumn="0" w:noHBand="0" w:noVBand="1"/>
      </w:tblPr>
      <w:tblGrid>
        <w:gridCol w:w="39"/>
        <w:gridCol w:w="3586"/>
        <w:gridCol w:w="38"/>
        <w:gridCol w:w="110"/>
        <w:gridCol w:w="930"/>
        <w:gridCol w:w="36"/>
        <w:gridCol w:w="36"/>
        <w:gridCol w:w="36"/>
        <w:gridCol w:w="36"/>
        <w:gridCol w:w="110"/>
        <w:gridCol w:w="930"/>
        <w:gridCol w:w="36"/>
        <w:gridCol w:w="36"/>
        <w:gridCol w:w="36"/>
        <w:gridCol w:w="36"/>
        <w:gridCol w:w="110"/>
        <w:gridCol w:w="930"/>
        <w:gridCol w:w="36"/>
        <w:gridCol w:w="36"/>
        <w:gridCol w:w="36"/>
        <w:gridCol w:w="36"/>
        <w:gridCol w:w="110"/>
        <w:gridCol w:w="945"/>
        <w:gridCol w:w="36"/>
      </w:tblGrid>
      <w:tr w:rsidR="00000000">
        <w:trPr>
          <w:divId w:val="983849621"/>
        </w:trPr>
        <w:tc>
          <w:tcPr>
            <w:tcW w:w="50" w:type="pct"/>
            <w:vAlign w:val="center"/>
            <w:hideMark/>
          </w:tcPr>
          <w:p w:rsidR="00000000" w:rsidRDefault="00375AF8">
            <w:pPr>
              <w:ind w:firstLine="720"/>
              <w:jc w:val="both"/>
              <w:rPr>
                <w:rFonts w:eastAsia="Times New Roman"/>
              </w:rPr>
            </w:pPr>
          </w:p>
        </w:tc>
        <w:tc>
          <w:tcPr>
            <w:tcW w:w="22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983849621"/>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rPr>
          <w:divId w:val="983849621"/>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rPr>
          <w:divId w:val="98384962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(14,588,414)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(15,788,427)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160,218,880 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income attributable to participating securities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(4,824,587)</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(14,588,414)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(15,788,427)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155,394,293 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Height w:val="300"/>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983849621"/>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rPr>
          <w:divId w:val="983849621"/>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rPr>
          <w:divId w:val="98384962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(14,588,414)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(15,788,427)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155,394,293 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Pr>
        <w:tc>
          <w:tcPr>
            <w:tcW w:w="0" w:type="auto"/>
            <w:gridSpan w:val="3"/>
            <w:shd w:val="clear" w:color="auto" w:fill="FFFFFF"/>
            <w:tcMar>
              <w:top w:w="30" w:type="dxa"/>
              <w:left w:w="200" w:type="dxa"/>
              <w:bottom w:w="30" w:type="dxa"/>
              <w:right w:w="20" w:type="dxa"/>
            </w:tcMar>
            <w:vAlign w:val="bottom"/>
            <w:hideMark/>
          </w:tcPr>
          <w:p w:rsidR="00000000" w:rsidRDefault="00375AF8">
            <w:pPr>
              <w:spacing w:after="100"/>
              <w:ind w:hanging="180"/>
              <w:rPr>
                <w:rFonts w:eastAsia="Times New Roman"/>
              </w:rPr>
            </w:pPr>
            <w:r>
              <w:rPr>
                <w:rFonts w:eastAsia="Times New Roman"/>
                <w:color w:val="000000"/>
                <w:sz w:val="18"/>
                <w:szCs w:val="18"/>
              </w:rPr>
              <w:t>Weighted average common shares outstanding used in computing net income (loss) per share - basic</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70,391,458 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67,818,366 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70,391,236 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66,953,431 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Pr>
        <w:tc>
          <w:tcPr>
            <w:tcW w:w="0" w:type="auto"/>
            <w:gridSpan w:val="3"/>
            <w:shd w:val="clear" w:color="auto" w:fill="CCEEFF"/>
            <w:tcMar>
              <w:top w:w="30" w:type="dxa"/>
              <w:left w:w="200" w:type="dxa"/>
              <w:bottom w:w="30" w:type="dxa"/>
              <w:right w:w="20" w:type="dxa"/>
            </w:tcMar>
            <w:vAlign w:val="bottom"/>
            <w:hideMark/>
          </w:tcPr>
          <w:p w:rsidR="00000000" w:rsidRDefault="00375AF8">
            <w:pPr>
              <w:spacing w:after="100"/>
              <w:ind w:hanging="180"/>
              <w:rPr>
                <w:rFonts w:eastAsia="Times New Roman"/>
              </w:rPr>
            </w:pPr>
            <w:r>
              <w:rPr>
                <w:rFonts w:eastAsia="Times New Roman"/>
                <w:color w:val="000000"/>
                <w:sz w:val="18"/>
                <w:szCs w:val="18"/>
              </w:rPr>
              <w:t>Weighted average common shares outstanding used in computing net income (loss) per share - diluted</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70,391,458 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67,818,366 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70,391,236 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67,565,761 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 per share, basic</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384962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 per share, diluted</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(0.21)</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(0.23)</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(0.44)</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550963906"/>
        <w:rPr>
          <w:rFonts w:eastAsia="Times New Roman"/>
        </w:rPr>
      </w:pPr>
      <w:r>
        <w:rPr>
          <w:rFonts w:eastAsia="Times New Roman"/>
          <w:color w:val="000000"/>
          <w:sz w:val="18"/>
          <w:szCs w:val="18"/>
        </w:rPr>
        <w:t>The following potent</w:t>
      </w:r>
      <w:r>
        <w:rPr>
          <w:rFonts w:eastAsia="Times New Roman"/>
          <w:color w:val="000000"/>
          <w:sz w:val="18"/>
          <w:szCs w:val="18"/>
        </w:rPr>
        <w:t>ially dilutive securities have been excluded from the computations of diluted weighted-average shares outstanding as they would be anti-dilutive:</w:t>
      </w:r>
    </w:p>
    <w:tbl>
      <w:tblPr>
        <w:tblW w:w="5000" w:type="pct"/>
        <w:tblCellMar>
          <w:top w:w="15" w:type="dxa"/>
          <w:left w:w="15" w:type="dxa"/>
          <w:bottom w:w="15" w:type="dxa"/>
          <w:right w:w="15" w:type="dxa"/>
        </w:tblCellMar>
        <w:tblLook w:val="04A0" w:firstRow="1" w:lastRow="0" w:firstColumn="1" w:lastColumn="0" w:noHBand="0" w:noVBand="1"/>
      </w:tblPr>
      <w:tblGrid>
        <w:gridCol w:w="51"/>
        <w:gridCol w:w="3754"/>
        <w:gridCol w:w="37"/>
        <w:gridCol w:w="67"/>
        <w:gridCol w:w="955"/>
        <w:gridCol w:w="38"/>
        <w:gridCol w:w="37"/>
        <w:gridCol w:w="36"/>
        <w:gridCol w:w="36"/>
        <w:gridCol w:w="67"/>
        <w:gridCol w:w="955"/>
        <w:gridCol w:w="37"/>
        <w:gridCol w:w="36"/>
        <w:gridCol w:w="36"/>
        <w:gridCol w:w="36"/>
        <w:gridCol w:w="67"/>
        <w:gridCol w:w="955"/>
        <w:gridCol w:w="38"/>
        <w:gridCol w:w="37"/>
        <w:gridCol w:w="36"/>
        <w:gridCol w:w="36"/>
        <w:gridCol w:w="74"/>
        <w:gridCol w:w="848"/>
        <w:gridCol w:w="37"/>
      </w:tblGrid>
      <w:tr w:rsidR="00000000">
        <w:trPr>
          <w:divId w:val="553546386"/>
        </w:trPr>
        <w:tc>
          <w:tcPr>
            <w:tcW w:w="50" w:type="pct"/>
            <w:vAlign w:val="center"/>
            <w:hideMark/>
          </w:tcPr>
          <w:p w:rsidR="00000000" w:rsidRDefault="00375AF8">
            <w:pPr>
              <w:ind w:firstLine="720"/>
              <w:jc w:val="both"/>
              <w:rPr>
                <w:rFonts w:eastAsia="Times New Roman"/>
              </w:rPr>
            </w:pPr>
          </w:p>
        </w:tc>
        <w:tc>
          <w:tcPr>
            <w:tcW w:w="2278"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4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553546386"/>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r>
      <w:tr w:rsidR="00000000">
        <w:trPr>
          <w:divId w:val="553546386"/>
        </w:trPr>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r>
      <w:tr w:rsidR="00000000">
        <w:trPr>
          <w:divId w:val="553546386"/>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Stock 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13,451,517 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10,352,559 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13,103,587 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10,435,478 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553546386"/>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Common stock issuable upon conversion of 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1,250,000 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1,250,000 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1,250,000 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jc w:val="center"/>
        <w:divId w:val="1727602636"/>
        <w:rPr>
          <w:rFonts w:eastAsia="Times New Roman"/>
        </w:rPr>
      </w:pPr>
      <w:r>
        <w:rPr>
          <w:rFonts w:eastAsia="Times New Roman"/>
          <w:color w:val="000000"/>
          <w:sz w:val="18"/>
          <w:szCs w:val="18"/>
        </w:rPr>
        <w:t>20</w:t>
      </w:r>
    </w:p>
    <w:p w:rsidR="00000000" w:rsidRDefault="00375AF8">
      <w:pPr>
        <w:rPr>
          <w:rFonts w:eastAsia="Times New Roman"/>
        </w:rPr>
      </w:pPr>
      <w:r>
        <w:rPr>
          <w:rFonts w:eastAsia="Times New Roman"/>
        </w:rPr>
        <w:pict>
          <v:rect id="_x0000_i1045" style="width:0;height:1.5pt" o:hralign="center" o:hrstd="t" o:hr="t" fillcolor="#a0a0a0" stroked="f"/>
        </w:pict>
      </w:r>
    </w:p>
    <w:p w:rsidR="00000000" w:rsidRDefault="00375AF8">
      <w:pPr>
        <w:divId w:val="141520409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214204346"/>
        <w:rPr>
          <w:rFonts w:eastAsia="Times New Roman"/>
        </w:rPr>
      </w:pPr>
      <w:r>
        <w:rPr>
          <w:rFonts w:eastAsia="Times New Roman"/>
          <w:b/>
          <w:bCs/>
          <w:color w:val="000000"/>
          <w:sz w:val="18"/>
          <w:szCs w:val="18"/>
        </w:rPr>
        <w:t>Item 2.</w:t>
      </w:r>
      <w:r>
        <w:rPr>
          <w:rFonts w:eastAsia="Times New Roman"/>
          <w:color w:val="000000"/>
          <w:sz w:val="18"/>
          <w:szCs w:val="18"/>
        </w:rPr>
        <w:t xml:space="preserve"> </w:t>
      </w:r>
      <w:r>
        <w:rPr>
          <w:rFonts w:eastAsia="Times New Roman"/>
          <w:b/>
          <w:bCs/>
          <w:color w:val="000000"/>
          <w:sz w:val="18"/>
          <w:szCs w:val="18"/>
        </w:rPr>
        <w:t>Management’s Discussion and Analysis of Financial Condition and Results of Operations</w:t>
      </w:r>
    </w:p>
    <w:p w:rsidR="00000000" w:rsidRDefault="00375AF8">
      <w:pPr>
        <w:ind w:firstLine="720"/>
        <w:jc w:val="both"/>
        <w:divId w:val="529074112"/>
        <w:rPr>
          <w:rFonts w:eastAsia="Times New Roman"/>
        </w:rPr>
      </w:pPr>
      <w:r>
        <w:rPr>
          <w:rFonts w:eastAsia="Times New Roman"/>
          <w:i/>
          <w:iCs/>
          <w:color w:val="000000"/>
          <w:sz w:val="18"/>
          <w:szCs w:val="18"/>
        </w:rPr>
        <w:t>The following information should be read in conjunction with the unaudited condensed c</w:t>
      </w:r>
      <w:r>
        <w:rPr>
          <w:rFonts w:eastAsia="Times New Roman"/>
          <w:i/>
          <w:iCs/>
          <w:color w:val="000000"/>
          <w:sz w:val="18"/>
          <w:szCs w:val="18"/>
        </w:rPr>
        <w:t>onsolidated financial statements and the notes thereto included in this Quarterly Report on Form 10-Q and the audited financial information and the notes thereto included in the Annual Report on Form 10-K for the year ended December 31, 2021, which was fil</w:t>
      </w:r>
      <w:r>
        <w:rPr>
          <w:rFonts w:eastAsia="Times New Roman"/>
          <w:i/>
          <w:iCs/>
          <w:color w:val="000000"/>
          <w:sz w:val="18"/>
          <w:szCs w:val="18"/>
        </w:rPr>
        <w:t>ed with the Securities and Exchange Commission (“SEC”) on March 15, 2022. In addition to historical financial information, the following discussion contains forward-looking statements based upon our current plans, expectations and beliefs that involve risk</w:t>
      </w:r>
      <w:r>
        <w:rPr>
          <w:rFonts w:eastAsia="Times New Roman"/>
          <w:i/>
          <w:iCs/>
          <w:color w:val="000000"/>
          <w:sz w:val="18"/>
          <w:szCs w:val="18"/>
        </w:rPr>
        <w:t>s, uncertainties and assumptions. Our actual results may differ materially from those described in or implied by these forward-looking statements because of many factors, including those set forth under the section titled “Risk Factors” in Part II, Item 1A</w:t>
      </w:r>
      <w:r>
        <w:rPr>
          <w:rFonts w:eastAsia="Times New Roman"/>
          <w:i/>
          <w:iCs/>
          <w:color w:val="000000"/>
          <w:sz w:val="18"/>
          <w:szCs w:val="18"/>
        </w:rPr>
        <w:t>. Such factors may be amplified by the ongoing COVID-19 pandemic and its potential impact on our business and the global economy.</w:t>
      </w:r>
    </w:p>
    <w:p w:rsidR="00000000" w:rsidRDefault="00375AF8">
      <w:pPr>
        <w:jc w:val="both"/>
        <w:divId w:val="1308972439"/>
        <w:rPr>
          <w:rFonts w:eastAsia="Times New Roman"/>
        </w:rPr>
      </w:pPr>
      <w:r>
        <w:rPr>
          <w:rFonts w:eastAsia="Times New Roman"/>
          <w:b/>
          <w:bCs/>
          <w:color w:val="000000"/>
          <w:sz w:val="18"/>
          <w:szCs w:val="18"/>
        </w:rPr>
        <w:t>Overview</w:t>
      </w:r>
    </w:p>
    <w:p w:rsidR="00000000" w:rsidRDefault="00375AF8">
      <w:pPr>
        <w:ind w:firstLine="720"/>
        <w:jc w:val="both"/>
        <w:divId w:val="854273517"/>
        <w:rPr>
          <w:rFonts w:eastAsia="Times New Roman"/>
        </w:rPr>
      </w:pPr>
      <w:r>
        <w:rPr>
          <w:rFonts w:eastAsia="Times New Roman"/>
          <w:color w:val="000000"/>
          <w:sz w:val="18"/>
          <w:szCs w:val="18"/>
        </w:rPr>
        <w:t>We are a biopharmaceutical company focused on drug discovery and development for epilepsies and rare CNS disorders in</w:t>
      </w:r>
      <w:r>
        <w:rPr>
          <w:rFonts w:eastAsia="Times New Roman"/>
          <w:color w:val="000000"/>
          <w:sz w:val="18"/>
          <w:szCs w:val="18"/>
        </w:rPr>
        <w:t xml:space="preserve"> a manner that is scientifically driven, patient focused and is coupled with an integrated and disciplined approach to research, clinical development and business development. Our team has significant experience and understanding of rare epilepsy and neuro</w:t>
      </w:r>
      <w:r>
        <w:rPr>
          <w:rFonts w:eastAsia="Times New Roman"/>
          <w:color w:val="000000"/>
          <w:sz w:val="18"/>
          <w:szCs w:val="18"/>
        </w:rPr>
        <w:t>logical conditions, and we continue to build insight into the way the different molecular mechanisms and pathways underlying these disorders impact the symptoms patients suffer. Ovid has set out to be a leader in the field, and has developed a differentiat</w:t>
      </w:r>
      <w:r>
        <w:rPr>
          <w:rFonts w:eastAsia="Times New Roman"/>
          <w:color w:val="000000"/>
          <w:sz w:val="18"/>
          <w:szCs w:val="18"/>
        </w:rPr>
        <w:t>ed pipeline containing novel mechanisms of action to target different causes of epilepsies and seizures. Our knowledge of epilepsy disease biology and pathology, which was acquired through our small molecule development programs, now contributes to our pur</w:t>
      </w:r>
      <w:r>
        <w:rPr>
          <w:rFonts w:eastAsia="Times New Roman"/>
          <w:color w:val="000000"/>
          <w:sz w:val="18"/>
          <w:szCs w:val="18"/>
        </w:rPr>
        <w:t xml:space="preserve">suit of additional relevant genetic targets and molecular pathways that are the cause of seizures. Over time, we have built a scalable scientific platform and efficient development capabilities in epilepsies that focus on clear, clinical endpoints. We are </w:t>
      </w:r>
      <w:r>
        <w:rPr>
          <w:rFonts w:eastAsia="Times New Roman"/>
          <w:color w:val="000000"/>
          <w:sz w:val="18"/>
          <w:szCs w:val="18"/>
        </w:rPr>
        <w:t>initially pursuing therapeutic assets for rare disorders as they can leverage accelerated development programs. If successfully developed and marketed in rare conditions, we intend to explore these assets for broader neurologic indications. Our cohesive fo</w:t>
      </w:r>
      <w:r>
        <w:rPr>
          <w:rFonts w:eastAsia="Times New Roman"/>
          <w:color w:val="000000"/>
          <w:sz w:val="18"/>
          <w:szCs w:val="18"/>
        </w:rPr>
        <w:t>cus in epilepsies and seizures reinforces our belief that we can develop and produce multiple novel medicines, scale our infrastructure, and thereby succeed in our mission.</w:t>
      </w:r>
    </w:p>
    <w:p w:rsidR="00000000" w:rsidRDefault="00375AF8">
      <w:pPr>
        <w:ind w:firstLine="720"/>
        <w:jc w:val="both"/>
        <w:divId w:val="1872255503"/>
        <w:rPr>
          <w:rFonts w:eastAsia="Times New Roman"/>
        </w:rPr>
      </w:pPr>
      <w:r>
        <w:rPr>
          <w:rFonts w:eastAsia="Times New Roman"/>
          <w:color w:val="000000"/>
          <w:sz w:val="18"/>
          <w:szCs w:val="18"/>
        </w:rPr>
        <w:t>Since our inception in April 2014, we have devoted substantially all of our efforts</w:t>
      </w:r>
      <w:r>
        <w:rPr>
          <w:rFonts w:eastAsia="Times New Roman"/>
          <w:color w:val="000000"/>
          <w:sz w:val="18"/>
          <w:szCs w:val="18"/>
        </w:rPr>
        <w:t xml:space="preserve"> to organizing and planning our business, building our management and technical team, acquiring operating assets and raising capital.</w:t>
      </w:r>
    </w:p>
    <w:p w:rsidR="00000000" w:rsidRDefault="00375AF8">
      <w:pPr>
        <w:ind w:firstLine="720"/>
        <w:jc w:val="both"/>
        <w:divId w:val="217742822"/>
        <w:rPr>
          <w:rFonts w:eastAsia="Times New Roman"/>
        </w:rPr>
      </w:pPr>
      <w:r>
        <w:rPr>
          <w:rFonts w:eastAsia="Times New Roman"/>
          <w:color w:val="000000"/>
          <w:sz w:val="18"/>
          <w:szCs w:val="18"/>
        </w:rPr>
        <w:t>The following chart sets forth the status and mechanism of action of our drug candidates:</w:t>
      </w:r>
    </w:p>
    <w:p w:rsidR="00000000" w:rsidRDefault="00375AF8">
      <w:pPr>
        <w:spacing w:before="120"/>
        <w:jc w:val="both"/>
        <w:divId w:val="2118980997"/>
        <w:rPr>
          <w:rFonts w:eastAsia="Times New Roman"/>
        </w:rPr>
      </w:pPr>
      <w:r>
        <w:rPr>
          <w:rFonts w:eastAsia="Times New Roman"/>
          <w:noProof/>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75AF8">
      <w:pPr>
        <w:ind w:firstLine="720"/>
        <w:jc w:val="both"/>
        <w:rPr>
          <w:rFonts w:eastAsia="Times New Roman"/>
        </w:rPr>
      </w:pPr>
      <w:r>
        <w:rPr>
          <w:rFonts w:eastAsia="Times New Roman"/>
          <w:color w:val="000000"/>
          <w:sz w:val="18"/>
          <w:szCs w:val="18"/>
        </w:rPr>
        <w:t>We have historically funded our business primarily through the sale of capital stock. Throu</w:t>
      </w:r>
      <w:r>
        <w:rPr>
          <w:rFonts w:eastAsia="Times New Roman"/>
          <w:color w:val="000000"/>
          <w:sz w:val="18"/>
          <w:szCs w:val="18"/>
        </w:rPr>
        <w:t>gh June 30, 2022, we have raised net proceeds of $275.4 million from the sale of our convertible preferred stock and our common stock. As of June 30, 2022, we had $152.4 million in cash, cash equivalents and marketable securities. We have also, in previous</w:t>
      </w:r>
      <w:r>
        <w:rPr>
          <w:rFonts w:eastAsia="Times New Roman"/>
          <w:color w:val="000000"/>
          <w:sz w:val="18"/>
          <w:szCs w:val="18"/>
        </w:rPr>
        <w:t xml:space="preserve"> periods, generated revenue through our license and collaboration agreements. In July 2022, Takeda provided a corporate update in which it reiterated that the anticipated timeline for regulatory filing of the two pivotal Phase 3 trials evaluating soticlest</w:t>
      </w:r>
      <w:r>
        <w:rPr>
          <w:rFonts w:eastAsia="Times New Roman"/>
          <w:color w:val="000000"/>
          <w:sz w:val="18"/>
          <w:szCs w:val="18"/>
        </w:rPr>
        <w:t>at for Lennox-Gastaut and Dravet syndromes are expected in Takeda’s 2024 fiscal year. As of June 30, 2022, we had an accumulated deficit of $202.1 million.</w:t>
      </w:r>
    </w:p>
    <w:p w:rsidR="00000000" w:rsidRDefault="00375AF8">
      <w:pPr>
        <w:ind w:firstLine="720"/>
        <w:jc w:val="both"/>
        <w:divId w:val="237446943"/>
        <w:rPr>
          <w:rFonts w:eastAsia="Times New Roman"/>
        </w:rPr>
      </w:pPr>
      <w:r>
        <w:rPr>
          <w:rFonts w:eastAsia="Times New Roman"/>
          <w:color w:val="000000"/>
          <w:sz w:val="18"/>
          <w:szCs w:val="18"/>
        </w:rPr>
        <w:t>We expect to continue to incur significant expenses and operating losses for at least the next sever</w:t>
      </w:r>
      <w:r>
        <w:rPr>
          <w:rFonts w:eastAsia="Times New Roman"/>
          <w:color w:val="000000"/>
          <w:sz w:val="18"/>
          <w:szCs w:val="18"/>
        </w:rPr>
        <w:t>al years. Our net losses may fluctuate significantly from period to period, depending on the timing of our planned clinical trials and expenditures on our other research and development and commercial development activities. We expect our expenses will inc</w:t>
      </w:r>
      <w:r>
        <w:rPr>
          <w:rFonts w:eastAsia="Times New Roman"/>
          <w:color w:val="000000"/>
          <w:sz w:val="18"/>
          <w:szCs w:val="18"/>
        </w:rPr>
        <w:t>rease substantially over time as we:</w:t>
      </w:r>
    </w:p>
    <w:p w:rsidR="00000000" w:rsidRDefault="00375AF8">
      <w:pPr>
        <w:ind w:hanging="720"/>
        <w:jc w:val="both"/>
        <w:divId w:val="1563365596"/>
        <w:rPr>
          <w:rFonts w:eastAsia="Times New Roman"/>
        </w:rPr>
      </w:pPr>
      <w:r>
        <w:rPr>
          <w:rFonts w:eastAsia="Times New Roman"/>
          <w:color w:val="000000"/>
          <w:sz w:val="18"/>
          <w:szCs w:val="18"/>
        </w:rPr>
        <w:t>•continue the ongoing and planned preclinical and clinical development of our drug candidates;</w:t>
      </w:r>
    </w:p>
    <w:p w:rsidR="00000000" w:rsidRDefault="00375AF8">
      <w:pPr>
        <w:jc w:val="center"/>
        <w:divId w:val="1190799416"/>
        <w:rPr>
          <w:rFonts w:eastAsia="Times New Roman"/>
        </w:rPr>
      </w:pPr>
      <w:r>
        <w:rPr>
          <w:rFonts w:eastAsia="Times New Roman"/>
          <w:color w:val="000000"/>
          <w:sz w:val="18"/>
          <w:szCs w:val="18"/>
        </w:rPr>
        <w:t>21</w:t>
      </w:r>
    </w:p>
    <w:p w:rsidR="00000000" w:rsidRDefault="00375AF8">
      <w:pPr>
        <w:rPr>
          <w:rFonts w:eastAsia="Times New Roman"/>
        </w:rPr>
      </w:pPr>
      <w:r>
        <w:rPr>
          <w:rFonts w:eastAsia="Times New Roman"/>
        </w:rPr>
        <w:pict>
          <v:rect id="_x0000_i1047" style="width:0;height:1.5pt" o:hralign="center" o:hrstd="t" o:hr="t" fillcolor="#a0a0a0" stroked="f"/>
        </w:pict>
      </w:r>
    </w:p>
    <w:p w:rsidR="00000000" w:rsidRDefault="00375AF8">
      <w:pPr>
        <w:divId w:val="128909403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367528846"/>
        <w:rPr>
          <w:rFonts w:eastAsia="Times New Roman"/>
        </w:rPr>
      </w:pPr>
      <w:r>
        <w:rPr>
          <w:rFonts w:eastAsia="Times New Roman"/>
          <w:color w:val="000000"/>
          <w:sz w:val="18"/>
          <w:szCs w:val="18"/>
        </w:rPr>
        <w:t>•build a</w:t>
      </w:r>
      <w:r>
        <w:rPr>
          <w:rFonts w:eastAsia="Times New Roman"/>
          <w:color w:val="000000"/>
          <w:sz w:val="18"/>
          <w:szCs w:val="18"/>
        </w:rPr>
        <w:t xml:space="preserve"> portfolio of drug candidates through the development, acquisition or in-license of drugs, drug candidates or technologies;</w:t>
      </w:r>
    </w:p>
    <w:p w:rsidR="00000000" w:rsidRDefault="00375AF8">
      <w:pPr>
        <w:ind w:hanging="720"/>
        <w:jc w:val="both"/>
        <w:divId w:val="1648706245"/>
        <w:rPr>
          <w:rFonts w:eastAsia="Times New Roman"/>
        </w:rPr>
      </w:pPr>
      <w:r>
        <w:rPr>
          <w:rFonts w:eastAsia="Times New Roman"/>
          <w:color w:val="000000"/>
          <w:sz w:val="18"/>
          <w:szCs w:val="18"/>
        </w:rPr>
        <w:t>•initiate preclinical studies and clinical trials for any additional drug candidates that we may pursue in the future;</w:t>
      </w:r>
    </w:p>
    <w:p w:rsidR="00000000" w:rsidRDefault="00375AF8">
      <w:pPr>
        <w:ind w:hanging="720"/>
        <w:jc w:val="both"/>
        <w:divId w:val="634917897"/>
        <w:rPr>
          <w:rFonts w:eastAsia="Times New Roman"/>
        </w:rPr>
      </w:pPr>
      <w:r>
        <w:rPr>
          <w:rFonts w:eastAsia="Times New Roman"/>
          <w:color w:val="000000"/>
          <w:sz w:val="18"/>
          <w:szCs w:val="18"/>
        </w:rPr>
        <w:t>•seek marketi</w:t>
      </w:r>
      <w:r>
        <w:rPr>
          <w:rFonts w:eastAsia="Times New Roman"/>
          <w:color w:val="000000"/>
          <w:sz w:val="18"/>
          <w:szCs w:val="18"/>
        </w:rPr>
        <w:t>ng approvals for our current and future drug candidates that successfully complete clinical trials;</w:t>
      </w:r>
    </w:p>
    <w:p w:rsidR="00000000" w:rsidRDefault="00375AF8">
      <w:pPr>
        <w:ind w:hanging="720"/>
        <w:jc w:val="both"/>
        <w:divId w:val="773987317"/>
        <w:rPr>
          <w:rFonts w:eastAsia="Times New Roman"/>
        </w:rPr>
      </w:pPr>
      <w:r>
        <w:rPr>
          <w:rFonts w:eastAsia="Times New Roman"/>
          <w:color w:val="000000"/>
          <w:sz w:val="18"/>
          <w:szCs w:val="18"/>
        </w:rPr>
        <w:t>•establish a sales, marketing and distribution infrastructure to commercialize any drug candidate for which we may obtain marketing approval;</w:t>
      </w:r>
    </w:p>
    <w:p w:rsidR="00000000" w:rsidRDefault="00375AF8">
      <w:pPr>
        <w:ind w:hanging="720"/>
        <w:jc w:val="both"/>
        <w:divId w:val="544369330"/>
        <w:rPr>
          <w:rFonts w:eastAsia="Times New Roman"/>
        </w:rPr>
      </w:pPr>
      <w:r>
        <w:rPr>
          <w:rFonts w:eastAsia="Times New Roman"/>
          <w:color w:val="000000"/>
          <w:sz w:val="18"/>
          <w:szCs w:val="18"/>
        </w:rPr>
        <w:t>•develop, main</w:t>
      </w:r>
      <w:r>
        <w:rPr>
          <w:rFonts w:eastAsia="Times New Roman"/>
          <w:color w:val="000000"/>
          <w:sz w:val="18"/>
          <w:szCs w:val="18"/>
        </w:rPr>
        <w:t>tain, expand and protect our intellectual property portfolio; and</w:t>
      </w:r>
    </w:p>
    <w:p w:rsidR="00000000" w:rsidRDefault="00375AF8">
      <w:pPr>
        <w:ind w:hanging="720"/>
        <w:jc w:val="both"/>
        <w:divId w:val="1679456909"/>
        <w:rPr>
          <w:rFonts w:eastAsia="Times New Roman"/>
        </w:rPr>
      </w:pPr>
      <w:r>
        <w:rPr>
          <w:rFonts w:eastAsia="Times New Roman"/>
          <w:color w:val="000000"/>
          <w:sz w:val="18"/>
          <w:szCs w:val="18"/>
        </w:rPr>
        <w:t>•implement operational, financial and management systems; and attract, hire and retain additional administrative, clinical, regulatory, manufacturing, commercial and scientific personnel.</w:t>
      </w:r>
    </w:p>
    <w:p w:rsidR="00000000" w:rsidRDefault="00375AF8">
      <w:pPr>
        <w:jc w:val="both"/>
        <w:divId w:val="594939856"/>
        <w:rPr>
          <w:rFonts w:eastAsia="Times New Roman"/>
        </w:rPr>
      </w:pPr>
    </w:p>
    <w:p w:rsidR="00000000" w:rsidRDefault="00375AF8">
      <w:pPr>
        <w:jc w:val="both"/>
        <w:divId w:val="737751325"/>
        <w:rPr>
          <w:rFonts w:eastAsia="Times New Roman"/>
        </w:rPr>
      </w:pPr>
      <w:r>
        <w:rPr>
          <w:rFonts w:eastAsia="Times New Roman"/>
          <w:b/>
          <w:bCs/>
          <w:color w:val="000000"/>
          <w:sz w:val="18"/>
          <w:szCs w:val="18"/>
        </w:rPr>
        <w:t>COVID-19 Update</w:t>
      </w:r>
    </w:p>
    <w:p w:rsidR="00000000" w:rsidRDefault="00375AF8">
      <w:pPr>
        <w:ind w:firstLine="720"/>
        <w:jc w:val="both"/>
        <w:divId w:val="875431589"/>
        <w:rPr>
          <w:rFonts w:eastAsia="Times New Roman"/>
        </w:rPr>
      </w:pPr>
      <w:r>
        <w:rPr>
          <w:rFonts w:eastAsia="Times New Roman"/>
          <w:color w:val="000000"/>
          <w:sz w:val="18"/>
          <w:szCs w:val="18"/>
        </w:rPr>
        <w:t>We have implemented business continuity plans designed to address and mitigate the impact of the ongoing COVID-19 pandemic on our employees and our business. We continue to operate normally with the exception of enabling all of our employee</w:t>
      </w:r>
      <w:r>
        <w:rPr>
          <w:rFonts w:eastAsia="Times New Roman"/>
          <w:color w:val="000000"/>
          <w:sz w:val="18"/>
          <w:szCs w:val="18"/>
        </w:rPr>
        <w:t>s to work in a hybrid environment, productively at home or in the office, and by continuing to abide by travel restrictions issued by federal, state and local governments. Our hybrid work environment policy remains fluid as federal, state and local guideli</w:t>
      </w:r>
      <w:r>
        <w:rPr>
          <w:rFonts w:eastAsia="Times New Roman"/>
          <w:color w:val="000000"/>
          <w:sz w:val="18"/>
          <w:szCs w:val="18"/>
        </w:rPr>
        <w:t xml:space="preserve">nes, rules and regulations continue to change and evolve. </w:t>
      </w:r>
    </w:p>
    <w:p w:rsidR="00000000" w:rsidRDefault="00375AF8">
      <w:pPr>
        <w:jc w:val="both"/>
        <w:divId w:val="1669674422"/>
        <w:rPr>
          <w:rFonts w:eastAsia="Times New Roman"/>
        </w:rPr>
      </w:pPr>
      <w:r>
        <w:rPr>
          <w:rFonts w:eastAsia="Times New Roman"/>
          <w:b/>
          <w:bCs/>
          <w:color w:val="000000"/>
          <w:sz w:val="18"/>
          <w:szCs w:val="18"/>
        </w:rPr>
        <w:t>Financial Operations Overview</w:t>
      </w:r>
    </w:p>
    <w:p w:rsidR="00000000" w:rsidRDefault="00375AF8">
      <w:pPr>
        <w:ind w:firstLine="360"/>
        <w:jc w:val="both"/>
        <w:divId w:val="368720713"/>
        <w:rPr>
          <w:rFonts w:eastAsia="Times New Roman"/>
        </w:rPr>
      </w:pPr>
      <w:r>
        <w:rPr>
          <w:rFonts w:eastAsia="Times New Roman"/>
          <w:b/>
          <w:bCs/>
          <w:i/>
          <w:iCs/>
          <w:color w:val="000000"/>
          <w:sz w:val="18"/>
          <w:szCs w:val="18"/>
        </w:rPr>
        <w:t>Revenue</w:t>
      </w:r>
    </w:p>
    <w:p w:rsidR="00000000" w:rsidRDefault="00375AF8">
      <w:pPr>
        <w:ind w:firstLine="720"/>
        <w:jc w:val="both"/>
        <w:divId w:val="2018120612"/>
        <w:rPr>
          <w:rFonts w:eastAsia="Times New Roman"/>
        </w:rPr>
      </w:pPr>
      <w:r>
        <w:rPr>
          <w:rFonts w:eastAsia="Times New Roman"/>
          <w:color w:val="000000"/>
          <w:sz w:val="18"/>
          <w:szCs w:val="18"/>
        </w:rPr>
        <w:t xml:space="preserve">We have generated revenue under various license and collaboration agreements. We have not generated any revenue from commercial drug sales and we do not expect to generate any further revenue unless or until we obtain regulatory approval and commercialize </w:t>
      </w:r>
      <w:r>
        <w:rPr>
          <w:rFonts w:eastAsia="Times New Roman"/>
          <w:color w:val="000000"/>
          <w:sz w:val="18"/>
          <w:szCs w:val="18"/>
        </w:rPr>
        <w:t>one or more of our current or future drug candidates. In the future, we may also seek to generate revenue from a combination of research and development payments, license fees and other upfront or milestone payments.</w:t>
      </w:r>
    </w:p>
    <w:p w:rsidR="00000000" w:rsidRDefault="00375AF8">
      <w:pPr>
        <w:ind w:firstLine="360"/>
        <w:jc w:val="both"/>
        <w:divId w:val="300427301"/>
        <w:rPr>
          <w:rFonts w:eastAsia="Times New Roman"/>
        </w:rPr>
      </w:pPr>
      <w:r>
        <w:rPr>
          <w:rFonts w:eastAsia="Times New Roman"/>
          <w:b/>
          <w:bCs/>
          <w:i/>
          <w:iCs/>
          <w:color w:val="000000"/>
          <w:sz w:val="18"/>
          <w:szCs w:val="18"/>
        </w:rPr>
        <w:t>Research and Development Expenses</w:t>
      </w:r>
    </w:p>
    <w:p w:rsidR="00000000" w:rsidRDefault="00375AF8">
      <w:pPr>
        <w:ind w:firstLine="720"/>
        <w:jc w:val="both"/>
        <w:divId w:val="448663857"/>
        <w:rPr>
          <w:rFonts w:eastAsia="Times New Roman"/>
        </w:rPr>
      </w:pPr>
      <w:r>
        <w:rPr>
          <w:rFonts w:eastAsia="Times New Roman"/>
          <w:color w:val="000000"/>
          <w:sz w:val="18"/>
          <w:szCs w:val="18"/>
        </w:rPr>
        <w:t>Resea</w:t>
      </w:r>
      <w:r>
        <w:rPr>
          <w:rFonts w:eastAsia="Times New Roman"/>
          <w:color w:val="000000"/>
          <w:sz w:val="18"/>
          <w:szCs w:val="18"/>
        </w:rPr>
        <w:t>rch and development expenses consist primarily of costs incurred for our research activities, including our product discovery efforts and the development of our product candidates, which include, among other things:</w:t>
      </w:r>
    </w:p>
    <w:p w:rsidR="00000000" w:rsidRDefault="00375AF8">
      <w:pPr>
        <w:ind w:hanging="720"/>
        <w:jc w:val="both"/>
        <w:divId w:val="370302614"/>
        <w:rPr>
          <w:rFonts w:eastAsia="Times New Roman"/>
        </w:rPr>
      </w:pPr>
      <w:r>
        <w:rPr>
          <w:rFonts w:eastAsia="Times New Roman"/>
          <w:color w:val="000000"/>
          <w:sz w:val="18"/>
          <w:szCs w:val="18"/>
        </w:rPr>
        <w:t>•employee-related expenses, including sa</w:t>
      </w:r>
      <w:r>
        <w:rPr>
          <w:rFonts w:eastAsia="Times New Roman"/>
          <w:color w:val="000000"/>
          <w:sz w:val="18"/>
          <w:szCs w:val="18"/>
        </w:rPr>
        <w:t>laries, benefits and stock-based compensation expense;</w:t>
      </w:r>
    </w:p>
    <w:p w:rsidR="00000000" w:rsidRDefault="00375AF8">
      <w:pPr>
        <w:ind w:hanging="720"/>
        <w:jc w:val="both"/>
        <w:divId w:val="1256667379"/>
        <w:rPr>
          <w:rFonts w:eastAsia="Times New Roman"/>
        </w:rPr>
      </w:pPr>
      <w:r>
        <w:rPr>
          <w:rFonts w:eastAsia="Times New Roman"/>
          <w:color w:val="000000"/>
          <w:sz w:val="18"/>
          <w:szCs w:val="18"/>
        </w:rPr>
        <w:t>•fees paid to consultants for services directly related to our drug development and regulatory effort;</w:t>
      </w:r>
    </w:p>
    <w:p w:rsidR="00000000" w:rsidRDefault="00375AF8">
      <w:pPr>
        <w:ind w:hanging="720"/>
        <w:jc w:val="both"/>
        <w:divId w:val="1662542576"/>
        <w:rPr>
          <w:rFonts w:eastAsia="Times New Roman"/>
        </w:rPr>
      </w:pPr>
      <w:r>
        <w:rPr>
          <w:rFonts w:eastAsia="Times New Roman"/>
          <w:color w:val="000000"/>
          <w:sz w:val="18"/>
          <w:szCs w:val="18"/>
        </w:rPr>
        <w:t>•</w:t>
      </w:r>
      <w:r>
        <w:rPr>
          <w:rFonts w:eastAsia="Times New Roman"/>
          <w:color w:val="000000"/>
          <w:sz w:val="18"/>
          <w:szCs w:val="18"/>
        </w:rPr>
        <w:t>expenses incurred under agreements with contract research organizations, as well as contract manufacturing organizations and consultants that conduct preclinical studies and clinical trials;</w:t>
      </w:r>
    </w:p>
    <w:p w:rsidR="00000000" w:rsidRDefault="00375AF8">
      <w:pPr>
        <w:ind w:hanging="720"/>
        <w:jc w:val="both"/>
        <w:divId w:val="1235551066"/>
        <w:rPr>
          <w:rFonts w:eastAsia="Times New Roman"/>
        </w:rPr>
      </w:pPr>
      <w:r>
        <w:rPr>
          <w:rFonts w:eastAsia="Times New Roman"/>
          <w:color w:val="000000"/>
          <w:sz w:val="18"/>
          <w:szCs w:val="18"/>
        </w:rPr>
        <w:t>•costs associated with preclinical activities and development act</w:t>
      </w:r>
      <w:r>
        <w:rPr>
          <w:rFonts w:eastAsia="Times New Roman"/>
          <w:color w:val="000000"/>
          <w:sz w:val="18"/>
          <w:szCs w:val="18"/>
        </w:rPr>
        <w:t>ivities;</w:t>
      </w:r>
    </w:p>
    <w:p w:rsidR="00000000" w:rsidRDefault="00375AF8">
      <w:pPr>
        <w:ind w:hanging="720"/>
        <w:jc w:val="both"/>
        <w:divId w:val="436364936"/>
        <w:rPr>
          <w:rFonts w:eastAsia="Times New Roman"/>
        </w:rPr>
      </w:pPr>
      <w:r>
        <w:rPr>
          <w:rFonts w:eastAsia="Times New Roman"/>
          <w:color w:val="000000"/>
          <w:sz w:val="18"/>
          <w:szCs w:val="18"/>
        </w:rPr>
        <w:t>•costs associated with technology and intellectual property licenses;</w:t>
      </w:r>
    </w:p>
    <w:p w:rsidR="00000000" w:rsidRDefault="00375AF8">
      <w:pPr>
        <w:ind w:hanging="720"/>
        <w:jc w:val="both"/>
        <w:divId w:val="238636231"/>
        <w:rPr>
          <w:rFonts w:eastAsia="Times New Roman"/>
        </w:rPr>
      </w:pPr>
      <w:r>
        <w:rPr>
          <w:rFonts w:eastAsia="Times New Roman"/>
          <w:color w:val="000000"/>
          <w:sz w:val="18"/>
          <w:szCs w:val="18"/>
        </w:rPr>
        <w:t>•milestone payments and other costs under licensing agreements; and</w:t>
      </w:r>
    </w:p>
    <w:p w:rsidR="00000000" w:rsidRDefault="00375AF8">
      <w:pPr>
        <w:ind w:hanging="720"/>
        <w:jc w:val="both"/>
        <w:divId w:val="470560665"/>
        <w:rPr>
          <w:rFonts w:eastAsia="Times New Roman"/>
        </w:rPr>
      </w:pPr>
      <w:r>
        <w:rPr>
          <w:rFonts w:eastAsia="Times New Roman"/>
          <w:color w:val="000000"/>
          <w:sz w:val="18"/>
          <w:szCs w:val="18"/>
        </w:rPr>
        <w:t>•depreciation expense for assets used in research and development activities.</w:t>
      </w:r>
    </w:p>
    <w:p w:rsidR="00000000" w:rsidRDefault="00375AF8">
      <w:pPr>
        <w:ind w:firstLine="720"/>
        <w:jc w:val="both"/>
        <w:divId w:val="160584953"/>
        <w:rPr>
          <w:rFonts w:eastAsia="Times New Roman"/>
        </w:rPr>
      </w:pPr>
      <w:r>
        <w:rPr>
          <w:rFonts w:eastAsia="Times New Roman"/>
          <w:color w:val="000000"/>
          <w:sz w:val="18"/>
          <w:szCs w:val="18"/>
        </w:rPr>
        <w:t>Costs incurred in connection wi</w:t>
      </w:r>
      <w:r>
        <w:rPr>
          <w:rFonts w:eastAsia="Times New Roman"/>
          <w:color w:val="000000"/>
          <w:sz w:val="18"/>
          <w:szCs w:val="18"/>
        </w:rPr>
        <w:t>th research and development activities are expensed as incurred. Costs for certain development activities, such as clinical trials, are recognized based on an evaluation of the progress to completion of specific tasks using data such as patient enrollment,</w:t>
      </w:r>
      <w:r>
        <w:rPr>
          <w:rFonts w:eastAsia="Times New Roman"/>
          <w:color w:val="000000"/>
          <w:sz w:val="18"/>
          <w:szCs w:val="18"/>
        </w:rPr>
        <w:t xml:space="preserve"> clinical site activations or other information provided to us by our vendors.</w:t>
      </w:r>
    </w:p>
    <w:p w:rsidR="00000000" w:rsidRDefault="00375AF8">
      <w:pPr>
        <w:ind w:firstLine="720"/>
        <w:jc w:val="both"/>
        <w:divId w:val="1690987081"/>
        <w:rPr>
          <w:rFonts w:eastAsia="Times New Roman"/>
        </w:rPr>
      </w:pPr>
      <w:r>
        <w:rPr>
          <w:rFonts w:eastAsia="Times New Roman"/>
          <w:color w:val="000000"/>
          <w:sz w:val="18"/>
          <w:szCs w:val="18"/>
        </w:rPr>
        <w:t xml:space="preserve">Research and development activities are and will continue to be central to our business model. We expect our research and development expenses to increase over the next several </w:t>
      </w:r>
      <w:r>
        <w:rPr>
          <w:rFonts w:eastAsia="Times New Roman"/>
          <w:color w:val="000000"/>
          <w:sz w:val="18"/>
          <w:szCs w:val="18"/>
        </w:rPr>
        <w:t>years as we advance our current and future drug candidates through preclinical studies and clinical trials. The process of conducting preclinical studies and clinical trials necessary to obtain regulatory approval is costly and time-consuming. It is diffic</w:t>
      </w:r>
      <w:r>
        <w:rPr>
          <w:rFonts w:eastAsia="Times New Roman"/>
          <w:color w:val="000000"/>
          <w:sz w:val="18"/>
          <w:szCs w:val="18"/>
        </w:rPr>
        <w:t>ult to determine with certainty the duration and costs of any preclinical study or clinical trial that we may conduct. The duration, costs and timing of clinical trial programs and development of our current and future drug candidates will depend on a vari</w:t>
      </w:r>
      <w:r>
        <w:rPr>
          <w:rFonts w:eastAsia="Times New Roman"/>
          <w:color w:val="000000"/>
          <w:sz w:val="18"/>
          <w:szCs w:val="18"/>
        </w:rPr>
        <w:t>ety of factors that include, but are not limited to, the following:</w:t>
      </w:r>
    </w:p>
    <w:p w:rsidR="00000000" w:rsidRDefault="00375AF8">
      <w:pPr>
        <w:ind w:hanging="720"/>
        <w:jc w:val="both"/>
        <w:divId w:val="273481802"/>
        <w:rPr>
          <w:rFonts w:eastAsia="Times New Roman"/>
        </w:rPr>
      </w:pPr>
      <w:r>
        <w:rPr>
          <w:rFonts w:eastAsia="Times New Roman"/>
          <w:color w:val="000000"/>
          <w:sz w:val="18"/>
          <w:szCs w:val="18"/>
        </w:rPr>
        <w:t>•number of clinical trials required for approval and any requirement for extension trials;</w:t>
      </w:r>
    </w:p>
    <w:p w:rsidR="00000000" w:rsidRDefault="00375AF8">
      <w:pPr>
        <w:ind w:hanging="720"/>
        <w:jc w:val="both"/>
        <w:divId w:val="281304034"/>
        <w:rPr>
          <w:rFonts w:eastAsia="Times New Roman"/>
        </w:rPr>
      </w:pPr>
      <w:r>
        <w:rPr>
          <w:rFonts w:eastAsia="Times New Roman"/>
          <w:color w:val="000000"/>
          <w:sz w:val="18"/>
          <w:szCs w:val="18"/>
        </w:rPr>
        <w:t xml:space="preserve">•per patient trial costs; </w:t>
      </w:r>
    </w:p>
    <w:p w:rsidR="00000000" w:rsidRDefault="00375AF8">
      <w:pPr>
        <w:ind w:hanging="720"/>
        <w:jc w:val="both"/>
        <w:divId w:val="455946958"/>
        <w:rPr>
          <w:rFonts w:eastAsia="Times New Roman"/>
        </w:rPr>
      </w:pPr>
      <w:r>
        <w:rPr>
          <w:rFonts w:eastAsia="Times New Roman"/>
          <w:color w:val="000000"/>
          <w:sz w:val="18"/>
          <w:szCs w:val="18"/>
        </w:rPr>
        <w:t>•number of patients who participate in the clinical trials;</w:t>
      </w:r>
    </w:p>
    <w:p w:rsidR="00000000" w:rsidRDefault="00375AF8">
      <w:pPr>
        <w:ind w:hanging="720"/>
        <w:jc w:val="both"/>
        <w:divId w:val="491944838"/>
        <w:rPr>
          <w:rFonts w:eastAsia="Times New Roman"/>
        </w:rPr>
      </w:pPr>
      <w:r>
        <w:rPr>
          <w:rFonts w:eastAsia="Times New Roman"/>
          <w:color w:val="000000"/>
          <w:sz w:val="18"/>
          <w:szCs w:val="18"/>
        </w:rPr>
        <w:t>•number of</w:t>
      </w:r>
      <w:r>
        <w:rPr>
          <w:rFonts w:eastAsia="Times New Roman"/>
          <w:color w:val="000000"/>
          <w:sz w:val="18"/>
          <w:szCs w:val="18"/>
        </w:rPr>
        <w:t xml:space="preserve"> sites included in the clinical trials;</w:t>
      </w:r>
    </w:p>
    <w:p w:rsidR="00000000" w:rsidRDefault="00375AF8">
      <w:pPr>
        <w:ind w:hanging="720"/>
        <w:jc w:val="both"/>
        <w:divId w:val="1924072398"/>
        <w:rPr>
          <w:rFonts w:eastAsia="Times New Roman"/>
        </w:rPr>
      </w:pPr>
      <w:r>
        <w:rPr>
          <w:rFonts w:eastAsia="Times New Roman"/>
          <w:color w:val="000000"/>
          <w:sz w:val="18"/>
          <w:szCs w:val="18"/>
        </w:rPr>
        <w:t>•countries in which the clinical trial is conducted;</w:t>
      </w:r>
    </w:p>
    <w:p w:rsidR="00000000" w:rsidRDefault="00375AF8">
      <w:pPr>
        <w:ind w:hanging="720"/>
        <w:jc w:val="both"/>
        <w:divId w:val="277756996"/>
        <w:rPr>
          <w:rFonts w:eastAsia="Times New Roman"/>
        </w:rPr>
      </w:pPr>
      <w:r>
        <w:rPr>
          <w:rFonts w:eastAsia="Times New Roman"/>
          <w:color w:val="000000"/>
          <w:sz w:val="18"/>
          <w:szCs w:val="18"/>
        </w:rPr>
        <w:t>•length of time required to enroll eligible patients;</w:t>
      </w:r>
    </w:p>
    <w:p w:rsidR="00000000" w:rsidRDefault="00375AF8">
      <w:pPr>
        <w:jc w:val="center"/>
        <w:divId w:val="649016661"/>
        <w:rPr>
          <w:rFonts w:eastAsia="Times New Roman"/>
        </w:rPr>
      </w:pPr>
      <w:r>
        <w:rPr>
          <w:rFonts w:eastAsia="Times New Roman"/>
          <w:color w:val="000000"/>
          <w:sz w:val="18"/>
          <w:szCs w:val="18"/>
        </w:rPr>
        <w:t>22</w:t>
      </w:r>
    </w:p>
    <w:p w:rsidR="00000000" w:rsidRDefault="00375AF8">
      <w:pPr>
        <w:rPr>
          <w:rFonts w:eastAsia="Times New Roman"/>
        </w:rPr>
      </w:pPr>
      <w:r>
        <w:rPr>
          <w:rFonts w:eastAsia="Times New Roman"/>
        </w:rPr>
        <w:pict>
          <v:rect id="_x0000_i1048" style="width:0;height:1.5pt" o:hralign="center" o:hrstd="t" o:hr="t" fillcolor="#a0a0a0" stroked="f"/>
        </w:pict>
      </w:r>
    </w:p>
    <w:p w:rsidR="00000000" w:rsidRDefault="00375AF8">
      <w:pPr>
        <w:divId w:val="43915630"/>
        <w:rPr>
          <w:rFonts w:eastAsia="Times New Roman"/>
        </w:rPr>
      </w:pPr>
      <w:hyperlink w:anchor="iffb89c91b68044fe89584fa1aa2f8679_7" w:history="1">
        <w:r>
          <w:rPr>
            <w:rStyle w:val="a3"/>
            <w:rFonts w:eastAsia="Times New Roman"/>
            <w:sz w:val="18"/>
            <w:szCs w:val="18"/>
          </w:rPr>
          <w:t>Table of Con</w:t>
        </w:r>
        <w:r>
          <w:rPr>
            <w:rStyle w:val="a3"/>
            <w:rFonts w:eastAsia="Times New Roman"/>
            <w:sz w:val="18"/>
            <w:szCs w:val="18"/>
          </w:rPr>
          <w:t>tents</w:t>
        </w:r>
      </w:hyperlink>
    </w:p>
    <w:p w:rsidR="00000000" w:rsidRDefault="00375AF8">
      <w:pPr>
        <w:ind w:hanging="720"/>
        <w:jc w:val="both"/>
        <w:divId w:val="654643603"/>
        <w:rPr>
          <w:rFonts w:eastAsia="Times New Roman"/>
        </w:rPr>
      </w:pPr>
      <w:r>
        <w:rPr>
          <w:rFonts w:eastAsia="Times New Roman"/>
          <w:color w:val="000000"/>
          <w:sz w:val="18"/>
          <w:szCs w:val="18"/>
        </w:rPr>
        <w:t>•number of doses that patients receive;</w:t>
      </w:r>
    </w:p>
    <w:p w:rsidR="00000000" w:rsidRDefault="00375AF8">
      <w:pPr>
        <w:ind w:hanging="720"/>
        <w:jc w:val="both"/>
        <w:divId w:val="861163121"/>
        <w:rPr>
          <w:rFonts w:eastAsia="Times New Roman"/>
        </w:rPr>
      </w:pPr>
      <w:r>
        <w:rPr>
          <w:rFonts w:eastAsia="Times New Roman"/>
          <w:color w:val="000000"/>
          <w:sz w:val="18"/>
          <w:szCs w:val="18"/>
        </w:rPr>
        <w:t>•drop-out or discontinuation rates of patients;</w:t>
      </w:r>
    </w:p>
    <w:p w:rsidR="00000000" w:rsidRDefault="00375AF8">
      <w:pPr>
        <w:ind w:hanging="720"/>
        <w:jc w:val="both"/>
        <w:divId w:val="1560749913"/>
        <w:rPr>
          <w:rFonts w:eastAsia="Times New Roman"/>
        </w:rPr>
      </w:pPr>
      <w:r>
        <w:rPr>
          <w:rFonts w:eastAsia="Times New Roman"/>
          <w:color w:val="000000"/>
          <w:sz w:val="18"/>
          <w:szCs w:val="18"/>
        </w:rPr>
        <w:t>•potential additional safety monitoring or other studies requested by regulatory agencies;</w:t>
      </w:r>
    </w:p>
    <w:p w:rsidR="00000000" w:rsidRDefault="00375AF8">
      <w:pPr>
        <w:ind w:hanging="720"/>
        <w:jc w:val="both"/>
        <w:divId w:val="78986807"/>
        <w:rPr>
          <w:rFonts w:eastAsia="Times New Roman"/>
        </w:rPr>
      </w:pPr>
      <w:r>
        <w:rPr>
          <w:rFonts w:eastAsia="Times New Roman"/>
          <w:color w:val="000000"/>
          <w:sz w:val="18"/>
          <w:szCs w:val="18"/>
        </w:rPr>
        <w:t>•duration of patient follow-up; and</w:t>
      </w:r>
    </w:p>
    <w:p w:rsidR="00000000" w:rsidRDefault="00375AF8">
      <w:pPr>
        <w:ind w:hanging="720"/>
        <w:jc w:val="both"/>
        <w:divId w:val="1466973732"/>
        <w:rPr>
          <w:rFonts w:eastAsia="Times New Roman"/>
        </w:rPr>
      </w:pPr>
      <w:r>
        <w:rPr>
          <w:rFonts w:eastAsia="Times New Roman"/>
          <w:color w:val="000000"/>
          <w:sz w:val="18"/>
          <w:szCs w:val="18"/>
        </w:rPr>
        <w:t>•</w:t>
      </w:r>
      <w:r>
        <w:rPr>
          <w:rFonts w:eastAsia="Times New Roman"/>
          <w:color w:val="000000"/>
          <w:sz w:val="18"/>
          <w:szCs w:val="18"/>
        </w:rPr>
        <w:t>efficacy and safety profile of the drug candidate.</w:t>
      </w:r>
    </w:p>
    <w:p w:rsidR="00000000" w:rsidRDefault="00375AF8">
      <w:pPr>
        <w:ind w:firstLine="720"/>
        <w:jc w:val="both"/>
        <w:divId w:val="405420049"/>
        <w:rPr>
          <w:rFonts w:eastAsia="Times New Roman"/>
        </w:rPr>
      </w:pPr>
      <w:r>
        <w:rPr>
          <w:rFonts w:eastAsia="Times New Roman"/>
          <w:color w:val="000000"/>
          <w:sz w:val="18"/>
          <w:szCs w:val="18"/>
        </w:rPr>
        <w:t>In addition, the probability of success for any of our current or future drug candidates will depend on numerous factors, including competition, manufacturing capability and commercial viability. We will d</w:t>
      </w:r>
      <w:r>
        <w:rPr>
          <w:rFonts w:eastAsia="Times New Roman"/>
          <w:color w:val="000000"/>
          <w:sz w:val="18"/>
          <w:szCs w:val="18"/>
        </w:rPr>
        <w:t>etermine which programs to pursue and how much to fund each program in response to the scientific and clinical success of each drug candidate, as well as an assessment of each drug candidate’s commercial potential.</w:t>
      </w:r>
    </w:p>
    <w:p w:rsidR="00000000" w:rsidRDefault="00375AF8">
      <w:pPr>
        <w:ind w:firstLine="360"/>
        <w:jc w:val="both"/>
        <w:divId w:val="1914775185"/>
        <w:rPr>
          <w:rFonts w:eastAsia="Times New Roman"/>
        </w:rPr>
      </w:pPr>
      <w:r>
        <w:rPr>
          <w:rFonts w:eastAsia="Times New Roman"/>
          <w:b/>
          <w:bCs/>
          <w:i/>
          <w:iCs/>
          <w:color w:val="000000"/>
          <w:sz w:val="18"/>
          <w:szCs w:val="18"/>
        </w:rPr>
        <w:t>General and Administrative Expenses</w:t>
      </w:r>
    </w:p>
    <w:p w:rsidR="00000000" w:rsidRDefault="00375AF8">
      <w:pPr>
        <w:ind w:firstLine="720"/>
        <w:jc w:val="both"/>
        <w:divId w:val="349575914"/>
        <w:rPr>
          <w:rFonts w:eastAsia="Times New Roman"/>
        </w:rPr>
      </w:pPr>
      <w:r>
        <w:rPr>
          <w:rFonts w:eastAsia="Times New Roman"/>
          <w:color w:val="000000"/>
          <w:sz w:val="18"/>
          <w:szCs w:val="18"/>
        </w:rPr>
        <w:t>Gener</w:t>
      </w:r>
      <w:r>
        <w:rPr>
          <w:rFonts w:eastAsia="Times New Roman"/>
          <w:color w:val="000000"/>
          <w:sz w:val="18"/>
          <w:szCs w:val="18"/>
        </w:rPr>
        <w:t>al and administrative expenses consist primarily of employee-related expenses, including salaries, benefits and stock-based compensation expense, related to our executive, finance, business development and support functions. Other general and administrativ</w:t>
      </w:r>
      <w:r>
        <w:rPr>
          <w:rFonts w:eastAsia="Times New Roman"/>
          <w:color w:val="000000"/>
          <w:sz w:val="18"/>
          <w:szCs w:val="18"/>
        </w:rPr>
        <w:t>e expenses include costs associated with operating as a public company described below, travel expenses, conferences, and professional fees for auditing, tax and legal services.</w:t>
      </w:r>
    </w:p>
    <w:p w:rsidR="00000000" w:rsidRDefault="00375AF8">
      <w:pPr>
        <w:ind w:firstLine="360"/>
        <w:jc w:val="both"/>
        <w:divId w:val="318926469"/>
        <w:rPr>
          <w:rFonts w:eastAsia="Times New Roman"/>
        </w:rPr>
      </w:pPr>
      <w:r>
        <w:rPr>
          <w:rFonts w:eastAsia="Times New Roman"/>
          <w:b/>
          <w:bCs/>
          <w:i/>
          <w:iCs/>
          <w:color w:val="000000"/>
          <w:sz w:val="18"/>
          <w:szCs w:val="18"/>
        </w:rPr>
        <w:t>Other (Expense) Income, Net</w:t>
      </w:r>
    </w:p>
    <w:p w:rsidR="00000000" w:rsidRDefault="00375AF8">
      <w:pPr>
        <w:ind w:firstLine="720"/>
        <w:jc w:val="both"/>
        <w:divId w:val="166676202"/>
        <w:rPr>
          <w:rFonts w:eastAsia="Times New Roman"/>
        </w:rPr>
      </w:pPr>
      <w:r>
        <w:rPr>
          <w:rFonts w:eastAsia="Times New Roman"/>
          <w:color w:val="000000"/>
          <w:sz w:val="18"/>
          <w:szCs w:val="18"/>
        </w:rPr>
        <w:t>Other (expense) income primarily consists of unrea</w:t>
      </w:r>
      <w:r>
        <w:rPr>
          <w:rFonts w:eastAsia="Times New Roman"/>
          <w:color w:val="000000"/>
          <w:sz w:val="18"/>
          <w:szCs w:val="18"/>
        </w:rPr>
        <w:t>lized gains (losses) on long-term equity investments and interest income earned on our cash and cash equivalents maintained in money market funds and marketable securities.</w:t>
      </w:r>
    </w:p>
    <w:p w:rsidR="00000000" w:rsidRDefault="00375AF8">
      <w:pPr>
        <w:ind w:firstLine="360"/>
        <w:jc w:val="both"/>
        <w:divId w:val="311252235"/>
        <w:rPr>
          <w:rFonts w:eastAsia="Times New Roman"/>
        </w:rPr>
      </w:pPr>
      <w:r>
        <w:rPr>
          <w:rFonts w:eastAsia="Times New Roman"/>
          <w:b/>
          <w:bCs/>
          <w:i/>
          <w:iCs/>
          <w:color w:val="000000"/>
          <w:sz w:val="18"/>
          <w:szCs w:val="18"/>
        </w:rPr>
        <w:t>Reclassifications</w:t>
      </w:r>
    </w:p>
    <w:p w:rsidR="00000000" w:rsidRDefault="00375AF8">
      <w:pPr>
        <w:ind w:firstLine="720"/>
        <w:jc w:val="both"/>
        <w:divId w:val="851994811"/>
        <w:rPr>
          <w:rFonts w:eastAsia="Times New Roman"/>
        </w:rPr>
      </w:pPr>
      <w:r>
        <w:rPr>
          <w:rFonts w:eastAsia="Times New Roman"/>
          <w:color w:val="000000"/>
          <w:sz w:val="18"/>
          <w:szCs w:val="18"/>
        </w:rPr>
        <w:t>Certain prior period amounts have been reclassified for consisten</w:t>
      </w:r>
      <w:r>
        <w:rPr>
          <w:rFonts w:eastAsia="Times New Roman"/>
          <w:color w:val="000000"/>
          <w:sz w:val="18"/>
          <w:szCs w:val="18"/>
        </w:rPr>
        <w:t>cy with the current period presentation. These reclassifications had no effect on the reported results of operations.</w:t>
      </w:r>
    </w:p>
    <w:p w:rsidR="00000000" w:rsidRDefault="00375AF8">
      <w:pPr>
        <w:jc w:val="both"/>
        <w:divId w:val="2011105097"/>
        <w:rPr>
          <w:rFonts w:eastAsia="Times New Roman"/>
        </w:rPr>
      </w:pPr>
      <w:r>
        <w:rPr>
          <w:rFonts w:eastAsia="Times New Roman"/>
          <w:b/>
          <w:bCs/>
          <w:color w:val="000000"/>
          <w:sz w:val="18"/>
          <w:szCs w:val="18"/>
        </w:rPr>
        <w:t>Results of Operations</w:t>
      </w:r>
    </w:p>
    <w:p w:rsidR="00000000" w:rsidRDefault="00375AF8">
      <w:pPr>
        <w:ind w:firstLine="360"/>
        <w:jc w:val="both"/>
        <w:divId w:val="2082288338"/>
        <w:rPr>
          <w:rFonts w:eastAsia="Times New Roman"/>
        </w:rPr>
      </w:pPr>
      <w:r>
        <w:rPr>
          <w:rFonts w:eastAsia="Times New Roman"/>
          <w:b/>
          <w:bCs/>
          <w:i/>
          <w:iCs/>
          <w:color w:val="000000"/>
          <w:sz w:val="18"/>
          <w:szCs w:val="18"/>
        </w:rPr>
        <w:t>Comparison of the Three Months Ended June 30, 2022 and 2021, respectively</w:t>
      </w:r>
    </w:p>
    <w:p w:rsidR="00000000" w:rsidRDefault="00375AF8">
      <w:pPr>
        <w:ind w:firstLine="720"/>
        <w:jc w:val="both"/>
        <w:divId w:val="851529784"/>
        <w:rPr>
          <w:rFonts w:eastAsia="Times New Roman"/>
        </w:rPr>
      </w:pPr>
      <w:r>
        <w:rPr>
          <w:rFonts w:eastAsia="Times New Roman"/>
          <w:color w:val="000000"/>
          <w:sz w:val="18"/>
          <w:szCs w:val="18"/>
        </w:rPr>
        <w:t>The following table summarizes the results</w:t>
      </w:r>
      <w:r>
        <w:rPr>
          <w:rFonts w:eastAsia="Times New Roman"/>
          <w:color w:val="000000"/>
          <w:sz w:val="18"/>
          <w:szCs w:val="18"/>
        </w:rPr>
        <w:t xml:space="preserve"> of our operations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748"/>
        <w:gridCol w:w="39"/>
        <w:gridCol w:w="110"/>
        <w:gridCol w:w="941"/>
        <w:gridCol w:w="36"/>
        <w:gridCol w:w="36"/>
        <w:gridCol w:w="36"/>
        <w:gridCol w:w="36"/>
        <w:gridCol w:w="110"/>
        <w:gridCol w:w="941"/>
        <w:gridCol w:w="36"/>
        <w:gridCol w:w="36"/>
        <w:gridCol w:w="36"/>
        <w:gridCol w:w="36"/>
        <w:gridCol w:w="111"/>
        <w:gridCol w:w="941"/>
        <w:gridCol w:w="36"/>
      </w:tblGrid>
      <w:tr w:rsidR="00000000">
        <w:trPr>
          <w:divId w:val="2111077659"/>
        </w:trPr>
        <w:tc>
          <w:tcPr>
            <w:tcW w:w="50" w:type="pct"/>
            <w:vAlign w:val="center"/>
            <w:hideMark/>
          </w:tcPr>
          <w:p w:rsidR="00000000" w:rsidRDefault="00375AF8">
            <w:pPr>
              <w:ind w:firstLine="720"/>
              <w:jc w:val="both"/>
              <w:rPr>
                <w:rFonts w:eastAsia="Times New Roman"/>
              </w:rPr>
            </w:pPr>
          </w:p>
        </w:tc>
        <w:tc>
          <w:tcPr>
            <w:tcW w:w="290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2111077659"/>
          <w:trHeight w:val="460"/>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Change </w:t>
            </w:r>
          </w:p>
        </w:tc>
      </w:tr>
      <w:tr w:rsidR="00000000">
        <w:trPr>
          <w:divId w:val="2111077659"/>
          <w:trHeight w:val="280"/>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375AF8">
            <w:pPr>
              <w:spacing w:after="100"/>
              <w:rPr>
                <w:rFonts w:eastAsia="Times New Roman"/>
              </w:rPr>
            </w:pPr>
          </w:p>
        </w:tc>
      </w:tr>
      <w:tr w:rsidR="00000000">
        <w:trPr>
          <w:divId w:val="2111077659"/>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(in thousands) </w:t>
            </w:r>
          </w:p>
        </w:tc>
      </w:tr>
      <w:tr w:rsidR="00000000">
        <w:trPr>
          <w:divId w:val="211107765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Revenue:</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2111077659"/>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License and other revenue</w:t>
            </w: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License revenue - related party</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FFFFFF"/>
            <w:tcMar>
              <w:top w:w="30" w:type="dxa"/>
              <w:left w:w="38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2111077659"/>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6,047 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7,684 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(1,637)</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8,258 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6,629 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1,628 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FFFFFF"/>
            <w:tcMar>
              <w:top w:w="30" w:type="dxa"/>
              <w:left w:w="38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Loss from operations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(14,304)</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(14,313)</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 (expense) income, net</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(284)</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(282)</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Loss before provision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Provision for income taxes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1,473 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(1,473)</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111077659"/>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(14,589)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(15,788)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360"/>
        <w:jc w:val="both"/>
        <w:divId w:val="815336949"/>
        <w:rPr>
          <w:rFonts w:eastAsia="Times New Roman"/>
        </w:rPr>
      </w:pPr>
      <w:r>
        <w:rPr>
          <w:rFonts w:eastAsia="Times New Roman"/>
          <w:b/>
          <w:bCs/>
          <w:i/>
          <w:iCs/>
          <w:color w:val="000000"/>
          <w:sz w:val="18"/>
          <w:szCs w:val="18"/>
        </w:rPr>
        <w:t>Revenue</w:t>
      </w:r>
    </w:p>
    <w:p w:rsidR="00000000" w:rsidRDefault="00375AF8">
      <w:pPr>
        <w:ind w:firstLine="720"/>
        <w:jc w:val="both"/>
        <w:divId w:val="241453648"/>
        <w:rPr>
          <w:rFonts w:eastAsia="Times New Roman"/>
        </w:rPr>
      </w:pPr>
      <w:r>
        <w:rPr>
          <w:rFonts w:eastAsia="Times New Roman"/>
          <w:color w:val="000000"/>
          <w:sz w:val="18"/>
          <w:szCs w:val="18"/>
        </w:rPr>
        <w:t>No revenue was generated in the three months ended June 30, 2022 and 2021.</w:t>
      </w:r>
    </w:p>
    <w:p w:rsidR="00000000" w:rsidRDefault="00375AF8">
      <w:pPr>
        <w:jc w:val="center"/>
        <w:divId w:val="181866135"/>
        <w:rPr>
          <w:rFonts w:eastAsia="Times New Roman"/>
        </w:rPr>
      </w:pPr>
      <w:r>
        <w:rPr>
          <w:rFonts w:eastAsia="Times New Roman"/>
          <w:color w:val="000000"/>
          <w:sz w:val="18"/>
          <w:szCs w:val="18"/>
        </w:rPr>
        <w:t>23</w:t>
      </w:r>
    </w:p>
    <w:p w:rsidR="00000000" w:rsidRDefault="00375AF8">
      <w:pPr>
        <w:rPr>
          <w:rFonts w:eastAsia="Times New Roman"/>
        </w:rPr>
      </w:pPr>
      <w:r>
        <w:rPr>
          <w:rFonts w:eastAsia="Times New Roman"/>
        </w:rPr>
        <w:pict>
          <v:rect id="_x0000_i1049" style="width:0;height:1.5pt" o:hralign="center" o:hrstd="t" o:hr="t" fillcolor="#a0a0a0" stroked="f"/>
        </w:pict>
      </w:r>
    </w:p>
    <w:p w:rsidR="00000000" w:rsidRDefault="00375AF8">
      <w:pPr>
        <w:divId w:val="99641628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360"/>
        <w:jc w:val="both"/>
        <w:divId w:val="1314065001"/>
        <w:rPr>
          <w:rFonts w:eastAsia="Times New Roman"/>
        </w:rPr>
      </w:pPr>
      <w:r>
        <w:rPr>
          <w:rFonts w:eastAsia="Times New Roman"/>
          <w:b/>
          <w:bCs/>
          <w:i/>
          <w:iCs/>
          <w:color w:val="000000"/>
          <w:sz w:val="18"/>
          <w:szCs w:val="18"/>
        </w:rPr>
        <w:t xml:space="preserve">Research and Development Expenses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753"/>
        <w:gridCol w:w="36"/>
        <w:gridCol w:w="111"/>
        <w:gridCol w:w="941"/>
        <w:gridCol w:w="36"/>
        <w:gridCol w:w="36"/>
        <w:gridCol w:w="36"/>
        <w:gridCol w:w="36"/>
        <w:gridCol w:w="111"/>
        <w:gridCol w:w="941"/>
        <w:gridCol w:w="36"/>
        <w:gridCol w:w="36"/>
        <w:gridCol w:w="36"/>
        <w:gridCol w:w="36"/>
        <w:gridCol w:w="110"/>
        <w:gridCol w:w="942"/>
        <w:gridCol w:w="36"/>
      </w:tblGrid>
      <w:tr w:rsidR="00000000">
        <w:trPr>
          <w:divId w:val="1168206475"/>
        </w:trPr>
        <w:tc>
          <w:tcPr>
            <w:tcW w:w="50" w:type="pct"/>
            <w:vAlign w:val="center"/>
            <w:hideMark/>
          </w:tcPr>
          <w:p w:rsidR="00000000" w:rsidRDefault="00375AF8">
            <w:pPr>
              <w:ind w:firstLine="360"/>
              <w:jc w:val="both"/>
              <w:rPr>
                <w:rFonts w:eastAsia="Times New Roman"/>
              </w:rPr>
            </w:pPr>
          </w:p>
        </w:tc>
        <w:tc>
          <w:tcPr>
            <w:tcW w:w="290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168206475"/>
          <w:trHeight w:val="460"/>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Change </w:t>
            </w:r>
          </w:p>
        </w:tc>
      </w:tr>
      <w:tr w:rsidR="00000000">
        <w:trPr>
          <w:divId w:val="1168206475"/>
          <w:trHeight w:val="280"/>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375AF8">
            <w:pPr>
              <w:spacing w:after="100"/>
              <w:rPr>
                <w:rFonts w:eastAsia="Times New Roman"/>
              </w:rPr>
            </w:pPr>
          </w:p>
        </w:tc>
      </w:tr>
      <w:tr w:rsidR="00000000">
        <w:trPr>
          <w:divId w:val="1168206475"/>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(in thousands) </w:t>
            </w:r>
          </w:p>
        </w:tc>
      </w:tr>
      <w:tr w:rsidR="00000000">
        <w:trPr>
          <w:divId w:val="1168206475"/>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Preclinical and development expense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2,643 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3,006 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(362)</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168206475"/>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Payroll and payroll-related expenses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2,330 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3,831 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(1,502)</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168206475"/>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 expenses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1,074 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847 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168206475"/>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research and development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6,047 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7,684 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2008819544"/>
        <w:rPr>
          <w:rFonts w:eastAsia="Times New Roman"/>
        </w:rPr>
      </w:pPr>
      <w:r>
        <w:rPr>
          <w:rFonts w:eastAsia="Times New Roman"/>
          <w:color w:val="000000"/>
          <w:sz w:val="18"/>
          <w:szCs w:val="18"/>
        </w:rPr>
        <w:t>During the three months ended June </w:t>
      </w:r>
      <w:r>
        <w:rPr>
          <w:rFonts w:eastAsia="Times New Roman"/>
          <w:color w:val="000000"/>
          <w:sz w:val="18"/>
          <w:szCs w:val="18"/>
        </w:rPr>
        <w:t>30, 2022, total research and development expenses were $6.0 million compared to $7.7 million for the same period in 2021. The decrease of $1.6 million was primarily due to the decision to discontinue the clinical study of OV101 in Angelman syndrome and Fra</w:t>
      </w:r>
      <w:r>
        <w:rPr>
          <w:rFonts w:eastAsia="Times New Roman"/>
          <w:color w:val="000000"/>
          <w:sz w:val="18"/>
          <w:szCs w:val="18"/>
        </w:rPr>
        <w:t>gile X syndrome and the termination of the Takeda collaboration agreement for OV935.</w:t>
      </w:r>
    </w:p>
    <w:p w:rsidR="00000000" w:rsidRDefault="00375AF8">
      <w:pPr>
        <w:ind w:firstLine="360"/>
        <w:jc w:val="both"/>
        <w:divId w:val="1720546987"/>
        <w:rPr>
          <w:rFonts w:eastAsia="Times New Roman"/>
        </w:rPr>
      </w:pPr>
      <w:r>
        <w:rPr>
          <w:rFonts w:eastAsia="Times New Roman"/>
          <w:b/>
          <w:bCs/>
          <w:i/>
          <w:iCs/>
          <w:color w:val="000000"/>
          <w:sz w:val="18"/>
          <w:szCs w:val="18"/>
        </w:rPr>
        <w:t xml:space="preserve">General and Administrative Expenses </w:t>
      </w:r>
    </w:p>
    <w:tbl>
      <w:tblPr>
        <w:tblW w:w="5000" w:type="pct"/>
        <w:tblCellMar>
          <w:top w:w="15" w:type="dxa"/>
          <w:left w:w="15" w:type="dxa"/>
          <w:bottom w:w="15" w:type="dxa"/>
          <w:right w:w="15" w:type="dxa"/>
        </w:tblCellMar>
        <w:tblLook w:val="04A0" w:firstRow="1" w:lastRow="0" w:firstColumn="1" w:lastColumn="0" w:noHBand="0" w:noVBand="1"/>
      </w:tblPr>
      <w:tblGrid>
        <w:gridCol w:w="39"/>
        <w:gridCol w:w="4125"/>
        <w:gridCol w:w="38"/>
        <w:gridCol w:w="111"/>
        <w:gridCol w:w="808"/>
        <w:gridCol w:w="36"/>
        <w:gridCol w:w="36"/>
        <w:gridCol w:w="36"/>
        <w:gridCol w:w="36"/>
        <w:gridCol w:w="111"/>
        <w:gridCol w:w="809"/>
        <w:gridCol w:w="36"/>
        <w:gridCol w:w="36"/>
        <w:gridCol w:w="36"/>
        <w:gridCol w:w="36"/>
        <w:gridCol w:w="111"/>
        <w:gridCol w:w="809"/>
        <w:gridCol w:w="36"/>
        <w:gridCol w:w="36"/>
        <w:gridCol w:w="949"/>
        <w:gridCol w:w="36"/>
      </w:tblGrid>
      <w:tr w:rsidR="00000000">
        <w:trPr>
          <w:divId w:val="802160818"/>
        </w:trPr>
        <w:tc>
          <w:tcPr>
            <w:tcW w:w="50" w:type="pct"/>
            <w:vAlign w:val="center"/>
            <w:hideMark/>
          </w:tcPr>
          <w:p w:rsidR="00000000" w:rsidRDefault="00375AF8">
            <w:pPr>
              <w:ind w:firstLine="360"/>
              <w:jc w:val="both"/>
              <w:rPr>
                <w:rFonts w:eastAsia="Times New Roman"/>
              </w:rPr>
            </w:pPr>
          </w:p>
        </w:tc>
        <w:tc>
          <w:tcPr>
            <w:tcW w:w="2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802160818"/>
          <w:trHeight w:val="46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Change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r>
      <w:tr w:rsidR="00000000">
        <w:trPr>
          <w:divId w:val="802160818"/>
          <w:trHeight w:val="28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802160818"/>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(in thousands)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r>
      <w:tr w:rsidR="00000000">
        <w:trPr>
          <w:divId w:val="802160818"/>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Payroll and payroll-related expenses</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3,860 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3,640 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r w:rsidR="00000000">
        <w:trPr>
          <w:divId w:val="802160818"/>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Legal and professional fees</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2,560 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2,074 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487 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r w:rsidR="00000000">
        <w:trPr>
          <w:divId w:val="802160818"/>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General office expenses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1,837 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916 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921 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r w:rsidR="00000000">
        <w:trPr>
          <w:divId w:val="802160818"/>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general and administrative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8,258 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6,629 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bl>
    <w:p w:rsidR="00000000" w:rsidRDefault="00375AF8">
      <w:pPr>
        <w:ind w:firstLine="720"/>
        <w:jc w:val="both"/>
        <w:divId w:val="704523465"/>
        <w:rPr>
          <w:rFonts w:eastAsia="Times New Roman"/>
        </w:rPr>
      </w:pPr>
      <w:r>
        <w:rPr>
          <w:rFonts w:eastAsia="Times New Roman"/>
          <w:color w:val="000000"/>
          <w:sz w:val="18"/>
          <w:szCs w:val="18"/>
        </w:rPr>
        <w:t>General and administrative expenses were $8.3 million for the three months ended June 30, 2022 compared to $6.6 million for the same period in 2021. The increase of $1.6 million was primarily due to straight-line rent expense recog</w:t>
      </w:r>
      <w:r>
        <w:rPr>
          <w:rFonts w:eastAsia="Times New Roman"/>
          <w:color w:val="000000"/>
          <w:sz w:val="18"/>
          <w:szCs w:val="18"/>
        </w:rPr>
        <w:t>nized of approximately $0.5 million, strategic consulting fees of approximately $0.6 million, and increased legal and accounting fees relating to business development and compliance of approximately $0.2 million.</w:t>
      </w:r>
    </w:p>
    <w:p w:rsidR="00000000" w:rsidRDefault="00375AF8">
      <w:pPr>
        <w:ind w:firstLine="360"/>
        <w:jc w:val="both"/>
        <w:divId w:val="862523414"/>
        <w:rPr>
          <w:rFonts w:eastAsia="Times New Roman"/>
        </w:rPr>
      </w:pPr>
      <w:r>
        <w:rPr>
          <w:rFonts w:eastAsia="Times New Roman"/>
          <w:b/>
          <w:bCs/>
          <w:i/>
          <w:iCs/>
          <w:color w:val="000000"/>
          <w:sz w:val="18"/>
          <w:szCs w:val="18"/>
        </w:rPr>
        <w:t>Provision for Income Taxes</w:t>
      </w:r>
    </w:p>
    <w:p w:rsidR="00000000" w:rsidRDefault="00375AF8">
      <w:pPr>
        <w:ind w:firstLine="720"/>
        <w:jc w:val="both"/>
        <w:divId w:val="494607819"/>
        <w:rPr>
          <w:rFonts w:eastAsia="Times New Roman"/>
        </w:rPr>
      </w:pPr>
      <w:r>
        <w:rPr>
          <w:rFonts w:eastAsia="Times New Roman"/>
          <w:color w:val="000000"/>
          <w:sz w:val="18"/>
          <w:szCs w:val="18"/>
        </w:rPr>
        <w:t>There was no tax provision recorded for the three months ended June 30, 2022. The tax provision recorded for the three months ended June 30, 2021 was $1.5 million, which related to licensing revenue recognized in the first quarte</w:t>
      </w:r>
      <w:r>
        <w:rPr>
          <w:rFonts w:eastAsia="Times New Roman"/>
          <w:color w:val="000000"/>
          <w:sz w:val="18"/>
          <w:szCs w:val="18"/>
        </w:rPr>
        <w:t>r of 2021.</w:t>
      </w:r>
    </w:p>
    <w:p w:rsidR="00000000" w:rsidRDefault="00375AF8">
      <w:pPr>
        <w:ind w:firstLine="360"/>
        <w:jc w:val="both"/>
        <w:divId w:val="162821997"/>
        <w:rPr>
          <w:rFonts w:eastAsia="Times New Roman"/>
        </w:rPr>
      </w:pPr>
      <w:r>
        <w:rPr>
          <w:rFonts w:eastAsia="Times New Roman"/>
          <w:b/>
          <w:bCs/>
          <w:i/>
          <w:iCs/>
          <w:color w:val="000000"/>
          <w:sz w:val="18"/>
          <w:szCs w:val="18"/>
        </w:rPr>
        <w:t>Other (Expense) Income, net</w:t>
      </w:r>
    </w:p>
    <w:p w:rsidR="00000000" w:rsidRDefault="00375AF8">
      <w:pPr>
        <w:ind w:firstLine="720"/>
        <w:jc w:val="both"/>
        <w:divId w:val="1297949254"/>
        <w:rPr>
          <w:rFonts w:eastAsia="Times New Roman"/>
        </w:rPr>
      </w:pPr>
      <w:r>
        <w:rPr>
          <w:rFonts w:eastAsia="Times New Roman"/>
          <w:color w:val="000000"/>
          <w:sz w:val="18"/>
          <w:szCs w:val="18"/>
        </w:rPr>
        <w:t>Other (expense) income, net for the three months ended June 30, 2022 includes unrealized gain (loss) on long-term equity investments and interest earned on marketable securities, and included interest income and other</w:t>
      </w:r>
      <w:r>
        <w:rPr>
          <w:rFonts w:eastAsia="Times New Roman"/>
          <w:color w:val="000000"/>
          <w:sz w:val="18"/>
          <w:szCs w:val="18"/>
        </w:rPr>
        <w:t xml:space="preserve"> nominal items for the three months ended June 30, 2021. </w:t>
      </w:r>
    </w:p>
    <w:p w:rsidR="00000000" w:rsidRDefault="00375AF8">
      <w:pPr>
        <w:jc w:val="center"/>
        <w:divId w:val="1592934372"/>
        <w:rPr>
          <w:rFonts w:eastAsia="Times New Roman"/>
        </w:rPr>
      </w:pPr>
      <w:r>
        <w:rPr>
          <w:rFonts w:eastAsia="Times New Roman"/>
          <w:color w:val="000000"/>
          <w:sz w:val="18"/>
          <w:szCs w:val="18"/>
        </w:rPr>
        <w:t>24</w:t>
      </w:r>
    </w:p>
    <w:p w:rsidR="00000000" w:rsidRDefault="00375AF8">
      <w:pPr>
        <w:rPr>
          <w:rFonts w:eastAsia="Times New Roman"/>
        </w:rPr>
      </w:pPr>
      <w:r>
        <w:rPr>
          <w:rFonts w:eastAsia="Times New Roman"/>
        </w:rPr>
        <w:pict>
          <v:rect id="_x0000_i1050" style="width:0;height:1.5pt" o:hralign="center" o:hrstd="t" o:hr="t" fillcolor="#a0a0a0" stroked="f"/>
        </w:pict>
      </w:r>
    </w:p>
    <w:p w:rsidR="00000000" w:rsidRDefault="00375AF8">
      <w:pPr>
        <w:divId w:val="100416985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360"/>
        <w:jc w:val="both"/>
        <w:divId w:val="1930187456"/>
        <w:rPr>
          <w:rFonts w:eastAsia="Times New Roman"/>
        </w:rPr>
      </w:pPr>
      <w:r>
        <w:rPr>
          <w:rFonts w:eastAsia="Times New Roman"/>
          <w:b/>
          <w:bCs/>
          <w:i/>
          <w:iCs/>
          <w:color w:val="000000"/>
          <w:sz w:val="18"/>
          <w:szCs w:val="18"/>
        </w:rPr>
        <w:t>Comparison of the Six Months Ended June 30, 2022 and 2021, respectively</w:t>
      </w:r>
    </w:p>
    <w:p w:rsidR="00000000" w:rsidRDefault="00375AF8">
      <w:pPr>
        <w:ind w:firstLine="720"/>
        <w:jc w:val="both"/>
        <w:divId w:val="1104500952"/>
        <w:rPr>
          <w:rFonts w:eastAsia="Times New Roman"/>
        </w:rPr>
      </w:pPr>
      <w:r>
        <w:rPr>
          <w:rFonts w:eastAsia="Times New Roman"/>
          <w:color w:val="000000"/>
          <w:sz w:val="18"/>
          <w:szCs w:val="18"/>
        </w:rPr>
        <w:t>The follow</w:t>
      </w:r>
      <w:r>
        <w:rPr>
          <w:rFonts w:eastAsia="Times New Roman"/>
          <w:color w:val="000000"/>
          <w:sz w:val="18"/>
          <w:szCs w:val="18"/>
        </w:rPr>
        <w:t>ing table summarizes the results of our operations for the periods indicated:</w:t>
      </w:r>
    </w:p>
    <w:tbl>
      <w:tblPr>
        <w:tblW w:w="4598" w:type="pct"/>
        <w:jc w:val="center"/>
        <w:tblCellMar>
          <w:top w:w="15" w:type="dxa"/>
          <w:left w:w="15" w:type="dxa"/>
          <w:bottom w:w="15" w:type="dxa"/>
          <w:right w:w="15" w:type="dxa"/>
        </w:tblCellMar>
        <w:tblLook w:val="04A0" w:firstRow="1" w:lastRow="0" w:firstColumn="1" w:lastColumn="0" w:noHBand="0" w:noVBand="1"/>
      </w:tblPr>
      <w:tblGrid>
        <w:gridCol w:w="41"/>
        <w:gridCol w:w="2963"/>
        <w:gridCol w:w="39"/>
        <w:gridCol w:w="36"/>
        <w:gridCol w:w="73"/>
        <w:gridCol w:w="36"/>
        <w:gridCol w:w="110"/>
        <w:gridCol w:w="1240"/>
        <w:gridCol w:w="36"/>
        <w:gridCol w:w="36"/>
        <w:gridCol w:w="74"/>
        <w:gridCol w:w="36"/>
        <w:gridCol w:w="110"/>
        <w:gridCol w:w="1240"/>
        <w:gridCol w:w="36"/>
        <w:gridCol w:w="36"/>
        <w:gridCol w:w="74"/>
        <w:gridCol w:w="36"/>
        <w:gridCol w:w="110"/>
        <w:gridCol w:w="1240"/>
        <w:gridCol w:w="36"/>
      </w:tblGrid>
      <w:tr w:rsidR="00000000">
        <w:trPr>
          <w:divId w:val="985400825"/>
          <w:jc w:val="center"/>
        </w:trPr>
        <w:tc>
          <w:tcPr>
            <w:tcW w:w="50" w:type="pct"/>
            <w:vAlign w:val="center"/>
            <w:hideMark/>
          </w:tcPr>
          <w:p w:rsidR="00000000" w:rsidRDefault="00375AF8">
            <w:pPr>
              <w:ind w:firstLine="720"/>
              <w:jc w:val="both"/>
              <w:rPr>
                <w:rFonts w:eastAsia="Times New Roman"/>
              </w:rPr>
            </w:pPr>
          </w:p>
        </w:tc>
        <w:tc>
          <w:tcPr>
            <w:tcW w:w="1979"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8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84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8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84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8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84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985400825"/>
          <w:jc w:val="center"/>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985400825"/>
          <w:jc w:val="center"/>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Change</w:t>
            </w:r>
          </w:p>
        </w:tc>
      </w:tr>
      <w:tr w:rsidR="00000000">
        <w:trPr>
          <w:divId w:val="985400825"/>
          <w:jc w:val="center"/>
        </w:trPr>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(in thousands)</w:t>
            </w:r>
          </w:p>
        </w:tc>
      </w:tr>
      <w:tr w:rsidR="00000000">
        <w:trPr>
          <w:divId w:val="98540082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Revenue:</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985400825"/>
          <w:jc w:val="center"/>
        </w:trPr>
        <w:tc>
          <w:tcPr>
            <w:tcW w:w="0" w:type="auto"/>
            <w:gridSpan w:val="3"/>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License and other revenue</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1,445 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12,383 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(10,937)</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License revenue - related party</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196,000 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(196,000)</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tcMar>
              <w:top w:w="30" w:type="dxa"/>
              <w:left w:w="38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revenue</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1,445 </w:t>
            </w:r>
          </w:p>
        </w:tc>
        <w:tc>
          <w:tcPr>
            <w:tcW w:w="0" w:type="auto"/>
            <w:tcBorders>
              <w:top w:val="single" w:sz="8"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208,383 </w:t>
            </w:r>
          </w:p>
        </w:tc>
        <w:tc>
          <w:tcPr>
            <w:tcW w:w="0" w:type="auto"/>
            <w:tcBorders>
              <w:top w:val="single" w:sz="8"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(206,937)</w:t>
            </w:r>
          </w:p>
        </w:tc>
        <w:tc>
          <w:tcPr>
            <w:tcW w:w="0" w:type="auto"/>
            <w:tcBorders>
              <w:top w:val="single" w:sz="8"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985400825"/>
          <w:jc w:val="center"/>
        </w:trPr>
        <w:tc>
          <w:tcPr>
            <w:tcW w:w="0" w:type="auto"/>
            <w:gridSpan w:val="3"/>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Research and development</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13,879 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23,933 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(10,054)</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CCEE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General and administrative</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18,138 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22,206 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(4,068)</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tcMar>
              <w:top w:w="30" w:type="dxa"/>
              <w:left w:w="38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operating expenses</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32,017 </w:t>
            </w:r>
          </w:p>
        </w:tc>
        <w:tc>
          <w:tcPr>
            <w:tcW w:w="0" w:type="auto"/>
            <w:tcBorders>
              <w:top w:val="single" w:sz="8"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46,138 </w:t>
            </w:r>
          </w:p>
        </w:tc>
        <w:tc>
          <w:tcPr>
            <w:tcW w:w="0" w:type="auto"/>
            <w:tcBorders>
              <w:top w:val="single" w:sz="8"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(14,122)</w:t>
            </w:r>
          </w:p>
        </w:tc>
        <w:tc>
          <w:tcPr>
            <w:tcW w:w="0" w:type="auto"/>
            <w:tcBorders>
              <w:top w:val="single" w:sz="8" w:space="0" w:color="000000"/>
            </w:tcBorders>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(Loss) income from operations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(30,571)</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162,244 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(192,816)</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FFFFFF"/>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 (expense) income, net</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(125)</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(52)</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(73)</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(Loss) income before provision for income taxes</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162,192 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(192,889)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tcMar>
              <w:top w:w="30" w:type="dxa"/>
              <w:left w:w="26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Provision for income taxes</w:t>
            </w: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1,973 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(1,973)</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985400825"/>
          <w:jc w:val="center"/>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(30,696)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160,219 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(190,915)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360"/>
        <w:jc w:val="both"/>
        <w:divId w:val="553465455"/>
        <w:rPr>
          <w:rFonts w:eastAsia="Times New Roman"/>
        </w:rPr>
      </w:pPr>
      <w:r>
        <w:rPr>
          <w:rFonts w:eastAsia="Times New Roman"/>
          <w:b/>
          <w:bCs/>
          <w:i/>
          <w:iCs/>
          <w:color w:val="000000"/>
          <w:sz w:val="18"/>
          <w:szCs w:val="18"/>
        </w:rPr>
        <w:t>Revenue</w:t>
      </w:r>
    </w:p>
    <w:p w:rsidR="00000000" w:rsidRDefault="00375AF8">
      <w:pPr>
        <w:ind w:firstLine="720"/>
        <w:jc w:val="both"/>
        <w:divId w:val="1509639127"/>
        <w:rPr>
          <w:rFonts w:eastAsia="Times New Roman"/>
        </w:rPr>
      </w:pPr>
      <w:r>
        <w:rPr>
          <w:rFonts w:eastAsia="Times New Roman"/>
          <w:color w:val="000000"/>
          <w:sz w:val="18"/>
          <w:szCs w:val="18"/>
        </w:rPr>
        <w:t>Total revenue was $1.4 million during the six months ended June </w:t>
      </w:r>
      <w:r>
        <w:rPr>
          <w:rFonts w:eastAsia="Times New Roman"/>
          <w:color w:val="000000"/>
          <w:sz w:val="18"/>
          <w:szCs w:val="18"/>
        </w:rPr>
        <w:t>30, 2022, recorded in connection with the Marinus and Healx License Agreements. Total revenue was $208.4 million for the six months ended June 30, 2021, recorded in connection with the Takeda and Angelini License Agreements</w:t>
      </w:r>
    </w:p>
    <w:p w:rsidR="00000000" w:rsidRDefault="00375AF8">
      <w:pPr>
        <w:ind w:firstLine="360"/>
        <w:jc w:val="both"/>
        <w:divId w:val="441146874"/>
        <w:rPr>
          <w:rFonts w:eastAsia="Times New Roman"/>
        </w:rPr>
      </w:pPr>
      <w:r>
        <w:rPr>
          <w:rFonts w:eastAsia="Times New Roman"/>
          <w:b/>
          <w:bCs/>
          <w:i/>
          <w:iCs/>
          <w:color w:val="000000"/>
          <w:sz w:val="18"/>
          <w:szCs w:val="18"/>
        </w:rPr>
        <w:t xml:space="preserve">Research and Development Expenses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753"/>
        <w:gridCol w:w="36"/>
        <w:gridCol w:w="110"/>
        <w:gridCol w:w="942"/>
        <w:gridCol w:w="36"/>
        <w:gridCol w:w="36"/>
        <w:gridCol w:w="36"/>
        <w:gridCol w:w="36"/>
        <w:gridCol w:w="110"/>
        <w:gridCol w:w="942"/>
        <w:gridCol w:w="36"/>
        <w:gridCol w:w="36"/>
        <w:gridCol w:w="36"/>
        <w:gridCol w:w="36"/>
        <w:gridCol w:w="110"/>
        <w:gridCol w:w="942"/>
        <w:gridCol w:w="36"/>
      </w:tblGrid>
      <w:tr w:rsidR="00000000">
        <w:trPr>
          <w:divId w:val="1606225471"/>
        </w:trPr>
        <w:tc>
          <w:tcPr>
            <w:tcW w:w="50" w:type="pct"/>
            <w:vAlign w:val="center"/>
            <w:hideMark/>
          </w:tcPr>
          <w:p w:rsidR="00000000" w:rsidRDefault="00375AF8">
            <w:pPr>
              <w:ind w:firstLine="360"/>
              <w:jc w:val="both"/>
              <w:rPr>
                <w:rFonts w:eastAsia="Times New Roman"/>
              </w:rPr>
            </w:pPr>
          </w:p>
        </w:tc>
        <w:tc>
          <w:tcPr>
            <w:tcW w:w="290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606225471"/>
          <w:trHeight w:val="460"/>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Change </w:t>
            </w:r>
          </w:p>
        </w:tc>
      </w:tr>
      <w:tr w:rsidR="00000000">
        <w:trPr>
          <w:divId w:val="1606225471"/>
          <w:trHeight w:val="280"/>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375AF8">
            <w:pPr>
              <w:spacing w:after="100"/>
              <w:rPr>
                <w:rFonts w:eastAsia="Times New Roman"/>
              </w:rPr>
            </w:pPr>
          </w:p>
        </w:tc>
      </w:tr>
      <w:tr w:rsidR="00000000">
        <w:trPr>
          <w:divId w:val="1606225471"/>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(in thousands) </w:t>
            </w:r>
          </w:p>
        </w:tc>
      </w:tr>
      <w:tr w:rsidR="00000000">
        <w:trPr>
          <w:divId w:val="160622547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Preclinical and development expense</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4,724 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14,141 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(9,417)</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622547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Payroll and payroll-related expenses</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7,266 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7,746 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(481)</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622547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Other expenses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1,889 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2,045 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(156)</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160622547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research and development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13,879 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23,932 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(10,054)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720"/>
        <w:jc w:val="both"/>
        <w:divId w:val="396512819"/>
        <w:rPr>
          <w:rFonts w:eastAsia="Times New Roman"/>
        </w:rPr>
      </w:pPr>
      <w:r>
        <w:rPr>
          <w:rFonts w:eastAsia="Times New Roman"/>
          <w:color w:val="000000"/>
          <w:sz w:val="18"/>
          <w:szCs w:val="18"/>
        </w:rPr>
        <w:t>During the six months ended June </w:t>
      </w:r>
      <w:r>
        <w:rPr>
          <w:rFonts w:eastAsia="Times New Roman"/>
          <w:color w:val="000000"/>
          <w:sz w:val="18"/>
          <w:szCs w:val="18"/>
        </w:rPr>
        <w:t xml:space="preserve">30, 2022, total research and development expenses were $13.9 million compared to $23.9 million for the same period in 2021. The decrease of $10.0 million was primarily due to the decision to discontinue the clinical study of OV101 in Angelman syndrome and </w:t>
      </w:r>
      <w:r>
        <w:rPr>
          <w:rFonts w:eastAsia="Times New Roman"/>
          <w:color w:val="000000"/>
          <w:sz w:val="18"/>
          <w:szCs w:val="18"/>
        </w:rPr>
        <w:t>Fragile X syndrome and the termination of the Takeda collaboration agreement for OV935.</w:t>
      </w:r>
    </w:p>
    <w:p w:rsidR="00000000" w:rsidRDefault="00375AF8">
      <w:pPr>
        <w:ind w:firstLine="360"/>
        <w:jc w:val="both"/>
        <w:divId w:val="207765833"/>
        <w:rPr>
          <w:rFonts w:eastAsia="Times New Roman"/>
        </w:rPr>
      </w:pPr>
      <w:r>
        <w:rPr>
          <w:rFonts w:eastAsia="Times New Roman"/>
          <w:b/>
          <w:bCs/>
          <w:i/>
          <w:iCs/>
          <w:color w:val="000000"/>
          <w:sz w:val="18"/>
          <w:szCs w:val="18"/>
        </w:rPr>
        <w:t xml:space="preserve">General and Administrative Expenses </w:t>
      </w:r>
    </w:p>
    <w:tbl>
      <w:tblPr>
        <w:tblW w:w="5000" w:type="pct"/>
        <w:tblCellMar>
          <w:top w:w="15" w:type="dxa"/>
          <w:left w:w="15" w:type="dxa"/>
          <w:bottom w:w="15" w:type="dxa"/>
          <w:right w:w="15" w:type="dxa"/>
        </w:tblCellMar>
        <w:tblLook w:val="04A0" w:firstRow="1" w:lastRow="0" w:firstColumn="1" w:lastColumn="0" w:noHBand="0" w:noVBand="1"/>
      </w:tblPr>
      <w:tblGrid>
        <w:gridCol w:w="39"/>
        <w:gridCol w:w="4127"/>
        <w:gridCol w:w="38"/>
        <w:gridCol w:w="110"/>
        <w:gridCol w:w="809"/>
        <w:gridCol w:w="36"/>
        <w:gridCol w:w="36"/>
        <w:gridCol w:w="36"/>
        <w:gridCol w:w="36"/>
        <w:gridCol w:w="110"/>
        <w:gridCol w:w="809"/>
        <w:gridCol w:w="36"/>
        <w:gridCol w:w="36"/>
        <w:gridCol w:w="36"/>
        <w:gridCol w:w="36"/>
        <w:gridCol w:w="110"/>
        <w:gridCol w:w="809"/>
        <w:gridCol w:w="36"/>
        <w:gridCol w:w="36"/>
        <w:gridCol w:w="949"/>
        <w:gridCol w:w="36"/>
      </w:tblGrid>
      <w:tr w:rsidR="00000000">
        <w:trPr>
          <w:divId w:val="128399805"/>
        </w:trPr>
        <w:tc>
          <w:tcPr>
            <w:tcW w:w="50" w:type="pct"/>
            <w:vAlign w:val="center"/>
            <w:hideMark/>
          </w:tcPr>
          <w:p w:rsidR="00000000" w:rsidRDefault="00375AF8">
            <w:pPr>
              <w:ind w:firstLine="360"/>
              <w:jc w:val="both"/>
              <w:rPr>
                <w:rFonts w:eastAsia="Times New Roman"/>
              </w:rPr>
            </w:pPr>
          </w:p>
        </w:tc>
        <w:tc>
          <w:tcPr>
            <w:tcW w:w="2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1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51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28399805"/>
          <w:trHeight w:val="46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Change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r>
      <w:tr w:rsidR="00000000">
        <w:trPr>
          <w:divId w:val="128399805"/>
          <w:trHeight w:val="28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28399805"/>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(in thousands) </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r>
      <w:tr w:rsidR="00000000">
        <w:trPr>
          <w:divId w:val="128399805"/>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Payroll and payroll-related expenses</w:t>
            </w: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8,538 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7,425 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1,113 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r w:rsidR="00000000">
        <w:trPr>
          <w:divId w:val="128399805"/>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Legal and professional fees</w:t>
            </w: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5,028 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12,816 </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(7,788)</w:t>
            </w:r>
          </w:p>
        </w:tc>
        <w:tc>
          <w:tcPr>
            <w:tcW w:w="0" w:type="auto"/>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r w:rsidR="00000000">
        <w:trPr>
          <w:divId w:val="128399805"/>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General office expenses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4,572 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1,965 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2,607 </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r w:rsidR="00000000">
        <w:trPr>
          <w:divId w:val="128399805"/>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Total general and administrative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18,138 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22,206 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(4,068)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r>
    </w:tbl>
    <w:p w:rsidR="00000000" w:rsidRDefault="00375AF8">
      <w:pPr>
        <w:ind w:firstLine="720"/>
        <w:jc w:val="both"/>
        <w:divId w:val="599220642"/>
        <w:rPr>
          <w:rFonts w:eastAsia="Times New Roman"/>
        </w:rPr>
      </w:pPr>
      <w:r>
        <w:rPr>
          <w:rFonts w:eastAsia="Times New Roman"/>
          <w:color w:val="000000"/>
          <w:sz w:val="18"/>
          <w:szCs w:val="18"/>
        </w:rPr>
        <w:t>General and administrative expenses were $18.1 million for the six months ended June 30, 2022 compared to $22.2 million for the same period in 2021. The decrease of $4.1 millio</w:t>
      </w:r>
      <w:r>
        <w:rPr>
          <w:rFonts w:eastAsia="Times New Roman"/>
          <w:color w:val="000000"/>
          <w:sz w:val="18"/>
          <w:szCs w:val="18"/>
        </w:rPr>
        <w:t>n was primarily due to the discontinuation of certain studies and programs detailed above, as well as reduced administrative headcount.</w:t>
      </w:r>
    </w:p>
    <w:p w:rsidR="00000000" w:rsidRDefault="00375AF8">
      <w:pPr>
        <w:jc w:val="center"/>
        <w:divId w:val="739401897"/>
        <w:rPr>
          <w:rFonts w:eastAsia="Times New Roman"/>
        </w:rPr>
      </w:pPr>
      <w:r>
        <w:rPr>
          <w:rFonts w:eastAsia="Times New Roman"/>
          <w:color w:val="000000"/>
          <w:sz w:val="18"/>
          <w:szCs w:val="18"/>
        </w:rPr>
        <w:t>25</w:t>
      </w:r>
    </w:p>
    <w:p w:rsidR="00000000" w:rsidRDefault="00375AF8">
      <w:pPr>
        <w:rPr>
          <w:rFonts w:eastAsia="Times New Roman"/>
        </w:rPr>
      </w:pPr>
      <w:r>
        <w:rPr>
          <w:rFonts w:eastAsia="Times New Roman"/>
        </w:rPr>
        <w:pict>
          <v:rect id="_x0000_i1051" style="width:0;height:1.5pt" o:hralign="center" o:hrstd="t" o:hr="t" fillcolor="#a0a0a0" stroked="f"/>
        </w:pict>
      </w:r>
    </w:p>
    <w:p w:rsidR="00000000" w:rsidRDefault="00375AF8">
      <w:pPr>
        <w:divId w:val="196118392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360"/>
        <w:jc w:val="both"/>
        <w:divId w:val="887378677"/>
        <w:rPr>
          <w:rFonts w:eastAsia="Times New Roman"/>
        </w:rPr>
      </w:pPr>
      <w:r>
        <w:rPr>
          <w:rFonts w:eastAsia="Times New Roman"/>
          <w:b/>
          <w:bCs/>
          <w:i/>
          <w:iCs/>
          <w:color w:val="000000"/>
          <w:sz w:val="18"/>
          <w:szCs w:val="18"/>
        </w:rPr>
        <w:t>Provision for Income Taxes</w:t>
      </w:r>
    </w:p>
    <w:p w:rsidR="00000000" w:rsidRDefault="00375AF8">
      <w:pPr>
        <w:ind w:firstLine="720"/>
        <w:jc w:val="both"/>
        <w:divId w:val="308362230"/>
        <w:rPr>
          <w:rFonts w:eastAsia="Times New Roman"/>
        </w:rPr>
      </w:pPr>
      <w:r>
        <w:rPr>
          <w:rFonts w:eastAsia="Times New Roman"/>
          <w:color w:val="000000"/>
          <w:sz w:val="18"/>
          <w:szCs w:val="18"/>
        </w:rPr>
        <w:t>There was no tax provision recorded for the six months ended June 30, 2022. The tax provision recorded for the six mo</w:t>
      </w:r>
      <w:r>
        <w:rPr>
          <w:rFonts w:eastAsia="Times New Roman"/>
          <w:color w:val="000000"/>
          <w:sz w:val="18"/>
          <w:szCs w:val="18"/>
        </w:rPr>
        <w:t>nths ended June 30, 2021 was $2.0 million, which related to licensing revenue recognized in the first quarter of 2021.</w:t>
      </w:r>
    </w:p>
    <w:p w:rsidR="00000000" w:rsidRDefault="00375AF8">
      <w:pPr>
        <w:ind w:firstLine="360"/>
        <w:jc w:val="both"/>
        <w:divId w:val="1920409007"/>
        <w:rPr>
          <w:rFonts w:eastAsia="Times New Roman"/>
        </w:rPr>
      </w:pPr>
      <w:r>
        <w:rPr>
          <w:rFonts w:eastAsia="Times New Roman"/>
          <w:b/>
          <w:bCs/>
          <w:i/>
          <w:iCs/>
          <w:color w:val="000000"/>
          <w:sz w:val="18"/>
          <w:szCs w:val="18"/>
        </w:rPr>
        <w:t>Other (Expense) Income, net</w:t>
      </w:r>
    </w:p>
    <w:p w:rsidR="00000000" w:rsidRDefault="00375AF8">
      <w:pPr>
        <w:ind w:firstLine="720"/>
        <w:jc w:val="both"/>
        <w:divId w:val="1709454074"/>
        <w:rPr>
          <w:rFonts w:eastAsia="Times New Roman"/>
        </w:rPr>
      </w:pPr>
      <w:r>
        <w:rPr>
          <w:rFonts w:eastAsia="Times New Roman"/>
          <w:color w:val="000000"/>
          <w:sz w:val="18"/>
          <w:szCs w:val="18"/>
        </w:rPr>
        <w:t>Other (expense) income for the six months ended June 30, 2022 includes unrealized gain (loss) on long-term eq</w:t>
      </w:r>
      <w:r>
        <w:rPr>
          <w:rFonts w:eastAsia="Times New Roman"/>
          <w:color w:val="000000"/>
          <w:sz w:val="18"/>
          <w:szCs w:val="18"/>
        </w:rPr>
        <w:t>uity investments and interest earned on marketable securities, and included interest income and other nominal items for the six months ended June 30, 2021.</w:t>
      </w:r>
    </w:p>
    <w:p w:rsidR="00000000" w:rsidRDefault="00375AF8">
      <w:pPr>
        <w:jc w:val="both"/>
        <w:divId w:val="1135025447"/>
        <w:rPr>
          <w:rFonts w:eastAsia="Times New Roman"/>
        </w:rPr>
      </w:pPr>
      <w:r>
        <w:rPr>
          <w:rFonts w:eastAsia="Times New Roman"/>
          <w:b/>
          <w:bCs/>
          <w:color w:val="000000"/>
          <w:sz w:val="18"/>
          <w:szCs w:val="18"/>
        </w:rPr>
        <w:t>Liquidity and Capital Resources</w:t>
      </w:r>
    </w:p>
    <w:p w:rsidR="00000000" w:rsidRDefault="00375AF8">
      <w:pPr>
        <w:ind w:firstLine="360"/>
        <w:jc w:val="both"/>
        <w:divId w:val="2110419469"/>
        <w:rPr>
          <w:rFonts w:eastAsia="Times New Roman"/>
        </w:rPr>
      </w:pPr>
      <w:r>
        <w:rPr>
          <w:rFonts w:eastAsia="Times New Roman"/>
          <w:b/>
          <w:bCs/>
          <w:i/>
          <w:iCs/>
          <w:color w:val="000000"/>
          <w:sz w:val="18"/>
          <w:szCs w:val="18"/>
        </w:rPr>
        <w:t xml:space="preserve">Overview </w:t>
      </w:r>
    </w:p>
    <w:p w:rsidR="00000000" w:rsidRDefault="00375AF8">
      <w:pPr>
        <w:ind w:firstLine="720"/>
        <w:jc w:val="both"/>
        <w:divId w:val="1967811222"/>
        <w:rPr>
          <w:rFonts w:eastAsia="Times New Roman"/>
        </w:rPr>
      </w:pPr>
      <w:r>
        <w:rPr>
          <w:rFonts w:eastAsia="Times New Roman"/>
          <w:color w:val="000000"/>
          <w:sz w:val="18"/>
          <w:szCs w:val="18"/>
        </w:rPr>
        <w:t>As of June 30, 2022, we had total cash, cash equivalents a</w:t>
      </w:r>
      <w:r>
        <w:rPr>
          <w:rFonts w:eastAsia="Times New Roman"/>
          <w:color w:val="000000"/>
          <w:sz w:val="18"/>
          <w:szCs w:val="18"/>
        </w:rPr>
        <w:t>nd marketable securities of $152.4 million as compared to $187.8 million as of December 31, 2021. The $35.4 million decrease was due to payments relating to licensing and other agreements of $5.0 million, and operating expenses totaling $32.0 million for t</w:t>
      </w:r>
      <w:r>
        <w:rPr>
          <w:rFonts w:eastAsia="Times New Roman"/>
          <w:color w:val="000000"/>
          <w:sz w:val="18"/>
          <w:szCs w:val="18"/>
        </w:rPr>
        <w:t>he six months ended June 30, 2022.</w:t>
      </w:r>
    </w:p>
    <w:p w:rsidR="00000000" w:rsidRDefault="00375AF8">
      <w:pPr>
        <w:ind w:firstLine="720"/>
        <w:jc w:val="both"/>
        <w:divId w:val="615256823"/>
        <w:rPr>
          <w:rFonts w:eastAsia="Times New Roman"/>
        </w:rPr>
      </w:pPr>
      <w:r>
        <w:rPr>
          <w:rFonts w:eastAsia="Times New Roman"/>
          <w:color w:val="000000"/>
          <w:sz w:val="18"/>
          <w:szCs w:val="18"/>
        </w:rPr>
        <w:t xml:space="preserve">Similar to other development stage biotechnology companies, we have generated limited revenue, which has been through the Takeda License and Termination Agreement and the Angelini License Agreement. With the exception of </w:t>
      </w:r>
      <w:r>
        <w:rPr>
          <w:rFonts w:eastAsia="Times New Roman"/>
          <w:color w:val="000000"/>
          <w:sz w:val="18"/>
          <w:szCs w:val="18"/>
        </w:rPr>
        <w:t>the three months ended March 31, 2021, when we received the one-time upfront payment of $196.0 million as part of the Takeda License and Termination Agreement, we have incurred losses and experienced negative operating cash flows since our inception and an</w:t>
      </w:r>
      <w:r>
        <w:rPr>
          <w:rFonts w:eastAsia="Times New Roman"/>
          <w:color w:val="000000"/>
          <w:sz w:val="18"/>
          <w:szCs w:val="18"/>
        </w:rPr>
        <w:t>ticipate that we will continue to incur losses for the next several years. We recorded net losses of approximately $14.6 million and $15.8 million for the three months ended June 30, 2022 and 2021, respectively. As of June 30, 2022, we had an accumulated d</w:t>
      </w:r>
      <w:r>
        <w:rPr>
          <w:rFonts w:eastAsia="Times New Roman"/>
          <w:color w:val="000000"/>
          <w:sz w:val="18"/>
          <w:szCs w:val="18"/>
        </w:rPr>
        <w:t>eficit of $202.1 million and working capital of $146.9 million.</w:t>
      </w:r>
    </w:p>
    <w:p w:rsidR="00000000" w:rsidRDefault="00375AF8">
      <w:pPr>
        <w:ind w:firstLine="360"/>
        <w:jc w:val="both"/>
        <w:divId w:val="503086502"/>
        <w:rPr>
          <w:rFonts w:eastAsia="Times New Roman"/>
        </w:rPr>
      </w:pPr>
      <w:r>
        <w:rPr>
          <w:rFonts w:eastAsia="Times New Roman"/>
          <w:b/>
          <w:bCs/>
          <w:i/>
          <w:iCs/>
          <w:color w:val="000000"/>
          <w:sz w:val="18"/>
          <w:szCs w:val="18"/>
        </w:rPr>
        <w:t>Future Funding Requirements</w:t>
      </w:r>
    </w:p>
    <w:p w:rsidR="00000000" w:rsidRDefault="00375AF8">
      <w:pPr>
        <w:ind w:firstLine="720"/>
        <w:jc w:val="both"/>
        <w:divId w:val="2019458240"/>
        <w:rPr>
          <w:rFonts w:eastAsia="Times New Roman"/>
        </w:rPr>
      </w:pPr>
      <w:r>
        <w:rPr>
          <w:rFonts w:eastAsia="Times New Roman"/>
          <w:color w:val="000000"/>
          <w:sz w:val="18"/>
          <w:szCs w:val="18"/>
        </w:rPr>
        <w:t>We believe that our cash, cash equivalents and marketable securities as of June 30, 2022 are sufficient to fund existing and planned cash requirements through at le</w:t>
      </w:r>
      <w:r>
        <w:rPr>
          <w:rFonts w:eastAsia="Times New Roman"/>
          <w:color w:val="000000"/>
          <w:sz w:val="18"/>
          <w:szCs w:val="18"/>
        </w:rPr>
        <w:t>ast the next 12 months from the date of filing of this Quarterly Report on Form 10-Q. Our primary uses of capital are, and we expect will continue to be, compensation and related expenses, third-party clinical research and development services, clinical co</w:t>
      </w:r>
      <w:r>
        <w:rPr>
          <w:rFonts w:eastAsia="Times New Roman"/>
          <w:color w:val="000000"/>
          <w:sz w:val="18"/>
          <w:szCs w:val="18"/>
        </w:rPr>
        <w:t>sts, legal and other regulatory expenses and general overhead costs. We have based our estimates on assumptions that may prove to be incorrect, and we could use our capital resources sooner than we currently expect. Additionally, the process of testing dru</w:t>
      </w:r>
      <w:r>
        <w:rPr>
          <w:rFonts w:eastAsia="Times New Roman"/>
          <w:color w:val="000000"/>
          <w:sz w:val="18"/>
          <w:szCs w:val="18"/>
        </w:rPr>
        <w:t>g candidates in clinical trials is costly, and the timing of progress in these trials is uncertain. We cannot estimate the actual amounts necessary to successfully complete the development and commercialization of our product candidates or whether, or when</w:t>
      </w:r>
      <w:r>
        <w:rPr>
          <w:rFonts w:eastAsia="Times New Roman"/>
          <w:color w:val="000000"/>
          <w:sz w:val="18"/>
          <w:szCs w:val="18"/>
        </w:rPr>
        <w:t>, we may achieve profitability.</w:t>
      </w:r>
    </w:p>
    <w:p w:rsidR="00000000" w:rsidRDefault="00375AF8">
      <w:pPr>
        <w:ind w:firstLine="720"/>
        <w:jc w:val="both"/>
        <w:divId w:val="1838107883"/>
        <w:rPr>
          <w:rFonts w:eastAsia="Times New Roman"/>
        </w:rPr>
      </w:pPr>
      <w:r>
        <w:rPr>
          <w:rFonts w:eastAsia="Times New Roman"/>
          <w:color w:val="000000"/>
          <w:sz w:val="18"/>
          <w:szCs w:val="18"/>
        </w:rPr>
        <w:t xml:space="preserve">As of June 30, 2022, we had no long-term debt and no material non-cancelable purchase commitments with service providers, as we have generally contracted on a cancellable, purchase order basis. We cannot estimate whether we </w:t>
      </w:r>
      <w:r>
        <w:rPr>
          <w:rFonts w:eastAsia="Times New Roman"/>
          <w:color w:val="000000"/>
          <w:sz w:val="18"/>
          <w:szCs w:val="18"/>
        </w:rPr>
        <w:t xml:space="preserve">will receive or the timing of any potential contingent payments upon the achievement by us of clinical, regulatory and commercial events, as applicable, or royalty payments that we may be required to make under license agreements we have entered into with </w:t>
      </w:r>
      <w:r>
        <w:rPr>
          <w:rFonts w:eastAsia="Times New Roman"/>
          <w:color w:val="000000"/>
          <w:sz w:val="18"/>
          <w:szCs w:val="18"/>
        </w:rPr>
        <w:t>various entities pursuant to which we have in-licensed certain intellectual property as contractual obligations or commitments, including agreements with AstraZeneca AB, H. Lundbeck A/S, and Northwestern. Pursuant to these license agreements, we have agree</w:t>
      </w:r>
      <w:r>
        <w:rPr>
          <w:rFonts w:eastAsia="Times New Roman"/>
          <w:color w:val="000000"/>
          <w:sz w:val="18"/>
          <w:szCs w:val="18"/>
        </w:rPr>
        <w:t>d to make milestone payments up to an aggregate of $279.3 million upon the achievement of certain development, regulatory and sales milestones. These potential contingent payments have not been recognized in these financial statements, given that the timin</w:t>
      </w:r>
      <w:r>
        <w:rPr>
          <w:rFonts w:eastAsia="Times New Roman"/>
          <w:color w:val="000000"/>
          <w:sz w:val="18"/>
          <w:szCs w:val="18"/>
        </w:rPr>
        <w:t>g, probability, and amount, if any, of such payments cannot be reasonably estimated at this time.</w:t>
      </w:r>
    </w:p>
    <w:p w:rsidR="00000000" w:rsidRDefault="00375AF8">
      <w:pPr>
        <w:ind w:firstLine="720"/>
        <w:jc w:val="both"/>
        <w:divId w:val="1749031953"/>
        <w:rPr>
          <w:rFonts w:eastAsia="Times New Roman"/>
        </w:rPr>
      </w:pPr>
      <w:r>
        <w:rPr>
          <w:rFonts w:eastAsia="Times New Roman"/>
          <w:color w:val="000000"/>
          <w:sz w:val="18"/>
          <w:szCs w:val="18"/>
        </w:rPr>
        <w:t>In September 2021, we entered into a 10-year lease agreement for our corporate headquarters with a term commencing March 10, 2022, for approximately 19,143 sq</w:t>
      </w:r>
      <w:r>
        <w:rPr>
          <w:rFonts w:eastAsia="Times New Roman"/>
          <w:color w:val="000000"/>
          <w:sz w:val="18"/>
          <w:szCs w:val="18"/>
        </w:rPr>
        <w:t>uare feet of office space at Hudson Commons in New York, NY. The lease provides for monthly rental payments over the lease term. The base rent under the lease is currently $2.3 million per year. Rent payments commence 10 months following the commencement d</w:t>
      </w:r>
      <w:r>
        <w:rPr>
          <w:rFonts w:eastAsia="Times New Roman"/>
          <w:color w:val="000000"/>
          <w:sz w:val="18"/>
          <w:szCs w:val="18"/>
        </w:rPr>
        <w:t xml:space="preserve">ate of the lease, or January 10, 2023, and continue for 10 years following the rent commencement date. Rent also includes two months of free rent in the 6th and 7th months following the rent commencement date. We issued a letter of credit in the amount of </w:t>
      </w:r>
      <w:r>
        <w:rPr>
          <w:rFonts w:eastAsia="Times New Roman"/>
          <w:color w:val="000000"/>
          <w:sz w:val="18"/>
          <w:szCs w:val="18"/>
        </w:rPr>
        <w:t>$1.9 million in association with the execution of the lease agreement, which is reflected as restricted cash on the balance sheet. Payment obligations under the lease agreement include approximately $1.1 million in the 12 months subsequent to June 30, 2022</w:t>
      </w:r>
      <w:r>
        <w:rPr>
          <w:rFonts w:eastAsia="Times New Roman"/>
          <w:color w:val="000000"/>
          <w:sz w:val="18"/>
          <w:szCs w:val="18"/>
        </w:rPr>
        <w:t xml:space="preserve"> and approximately $23.5 million over the term of the agreement. For additional information see Note 5 of our condensed consolidated financial statements under the heading "Leases".</w:t>
      </w:r>
    </w:p>
    <w:p w:rsidR="00000000" w:rsidRDefault="00375AF8">
      <w:pPr>
        <w:ind w:firstLine="720"/>
        <w:jc w:val="both"/>
        <w:divId w:val="1503280005"/>
        <w:rPr>
          <w:rFonts w:eastAsia="Times New Roman"/>
        </w:rPr>
      </w:pPr>
      <w:r>
        <w:rPr>
          <w:rFonts w:eastAsia="Times New Roman"/>
          <w:color w:val="000000"/>
          <w:sz w:val="18"/>
          <w:szCs w:val="18"/>
        </w:rPr>
        <w:t>We have no products approved for commercial sale and have not generated an</w:t>
      </w:r>
      <w:r>
        <w:rPr>
          <w:rFonts w:eastAsia="Times New Roman"/>
          <w:color w:val="000000"/>
          <w:sz w:val="18"/>
          <w:szCs w:val="18"/>
        </w:rPr>
        <w:t>y product revenues from product sales to date. Until such time, if ever, as we can generate substantial product revenues, we expect to finance our cash needs through a combination of equity offerings, debt financings and additional funding from license and</w:t>
      </w:r>
      <w:r>
        <w:rPr>
          <w:rFonts w:eastAsia="Times New Roman"/>
          <w:color w:val="000000"/>
          <w:sz w:val="18"/>
          <w:szCs w:val="18"/>
        </w:rPr>
        <w:t xml:space="preserve"> collaboration arrangements. Except for any obligations of our collaborators to reimburse us for research and development expenses or to make milestone or royalty payments under our agreements with them, we will not have any committed external source of li</w:t>
      </w:r>
      <w:r>
        <w:rPr>
          <w:rFonts w:eastAsia="Times New Roman"/>
          <w:color w:val="000000"/>
          <w:sz w:val="18"/>
          <w:szCs w:val="18"/>
        </w:rPr>
        <w:t>quidity. To the extent that we raise additional capital through future equity offerings or debt financings, ownership interests may be diluted, and the terms of these securities may include liquidation or other preferences that adversely affect your rights</w:t>
      </w:r>
      <w:r>
        <w:rPr>
          <w:rFonts w:eastAsia="Times New Roman"/>
          <w:color w:val="000000"/>
          <w:sz w:val="18"/>
          <w:szCs w:val="18"/>
        </w:rPr>
        <w:t xml:space="preserve"> as a common stockholder. Debt and equity financings, if available, may involve agreements that include covenants limiting or restricting our ability to take specific actions, such as incurring additional debt, making capital expenditures or declaring divi</w:t>
      </w:r>
      <w:r>
        <w:rPr>
          <w:rFonts w:eastAsia="Times New Roman"/>
          <w:color w:val="000000"/>
          <w:sz w:val="18"/>
          <w:szCs w:val="18"/>
        </w:rPr>
        <w:t xml:space="preserve">dends. There can be no assurance that such financings will be obtained on terms acceptable to us, if at all. The ongoing COVID-19 pandemic continues to rapidly evolve and has already resulted in a significant disruption of global financial markets. If the </w:t>
      </w:r>
      <w:r>
        <w:rPr>
          <w:rFonts w:eastAsia="Times New Roman"/>
          <w:color w:val="000000"/>
          <w:sz w:val="18"/>
          <w:szCs w:val="18"/>
        </w:rPr>
        <w:t>disruption persists and deepens, we could experience an inability to access additional capital, which could in the future negatively affect our operations. If we raise additional funds through collaborations, strategic alliances or licensing agreements wit</w:t>
      </w:r>
      <w:r>
        <w:rPr>
          <w:rFonts w:eastAsia="Times New Roman"/>
          <w:color w:val="000000"/>
          <w:sz w:val="18"/>
          <w:szCs w:val="18"/>
        </w:rPr>
        <w:t xml:space="preserve">h third </w:t>
      </w:r>
    </w:p>
    <w:p w:rsidR="00000000" w:rsidRDefault="00375AF8">
      <w:pPr>
        <w:jc w:val="center"/>
        <w:divId w:val="2045402939"/>
        <w:rPr>
          <w:rFonts w:eastAsia="Times New Roman"/>
        </w:rPr>
      </w:pPr>
      <w:r>
        <w:rPr>
          <w:rFonts w:eastAsia="Times New Roman"/>
          <w:color w:val="000000"/>
          <w:sz w:val="18"/>
          <w:szCs w:val="18"/>
        </w:rPr>
        <w:t>26</w:t>
      </w:r>
    </w:p>
    <w:p w:rsidR="00000000" w:rsidRDefault="00375AF8">
      <w:pPr>
        <w:rPr>
          <w:rFonts w:eastAsia="Times New Roman"/>
        </w:rPr>
      </w:pPr>
      <w:r>
        <w:rPr>
          <w:rFonts w:eastAsia="Times New Roman"/>
        </w:rPr>
        <w:pict>
          <v:rect id="_x0000_i1052" style="width:0;height:1.5pt" o:hralign="center" o:hrstd="t" o:hr="t" fillcolor="#a0a0a0" stroked="f"/>
        </w:pict>
      </w:r>
    </w:p>
    <w:p w:rsidR="00000000" w:rsidRDefault="00375AF8">
      <w:pPr>
        <w:divId w:val="941645297"/>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606694411"/>
        <w:rPr>
          <w:rFonts w:eastAsia="Times New Roman"/>
        </w:rPr>
      </w:pPr>
      <w:r>
        <w:rPr>
          <w:rFonts w:eastAsia="Times New Roman"/>
          <w:color w:val="000000"/>
          <w:sz w:val="18"/>
          <w:szCs w:val="18"/>
        </w:rPr>
        <w:t xml:space="preserve">parties for one or more of our current or future drug candidates, we may be required to relinquish valuable rights to our technologies, future revenue streams, research programs or drug candidates or to grant licenses on terms that may not be favorable to </w:t>
      </w:r>
      <w:r>
        <w:rPr>
          <w:rFonts w:eastAsia="Times New Roman"/>
          <w:color w:val="000000"/>
          <w:sz w:val="18"/>
          <w:szCs w:val="18"/>
        </w:rPr>
        <w:t>us. Our failure to raise capital as and when needed would have a material adverse effect on our financial condition and our ability to pursue our business strategy.</w:t>
      </w:r>
    </w:p>
    <w:p w:rsidR="00000000" w:rsidRDefault="00375AF8">
      <w:pPr>
        <w:ind w:firstLine="360"/>
        <w:jc w:val="both"/>
        <w:divId w:val="7369691"/>
        <w:rPr>
          <w:rFonts w:eastAsia="Times New Roman"/>
        </w:rPr>
      </w:pPr>
      <w:r>
        <w:rPr>
          <w:rFonts w:eastAsia="Times New Roman"/>
          <w:b/>
          <w:bCs/>
          <w:i/>
          <w:iCs/>
          <w:color w:val="000000"/>
          <w:sz w:val="18"/>
          <w:szCs w:val="18"/>
        </w:rPr>
        <w:t>At-the-Market Offering Program</w:t>
      </w:r>
    </w:p>
    <w:p w:rsidR="00000000" w:rsidRDefault="00375AF8">
      <w:pPr>
        <w:ind w:firstLine="720"/>
        <w:jc w:val="both"/>
        <w:divId w:val="1170943579"/>
        <w:rPr>
          <w:rFonts w:eastAsia="Times New Roman"/>
        </w:rPr>
      </w:pPr>
      <w:r>
        <w:rPr>
          <w:rFonts w:eastAsia="Times New Roman"/>
          <w:color w:val="000000"/>
          <w:sz w:val="18"/>
          <w:szCs w:val="18"/>
        </w:rPr>
        <w:t>In November 2020, we filed a shelf registration statement on</w:t>
      </w:r>
      <w:r>
        <w:rPr>
          <w:rFonts w:eastAsia="Times New Roman"/>
          <w:color w:val="000000"/>
          <w:sz w:val="18"/>
          <w:szCs w:val="18"/>
        </w:rPr>
        <w:t xml:space="preserve"> Form S-3 (Registration No. 333-250054) that allows us to sell up to an aggregate of $250.0 million of our common stock, preferred stock, debt securities and/or warrants (the “S-3 Registration Statement”), which includes a prospectus covering the issuance </w:t>
      </w:r>
      <w:r>
        <w:rPr>
          <w:rFonts w:eastAsia="Times New Roman"/>
          <w:color w:val="000000"/>
          <w:sz w:val="18"/>
          <w:szCs w:val="18"/>
        </w:rPr>
        <w:t>and sale of up to $75.0 million of common stock pursuant to an at-the-market (“ATM”) offering program. As of June 30, 2022, we had $250.0 million available under our S-3 Registration Statement, including $75.0 million available pursuant to our ATM program.</w:t>
      </w:r>
    </w:p>
    <w:p w:rsidR="00000000" w:rsidRDefault="00375AF8">
      <w:pPr>
        <w:ind w:firstLine="360"/>
        <w:jc w:val="both"/>
        <w:divId w:val="1954246613"/>
        <w:rPr>
          <w:rFonts w:eastAsia="Times New Roman"/>
        </w:rPr>
      </w:pPr>
      <w:r>
        <w:rPr>
          <w:rFonts w:eastAsia="Times New Roman"/>
          <w:b/>
          <w:bCs/>
          <w:i/>
          <w:iCs/>
          <w:color w:val="000000"/>
          <w:sz w:val="18"/>
          <w:szCs w:val="18"/>
        </w:rPr>
        <w:t xml:space="preserve">Cash Flows </w:t>
      </w:r>
    </w:p>
    <w:p w:rsidR="00000000" w:rsidRDefault="00375AF8">
      <w:pPr>
        <w:ind w:firstLine="720"/>
        <w:jc w:val="both"/>
        <w:divId w:val="1528986311"/>
        <w:rPr>
          <w:rFonts w:eastAsia="Times New Roman"/>
        </w:rPr>
      </w:pPr>
      <w:r>
        <w:rPr>
          <w:rFonts w:eastAsia="Times New Roman"/>
          <w:color w:val="000000"/>
          <w:sz w:val="18"/>
          <w:szCs w:val="18"/>
        </w:rPr>
        <w:t xml:space="preserve">The following table summarizes our cash flows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5921"/>
        <w:gridCol w:w="38"/>
        <w:gridCol w:w="110"/>
        <w:gridCol w:w="954"/>
        <w:gridCol w:w="36"/>
        <w:gridCol w:w="36"/>
        <w:gridCol w:w="36"/>
        <w:gridCol w:w="36"/>
        <w:gridCol w:w="110"/>
        <w:gridCol w:w="954"/>
        <w:gridCol w:w="36"/>
      </w:tblGrid>
      <w:tr w:rsidR="00000000">
        <w:trPr>
          <w:divId w:val="2089032661"/>
        </w:trPr>
        <w:tc>
          <w:tcPr>
            <w:tcW w:w="50" w:type="pct"/>
            <w:vAlign w:val="center"/>
            <w:hideMark/>
          </w:tcPr>
          <w:p w:rsidR="00000000" w:rsidRDefault="00375AF8">
            <w:pPr>
              <w:ind w:firstLine="720"/>
              <w:jc w:val="both"/>
              <w:rPr>
                <w:rFonts w:eastAsia="Times New Roman"/>
              </w:rPr>
            </w:pPr>
          </w:p>
        </w:tc>
        <w:tc>
          <w:tcPr>
            <w:tcW w:w="3596"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604"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2089032661"/>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Six Months Ended June 30, </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 xml:space="preserve">Six Months Ended June 30, </w:t>
            </w:r>
            <w:r>
              <w:rPr>
                <w:rFonts w:eastAsia="Times New Roman"/>
                <w:b/>
                <w:bCs/>
                <w:color w:val="000000"/>
                <w:sz w:val="18"/>
                <w:szCs w:val="18"/>
              </w:rPr>
              <w:br/>
              <w:t>2021</w:t>
            </w:r>
          </w:p>
        </w:tc>
      </w:tr>
      <w:tr w:rsidR="00000000">
        <w:trPr>
          <w:divId w:val="2089032661"/>
        </w:trPr>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(in thousands)</w:t>
            </w:r>
            <w:r>
              <w:rPr>
                <w:rFonts w:eastAsia="Times New Roman"/>
                <w:color w:val="000000"/>
                <w:sz w:val="18"/>
                <w:szCs w:val="18"/>
              </w:rPr>
              <w:t xml:space="preserve"> </w:t>
            </w:r>
          </w:p>
        </w:tc>
      </w:tr>
      <w:tr w:rsidR="00000000">
        <w:trPr>
          <w:divId w:val="208903266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cash (used in) provided by:</w:t>
            </w: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208903266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Operating activities</w:t>
            </w: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(33,375)</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141,482 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08903266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(81,753)</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(1,595)</w:t>
            </w:r>
          </w:p>
        </w:tc>
        <w:tc>
          <w:tcPr>
            <w:tcW w:w="0" w:type="auto"/>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089032661"/>
        </w:trPr>
        <w:tc>
          <w:tcPr>
            <w:tcW w:w="0" w:type="auto"/>
            <w:gridSpan w:val="3"/>
            <w:shd w:val="clear" w:color="auto" w:fill="FFFF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bottom"/>
            <w:hideMark/>
          </w:tcPr>
          <w:p w:rsidR="00000000" w:rsidRDefault="00375AF8">
            <w:pPr>
              <w:spacing w:after="100"/>
              <w:jc w:val="right"/>
              <w:rPr>
                <w:rFonts w:eastAsia="Times New Roman"/>
              </w:rPr>
            </w:pPr>
          </w:p>
        </w:tc>
      </w:tr>
      <w:tr w:rsidR="00000000">
        <w:trPr>
          <w:divId w:val="2089032661"/>
        </w:trPr>
        <w:tc>
          <w:tcPr>
            <w:tcW w:w="0" w:type="auto"/>
            <w:gridSpan w:val="3"/>
            <w:shd w:val="clear" w:color="auto" w:fill="CCEEFF"/>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Net (decrease) increase in cash and cash equivalents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(114,986)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75AF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75AF8">
            <w:pPr>
              <w:spacing w:after="100"/>
              <w:rPr>
                <w:rFonts w:eastAsia="Times New Roman"/>
              </w:rPr>
            </w:pPr>
            <w:r>
              <w:rPr>
                <w:rFonts w:eastAsia="Times New Roman"/>
                <w:color w:val="000000"/>
                <w:sz w:val="18"/>
                <w:szCs w:val="18"/>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75AF8">
            <w:pPr>
              <w:spacing w:after="100"/>
              <w:jc w:val="right"/>
              <w:rPr>
                <w:rFonts w:eastAsia="Times New Roman"/>
              </w:rPr>
            </w:pPr>
            <w:r>
              <w:rPr>
                <w:rFonts w:eastAsia="Times New Roman"/>
                <w:color w:val="000000"/>
                <w:sz w:val="18"/>
                <w:szCs w:val="18"/>
              </w:rPr>
              <w:t>140,133 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75AF8">
            <w:pPr>
              <w:spacing w:after="100"/>
              <w:jc w:val="right"/>
              <w:rPr>
                <w:rFonts w:eastAsia="Times New Roman"/>
              </w:rPr>
            </w:pPr>
          </w:p>
        </w:tc>
      </w:tr>
    </w:tbl>
    <w:p w:rsidR="00000000" w:rsidRDefault="00375AF8">
      <w:pPr>
        <w:ind w:firstLine="360"/>
        <w:jc w:val="both"/>
        <w:divId w:val="1026714296"/>
        <w:rPr>
          <w:rFonts w:eastAsia="Times New Roman"/>
        </w:rPr>
      </w:pPr>
      <w:r>
        <w:rPr>
          <w:rFonts w:eastAsia="Times New Roman"/>
          <w:b/>
          <w:bCs/>
          <w:i/>
          <w:iCs/>
          <w:color w:val="000000"/>
          <w:sz w:val="18"/>
          <w:szCs w:val="18"/>
        </w:rPr>
        <w:t>Net Cash (Used In) Provided By Operating Activities</w:t>
      </w:r>
    </w:p>
    <w:p w:rsidR="00000000" w:rsidRDefault="00375AF8">
      <w:pPr>
        <w:ind w:firstLine="720"/>
        <w:jc w:val="both"/>
        <w:divId w:val="716972367"/>
        <w:rPr>
          <w:rFonts w:eastAsia="Times New Roman"/>
        </w:rPr>
      </w:pPr>
      <w:r>
        <w:rPr>
          <w:rFonts w:eastAsia="Times New Roman"/>
          <w:color w:val="000000"/>
          <w:sz w:val="18"/>
          <w:szCs w:val="18"/>
        </w:rPr>
        <w:t xml:space="preserve">Net cash used in operating activities was $33.4 million for the six months ended June 30, 2022, which consisted of a net loss of $30.7 million offset by $3.1 million in stock-based compensation expense, $0.1 million, net, of other noncash transactions and </w:t>
      </w:r>
      <w:r>
        <w:rPr>
          <w:rFonts w:eastAsia="Times New Roman"/>
          <w:color w:val="000000"/>
          <w:sz w:val="18"/>
          <w:szCs w:val="18"/>
        </w:rPr>
        <w:t>charges, and a decrease in accounts payable and accrued expenses of $5.5 million. Net cash provided by operating activities was $145.1 million for the six months ended June 30, 2021, which resulted from an upfront payment pursuant to the Takeda License and</w:t>
      </w:r>
      <w:r>
        <w:rPr>
          <w:rFonts w:eastAsia="Times New Roman"/>
          <w:color w:val="000000"/>
          <w:sz w:val="18"/>
          <w:szCs w:val="18"/>
        </w:rPr>
        <w:t xml:space="preserve"> Termination Agreement, offset by operating expenses for the period.</w:t>
      </w:r>
    </w:p>
    <w:p w:rsidR="00000000" w:rsidRDefault="00375AF8">
      <w:pPr>
        <w:ind w:firstLine="360"/>
        <w:jc w:val="both"/>
        <w:divId w:val="1423450105"/>
        <w:rPr>
          <w:rFonts w:eastAsia="Times New Roman"/>
        </w:rPr>
      </w:pPr>
      <w:r>
        <w:rPr>
          <w:rFonts w:eastAsia="Times New Roman"/>
          <w:b/>
          <w:bCs/>
          <w:i/>
          <w:iCs/>
          <w:color w:val="000000"/>
          <w:sz w:val="18"/>
          <w:szCs w:val="18"/>
        </w:rPr>
        <w:t>Net Cash Used In Investing Activities</w:t>
      </w:r>
    </w:p>
    <w:p w:rsidR="00000000" w:rsidRDefault="00375AF8">
      <w:pPr>
        <w:ind w:firstLine="720"/>
        <w:jc w:val="both"/>
        <w:divId w:val="370807775"/>
        <w:rPr>
          <w:rFonts w:eastAsia="Times New Roman"/>
        </w:rPr>
      </w:pPr>
      <w:r>
        <w:rPr>
          <w:rFonts w:eastAsia="Times New Roman"/>
          <w:color w:val="000000"/>
          <w:sz w:val="18"/>
          <w:szCs w:val="18"/>
        </w:rPr>
        <w:t>Net cash used in investing activities was $81.8 million for the six months ended June 30, 2022, which was primarily due to the purchases of marketabl</w:t>
      </w:r>
      <w:r>
        <w:rPr>
          <w:rFonts w:eastAsia="Times New Roman"/>
          <w:color w:val="000000"/>
          <w:sz w:val="18"/>
          <w:szCs w:val="18"/>
        </w:rPr>
        <w:t>e securities during the period. A nominal amount was used in investing activities for the six months ended June 30, 2021.</w:t>
      </w:r>
    </w:p>
    <w:p w:rsidR="00000000" w:rsidRDefault="00375AF8">
      <w:pPr>
        <w:ind w:firstLine="360"/>
        <w:jc w:val="both"/>
        <w:divId w:val="1778208651"/>
        <w:rPr>
          <w:rFonts w:eastAsia="Times New Roman"/>
        </w:rPr>
      </w:pPr>
      <w:r>
        <w:rPr>
          <w:rFonts w:eastAsia="Times New Roman"/>
          <w:b/>
          <w:bCs/>
          <w:i/>
          <w:iCs/>
          <w:color w:val="000000"/>
          <w:sz w:val="18"/>
          <w:szCs w:val="18"/>
        </w:rPr>
        <w:t>Net Cash Provided By Financing Activities</w:t>
      </w:r>
    </w:p>
    <w:p w:rsidR="00000000" w:rsidRDefault="00375AF8">
      <w:pPr>
        <w:ind w:firstLine="720"/>
        <w:jc w:val="both"/>
        <w:divId w:val="759987257"/>
        <w:rPr>
          <w:rFonts w:eastAsia="Times New Roman"/>
        </w:rPr>
      </w:pPr>
      <w:r>
        <w:rPr>
          <w:rFonts w:eastAsia="Times New Roman"/>
          <w:color w:val="000000"/>
          <w:sz w:val="18"/>
          <w:szCs w:val="18"/>
        </w:rPr>
        <w:t>Net cash provided by financing activities during the six months ended June 30, 2022 was prim</w:t>
      </w:r>
      <w:r>
        <w:rPr>
          <w:rFonts w:eastAsia="Times New Roman"/>
          <w:color w:val="000000"/>
          <w:sz w:val="18"/>
          <w:szCs w:val="18"/>
        </w:rPr>
        <w:t>arily due to the exercise of options. Net cash provided by financing activities of $0.1 million for the six months ended June 30, 2021 was primarily due to proceeds from exercise of options and purchases of shares under the 2017 employee stock purchase pla</w:t>
      </w:r>
      <w:r>
        <w:rPr>
          <w:rFonts w:eastAsia="Times New Roman"/>
          <w:color w:val="000000"/>
          <w:sz w:val="18"/>
          <w:szCs w:val="18"/>
        </w:rPr>
        <w:t>n.</w:t>
      </w:r>
    </w:p>
    <w:p w:rsidR="00000000" w:rsidRDefault="00375AF8">
      <w:pPr>
        <w:jc w:val="both"/>
        <w:divId w:val="1335917340"/>
        <w:rPr>
          <w:rFonts w:eastAsia="Times New Roman"/>
        </w:rPr>
      </w:pPr>
      <w:r>
        <w:rPr>
          <w:rFonts w:eastAsia="Times New Roman"/>
          <w:b/>
          <w:bCs/>
          <w:color w:val="000000"/>
          <w:sz w:val="18"/>
          <w:szCs w:val="18"/>
        </w:rPr>
        <w:t>Emerging Growth Company Status and Smaller Reporting Company Status</w:t>
      </w:r>
    </w:p>
    <w:p w:rsidR="00000000" w:rsidRDefault="00375AF8">
      <w:pPr>
        <w:ind w:firstLine="720"/>
        <w:jc w:val="both"/>
        <w:divId w:val="490950629"/>
        <w:rPr>
          <w:rFonts w:eastAsia="Times New Roman"/>
        </w:rPr>
      </w:pPr>
      <w:r>
        <w:rPr>
          <w:rFonts w:eastAsia="Times New Roman"/>
          <w:color w:val="000000"/>
          <w:sz w:val="18"/>
          <w:szCs w:val="18"/>
        </w:rPr>
        <w:t>We are an “emerging growth company,” as defined in the Jumpstart Our Business Startups Act of 2012, or the JOBS Act. We have taken advantage of reduced reporting requirements in this Qu</w:t>
      </w:r>
      <w:r>
        <w:rPr>
          <w:rFonts w:eastAsia="Times New Roman"/>
          <w:color w:val="000000"/>
          <w:sz w:val="18"/>
          <w:szCs w:val="18"/>
        </w:rPr>
        <w:t>arterly Report on Form 10-Q and will continue to do so until December 31, 2022, the date on which we cease to be an emerging growth company.</w:t>
      </w:r>
    </w:p>
    <w:p w:rsidR="00000000" w:rsidRDefault="00375AF8">
      <w:pPr>
        <w:ind w:firstLine="720"/>
        <w:jc w:val="both"/>
        <w:divId w:val="693191188"/>
        <w:rPr>
          <w:rFonts w:eastAsia="Times New Roman"/>
        </w:rPr>
      </w:pPr>
      <w:r>
        <w:rPr>
          <w:rFonts w:eastAsia="Times New Roman"/>
          <w:color w:val="000000"/>
          <w:sz w:val="18"/>
          <w:szCs w:val="18"/>
        </w:rPr>
        <w:t xml:space="preserve">In addition, we will continue to qualify as smaller reporting company as defined in the Exchange Act even after we </w:t>
      </w:r>
      <w:r>
        <w:rPr>
          <w:rFonts w:eastAsia="Times New Roman"/>
          <w:color w:val="000000"/>
          <w:sz w:val="18"/>
          <w:szCs w:val="18"/>
        </w:rPr>
        <w:t>are no longer an emerging growth company. We may take advantage of certain of the scaled disclosures available to smaller reporting companies, including:</w:t>
      </w:r>
    </w:p>
    <w:p w:rsidR="00000000" w:rsidRDefault="00375AF8">
      <w:pPr>
        <w:ind w:hanging="720"/>
        <w:jc w:val="both"/>
        <w:divId w:val="353189234"/>
        <w:rPr>
          <w:rFonts w:eastAsia="Times New Roman"/>
        </w:rPr>
      </w:pPr>
      <w:r>
        <w:rPr>
          <w:rFonts w:eastAsia="Times New Roman"/>
          <w:color w:val="000000"/>
          <w:sz w:val="18"/>
          <w:szCs w:val="18"/>
        </w:rPr>
        <w:t>•reduced disclosure about our executive compensation arrangements; and</w:t>
      </w:r>
    </w:p>
    <w:p w:rsidR="00000000" w:rsidRDefault="00375AF8">
      <w:pPr>
        <w:ind w:hanging="720"/>
        <w:jc w:val="both"/>
        <w:divId w:val="1720127902"/>
        <w:rPr>
          <w:rFonts w:eastAsia="Times New Roman"/>
        </w:rPr>
      </w:pPr>
      <w:r>
        <w:rPr>
          <w:rFonts w:eastAsia="Times New Roman"/>
          <w:color w:val="000000"/>
          <w:sz w:val="18"/>
          <w:szCs w:val="18"/>
        </w:rPr>
        <w:t>•to provide audited financial s</w:t>
      </w:r>
      <w:r>
        <w:rPr>
          <w:rFonts w:eastAsia="Times New Roman"/>
          <w:color w:val="000000"/>
          <w:sz w:val="18"/>
          <w:szCs w:val="18"/>
        </w:rPr>
        <w:t>tatements for two fiscal years, in contrast to other reporting companies, which must provide audited financial statements for three fiscal years.</w:t>
      </w:r>
    </w:p>
    <w:p w:rsidR="00000000" w:rsidRDefault="00375AF8">
      <w:pPr>
        <w:ind w:firstLine="720"/>
        <w:divId w:val="1623807299"/>
        <w:rPr>
          <w:rFonts w:eastAsia="Times New Roman"/>
        </w:rPr>
      </w:pPr>
    </w:p>
    <w:p w:rsidR="00000000" w:rsidRDefault="00375AF8">
      <w:pPr>
        <w:ind w:firstLine="720"/>
        <w:jc w:val="both"/>
        <w:rPr>
          <w:rFonts w:eastAsia="Times New Roman"/>
        </w:rPr>
      </w:pPr>
      <w:r>
        <w:rPr>
          <w:rFonts w:eastAsia="Times New Roman"/>
          <w:color w:val="000000"/>
          <w:sz w:val="18"/>
          <w:szCs w:val="18"/>
        </w:rPr>
        <w:t>As of June 30, 2022, in addition to being classified as a “smaller reporting company,” we will be classified</w:t>
      </w:r>
      <w:r>
        <w:rPr>
          <w:rFonts w:eastAsia="Times New Roman"/>
          <w:color w:val="000000"/>
          <w:sz w:val="18"/>
          <w:szCs w:val="18"/>
        </w:rPr>
        <w:t xml:space="preserve"> as an “accelerated filer” pursuant to SEC rules and will be required to provide, among other items, an auditor’s attestation of management’s assessment of internal control over financial reporting required under Sarbanes-Oxley Act Section 404(b) </w:t>
      </w:r>
      <w:r>
        <w:rPr>
          <w:rFonts w:eastAsia="Times New Roman"/>
          <w:color w:val="000000"/>
          <w:sz w:val="18"/>
          <w:szCs w:val="18"/>
          <w:shd w:val="clear" w:color="auto" w:fill="FFFFFF"/>
        </w:rPr>
        <w:t>beginning</w:t>
      </w:r>
      <w:r>
        <w:rPr>
          <w:rFonts w:eastAsia="Times New Roman"/>
          <w:color w:val="000000"/>
          <w:sz w:val="18"/>
          <w:szCs w:val="18"/>
          <w:shd w:val="clear" w:color="auto" w:fill="FFFFFF"/>
        </w:rPr>
        <w:t xml:space="preserve"> </w:t>
      </w:r>
      <w:r>
        <w:rPr>
          <w:rFonts w:eastAsia="Times New Roman"/>
          <w:color w:val="000000"/>
          <w:sz w:val="18"/>
          <w:szCs w:val="18"/>
        </w:rPr>
        <w:t>with our annual report for the year ending December 31, 2022.</w:t>
      </w:r>
    </w:p>
    <w:p w:rsidR="00000000" w:rsidRDefault="00375AF8">
      <w:pPr>
        <w:jc w:val="both"/>
        <w:divId w:val="4286288"/>
        <w:rPr>
          <w:rFonts w:eastAsia="Times New Roman"/>
        </w:rPr>
      </w:pPr>
      <w:r>
        <w:rPr>
          <w:rFonts w:eastAsia="Times New Roman"/>
          <w:b/>
          <w:bCs/>
          <w:color w:val="000000"/>
          <w:sz w:val="18"/>
          <w:szCs w:val="18"/>
        </w:rPr>
        <w:t>Critical Accounting Policies and Estimates</w:t>
      </w:r>
    </w:p>
    <w:p w:rsidR="00000000" w:rsidRDefault="00375AF8">
      <w:pPr>
        <w:ind w:firstLine="720"/>
        <w:jc w:val="both"/>
        <w:divId w:val="449588029"/>
        <w:rPr>
          <w:rFonts w:eastAsia="Times New Roman"/>
        </w:rPr>
      </w:pPr>
      <w:r>
        <w:rPr>
          <w:rFonts w:eastAsia="Times New Roman"/>
          <w:color w:val="000000"/>
          <w:sz w:val="18"/>
          <w:szCs w:val="18"/>
        </w:rPr>
        <w:t>Our management’s discussion and analysis of financial condition and results of operations is based on our financial statements, which have been prepar</w:t>
      </w:r>
      <w:r>
        <w:rPr>
          <w:rFonts w:eastAsia="Times New Roman"/>
          <w:color w:val="000000"/>
          <w:sz w:val="18"/>
          <w:szCs w:val="18"/>
        </w:rPr>
        <w:t xml:space="preserve">ed in accordance with accounting principles generally accepted in the United States. The preparation of these </w:t>
      </w:r>
    </w:p>
    <w:p w:rsidR="00000000" w:rsidRDefault="00375AF8">
      <w:pPr>
        <w:jc w:val="center"/>
        <w:divId w:val="1767845812"/>
        <w:rPr>
          <w:rFonts w:eastAsia="Times New Roman"/>
        </w:rPr>
      </w:pPr>
      <w:r>
        <w:rPr>
          <w:rFonts w:eastAsia="Times New Roman"/>
          <w:color w:val="000000"/>
          <w:sz w:val="18"/>
          <w:szCs w:val="18"/>
        </w:rPr>
        <w:t>27</w:t>
      </w:r>
    </w:p>
    <w:p w:rsidR="00000000" w:rsidRDefault="00375AF8">
      <w:pPr>
        <w:rPr>
          <w:rFonts w:eastAsia="Times New Roman"/>
        </w:rPr>
      </w:pPr>
      <w:r>
        <w:rPr>
          <w:rFonts w:eastAsia="Times New Roman"/>
        </w:rPr>
        <w:pict>
          <v:rect id="_x0000_i1053" style="width:0;height:1.5pt" o:hralign="center" o:hrstd="t" o:hr="t" fillcolor="#a0a0a0" stroked="f"/>
        </w:pict>
      </w:r>
    </w:p>
    <w:p w:rsidR="00000000" w:rsidRDefault="00375AF8">
      <w:pPr>
        <w:divId w:val="1339771753"/>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992439435"/>
        <w:rPr>
          <w:rFonts w:eastAsia="Times New Roman"/>
        </w:rPr>
      </w:pPr>
      <w:r>
        <w:rPr>
          <w:rFonts w:eastAsia="Times New Roman"/>
          <w:color w:val="000000"/>
          <w:sz w:val="18"/>
          <w:szCs w:val="18"/>
        </w:rPr>
        <w:t xml:space="preserve">financial statements requires </w:t>
      </w:r>
      <w:r>
        <w:rPr>
          <w:rFonts w:eastAsia="Times New Roman"/>
          <w:color w:val="000000"/>
          <w:sz w:val="18"/>
          <w:szCs w:val="18"/>
        </w:rPr>
        <w:t>us to make estimates and assumptions that affect the reported amounts of assets and liabilities and the disclosure of contingent assets and liabilities at the date of the financial statements, as well as the revenue and expenses incurred during the reporte</w:t>
      </w:r>
      <w:r>
        <w:rPr>
          <w:rFonts w:eastAsia="Times New Roman"/>
          <w:color w:val="000000"/>
          <w:sz w:val="18"/>
          <w:szCs w:val="18"/>
        </w:rPr>
        <w:t>d periods. On an ongoing basis, we evaluate our estimates and judgments, including those related to accrued expenses and stock-based compensation. We base our estimates on historical experience and on various other factors that we believe are reasonable un</w:t>
      </w:r>
      <w:r>
        <w:rPr>
          <w:rFonts w:eastAsia="Times New Roman"/>
          <w:color w:val="000000"/>
          <w:sz w:val="18"/>
          <w:szCs w:val="18"/>
        </w:rPr>
        <w:t>der the circumstances, the results of which form the basis for making judgments about the carrying value of assets and liabilities that are not apparent from other sources. Changes in estimates are reflected in reported results for the period in which they</w:t>
      </w:r>
      <w:r>
        <w:rPr>
          <w:rFonts w:eastAsia="Times New Roman"/>
          <w:color w:val="000000"/>
          <w:sz w:val="18"/>
          <w:szCs w:val="18"/>
        </w:rPr>
        <w:t xml:space="preserve"> become known. Actual results may differ from these estimates under different assumptions or conditions.</w:t>
      </w:r>
    </w:p>
    <w:p w:rsidR="00000000" w:rsidRDefault="00375AF8">
      <w:pPr>
        <w:ind w:firstLine="720"/>
        <w:jc w:val="both"/>
        <w:divId w:val="152572370"/>
        <w:rPr>
          <w:rFonts w:eastAsia="Times New Roman"/>
        </w:rPr>
      </w:pPr>
      <w:r>
        <w:rPr>
          <w:rFonts w:eastAsia="Times New Roman"/>
          <w:color w:val="000000"/>
          <w:sz w:val="18"/>
          <w:szCs w:val="18"/>
        </w:rPr>
        <w:t>During the six months ended June </w:t>
      </w:r>
      <w:r>
        <w:rPr>
          <w:rFonts w:eastAsia="Times New Roman"/>
          <w:color w:val="000000"/>
          <w:sz w:val="18"/>
          <w:szCs w:val="18"/>
        </w:rPr>
        <w:t>30, 2022, there were no material changes to our critical accounting policies as reported for the year ended December 31, 2021 as part of our Annual Report on Form 10-K, which was filed with the SEC on March 15, 2022. In addition, see Note 2 of our Condense</w:t>
      </w:r>
      <w:r>
        <w:rPr>
          <w:rFonts w:eastAsia="Times New Roman"/>
          <w:color w:val="000000"/>
          <w:sz w:val="18"/>
          <w:szCs w:val="18"/>
        </w:rPr>
        <w:t>d Financial Statements under the heading “Recent Accounting Pronouncements” for new accounting pronouncements or changes to the accounting pronouncements during the six months ended June 30, 2022.</w:t>
      </w:r>
    </w:p>
    <w:p w:rsidR="00000000" w:rsidRDefault="00375AF8">
      <w:pPr>
        <w:jc w:val="both"/>
        <w:divId w:val="1156920559"/>
        <w:rPr>
          <w:rFonts w:eastAsia="Times New Roman"/>
        </w:rPr>
      </w:pPr>
      <w:r>
        <w:rPr>
          <w:rFonts w:eastAsia="Times New Roman"/>
          <w:b/>
          <w:bCs/>
          <w:color w:val="000000"/>
          <w:sz w:val="18"/>
          <w:szCs w:val="18"/>
        </w:rPr>
        <w:t>Item 3. Quantitative and Qualitative Disclosures About Mark</w:t>
      </w:r>
      <w:r>
        <w:rPr>
          <w:rFonts w:eastAsia="Times New Roman"/>
          <w:b/>
          <w:bCs/>
          <w:color w:val="000000"/>
          <w:sz w:val="18"/>
          <w:szCs w:val="18"/>
        </w:rPr>
        <w:t>et Risk</w:t>
      </w:r>
    </w:p>
    <w:p w:rsidR="00000000" w:rsidRDefault="00375AF8">
      <w:pPr>
        <w:ind w:firstLine="720"/>
        <w:jc w:val="both"/>
        <w:divId w:val="1421948238"/>
        <w:rPr>
          <w:rFonts w:eastAsia="Times New Roman"/>
        </w:rPr>
      </w:pPr>
      <w:r>
        <w:rPr>
          <w:rFonts w:eastAsia="Times New Roman"/>
          <w:color w:val="000000"/>
          <w:sz w:val="18"/>
          <w:szCs w:val="18"/>
        </w:rPr>
        <w:t>The primary objectives of our investment activities are to ensure liquidity and to preserve capital. As of June 30, 2022, we had cash, cash equivalents and marketable securities totaling $152.4 million. Our primary exposure to market risk is intere</w:t>
      </w:r>
      <w:r>
        <w:rPr>
          <w:rFonts w:eastAsia="Times New Roman"/>
          <w:color w:val="000000"/>
          <w:sz w:val="18"/>
          <w:szCs w:val="18"/>
        </w:rPr>
        <w:t>st rate sensitivity, which is affected by changes in the general level of U.S. interest rates. Due to the short-term maturities of our cash equivalents and marketable securities and the low risk profile of our investments, an immediate 100 basis point chan</w:t>
      </w:r>
      <w:r>
        <w:rPr>
          <w:rFonts w:eastAsia="Times New Roman"/>
          <w:color w:val="000000"/>
          <w:sz w:val="18"/>
          <w:szCs w:val="18"/>
        </w:rPr>
        <w:t>ge in interest rates would not have a material effect on the fair market value of our cash equivalents and marketable securities. To minimize the risk in the future, we intend to maintain our portfolio of cash equivalents and marketable securities in insti</w:t>
      </w:r>
      <w:r>
        <w:rPr>
          <w:rFonts w:eastAsia="Times New Roman"/>
          <w:color w:val="000000"/>
          <w:sz w:val="18"/>
          <w:szCs w:val="18"/>
        </w:rPr>
        <w:t>tutional market funds that are comprised of U.S. Treasury and U.S. Treasury-backed repurchase agreements as well as treasury notes and high quality short-term corporate bonds.</w:t>
      </w:r>
    </w:p>
    <w:p w:rsidR="00000000" w:rsidRDefault="00375AF8">
      <w:pPr>
        <w:jc w:val="both"/>
        <w:divId w:val="2000501139"/>
        <w:rPr>
          <w:rFonts w:eastAsia="Times New Roman"/>
        </w:rPr>
      </w:pPr>
      <w:r>
        <w:rPr>
          <w:rFonts w:eastAsia="Times New Roman"/>
          <w:b/>
          <w:bCs/>
          <w:color w:val="000000"/>
          <w:sz w:val="18"/>
          <w:szCs w:val="18"/>
        </w:rPr>
        <w:t>Item 4. Controls and Procedures.</w:t>
      </w:r>
    </w:p>
    <w:p w:rsidR="00000000" w:rsidRDefault="00375AF8">
      <w:pPr>
        <w:jc w:val="both"/>
        <w:divId w:val="1178079145"/>
        <w:rPr>
          <w:rFonts w:eastAsia="Times New Roman"/>
        </w:rPr>
      </w:pPr>
      <w:r>
        <w:rPr>
          <w:rFonts w:eastAsia="Times New Roman"/>
          <w:b/>
          <w:bCs/>
          <w:i/>
          <w:iCs/>
          <w:color w:val="000000"/>
          <w:sz w:val="18"/>
          <w:szCs w:val="18"/>
        </w:rPr>
        <w:t>Management’s Evaluation of our Disclosure Contr</w:t>
      </w:r>
      <w:r>
        <w:rPr>
          <w:rFonts w:eastAsia="Times New Roman"/>
          <w:b/>
          <w:bCs/>
          <w:i/>
          <w:iCs/>
          <w:color w:val="000000"/>
          <w:sz w:val="18"/>
          <w:szCs w:val="18"/>
        </w:rPr>
        <w:t>ols and Procedures</w:t>
      </w:r>
    </w:p>
    <w:p w:rsidR="00000000" w:rsidRDefault="00375AF8">
      <w:pPr>
        <w:ind w:firstLine="720"/>
        <w:jc w:val="both"/>
        <w:divId w:val="1095905760"/>
        <w:rPr>
          <w:rFonts w:eastAsia="Times New Roman"/>
        </w:rPr>
      </w:pPr>
      <w:r>
        <w:rPr>
          <w:rFonts w:eastAsia="Times New Roman"/>
          <w:color w:val="000000"/>
          <w:sz w:val="18"/>
          <w:szCs w:val="18"/>
        </w:rPr>
        <w:t xml:space="preserve">We maintain disclosure controls and procedures that are designed to ensure that information required to be disclosed in the reports that we file or submit under the Securities Exchange Act of 1934, as amended (the “Exchange Act”) is (1) </w:t>
      </w:r>
      <w:r>
        <w:rPr>
          <w:rFonts w:eastAsia="Times New Roman"/>
          <w:color w:val="000000"/>
          <w:sz w:val="18"/>
          <w:szCs w:val="18"/>
        </w:rPr>
        <w:t xml:space="preserve">recorded, processed, summarized, and reported within the time periods specified in the SEC’s rules and forms and (2) accumulated and communicated to our management, including our principal executive officer and principal financial officer, to allow timely </w:t>
      </w:r>
      <w:r>
        <w:rPr>
          <w:rFonts w:eastAsia="Times New Roman"/>
          <w:color w:val="000000"/>
          <w:sz w:val="18"/>
          <w:szCs w:val="18"/>
        </w:rPr>
        <w:t>decisions regarding required disclosure.</w:t>
      </w:r>
    </w:p>
    <w:p w:rsidR="00000000" w:rsidRDefault="00375AF8">
      <w:pPr>
        <w:ind w:firstLine="720"/>
        <w:jc w:val="both"/>
        <w:divId w:val="1900171449"/>
        <w:rPr>
          <w:rFonts w:eastAsia="Times New Roman"/>
        </w:rPr>
      </w:pPr>
      <w:r>
        <w:rPr>
          <w:rFonts w:eastAsia="Times New Roman"/>
          <w:color w:val="000000"/>
          <w:sz w:val="18"/>
          <w:szCs w:val="18"/>
        </w:rPr>
        <w:t>As of June </w:t>
      </w:r>
      <w:r>
        <w:rPr>
          <w:rFonts w:eastAsia="Times New Roman"/>
          <w:color w:val="000000"/>
          <w:sz w:val="18"/>
          <w:szCs w:val="18"/>
        </w:rPr>
        <w:t>30, 2022, our management, with the participation of our principal executive officer and principal financial officer, evaluated the effectiveness of our disclosure controls and procedures (as defined in Rules 13a-15(e) and 15d-15(e) under the Exchange Act).</w:t>
      </w:r>
      <w:r>
        <w:rPr>
          <w:rFonts w:eastAsia="Times New Roman"/>
          <w:color w:val="000000"/>
          <w:sz w:val="18"/>
          <w:szCs w:val="18"/>
        </w:rPr>
        <w:t xml:space="preserve"> Our management recognizes that any controls and procedures, no matter how well designed and operated, can provide only reasonable assurance of achieving their objectives, and management necessarily applies its judgment in evaluating the cost-benefit relat</w:t>
      </w:r>
      <w:r>
        <w:rPr>
          <w:rFonts w:eastAsia="Times New Roman"/>
          <w:color w:val="000000"/>
          <w:sz w:val="18"/>
          <w:szCs w:val="18"/>
        </w:rPr>
        <w:t>ionship of possible controls and procedures. Our principal executive officer and principal financial officer have concluded based upon the evaluation described above that, as of June 30, 2022, our disclosure controls and procedures were effective at the re</w:t>
      </w:r>
      <w:r>
        <w:rPr>
          <w:rFonts w:eastAsia="Times New Roman"/>
          <w:color w:val="000000"/>
          <w:sz w:val="18"/>
          <w:szCs w:val="18"/>
        </w:rPr>
        <w:t>asonable assurance level.</w:t>
      </w:r>
    </w:p>
    <w:p w:rsidR="00000000" w:rsidRDefault="00375AF8">
      <w:pPr>
        <w:jc w:val="both"/>
        <w:divId w:val="1732460627"/>
        <w:rPr>
          <w:rFonts w:eastAsia="Times New Roman"/>
        </w:rPr>
      </w:pPr>
      <w:r>
        <w:rPr>
          <w:rFonts w:eastAsia="Times New Roman"/>
          <w:b/>
          <w:bCs/>
          <w:i/>
          <w:iCs/>
          <w:color w:val="000000"/>
          <w:sz w:val="18"/>
          <w:szCs w:val="18"/>
        </w:rPr>
        <w:t>Changes in Internal Control over Financial Reporting</w:t>
      </w:r>
    </w:p>
    <w:p w:rsidR="00000000" w:rsidRDefault="00375AF8">
      <w:pPr>
        <w:ind w:firstLine="720"/>
        <w:jc w:val="both"/>
        <w:divId w:val="1368411345"/>
        <w:rPr>
          <w:rFonts w:eastAsia="Times New Roman"/>
        </w:rPr>
      </w:pPr>
      <w:r>
        <w:rPr>
          <w:rFonts w:eastAsia="Times New Roman"/>
          <w:color w:val="000000"/>
          <w:sz w:val="18"/>
          <w:szCs w:val="18"/>
        </w:rPr>
        <w:t>There have been no changes in our internal control over financial reporting during our most recent quarter ended June 30, 2022 that materially affected, or are reasonably likely</w:t>
      </w:r>
      <w:r>
        <w:rPr>
          <w:rFonts w:eastAsia="Times New Roman"/>
          <w:color w:val="000000"/>
          <w:sz w:val="18"/>
          <w:szCs w:val="18"/>
        </w:rPr>
        <w:t xml:space="preserve"> to materially affect, our internal control over financial reporting.</w:t>
      </w:r>
    </w:p>
    <w:p w:rsidR="00000000" w:rsidRDefault="00375AF8">
      <w:pPr>
        <w:jc w:val="center"/>
        <w:divId w:val="319576446"/>
        <w:rPr>
          <w:rFonts w:eastAsia="Times New Roman"/>
        </w:rPr>
      </w:pPr>
      <w:r>
        <w:rPr>
          <w:rFonts w:eastAsia="Times New Roman"/>
          <w:color w:val="000000"/>
          <w:sz w:val="18"/>
          <w:szCs w:val="18"/>
        </w:rPr>
        <w:t>28</w:t>
      </w:r>
    </w:p>
    <w:p w:rsidR="00000000" w:rsidRDefault="00375AF8">
      <w:pPr>
        <w:rPr>
          <w:rFonts w:eastAsia="Times New Roman"/>
        </w:rPr>
      </w:pPr>
      <w:r>
        <w:rPr>
          <w:rFonts w:eastAsia="Times New Roman"/>
        </w:rPr>
        <w:pict>
          <v:rect id="_x0000_i1054" style="width:0;height:1.5pt" o:hralign="center" o:hrstd="t" o:hr="t" fillcolor="#a0a0a0" stroked="f"/>
        </w:pict>
      </w:r>
    </w:p>
    <w:p w:rsidR="00000000" w:rsidRDefault="00375AF8">
      <w:pPr>
        <w:divId w:val="168100696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148182295"/>
        <w:rPr>
          <w:rFonts w:eastAsia="Times New Roman"/>
        </w:rPr>
      </w:pPr>
      <w:r>
        <w:rPr>
          <w:rFonts w:eastAsia="Times New Roman"/>
          <w:b/>
          <w:bCs/>
          <w:color w:val="000000"/>
          <w:sz w:val="18"/>
          <w:szCs w:val="18"/>
        </w:rPr>
        <w:t>PART II—OTHER INFORMATION</w:t>
      </w:r>
    </w:p>
    <w:p w:rsidR="00000000" w:rsidRDefault="00375AF8">
      <w:pPr>
        <w:jc w:val="both"/>
        <w:divId w:val="262685948"/>
        <w:rPr>
          <w:rFonts w:eastAsia="Times New Roman"/>
        </w:rPr>
      </w:pPr>
      <w:r>
        <w:rPr>
          <w:rFonts w:eastAsia="Times New Roman"/>
          <w:b/>
          <w:bCs/>
          <w:color w:val="000000"/>
          <w:sz w:val="18"/>
          <w:szCs w:val="18"/>
        </w:rPr>
        <w:t>Item 1. Legal Proceedings.</w:t>
      </w:r>
    </w:p>
    <w:p w:rsidR="00000000" w:rsidRDefault="00375AF8">
      <w:pPr>
        <w:ind w:firstLine="720"/>
        <w:jc w:val="both"/>
        <w:divId w:val="643393091"/>
        <w:rPr>
          <w:rFonts w:eastAsia="Times New Roman"/>
        </w:rPr>
      </w:pPr>
      <w:r>
        <w:rPr>
          <w:rFonts w:eastAsia="Times New Roman"/>
          <w:color w:val="000000"/>
          <w:sz w:val="18"/>
          <w:szCs w:val="18"/>
        </w:rPr>
        <w:t>We are not curren</w:t>
      </w:r>
      <w:r>
        <w:rPr>
          <w:rFonts w:eastAsia="Times New Roman"/>
          <w:color w:val="000000"/>
          <w:sz w:val="18"/>
          <w:szCs w:val="18"/>
        </w:rPr>
        <w:t>tly subject to any material legal proceedings.</w:t>
      </w:r>
    </w:p>
    <w:p w:rsidR="00000000" w:rsidRDefault="00375AF8">
      <w:pPr>
        <w:jc w:val="both"/>
        <w:divId w:val="1373111471"/>
        <w:rPr>
          <w:rFonts w:eastAsia="Times New Roman"/>
        </w:rPr>
      </w:pPr>
      <w:r>
        <w:rPr>
          <w:rFonts w:eastAsia="Times New Roman"/>
          <w:b/>
          <w:bCs/>
          <w:color w:val="000000"/>
          <w:sz w:val="18"/>
          <w:szCs w:val="18"/>
        </w:rPr>
        <w:t>Item 1A. Risk Factors</w:t>
      </w:r>
    </w:p>
    <w:p w:rsidR="00000000" w:rsidRDefault="00375AF8">
      <w:pPr>
        <w:ind w:firstLine="720"/>
        <w:jc w:val="both"/>
        <w:divId w:val="1151674100"/>
        <w:rPr>
          <w:rFonts w:eastAsia="Times New Roman"/>
        </w:rPr>
      </w:pPr>
      <w:r>
        <w:rPr>
          <w:rFonts w:eastAsia="Times New Roman"/>
          <w:i/>
          <w:iCs/>
          <w:color w:val="000000"/>
          <w:sz w:val="18"/>
          <w:szCs w:val="18"/>
        </w:rPr>
        <w:t>An investment in our securities involves a high degree of risk. You should carefully consider the following information about these risks, together with the other information appearing el</w:t>
      </w:r>
      <w:r>
        <w:rPr>
          <w:rFonts w:eastAsia="Times New Roman"/>
          <w:i/>
          <w:iCs/>
          <w:color w:val="000000"/>
          <w:sz w:val="18"/>
          <w:szCs w:val="18"/>
        </w:rPr>
        <w:t>sewhere in this Quarterly Report on Form 10-Q, including our unaudited condensed financial statements and related notes hereto, before deciding to invest in our common stock. The occurrence of any of the following risks could have a material adverse effect</w:t>
      </w:r>
      <w:r>
        <w:rPr>
          <w:rFonts w:eastAsia="Times New Roman"/>
          <w:i/>
          <w:iCs/>
          <w:color w:val="000000"/>
          <w:sz w:val="18"/>
          <w:szCs w:val="18"/>
        </w:rPr>
        <w:t xml:space="preserve"> on our business, financial condition, results of operations and future growth prospects or cause our actual results to differ materially from those contained in forward-looking statements we have made in this report and those we may make from time to time</w:t>
      </w:r>
      <w:r>
        <w:rPr>
          <w:rFonts w:eastAsia="Times New Roman"/>
          <w:i/>
          <w:iCs/>
          <w:color w:val="000000"/>
          <w:sz w:val="18"/>
          <w:szCs w:val="18"/>
        </w:rPr>
        <w:t>. In these circumstances, the market price of our common stock could decline and you may lose all or part of your investment. We cannot assure you that any of the events discussed below will not occur. In addition, such risks may be amplified by the COVID-</w:t>
      </w:r>
      <w:r>
        <w:rPr>
          <w:rFonts w:eastAsia="Times New Roman"/>
          <w:i/>
          <w:iCs/>
          <w:color w:val="000000"/>
          <w:sz w:val="18"/>
          <w:szCs w:val="18"/>
        </w:rPr>
        <w:t>19 pandemic and the current economic environment and the potential impact of such risks on Ovid’s business and the global economy.</w:t>
      </w:r>
    </w:p>
    <w:p w:rsidR="00000000" w:rsidRDefault="00375AF8">
      <w:pPr>
        <w:divId w:val="89859410"/>
        <w:rPr>
          <w:rFonts w:eastAsia="Times New Roman"/>
        </w:rPr>
      </w:pPr>
      <w:r>
        <w:rPr>
          <w:rFonts w:eastAsia="Times New Roman"/>
          <w:b/>
          <w:bCs/>
          <w:color w:val="000000"/>
          <w:sz w:val="18"/>
          <w:szCs w:val="18"/>
        </w:rPr>
        <w:t>Summary of Selected Risks Associated with Our Business</w:t>
      </w:r>
    </w:p>
    <w:p w:rsidR="00000000" w:rsidRDefault="00375AF8">
      <w:pPr>
        <w:ind w:firstLine="720"/>
        <w:jc w:val="both"/>
        <w:divId w:val="1305938198"/>
        <w:rPr>
          <w:rFonts w:eastAsia="Times New Roman"/>
        </w:rPr>
      </w:pPr>
      <w:r>
        <w:rPr>
          <w:rFonts w:eastAsia="Times New Roman"/>
          <w:color w:val="000000"/>
          <w:sz w:val="18"/>
          <w:szCs w:val="18"/>
        </w:rPr>
        <w:t>Our business is subject to numerous risks and uncertainties. If any of</w:t>
      </w:r>
      <w:r>
        <w:rPr>
          <w:rFonts w:eastAsia="Times New Roman"/>
          <w:color w:val="000000"/>
          <w:sz w:val="18"/>
          <w:szCs w:val="18"/>
        </w:rPr>
        <w:t xml:space="preserve"> the following risks are realized, our business, financial condition and results of operations could be materially and adversely affected. Some of the more significant risks we face include the following:</w:t>
      </w:r>
    </w:p>
    <w:p w:rsidR="00000000" w:rsidRDefault="00375AF8">
      <w:pPr>
        <w:ind w:hanging="720"/>
        <w:jc w:val="both"/>
        <w:divId w:val="391392506"/>
        <w:rPr>
          <w:rFonts w:eastAsia="Times New Roman"/>
        </w:rPr>
      </w:pPr>
      <w:r>
        <w:rPr>
          <w:rFonts w:eastAsia="Times New Roman"/>
          <w:color w:val="000000"/>
          <w:sz w:val="18"/>
          <w:szCs w:val="18"/>
        </w:rPr>
        <w:t>•We expect to continue to incur substantial operati</w:t>
      </w:r>
      <w:r>
        <w:rPr>
          <w:rFonts w:eastAsia="Times New Roman"/>
          <w:color w:val="000000"/>
          <w:sz w:val="18"/>
          <w:szCs w:val="18"/>
        </w:rPr>
        <w:t>ng losses for the foreseeable future and may never achieve or maintain profitability.</w:t>
      </w:r>
    </w:p>
    <w:p w:rsidR="00000000" w:rsidRDefault="00375AF8">
      <w:pPr>
        <w:ind w:hanging="720"/>
        <w:jc w:val="both"/>
        <w:divId w:val="2127775222"/>
        <w:rPr>
          <w:rFonts w:eastAsia="Times New Roman"/>
        </w:rPr>
      </w:pPr>
      <w:r>
        <w:rPr>
          <w:rFonts w:eastAsia="Times New Roman"/>
          <w:color w:val="000000"/>
          <w:sz w:val="18"/>
          <w:szCs w:val="18"/>
        </w:rPr>
        <w:t>•Our operating history may make it difficult to evaluate the success of our business to date and to assess our future viability.</w:t>
      </w:r>
    </w:p>
    <w:p w:rsidR="00000000" w:rsidRDefault="00375AF8">
      <w:pPr>
        <w:ind w:hanging="720"/>
        <w:jc w:val="both"/>
        <w:divId w:val="309790440"/>
        <w:rPr>
          <w:rFonts w:eastAsia="Times New Roman"/>
        </w:rPr>
      </w:pPr>
      <w:r>
        <w:rPr>
          <w:rFonts w:eastAsia="Times New Roman"/>
          <w:color w:val="000000"/>
          <w:sz w:val="18"/>
          <w:szCs w:val="18"/>
        </w:rPr>
        <w:t>•We will require additional capital to fi</w:t>
      </w:r>
      <w:r>
        <w:rPr>
          <w:rFonts w:eastAsia="Times New Roman"/>
          <w:color w:val="000000"/>
          <w:sz w:val="18"/>
          <w:szCs w:val="18"/>
        </w:rPr>
        <w:t>nance our operations, which may not be available on acceptable terms, if at all. Failure to obtain this necessary capital when needed may force us to delay, limit or terminate certain of our drug development efforts or other operations.</w:t>
      </w:r>
    </w:p>
    <w:p w:rsidR="00000000" w:rsidRDefault="00375AF8">
      <w:pPr>
        <w:ind w:hanging="720"/>
        <w:jc w:val="both"/>
        <w:divId w:val="2139254944"/>
        <w:rPr>
          <w:rFonts w:eastAsia="Times New Roman"/>
        </w:rPr>
      </w:pPr>
      <w:r>
        <w:rPr>
          <w:rFonts w:eastAsia="Times New Roman"/>
          <w:color w:val="000000"/>
          <w:sz w:val="18"/>
          <w:szCs w:val="18"/>
        </w:rPr>
        <w:t>•We are early in ou</w:t>
      </w:r>
      <w:r>
        <w:rPr>
          <w:rFonts w:eastAsia="Times New Roman"/>
          <w:color w:val="000000"/>
          <w:sz w:val="18"/>
          <w:szCs w:val="18"/>
        </w:rPr>
        <w:t>r development efforts of our current drug candidates and all our drug candidates are in preclinical development. If we are unable to successfully develop, receive regulatory approval for and commercialize our drug candidates, or successfully develop any ot</w:t>
      </w:r>
      <w:r>
        <w:rPr>
          <w:rFonts w:eastAsia="Times New Roman"/>
          <w:color w:val="000000"/>
          <w:sz w:val="18"/>
          <w:szCs w:val="18"/>
        </w:rPr>
        <w:t xml:space="preserve">her drug candidates, or experience significant delays in doing so, our business will be harmed. </w:t>
      </w:r>
    </w:p>
    <w:p w:rsidR="00000000" w:rsidRDefault="00375AF8">
      <w:pPr>
        <w:ind w:hanging="720"/>
        <w:jc w:val="both"/>
        <w:divId w:val="1270044159"/>
        <w:rPr>
          <w:rFonts w:eastAsia="Times New Roman"/>
        </w:rPr>
      </w:pPr>
      <w:r>
        <w:rPr>
          <w:rFonts w:eastAsia="Times New Roman"/>
          <w:color w:val="000000"/>
          <w:sz w:val="18"/>
          <w:szCs w:val="18"/>
        </w:rPr>
        <w:t>•Our future success is dependent on the successful clinical development, regulatory approval and commercialization of our current and future drug candidates. I</w:t>
      </w:r>
      <w:r>
        <w:rPr>
          <w:rFonts w:eastAsia="Times New Roman"/>
          <w:color w:val="000000"/>
          <w:sz w:val="18"/>
          <w:szCs w:val="18"/>
        </w:rPr>
        <w:t>f we, or our licensees, are not able to obtain the required regulatory approvals, we, or our licensees, will not be able to commercialize our drug candidates, and our ability to generate revenue will be adversely affected.</w:t>
      </w:r>
    </w:p>
    <w:p w:rsidR="00000000" w:rsidRDefault="00375AF8">
      <w:pPr>
        <w:ind w:hanging="720"/>
        <w:jc w:val="both"/>
        <w:divId w:val="760299492"/>
        <w:rPr>
          <w:rFonts w:eastAsia="Times New Roman"/>
        </w:rPr>
      </w:pPr>
      <w:r>
        <w:rPr>
          <w:rFonts w:eastAsia="Times New Roman"/>
          <w:color w:val="000000"/>
          <w:sz w:val="18"/>
          <w:szCs w:val="18"/>
        </w:rPr>
        <w:t>•Because the results of preclinic</w:t>
      </w:r>
      <w:r>
        <w:rPr>
          <w:rFonts w:eastAsia="Times New Roman"/>
          <w:color w:val="000000"/>
          <w:sz w:val="18"/>
          <w:szCs w:val="18"/>
        </w:rPr>
        <w:t>al studies or earlier clinical trials are not necessarily predictive of future results, our drug candidates may not have favorable results in planned or future preclinical studies or clinical trials, or may not receive regulatory approval.</w:t>
      </w:r>
    </w:p>
    <w:p w:rsidR="00000000" w:rsidRDefault="00375AF8">
      <w:pPr>
        <w:ind w:hanging="720"/>
        <w:jc w:val="both"/>
        <w:divId w:val="469057437"/>
        <w:rPr>
          <w:rFonts w:eastAsia="Times New Roman"/>
        </w:rPr>
      </w:pPr>
      <w:r>
        <w:rPr>
          <w:rFonts w:eastAsia="Times New Roman"/>
          <w:color w:val="000000"/>
          <w:sz w:val="18"/>
          <w:szCs w:val="18"/>
        </w:rPr>
        <w:t>•Interim topline</w:t>
      </w:r>
      <w:r>
        <w:rPr>
          <w:rFonts w:eastAsia="Times New Roman"/>
          <w:color w:val="000000"/>
          <w:sz w:val="18"/>
          <w:szCs w:val="18"/>
        </w:rPr>
        <w:t xml:space="preserve"> and preliminary results from our clinical trials that we announce or publish from time to time may change as more patient data become available and are subject to audit and verification procedures, which could result in material changes in the final data.</w:t>
      </w:r>
    </w:p>
    <w:p w:rsidR="00000000" w:rsidRDefault="00375AF8">
      <w:pPr>
        <w:ind w:hanging="720"/>
        <w:jc w:val="both"/>
        <w:divId w:val="217590920"/>
        <w:rPr>
          <w:rFonts w:eastAsia="Times New Roman"/>
        </w:rPr>
      </w:pPr>
      <w:r>
        <w:rPr>
          <w:rFonts w:eastAsia="Times New Roman"/>
          <w:color w:val="000000"/>
          <w:sz w:val="18"/>
          <w:szCs w:val="18"/>
        </w:rPr>
        <w:t xml:space="preserve">•Preclinical studies and clinical trials are very expensive, time-consuming and difficult to design and implement and involve uncertain outcomes. Further, we may encounter substantial delays in our clinical trials or we may fail to demonstrate safety and </w:t>
      </w:r>
      <w:r>
        <w:rPr>
          <w:rFonts w:eastAsia="Times New Roman"/>
          <w:color w:val="000000"/>
          <w:sz w:val="18"/>
          <w:szCs w:val="18"/>
        </w:rPr>
        <w:t>efficacy in our preclinical studies and clinical trials to the satisfaction of applicable regulatory authorities.</w:t>
      </w:r>
    </w:p>
    <w:p w:rsidR="00000000" w:rsidRDefault="00375AF8">
      <w:pPr>
        <w:ind w:hanging="720"/>
        <w:jc w:val="both"/>
        <w:divId w:val="2128349896"/>
        <w:rPr>
          <w:rFonts w:eastAsia="Times New Roman"/>
        </w:rPr>
      </w:pPr>
      <w:r>
        <w:rPr>
          <w:rFonts w:eastAsia="Times New Roman"/>
          <w:color w:val="000000"/>
          <w:sz w:val="18"/>
          <w:szCs w:val="18"/>
        </w:rPr>
        <w:t>•If we are not successful in discovering, developing and commercializing additional drug candidates, our ability to expand our business and ac</w:t>
      </w:r>
      <w:r>
        <w:rPr>
          <w:rFonts w:eastAsia="Times New Roman"/>
          <w:color w:val="000000"/>
          <w:sz w:val="18"/>
          <w:szCs w:val="18"/>
        </w:rPr>
        <w:t>hieve our strategic objectives would be impaired.</w:t>
      </w:r>
    </w:p>
    <w:p w:rsidR="00000000" w:rsidRDefault="00375AF8">
      <w:pPr>
        <w:ind w:hanging="720"/>
        <w:jc w:val="both"/>
        <w:divId w:val="476725246"/>
        <w:rPr>
          <w:rFonts w:eastAsia="Times New Roman"/>
        </w:rPr>
      </w:pPr>
      <w:r>
        <w:rPr>
          <w:rFonts w:eastAsia="Times New Roman"/>
          <w:color w:val="000000"/>
          <w:sz w:val="18"/>
          <w:szCs w:val="18"/>
        </w:rPr>
        <w:t>•</w:t>
      </w:r>
      <w:r>
        <w:rPr>
          <w:rFonts w:eastAsia="Times New Roman"/>
          <w:color w:val="000000"/>
          <w:sz w:val="18"/>
          <w:szCs w:val="18"/>
        </w:rPr>
        <w:t>Our drug candidates may cause undesirable side effects or have other properties that could delay or prevent their regulatory approval, limit the commercial potential or result in significant negative consequences following any potential marketing approval.</w:t>
      </w:r>
    </w:p>
    <w:p w:rsidR="00000000" w:rsidRDefault="00375AF8">
      <w:pPr>
        <w:ind w:hanging="720"/>
        <w:jc w:val="both"/>
        <w:divId w:val="190920109"/>
        <w:rPr>
          <w:rFonts w:eastAsia="Times New Roman"/>
        </w:rPr>
      </w:pPr>
      <w:r>
        <w:rPr>
          <w:rFonts w:eastAsia="Times New Roman"/>
          <w:color w:val="000000"/>
          <w:sz w:val="18"/>
          <w:szCs w:val="18"/>
        </w:rPr>
        <w:t>•Even if our current or future drug candidates receive marketing approval, they may fail to achieve market acceptance by physicians, patients, third-party payors or others in the medical community necessary for commercial success.</w:t>
      </w:r>
    </w:p>
    <w:p w:rsidR="00000000" w:rsidRDefault="00375AF8">
      <w:pPr>
        <w:ind w:hanging="720"/>
        <w:jc w:val="both"/>
        <w:divId w:val="860094677"/>
        <w:rPr>
          <w:rFonts w:eastAsia="Times New Roman"/>
        </w:rPr>
      </w:pPr>
      <w:r>
        <w:rPr>
          <w:rFonts w:eastAsia="Times New Roman"/>
          <w:color w:val="000000"/>
          <w:sz w:val="18"/>
          <w:szCs w:val="18"/>
        </w:rPr>
        <w:t>•Under the Takeda Licens</w:t>
      </w:r>
      <w:r>
        <w:rPr>
          <w:rFonts w:eastAsia="Times New Roman"/>
          <w:color w:val="000000"/>
          <w:sz w:val="18"/>
          <w:szCs w:val="18"/>
        </w:rPr>
        <w:t>e and Termination Agreement, we are entitled to receive royalty and milestone payments in connection with the development and commercialization of soticlestat. If Takeda fails to progress, delays or discontinues the development of soticlestat, we may not r</w:t>
      </w:r>
      <w:r>
        <w:rPr>
          <w:rFonts w:eastAsia="Times New Roman"/>
          <w:color w:val="000000"/>
          <w:sz w:val="18"/>
          <w:szCs w:val="18"/>
        </w:rPr>
        <w:t>eceive some or all of such payments, which would materially harm our business.</w:t>
      </w:r>
    </w:p>
    <w:p w:rsidR="00000000" w:rsidRDefault="00375AF8">
      <w:pPr>
        <w:jc w:val="center"/>
        <w:divId w:val="1677339956"/>
        <w:rPr>
          <w:rFonts w:eastAsia="Times New Roman"/>
        </w:rPr>
      </w:pPr>
      <w:r>
        <w:rPr>
          <w:rFonts w:eastAsia="Times New Roman"/>
          <w:color w:val="000000"/>
          <w:sz w:val="18"/>
          <w:szCs w:val="18"/>
        </w:rPr>
        <w:t>29</w:t>
      </w:r>
    </w:p>
    <w:p w:rsidR="00000000" w:rsidRDefault="00375AF8">
      <w:pPr>
        <w:rPr>
          <w:rFonts w:eastAsia="Times New Roman"/>
        </w:rPr>
      </w:pPr>
      <w:r>
        <w:rPr>
          <w:rFonts w:eastAsia="Times New Roman"/>
        </w:rPr>
        <w:pict>
          <v:rect id="_x0000_i1055" style="width:0;height:1.5pt" o:hralign="center" o:hrstd="t" o:hr="t" fillcolor="#a0a0a0" stroked="f"/>
        </w:pict>
      </w:r>
    </w:p>
    <w:p w:rsidR="00000000" w:rsidRDefault="00375AF8">
      <w:pPr>
        <w:divId w:val="92014162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212308033"/>
        <w:rPr>
          <w:rFonts w:eastAsia="Times New Roman"/>
        </w:rPr>
      </w:pPr>
      <w:r>
        <w:rPr>
          <w:rFonts w:eastAsia="Times New Roman"/>
          <w:color w:val="000000"/>
          <w:sz w:val="18"/>
          <w:szCs w:val="18"/>
        </w:rPr>
        <w:t>•Our relationships with customers, physicians, and third-party payors may be subject, directly or indirectly, to federal and state healthcare fr</w:t>
      </w:r>
      <w:r>
        <w:rPr>
          <w:rFonts w:eastAsia="Times New Roman"/>
          <w:color w:val="000000"/>
          <w:sz w:val="18"/>
          <w:szCs w:val="18"/>
        </w:rPr>
        <w:t>aud and abuse laws, false claims laws, health information privacy and security laws, and other healthcare laws and regulations. If we are unable to comply, or have not fully complied, with such laws, we could face substantial penalties.</w:t>
      </w:r>
    </w:p>
    <w:p w:rsidR="00000000" w:rsidRDefault="00375AF8">
      <w:pPr>
        <w:ind w:hanging="720"/>
        <w:jc w:val="both"/>
        <w:divId w:val="239295716"/>
        <w:rPr>
          <w:rFonts w:eastAsia="Times New Roman"/>
        </w:rPr>
      </w:pPr>
      <w:r>
        <w:rPr>
          <w:rFonts w:eastAsia="Times New Roman"/>
          <w:color w:val="000000"/>
          <w:sz w:val="18"/>
          <w:szCs w:val="18"/>
        </w:rPr>
        <w:t>•Coverage and adequ</w:t>
      </w:r>
      <w:r>
        <w:rPr>
          <w:rFonts w:eastAsia="Times New Roman"/>
          <w:color w:val="000000"/>
          <w:sz w:val="18"/>
          <w:szCs w:val="18"/>
        </w:rPr>
        <w:t>ate reimbursement may not be available for our current or any future drug candidates, which could make it difficult for us to sell profitably, if approved.</w:t>
      </w:r>
    </w:p>
    <w:p w:rsidR="00000000" w:rsidRDefault="00375AF8">
      <w:pPr>
        <w:ind w:hanging="720"/>
        <w:jc w:val="both"/>
        <w:divId w:val="1296255322"/>
        <w:rPr>
          <w:rFonts w:eastAsia="Times New Roman"/>
        </w:rPr>
      </w:pPr>
      <w:r>
        <w:rPr>
          <w:rFonts w:eastAsia="Times New Roman"/>
          <w:color w:val="000000"/>
          <w:sz w:val="18"/>
          <w:szCs w:val="18"/>
        </w:rPr>
        <w:t>•If we are unable to obtain and maintain patent protection for our current or any future drug candid</w:t>
      </w:r>
      <w:r>
        <w:rPr>
          <w:rFonts w:eastAsia="Times New Roman"/>
          <w:color w:val="000000"/>
          <w:sz w:val="18"/>
          <w:szCs w:val="18"/>
        </w:rPr>
        <w:t>ates, or if the scope of the patent protection obtained is not sufficiently broad, we may not be able to compete effectively in our markets.</w:t>
      </w:r>
    </w:p>
    <w:p w:rsidR="00000000" w:rsidRDefault="00375AF8">
      <w:pPr>
        <w:ind w:hanging="720"/>
        <w:jc w:val="both"/>
        <w:divId w:val="773672553"/>
        <w:rPr>
          <w:rFonts w:eastAsia="Times New Roman"/>
        </w:rPr>
      </w:pPr>
      <w:r>
        <w:rPr>
          <w:rFonts w:eastAsia="Times New Roman"/>
          <w:color w:val="000000"/>
          <w:sz w:val="18"/>
          <w:szCs w:val="18"/>
        </w:rPr>
        <w:t>•We may be involved in lawsuits to protect or enforce our patents, the patents of our licensors or our other intell</w:t>
      </w:r>
      <w:r>
        <w:rPr>
          <w:rFonts w:eastAsia="Times New Roman"/>
          <w:color w:val="000000"/>
          <w:sz w:val="18"/>
          <w:szCs w:val="18"/>
        </w:rPr>
        <w:t>ectual property rights, which could be expensive, time consuming and unsuccessful.</w:t>
      </w:r>
    </w:p>
    <w:p w:rsidR="00000000" w:rsidRDefault="00375AF8">
      <w:pPr>
        <w:ind w:hanging="720"/>
        <w:jc w:val="both"/>
        <w:divId w:val="713776546"/>
        <w:rPr>
          <w:rFonts w:eastAsia="Times New Roman"/>
        </w:rPr>
      </w:pPr>
      <w:r>
        <w:rPr>
          <w:rFonts w:eastAsia="Times New Roman"/>
          <w:color w:val="000000"/>
          <w:sz w:val="18"/>
          <w:szCs w:val="18"/>
        </w:rPr>
        <w:t>•We do not have our own manufacturing capabilities and will rely on third parties to produce clinical and commercial supplies of our current and any future drug candidates.</w:t>
      </w:r>
    </w:p>
    <w:p w:rsidR="00000000" w:rsidRDefault="00375AF8">
      <w:pPr>
        <w:ind w:hanging="720"/>
        <w:jc w:val="both"/>
        <w:divId w:val="771363292"/>
        <w:rPr>
          <w:rFonts w:eastAsia="Times New Roman"/>
        </w:rPr>
      </w:pPr>
      <w:r>
        <w:rPr>
          <w:rFonts w:eastAsia="Times New Roman"/>
          <w:color w:val="000000"/>
          <w:sz w:val="18"/>
          <w:szCs w:val="18"/>
        </w:rPr>
        <w:t>•We intend to rely on third parties to conduct, supervise and monitor our preclinical studies and clinical trials, and if those third parties perform in an unsatisfactory manner, it may harm our business.</w:t>
      </w:r>
    </w:p>
    <w:p w:rsidR="00000000" w:rsidRDefault="00375AF8">
      <w:pPr>
        <w:ind w:hanging="720"/>
        <w:jc w:val="both"/>
        <w:divId w:val="912662332"/>
        <w:rPr>
          <w:rFonts w:eastAsia="Times New Roman"/>
        </w:rPr>
      </w:pPr>
      <w:r>
        <w:rPr>
          <w:rFonts w:eastAsia="Times New Roman"/>
          <w:color w:val="000000"/>
          <w:sz w:val="18"/>
          <w:szCs w:val="18"/>
        </w:rPr>
        <w:t>•COVID-19 could adversely impact our business, incl</w:t>
      </w:r>
      <w:r>
        <w:rPr>
          <w:rFonts w:eastAsia="Times New Roman"/>
          <w:color w:val="000000"/>
          <w:sz w:val="18"/>
          <w:szCs w:val="18"/>
        </w:rPr>
        <w:t>uding our preclinical studies, clinical trials and access to capital.</w:t>
      </w:r>
    </w:p>
    <w:p w:rsidR="00000000" w:rsidRDefault="00375AF8">
      <w:pPr>
        <w:ind w:hanging="720"/>
        <w:jc w:val="both"/>
        <w:divId w:val="1358697516"/>
        <w:rPr>
          <w:rFonts w:eastAsia="Times New Roman"/>
        </w:rPr>
      </w:pPr>
      <w:r>
        <w:rPr>
          <w:rFonts w:eastAsia="Times New Roman"/>
          <w:color w:val="000000"/>
          <w:sz w:val="18"/>
          <w:szCs w:val="18"/>
        </w:rPr>
        <w:t>•We may need to expand our organization, and we may experience difficulties in managing this growth, which could disrupt our operations.</w:t>
      </w:r>
    </w:p>
    <w:p w:rsidR="00000000" w:rsidRDefault="00375AF8">
      <w:pPr>
        <w:ind w:hanging="720"/>
        <w:jc w:val="both"/>
        <w:divId w:val="1781680609"/>
        <w:rPr>
          <w:rFonts w:eastAsia="Times New Roman"/>
        </w:rPr>
      </w:pPr>
      <w:r>
        <w:rPr>
          <w:rFonts w:eastAsia="Times New Roman"/>
          <w:color w:val="000000"/>
          <w:sz w:val="18"/>
          <w:szCs w:val="18"/>
        </w:rPr>
        <w:t>•We may be subject to numerous and varying privac</w:t>
      </w:r>
      <w:r>
        <w:rPr>
          <w:rFonts w:eastAsia="Times New Roman"/>
          <w:color w:val="000000"/>
          <w:sz w:val="18"/>
          <w:szCs w:val="18"/>
        </w:rPr>
        <w:t>y and security laws, and our failure to comply could result in penalties and reputational damage.</w:t>
      </w:r>
    </w:p>
    <w:p w:rsidR="00000000" w:rsidRDefault="00375AF8">
      <w:pPr>
        <w:jc w:val="both"/>
        <w:divId w:val="1704478740"/>
        <w:rPr>
          <w:rFonts w:eastAsia="Times New Roman"/>
        </w:rPr>
      </w:pPr>
      <w:r>
        <w:rPr>
          <w:rFonts w:eastAsia="Times New Roman"/>
          <w:b/>
          <w:bCs/>
          <w:color w:val="000000"/>
          <w:sz w:val="18"/>
          <w:szCs w:val="18"/>
        </w:rPr>
        <w:t>Risks Related to Our Financial Position and Need for Additional Capital</w:t>
      </w:r>
    </w:p>
    <w:p w:rsidR="00000000" w:rsidRDefault="00375AF8">
      <w:pPr>
        <w:jc w:val="both"/>
        <w:divId w:val="996421472"/>
        <w:rPr>
          <w:rFonts w:eastAsia="Times New Roman"/>
        </w:rPr>
      </w:pPr>
      <w:r>
        <w:rPr>
          <w:rFonts w:eastAsia="Times New Roman"/>
          <w:b/>
          <w:bCs/>
          <w:i/>
          <w:iCs/>
          <w:color w:val="000000"/>
          <w:sz w:val="18"/>
          <w:szCs w:val="18"/>
        </w:rPr>
        <w:t>We expect to continue to incur substantial operating losses for the foreseeable future</w:t>
      </w:r>
      <w:r>
        <w:rPr>
          <w:rFonts w:eastAsia="Times New Roman"/>
          <w:b/>
          <w:bCs/>
          <w:i/>
          <w:iCs/>
          <w:color w:val="000000"/>
          <w:sz w:val="18"/>
          <w:szCs w:val="18"/>
        </w:rPr>
        <w:t xml:space="preserve"> and may never achieve or maintain profitability.</w:t>
      </w:r>
    </w:p>
    <w:p w:rsidR="00000000" w:rsidRDefault="00375AF8">
      <w:pPr>
        <w:ind w:firstLine="720"/>
        <w:jc w:val="both"/>
        <w:divId w:val="256989038"/>
        <w:rPr>
          <w:rFonts w:eastAsia="Times New Roman"/>
        </w:rPr>
      </w:pPr>
      <w:r>
        <w:rPr>
          <w:rFonts w:eastAsia="Times New Roman"/>
          <w:color w:val="000000"/>
          <w:sz w:val="18"/>
          <w:szCs w:val="18"/>
        </w:rPr>
        <w:t>We have historically incurred significant operating losses with the exception of net income we reported in 2021 primarily due to a one-time, upfront payment of $196.0 million received pursuant to the royalt</w:t>
      </w:r>
      <w:r>
        <w:rPr>
          <w:rFonts w:eastAsia="Times New Roman"/>
          <w:color w:val="000000"/>
          <w:sz w:val="18"/>
          <w:szCs w:val="18"/>
        </w:rPr>
        <w:t>y, license and termination agreement (the “Takeda License and Termination Agreement”) with Takeda Pharmaceutical Company Limited (“Takeda”). As of June 30, 2022, we had an accumulated deficit of $202.1 million. We expect to incur increasing operating losse</w:t>
      </w:r>
      <w:r>
        <w:rPr>
          <w:rFonts w:eastAsia="Times New Roman"/>
          <w:color w:val="000000"/>
          <w:sz w:val="18"/>
          <w:szCs w:val="18"/>
        </w:rPr>
        <w:t>s for the foreseeable future. Since inception, we have devoted substantially all of our efforts to research and preclinical and clinical development of our drug candidates, as well as hiring employees and building our infrastructure.</w:t>
      </w:r>
    </w:p>
    <w:p w:rsidR="00000000" w:rsidRDefault="00375AF8">
      <w:pPr>
        <w:ind w:firstLine="720"/>
        <w:jc w:val="both"/>
        <w:divId w:val="688065283"/>
        <w:rPr>
          <w:rFonts w:eastAsia="Times New Roman"/>
        </w:rPr>
      </w:pPr>
      <w:r>
        <w:rPr>
          <w:rFonts w:eastAsia="Times New Roman"/>
          <w:color w:val="000000"/>
          <w:sz w:val="18"/>
          <w:szCs w:val="18"/>
        </w:rPr>
        <w:t>We have no drugs appro</w:t>
      </w:r>
      <w:r>
        <w:rPr>
          <w:rFonts w:eastAsia="Times New Roman"/>
          <w:color w:val="000000"/>
          <w:sz w:val="18"/>
          <w:szCs w:val="18"/>
        </w:rPr>
        <w:t xml:space="preserve">ved for commercialization and have never generated any revenue from drug sales. All of our drug candidates are still in the preclinical testing stage. It could be several years, if ever, before we have a commercialized drug. We expect to continue to incur </w:t>
      </w:r>
      <w:r>
        <w:rPr>
          <w:rFonts w:eastAsia="Times New Roman"/>
          <w:color w:val="000000"/>
          <w:sz w:val="18"/>
          <w:szCs w:val="18"/>
        </w:rPr>
        <w:t>significant expenses and operating losses over the next several years, and the net losses we incur may fluctuate significantly from quarter to quarter and year to year. We anticipate that our expenses will increase substantially if, and as, we:</w:t>
      </w:r>
    </w:p>
    <w:p w:rsidR="00000000" w:rsidRDefault="00375AF8">
      <w:pPr>
        <w:ind w:hanging="720"/>
        <w:jc w:val="both"/>
        <w:divId w:val="48040959"/>
        <w:rPr>
          <w:rFonts w:eastAsia="Times New Roman"/>
        </w:rPr>
      </w:pPr>
      <w:r>
        <w:rPr>
          <w:rFonts w:eastAsia="Times New Roman"/>
          <w:color w:val="000000"/>
          <w:sz w:val="18"/>
          <w:szCs w:val="18"/>
        </w:rPr>
        <w:t>•continue t</w:t>
      </w:r>
      <w:r>
        <w:rPr>
          <w:rFonts w:eastAsia="Times New Roman"/>
          <w:color w:val="000000"/>
          <w:sz w:val="18"/>
          <w:szCs w:val="18"/>
        </w:rPr>
        <w:t>o advance the ongoing and planned preclinical and clinical development of our drug candidates;</w:t>
      </w:r>
    </w:p>
    <w:p w:rsidR="00000000" w:rsidRDefault="00375AF8">
      <w:pPr>
        <w:ind w:hanging="720"/>
        <w:jc w:val="both"/>
        <w:divId w:val="1255213616"/>
        <w:rPr>
          <w:rFonts w:eastAsia="Times New Roman"/>
        </w:rPr>
      </w:pPr>
      <w:r>
        <w:rPr>
          <w:rFonts w:eastAsia="Times New Roman"/>
          <w:color w:val="000000"/>
          <w:sz w:val="18"/>
          <w:szCs w:val="18"/>
        </w:rPr>
        <w:t>•continue to build a portfolio of drug candidates through the acquisition or in-license of drugs, drug candidates or technologies;</w:t>
      </w:r>
    </w:p>
    <w:p w:rsidR="00000000" w:rsidRDefault="00375AF8">
      <w:pPr>
        <w:ind w:hanging="720"/>
        <w:jc w:val="both"/>
        <w:divId w:val="1345090106"/>
        <w:rPr>
          <w:rFonts w:eastAsia="Times New Roman"/>
        </w:rPr>
      </w:pPr>
      <w:r>
        <w:rPr>
          <w:rFonts w:eastAsia="Times New Roman"/>
          <w:color w:val="000000"/>
          <w:sz w:val="18"/>
          <w:szCs w:val="18"/>
        </w:rPr>
        <w:t xml:space="preserve">•initiate preclinical studies </w:t>
      </w:r>
      <w:r>
        <w:rPr>
          <w:rFonts w:eastAsia="Times New Roman"/>
          <w:color w:val="000000"/>
          <w:sz w:val="18"/>
          <w:szCs w:val="18"/>
        </w:rPr>
        <w:t>and clinical trials for any additional drug candidates that we may pursue in the future;</w:t>
      </w:r>
    </w:p>
    <w:p w:rsidR="00000000" w:rsidRDefault="00375AF8">
      <w:pPr>
        <w:ind w:hanging="720"/>
        <w:jc w:val="both"/>
        <w:divId w:val="1110274789"/>
        <w:rPr>
          <w:rFonts w:eastAsia="Times New Roman"/>
        </w:rPr>
      </w:pPr>
      <w:r>
        <w:rPr>
          <w:rFonts w:eastAsia="Times New Roman"/>
          <w:color w:val="000000"/>
          <w:sz w:val="18"/>
          <w:szCs w:val="18"/>
        </w:rPr>
        <w:t>•experience delays in our preclinical studies and planned clinical studies due to the ongoing COVID-19 pandemic;</w:t>
      </w:r>
    </w:p>
    <w:p w:rsidR="00000000" w:rsidRDefault="00375AF8">
      <w:pPr>
        <w:ind w:hanging="720"/>
        <w:jc w:val="both"/>
        <w:divId w:val="1382438847"/>
        <w:rPr>
          <w:rFonts w:eastAsia="Times New Roman"/>
        </w:rPr>
      </w:pPr>
      <w:r>
        <w:rPr>
          <w:rFonts w:eastAsia="Times New Roman"/>
          <w:color w:val="000000"/>
          <w:sz w:val="18"/>
          <w:szCs w:val="18"/>
        </w:rPr>
        <w:t>•seek marketing approvals for our current and future d</w:t>
      </w:r>
      <w:r>
        <w:rPr>
          <w:rFonts w:eastAsia="Times New Roman"/>
          <w:color w:val="000000"/>
          <w:sz w:val="18"/>
          <w:szCs w:val="18"/>
        </w:rPr>
        <w:t>rug candidates that successfully complete clinical trials;</w:t>
      </w:r>
    </w:p>
    <w:p w:rsidR="00000000" w:rsidRDefault="00375AF8">
      <w:pPr>
        <w:ind w:hanging="720"/>
        <w:jc w:val="both"/>
        <w:divId w:val="1268855278"/>
        <w:rPr>
          <w:rFonts w:eastAsia="Times New Roman"/>
        </w:rPr>
      </w:pPr>
      <w:r>
        <w:rPr>
          <w:rFonts w:eastAsia="Times New Roman"/>
          <w:color w:val="000000"/>
          <w:sz w:val="18"/>
          <w:szCs w:val="18"/>
        </w:rPr>
        <w:t>•establish a sales, marketing and distribution infrastructure to commercialize any drug candidate for which we may obtain marketing approval;</w:t>
      </w:r>
    </w:p>
    <w:p w:rsidR="00000000" w:rsidRDefault="00375AF8">
      <w:pPr>
        <w:ind w:hanging="720"/>
        <w:jc w:val="both"/>
        <w:divId w:val="452139184"/>
        <w:rPr>
          <w:rFonts w:eastAsia="Times New Roman"/>
        </w:rPr>
      </w:pPr>
      <w:r>
        <w:rPr>
          <w:rFonts w:eastAsia="Times New Roman"/>
          <w:color w:val="000000"/>
          <w:sz w:val="18"/>
          <w:szCs w:val="18"/>
        </w:rPr>
        <w:t>•develop, maintain, expand and protect our intellectual</w:t>
      </w:r>
      <w:r>
        <w:rPr>
          <w:rFonts w:eastAsia="Times New Roman"/>
          <w:color w:val="000000"/>
          <w:sz w:val="18"/>
          <w:szCs w:val="18"/>
        </w:rPr>
        <w:t xml:space="preserve"> property portfolio;</w:t>
      </w:r>
    </w:p>
    <w:p w:rsidR="00000000" w:rsidRDefault="00375AF8">
      <w:pPr>
        <w:ind w:hanging="720"/>
        <w:jc w:val="both"/>
        <w:divId w:val="750586882"/>
        <w:rPr>
          <w:rFonts w:eastAsia="Times New Roman"/>
        </w:rPr>
      </w:pPr>
      <w:r>
        <w:rPr>
          <w:rFonts w:eastAsia="Times New Roman"/>
          <w:color w:val="000000"/>
          <w:sz w:val="18"/>
          <w:szCs w:val="18"/>
        </w:rPr>
        <w:t>•implement operational, financial and management systems; and</w:t>
      </w:r>
    </w:p>
    <w:p w:rsidR="00000000" w:rsidRDefault="00375AF8">
      <w:pPr>
        <w:ind w:hanging="720"/>
        <w:jc w:val="both"/>
        <w:divId w:val="678502317"/>
        <w:rPr>
          <w:rFonts w:eastAsia="Times New Roman"/>
        </w:rPr>
      </w:pPr>
      <w:r>
        <w:rPr>
          <w:rFonts w:eastAsia="Times New Roman"/>
          <w:color w:val="000000"/>
          <w:sz w:val="18"/>
          <w:szCs w:val="18"/>
        </w:rPr>
        <w:t>•attract, hire and retain additional administrative, clinical, regulatory and scientific personnel.</w:t>
      </w:r>
    </w:p>
    <w:p w:rsidR="00000000" w:rsidRDefault="00375AF8">
      <w:pPr>
        <w:ind w:firstLine="720"/>
        <w:jc w:val="both"/>
        <w:divId w:val="1187258484"/>
        <w:rPr>
          <w:rFonts w:eastAsia="Times New Roman"/>
        </w:rPr>
      </w:pPr>
      <w:r>
        <w:rPr>
          <w:rFonts w:eastAsia="Times New Roman"/>
          <w:color w:val="000000"/>
          <w:sz w:val="18"/>
          <w:szCs w:val="18"/>
        </w:rPr>
        <w:t>Even if we complete the development and regulatory processes described ab</w:t>
      </w:r>
      <w:r>
        <w:rPr>
          <w:rFonts w:eastAsia="Times New Roman"/>
          <w:color w:val="000000"/>
          <w:sz w:val="18"/>
          <w:szCs w:val="18"/>
        </w:rPr>
        <w:t>ove, we anticipate incurring significant costs associated with launching and commercializing our current and future drug candidates.</w:t>
      </w:r>
    </w:p>
    <w:p w:rsidR="00000000" w:rsidRDefault="00375AF8">
      <w:pPr>
        <w:ind w:firstLine="720"/>
        <w:jc w:val="both"/>
        <w:divId w:val="47338310"/>
        <w:rPr>
          <w:rFonts w:eastAsia="Times New Roman"/>
        </w:rPr>
      </w:pPr>
      <w:r>
        <w:rPr>
          <w:rFonts w:eastAsia="Times New Roman"/>
          <w:color w:val="000000"/>
          <w:sz w:val="18"/>
          <w:szCs w:val="18"/>
        </w:rPr>
        <w:t>If we do achieve profitability, we may not be able to sustain or increase profitability on a quarterly or annual basis. Our</w:t>
      </w:r>
      <w:r>
        <w:rPr>
          <w:rFonts w:eastAsia="Times New Roman"/>
          <w:color w:val="000000"/>
          <w:sz w:val="18"/>
          <w:szCs w:val="18"/>
        </w:rPr>
        <w:t xml:space="preserve"> failure to become and remain profitable would decrease the value of our company and could impair our ability to raise capital, maintain our research and development efforts, expand our business or continue our operations.</w:t>
      </w:r>
    </w:p>
    <w:p w:rsidR="00000000" w:rsidRDefault="00375AF8">
      <w:pPr>
        <w:jc w:val="both"/>
        <w:divId w:val="1332219492"/>
        <w:rPr>
          <w:rFonts w:eastAsia="Times New Roman"/>
        </w:rPr>
      </w:pPr>
      <w:r>
        <w:rPr>
          <w:rFonts w:eastAsia="Times New Roman"/>
          <w:b/>
          <w:bCs/>
          <w:i/>
          <w:iCs/>
          <w:color w:val="000000"/>
          <w:sz w:val="18"/>
          <w:szCs w:val="18"/>
        </w:rPr>
        <w:t>Our operating history may make it difficult to evaluate the success of our business to date and to assess our future viability.</w:t>
      </w:r>
    </w:p>
    <w:p w:rsidR="00000000" w:rsidRDefault="00375AF8">
      <w:pPr>
        <w:ind w:firstLine="720"/>
        <w:jc w:val="both"/>
        <w:divId w:val="458887212"/>
        <w:rPr>
          <w:rFonts w:eastAsia="Times New Roman"/>
        </w:rPr>
      </w:pPr>
      <w:r>
        <w:rPr>
          <w:rFonts w:eastAsia="Times New Roman"/>
          <w:color w:val="000000"/>
          <w:sz w:val="18"/>
          <w:szCs w:val="18"/>
        </w:rPr>
        <w:t>Our operations have consumed substantial amounts of cash since our inception in April 2014, primarily due to organizing and staf</w:t>
      </w:r>
      <w:r>
        <w:rPr>
          <w:rFonts w:eastAsia="Times New Roman"/>
          <w:color w:val="000000"/>
          <w:sz w:val="18"/>
          <w:szCs w:val="18"/>
        </w:rPr>
        <w:t xml:space="preserve">fing our company, business planning, raising capital, acquiring assets and undertaking the development of our drug candidates. We have not yet demonstrated the ability to obtain marketing approvals, manufacture a commercial-scale drug or conduct sales and </w:t>
      </w:r>
    </w:p>
    <w:p w:rsidR="00000000" w:rsidRDefault="00375AF8">
      <w:pPr>
        <w:jc w:val="center"/>
        <w:divId w:val="2016565582"/>
        <w:rPr>
          <w:rFonts w:eastAsia="Times New Roman"/>
        </w:rPr>
      </w:pPr>
      <w:r>
        <w:rPr>
          <w:rFonts w:eastAsia="Times New Roman"/>
          <w:color w:val="000000"/>
          <w:sz w:val="18"/>
          <w:szCs w:val="18"/>
        </w:rPr>
        <w:t>30</w:t>
      </w:r>
    </w:p>
    <w:p w:rsidR="00000000" w:rsidRDefault="00375AF8">
      <w:pPr>
        <w:rPr>
          <w:rFonts w:eastAsia="Times New Roman"/>
        </w:rPr>
      </w:pPr>
      <w:r>
        <w:rPr>
          <w:rFonts w:eastAsia="Times New Roman"/>
        </w:rPr>
        <w:pict>
          <v:rect id="_x0000_i1056" style="width:0;height:1.5pt" o:hralign="center" o:hrstd="t" o:hr="t" fillcolor="#a0a0a0" stroked="f"/>
        </w:pict>
      </w:r>
    </w:p>
    <w:p w:rsidR="00000000" w:rsidRDefault="00375AF8">
      <w:pPr>
        <w:divId w:val="121446550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960531779"/>
        <w:rPr>
          <w:rFonts w:eastAsia="Times New Roman"/>
        </w:rPr>
      </w:pPr>
      <w:r>
        <w:rPr>
          <w:rFonts w:eastAsia="Times New Roman"/>
          <w:color w:val="000000"/>
          <w:sz w:val="18"/>
          <w:szCs w:val="18"/>
        </w:rPr>
        <w:t>marketing activities necessary for successful commercialization. Consequently, any predictions about our future success or viability may not</w:t>
      </w:r>
      <w:r>
        <w:rPr>
          <w:rFonts w:eastAsia="Times New Roman"/>
          <w:color w:val="000000"/>
          <w:sz w:val="18"/>
          <w:szCs w:val="18"/>
        </w:rPr>
        <w:t xml:space="preserve"> be as accurate as they could be if we had more experience developing drug candidates.</w:t>
      </w:r>
    </w:p>
    <w:p w:rsidR="00000000" w:rsidRDefault="00375AF8">
      <w:pPr>
        <w:ind w:firstLine="720"/>
        <w:jc w:val="both"/>
        <w:divId w:val="880018827"/>
        <w:rPr>
          <w:rFonts w:eastAsia="Times New Roman"/>
        </w:rPr>
      </w:pPr>
      <w:r>
        <w:rPr>
          <w:rFonts w:eastAsia="Times New Roman"/>
          <w:color w:val="000000"/>
          <w:sz w:val="18"/>
          <w:szCs w:val="18"/>
        </w:rPr>
        <w:t xml:space="preserve">We expect our financial condition and operating results to continue to fluctuate from quarter to quarter and year to year due to a variety of factors, many of which are </w:t>
      </w:r>
      <w:r>
        <w:rPr>
          <w:rFonts w:eastAsia="Times New Roman"/>
          <w:color w:val="000000"/>
          <w:sz w:val="18"/>
          <w:szCs w:val="18"/>
        </w:rPr>
        <w:t>beyond our control. We will need to eventually transition from a company with a research and development focus to a company capable of undertaking commercial activities. We may encounter unforeseen expenses, difficulties, complications and delays and may n</w:t>
      </w:r>
      <w:r>
        <w:rPr>
          <w:rFonts w:eastAsia="Times New Roman"/>
          <w:color w:val="000000"/>
          <w:sz w:val="18"/>
          <w:szCs w:val="18"/>
        </w:rPr>
        <w:t xml:space="preserve">ot be successful in such a transition. </w:t>
      </w:r>
    </w:p>
    <w:p w:rsidR="00000000" w:rsidRDefault="00375AF8">
      <w:pPr>
        <w:jc w:val="both"/>
        <w:divId w:val="837768936"/>
        <w:rPr>
          <w:rFonts w:eastAsia="Times New Roman"/>
        </w:rPr>
      </w:pPr>
      <w:r>
        <w:rPr>
          <w:rFonts w:eastAsia="Times New Roman"/>
          <w:b/>
          <w:bCs/>
          <w:i/>
          <w:iCs/>
          <w:color w:val="000000"/>
          <w:sz w:val="18"/>
          <w:szCs w:val="18"/>
        </w:rPr>
        <w:t xml:space="preserve">We will require additional capital to finance our operations, which may not be available on acceptable terms, if at all. Failure to obtain this necessary capital when needed may force us to delay, limit or terminate </w:t>
      </w:r>
      <w:r>
        <w:rPr>
          <w:rFonts w:eastAsia="Times New Roman"/>
          <w:b/>
          <w:bCs/>
          <w:i/>
          <w:iCs/>
          <w:color w:val="000000"/>
          <w:sz w:val="18"/>
          <w:szCs w:val="18"/>
        </w:rPr>
        <w:t>certain of our drug development efforts or other operations.</w:t>
      </w:r>
    </w:p>
    <w:p w:rsidR="00000000" w:rsidRDefault="00375AF8">
      <w:pPr>
        <w:ind w:firstLine="720"/>
        <w:jc w:val="both"/>
        <w:divId w:val="466509844"/>
        <w:rPr>
          <w:rFonts w:eastAsia="Times New Roman"/>
        </w:rPr>
      </w:pPr>
      <w:r>
        <w:rPr>
          <w:rFonts w:eastAsia="Times New Roman"/>
          <w:color w:val="000000"/>
          <w:sz w:val="18"/>
          <w:szCs w:val="18"/>
        </w:rPr>
        <w:t>Our operations have consumed substantial amounts of cash since our inception. We expect our expenses to increase as we advance our current and future drug candidates through preclinical studies a</w:t>
      </w:r>
      <w:r>
        <w:rPr>
          <w:rFonts w:eastAsia="Times New Roman"/>
          <w:color w:val="000000"/>
          <w:sz w:val="18"/>
          <w:szCs w:val="18"/>
        </w:rPr>
        <w:t>nd clinical trials, commercialize our drug candidates, and pursue the acquisition or in-licensing of any additional drug candidates. Our expenses could increase beyond expectations if the FDA or other regulatory authorities require us to perform preclinica</w:t>
      </w:r>
      <w:r>
        <w:rPr>
          <w:rFonts w:eastAsia="Times New Roman"/>
          <w:color w:val="000000"/>
          <w:sz w:val="18"/>
          <w:szCs w:val="18"/>
        </w:rPr>
        <w:t>l studies or clinical trials in addition to those that we currently anticipate. In addition, even if we obtain marketing approval for our drug candidates, they may not achieve commercial success. Our revenue, if any, will be derived from sales of drugs tha</w:t>
      </w:r>
      <w:r>
        <w:rPr>
          <w:rFonts w:eastAsia="Times New Roman"/>
          <w:color w:val="000000"/>
          <w:sz w:val="18"/>
          <w:szCs w:val="18"/>
        </w:rPr>
        <w:t>t we do not expect to be commercially available for a number of years, if at all. If we obtain marketing approval for any drug candidates that we develop or otherwise acquire, we expect to incur significant expenses related to manufacturing, marketing, sal</w:t>
      </w:r>
      <w:r>
        <w:rPr>
          <w:rFonts w:eastAsia="Times New Roman"/>
          <w:color w:val="000000"/>
          <w:sz w:val="18"/>
          <w:szCs w:val="18"/>
        </w:rPr>
        <w:t xml:space="preserve">es and distribution. </w:t>
      </w:r>
    </w:p>
    <w:p w:rsidR="00000000" w:rsidRDefault="00375AF8">
      <w:pPr>
        <w:ind w:firstLine="720"/>
        <w:jc w:val="both"/>
        <w:divId w:val="2009363285"/>
        <w:rPr>
          <w:rFonts w:eastAsia="Times New Roman"/>
        </w:rPr>
      </w:pPr>
      <w:r>
        <w:rPr>
          <w:rFonts w:eastAsia="Times New Roman"/>
          <w:color w:val="000000"/>
          <w:sz w:val="18"/>
          <w:szCs w:val="18"/>
        </w:rPr>
        <w:t>As of June 30, 2022, our cash, cash equivalents and marketable securities were $152.4 million, and we had an accumulated deficit of $202.1 million. We believe that our cash, cash equivalents and marketable securities will fund our cur</w:t>
      </w:r>
      <w:r>
        <w:rPr>
          <w:rFonts w:eastAsia="Times New Roman"/>
          <w:color w:val="000000"/>
          <w:sz w:val="18"/>
          <w:szCs w:val="18"/>
        </w:rPr>
        <w:t>rent operating plans through at least 12 months from the filing of this Quarterly Report on Form 10-Q. However, our operating plans may change because of many factors currently unknown to us, and we may need to seek additional funds sooner than planned, th</w:t>
      </w:r>
      <w:r>
        <w:rPr>
          <w:rFonts w:eastAsia="Times New Roman"/>
          <w:color w:val="000000"/>
          <w:sz w:val="18"/>
          <w:szCs w:val="18"/>
        </w:rPr>
        <w:t xml:space="preserve">rough public or private equity or debt financings, third-party funding, marketing and distribution arrangements, as well as other collaborations, strategic alliances and licensing arrangements, or any combination of these approaches. </w:t>
      </w:r>
    </w:p>
    <w:p w:rsidR="00000000" w:rsidRDefault="00375AF8">
      <w:pPr>
        <w:ind w:firstLine="720"/>
        <w:jc w:val="both"/>
        <w:divId w:val="612130747"/>
        <w:rPr>
          <w:rFonts w:eastAsia="Times New Roman"/>
        </w:rPr>
      </w:pPr>
      <w:r>
        <w:rPr>
          <w:rFonts w:eastAsia="Times New Roman"/>
          <w:color w:val="000000"/>
          <w:sz w:val="18"/>
          <w:szCs w:val="18"/>
        </w:rPr>
        <w:t xml:space="preserve">We will require more </w:t>
      </w:r>
      <w:r>
        <w:rPr>
          <w:rFonts w:eastAsia="Times New Roman"/>
          <w:color w:val="000000"/>
          <w:sz w:val="18"/>
          <w:szCs w:val="18"/>
        </w:rPr>
        <w:t xml:space="preserve">capital in order to advance the preclinical and clinical development, obtain regulatory approval and, following regulatory approval, commercialize our current or future drug candidates. Any additional capital raising efforts may divert our management from </w:t>
      </w:r>
      <w:r>
        <w:rPr>
          <w:rFonts w:eastAsia="Times New Roman"/>
          <w:color w:val="000000"/>
          <w:sz w:val="18"/>
          <w:szCs w:val="18"/>
        </w:rPr>
        <w:t>their day-to-day activities, which may adversely affect our ability to develop and commercialize our current and future drug candidates. The ongoing COVID-19 pandemic has already resulted in a significant disruption of global financial markets. If the disr</w:t>
      </w:r>
      <w:r>
        <w:rPr>
          <w:rFonts w:eastAsia="Times New Roman"/>
          <w:color w:val="000000"/>
          <w:sz w:val="18"/>
          <w:szCs w:val="18"/>
        </w:rPr>
        <w:t>uption persists and deepens, we could experience an inability to access additional capital. If we do not raise additional capital in sufficient amounts, or on terms acceptable to us, we may be prevented from pursuing development and commercialization effor</w:t>
      </w:r>
      <w:r>
        <w:rPr>
          <w:rFonts w:eastAsia="Times New Roman"/>
          <w:color w:val="000000"/>
          <w:sz w:val="18"/>
          <w:szCs w:val="18"/>
        </w:rPr>
        <w:t>ts, which will harm our business, operating results and prospects.</w:t>
      </w:r>
    </w:p>
    <w:p w:rsidR="00000000" w:rsidRDefault="00375AF8">
      <w:pPr>
        <w:jc w:val="both"/>
        <w:divId w:val="606692308"/>
        <w:rPr>
          <w:rFonts w:eastAsia="Times New Roman"/>
        </w:rPr>
      </w:pPr>
      <w:r>
        <w:rPr>
          <w:rFonts w:eastAsia="Times New Roman"/>
          <w:b/>
          <w:bCs/>
          <w:i/>
          <w:iCs/>
          <w:color w:val="000000"/>
          <w:sz w:val="18"/>
          <w:szCs w:val="18"/>
        </w:rPr>
        <w:t>Raising additional capital or acquiring or licensing assets by issuing equity or debt securities may cause dilution to our stockholders, and raising funds through lending and licensing arra</w:t>
      </w:r>
      <w:r>
        <w:rPr>
          <w:rFonts w:eastAsia="Times New Roman"/>
          <w:b/>
          <w:bCs/>
          <w:i/>
          <w:iCs/>
          <w:color w:val="000000"/>
          <w:sz w:val="18"/>
          <w:szCs w:val="18"/>
        </w:rPr>
        <w:t>ngements may restrict our operations or require us to relinquish proprietary rights.</w:t>
      </w:r>
    </w:p>
    <w:p w:rsidR="00000000" w:rsidRDefault="00375AF8">
      <w:pPr>
        <w:ind w:firstLine="720"/>
        <w:jc w:val="both"/>
        <w:divId w:val="1688172244"/>
        <w:rPr>
          <w:rFonts w:eastAsia="Times New Roman"/>
        </w:rPr>
      </w:pPr>
      <w:r>
        <w:rPr>
          <w:rFonts w:eastAsia="Times New Roman"/>
          <w:color w:val="000000"/>
          <w:sz w:val="18"/>
          <w:szCs w:val="18"/>
        </w:rPr>
        <w:t>Until such time as we can generate substantial revenue from drug sales, if ever, we expect to finance our cash needs through a combination of equity and debt financings, s</w:t>
      </w:r>
      <w:r>
        <w:rPr>
          <w:rFonts w:eastAsia="Times New Roman"/>
          <w:color w:val="000000"/>
          <w:sz w:val="18"/>
          <w:szCs w:val="18"/>
        </w:rPr>
        <w:t>trategic alliances, and license and development agreements in connection with any collaborations. We do not have any committed external source of funds. To the extent that we issue additional equity securities, our stockholders may experience substantial d</w:t>
      </w:r>
      <w:r>
        <w:rPr>
          <w:rFonts w:eastAsia="Times New Roman"/>
          <w:color w:val="000000"/>
          <w:sz w:val="18"/>
          <w:szCs w:val="18"/>
        </w:rPr>
        <w:t xml:space="preserve">ilution, and the terms of these securities may include liquidation or other preferences that adversely affect your rights as a stockholder. In addition, we may issue equity or debt securities as consideration for obtaining rights to additional compounds. </w:t>
      </w:r>
    </w:p>
    <w:p w:rsidR="00000000" w:rsidRDefault="00375AF8">
      <w:pPr>
        <w:ind w:firstLine="720"/>
        <w:jc w:val="both"/>
        <w:divId w:val="1005136056"/>
        <w:rPr>
          <w:rFonts w:eastAsia="Times New Roman"/>
        </w:rPr>
      </w:pPr>
      <w:r>
        <w:rPr>
          <w:rFonts w:eastAsia="Times New Roman"/>
          <w:color w:val="000000"/>
          <w:sz w:val="18"/>
          <w:szCs w:val="18"/>
        </w:rPr>
        <w:t>Debt and equity financings, if available, may involve agreements that include covenants limiting or restricting our ability to take specific actions, such as redeeming our shares, making investments, issuing additional equity, incurring additional debt, ma</w:t>
      </w:r>
      <w:r>
        <w:rPr>
          <w:rFonts w:eastAsia="Times New Roman"/>
          <w:color w:val="000000"/>
          <w:sz w:val="18"/>
          <w:szCs w:val="18"/>
        </w:rPr>
        <w:t>king capital expenditures, declaring dividends or placing limitations on our ability to acquire, sell or license intellectual property rights and other operating restrictions that could negatively impact our ability to conduct our business. If we raise add</w:t>
      </w:r>
      <w:r>
        <w:rPr>
          <w:rFonts w:eastAsia="Times New Roman"/>
          <w:color w:val="000000"/>
          <w:sz w:val="18"/>
          <w:szCs w:val="18"/>
        </w:rPr>
        <w:t>itional capital through future collaborations, strategic alliances or third-party licensing arrangements, we may have to relinquish valuable rights to our intellectual property, future revenue streams, research programs or drug candidates, or grant license</w:t>
      </w:r>
      <w:r>
        <w:rPr>
          <w:rFonts w:eastAsia="Times New Roman"/>
          <w:color w:val="000000"/>
          <w:sz w:val="18"/>
          <w:szCs w:val="18"/>
        </w:rPr>
        <w:t>s on terms that may not be favorable to us.</w:t>
      </w:r>
    </w:p>
    <w:p w:rsidR="00000000" w:rsidRDefault="00375AF8">
      <w:pPr>
        <w:ind w:firstLine="720"/>
        <w:jc w:val="both"/>
        <w:divId w:val="677197305"/>
        <w:rPr>
          <w:rFonts w:eastAsia="Times New Roman"/>
        </w:rPr>
      </w:pPr>
      <w:r>
        <w:rPr>
          <w:rFonts w:eastAsia="Times New Roman"/>
          <w:color w:val="000000"/>
          <w:sz w:val="18"/>
          <w:szCs w:val="18"/>
        </w:rPr>
        <w:t>If we are unable to raise additional capital when needed, we may be required to delay, limit, reduce or terminate our drug development or future commercialization efforts, or grant rights to develop and market dr</w:t>
      </w:r>
      <w:r>
        <w:rPr>
          <w:rFonts w:eastAsia="Times New Roman"/>
          <w:color w:val="000000"/>
          <w:sz w:val="18"/>
          <w:szCs w:val="18"/>
        </w:rPr>
        <w:t>ug candidates that we would otherwise develop and market ourselves.</w:t>
      </w:r>
    </w:p>
    <w:p w:rsidR="00000000" w:rsidRDefault="00375AF8">
      <w:pPr>
        <w:jc w:val="both"/>
        <w:divId w:val="749810063"/>
        <w:rPr>
          <w:rFonts w:eastAsia="Times New Roman"/>
        </w:rPr>
      </w:pPr>
      <w:r>
        <w:rPr>
          <w:rFonts w:eastAsia="Times New Roman"/>
          <w:b/>
          <w:bCs/>
          <w:i/>
          <w:iCs/>
          <w:color w:val="000000"/>
          <w:sz w:val="18"/>
          <w:szCs w:val="18"/>
        </w:rPr>
        <w:t>Our ability to use our net operating loss (“NOL”) carryforwards and certain other tax attributes to offset future taxable income may be subject to limitation.</w:t>
      </w:r>
    </w:p>
    <w:p w:rsidR="00000000" w:rsidRDefault="00375AF8">
      <w:pPr>
        <w:ind w:firstLine="720"/>
        <w:jc w:val="both"/>
        <w:divId w:val="1093357343"/>
        <w:rPr>
          <w:rFonts w:eastAsia="Times New Roman"/>
        </w:rPr>
      </w:pPr>
      <w:r>
        <w:rPr>
          <w:rFonts w:eastAsia="Times New Roman"/>
          <w:color w:val="000000"/>
          <w:sz w:val="18"/>
          <w:szCs w:val="18"/>
        </w:rPr>
        <w:t>Our NOL carryforwards could e</w:t>
      </w:r>
      <w:r>
        <w:rPr>
          <w:rFonts w:eastAsia="Times New Roman"/>
          <w:color w:val="000000"/>
          <w:sz w:val="18"/>
          <w:szCs w:val="18"/>
        </w:rPr>
        <w:t>xpire unused and be unavailable to offset future income tax liabilities because of their limited duration or because of restrictions under U.S. tax law. Our federal NOLs generated in tax years beginning on or before December 31, 2017 are permitted to be ca</w:t>
      </w:r>
      <w:r>
        <w:rPr>
          <w:rFonts w:eastAsia="Times New Roman"/>
          <w:color w:val="000000"/>
          <w:sz w:val="18"/>
          <w:szCs w:val="18"/>
        </w:rPr>
        <w:t xml:space="preserve">rried forward for only 20 years under applicable U.S. tax law. Under the Tax Cuts and Jobs Act, or the Tax Act, as modified by the Coronavirus Aid, Relief, and Economic Security Act, or the CARES Act, federal NOLs incurred in taxable years beginning after </w:t>
      </w:r>
      <w:r>
        <w:rPr>
          <w:rFonts w:eastAsia="Times New Roman"/>
          <w:color w:val="000000"/>
          <w:sz w:val="18"/>
          <w:szCs w:val="18"/>
        </w:rPr>
        <w:t>December 31, 2017 may be carried forward indefinitely, but the utilization of such federal NOLs incurred in the taxable year beginning after December 31, 2020 is limited.</w:t>
      </w:r>
    </w:p>
    <w:p w:rsidR="00000000" w:rsidRDefault="00375AF8">
      <w:pPr>
        <w:ind w:firstLine="720"/>
        <w:jc w:val="both"/>
        <w:divId w:val="2118600720"/>
        <w:rPr>
          <w:rFonts w:eastAsia="Times New Roman"/>
        </w:rPr>
      </w:pPr>
      <w:r>
        <w:rPr>
          <w:rFonts w:eastAsia="Times New Roman"/>
          <w:color w:val="000000"/>
          <w:sz w:val="18"/>
          <w:szCs w:val="18"/>
        </w:rPr>
        <w:t xml:space="preserve">In addition, under Section 382 and Section 383 of the Internal Revenue Code of 1986, </w:t>
      </w:r>
      <w:r>
        <w:rPr>
          <w:rFonts w:eastAsia="Times New Roman"/>
          <w:color w:val="000000"/>
          <w:sz w:val="18"/>
          <w:szCs w:val="18"/>
        </w:rPr>
        <w:t xml:space="preserve">as amended, and corresponding provisions of state law, if a corporation undergoes an “ownership change,” its ability to use its pre-change NOL carryforwards and other </w:t>
      </w:r>
    </w:p>
    <w:p w:rsidR="00000000" w:rsidRDefault="00375AF8">
      <w:pPr>
        <w:jc w:val="center"/>
        <w:divId w:val="746538599"/>
        <w:rPr>
          <w:rFonts w:eastAsia="Times New Roman"/>
        </w:rPr>
      </w:pPr>
      <w:r>
        <w:rPr>
          <w:rFonts w:eastAsia="Times New Roman"/>
          <w:color w:val="000000"/>
          <w:sz w:val="18"/>
          <w:szCs w:val="18"/>
        </w:rPr>
        <w:t>31</w:t>
      </w:r>
    </w:p>
    <w:p w:rsidR="00000000" w:rsidRDefault="00375AF8">
      <w:pPr>
        <w:rPr>
          <w:rFonts w:eastAsia="Times New Roman"/>
        </w:rPr>
      </w:pPr>
      <w:r>
        <w:rPr>
          <w:rFonts w:eastAsia="Times New Roman"/>
        </w:rPr>
        <w:pict>
          <v:rect id="_x0000_i1057" style="width:0;height:1.5pt" o:hralign="center" o:hrstd="t" o:hr="t" fillcolor="#a0a0a0" stroked="f"/>
        </w:pict>
      </w:r>
    </w:p>
    <w:p w:rsidR="00000000" w:rsidRDefault="00375AF8">
      <w:pPr>
        <w:divId w:val="76711882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984693036"/>
        <w:rPr>
          <w:rFonts w:eastAsia="Times New Roman"/>
        </w:rPr>
      </w:pPr>
      <w:r>
        <w:rPr>
          <w:rFonts w:eastAsia="Times New Roman"/>
          <w:color w:val="000000"/>
          <w:sz w:val="18"/>
          <w:szCs w:val="18"/>
        </w:rPr>
        <w:t>pre-change tax attributes (such as research tax credits) to offset its post-change income may be limited. A Section 382 “ownership change” generally occurs if one or more stockholders or groups of stockholders who own at least 5</w:t>
      </w:r>
      <w:r>
        <w:rPr>
          <w:rFonts w:eastAsia="Times New Roman"/>
          <w:color w:val="000000"/>
          <w:sz w:val="18"/>
          <w:szCs w:val="18"/>
        </w:rPr>
        <w:t xml:space="preserve">% of our stock increase their ownership by more than 50 percentage points (by value) over their lowest ownership percentage over a rolling three-year period. We may have experienced ownership changes in the past and may experience ownership changes in the </w:t>
      </w:r>
      <w:r>
        <w:rPr>
          <w:rFonts w:eastAsia="Times New Roman"/>
          <w:color w:val="000000"/>
          <w:sz w:val="18"/>
          <w:szCs w:val="18"/>
        </w:rPr>
        <w:t xml:space="preserve">future as a result of shifts in our stock ownership (some of which are outside our control). As a result, if we earn net taxable income, our ability to use our pre-change NOLs to offset such taxable income may be subject to limitations. Similar provisions </w:t>
      </w:r>
      <w:r>
        <w:rPr>
          <w:rFonts w:eastAsia="Times New Roman"/>
          <w:color w:val="000000"/>
          <w:sz w:val="18"/>
          <w:szCs w:val="18"/>
        </w:rPr>
        <w:t>of state tax law may also apply to limit our use of accumulated state tax attributes. In addition, at the state level, there may be periods during which the use of NOLs is suspended or otherwise limited, which could accelerate or permanently increase state</w:t>
      </w:r>
      <w:r>
        <w:rPr>
          <w:rFonts w:eastAsia="Times New Roman"/>
          <w:color w:val="000000"/>
          <w:sz w:val="18"/>
          <w:szCs w:val="18"/>
        </w:rPr>
        <w:t xml:space="preserve"> taxes owed.</w:t>
      </w:r>
    </w:p>
    <w:p w:rsidR="00000000" w:rsidRDefault="00375AF8">
      <w:pPr>
        <w:ind w:firstLine="720"/>
        <w:jc w:val="both"/>
        <w:divId w:val="748624318"/>
        <w:rPr>
          <w:rFonts w:eastAsia="Times New Roman"/>
        </w:rPr>
      </w:pPr>
      <w:r>
        <w:rPr>
          <w:rFonts w:eastAsia="Times New Roman"/>
          <w:color w:val="000000"/>
          <w:sz w:val="18"/>
          <w:szCs w:val="18"/>
        </w:rPr>
        <w:t>For the three months ended June 30, 2022, we recorded no U.S. federal or state income tax provision, based on a pre-tax loss of approximately $14.6 million. As of June 30, 2022, we had available approximately $171.3 million of unused NOL carry</w:t>
      </w:r>
      <w:r>
        <w:rPr>
          <w:rFonts w:eastAsia="Times New Roman"/>
          <w:color w:val="000000"/>
          <w:sz w:val="18"/>
          <w:szCs w:val="18"/>
        </w:rPr>
        <w:t>forwards for federal and New York state income tax purposes and approximately $163.9 million of unused NOL carryforwards for New York City income tax purposes, that may be applied against future taxable income. Our NOL carryforwards are significantly limit</w:t>
      </w:r>
      <w:r>
        <w:rPr>
          <w:rFonts w:eastAsia="Times New Roman"/>
          <w:color w:val="000000"/>
          <w:sz w:val="18"/>
          <w:szCs w:val="18"/>
        </w:rPr>
        <w:t xml:space="preserve">ed such that even if we achieve profitability in future periods, we may not be able to utilize a material portion of our NOL carryforwards and certain other tax attributes, which could have a material adverse effect on cash flow and results of operations. </w:t>
      </w:r>
    </w:p>
    <w:p w:rsidR="00000000" w:rsidRDefault="00375AF8">
      <w:pPr>
        <w:jc w:val="both"/>
        <w:divId w:val="204025837"/>
        <w:rPr>
          <w:rFonts w:eastAsia="Times New Roman"/>
        </w:rPr>
      </w:pPr>
      <w:r>
        <w:rPr>
          <w:rFonts w:eastAsia="Times New Roman"/>
          <w:b/>
          <w:bCs/>
          <w:color w:val="000000"/>
          <w:sz w:val="18"/>
          <w:szCs w:val="18"/>
        </w:rPr>
        <w:t>Risks Related to the Development and Commercialization of Our Drug Candidates</w:t>
      </w:r>
    </w:p>
    <w:p w:rsidR="00000000" w:rsidRDefault="00375AF8">
      <w:pPr>
        <w:jc w:val="both"/>
        <w:divId w:val="780996939"/>
        <w:rPr>
          <w:rFonts w:eastAsia="Times New Roman"/>
        </w:rPr>
      </w:pPr>
      <w:r>
        <w:rPr>
          <w:rFonts w:eastAsia="Times New Roman"/>
          <w:b/>
          <w:bCs/>
          <w:i/>
          <w:iCs/>
          <w:color w:val="000000"/>
          <w:sz w:val="18"/>
          <w:szCs w:val="18"/>
        </w:rPr>
        <w:t>We are very early in our development efforts and all our drug candidates are in preclinical development. If we are unable to successfully develop, receive regulatory approval fo</w:t>
      </w:r>
      <w:r>
        <w:rPr>
          <w:rFonts w:eastAsia="Times New Roman"/>
          <w:b/>
          <w:bCs/>
          <w:i/>
          <w:iCs/>
          <w:color w:val="000000"/>
          <w:sz w:val="18"/>
          <w:szCs w:val="18"/>
        </w:rPr>
        <w:t>r and commercialize our drug candidates for these or any other indications, or successfully develop any other drug candidates, or experience significant delays in doing so, our business will be harmed.</w:t>
      </w:r>
    </w:p>
    <w:p w:rsidR="00000000" w:rsidRDefault="00375AF8">
      <w:pPr>
        <w:ind w:firstLine="720"/>
        <w:jc w:val="both"/>
        <w:divId w:val="78528380"/>
        <w:rPr>
          <w:rFonts w:eastAsia="Times New Roman"/>
        </w:rPr>
      </w:pPr>
      <w:r>
        <w:rPr>
          <w:rFonts w:eastAsia="Times New Roman"/>
          <w:color w:val="000000"/>
          <w:sz w:val="18"/>
          <w:szCs w:val="18"/>
        </w:rPr>
        <w:t>We are very early in our development efforts and all o</w:t>
      </w:r>
      <w:r>
        <w:rPr>
          <w:rFonts w:eastAsia="Times New Roman"/>
          <w:color w:val="000000"/>
          <w:sz w:val="18"/>
          <w:szCs w:val="18"/>
        </w:rPr>
        <w:t>f the drug candidates (including OV329 and OV350), for which we control developmental and commercial responsibility are still in preclinical development. For example, we previously publicly announced we anticipate filing three investigational new drug (“IN</w:t>
      </w:r>
      <w:r>
        <w:rPr>
          <w:rFonts w:eastAsia="Times New Roman"/>
          <w:color w:val="000000"/>
          <w:sz w:val="18"/>
          <w:szCs w:val="18"/>
        </w:rPr>
        <w:t>D”) applications in three years, beginning in 2022, however we cannot guarantee success of pre-clinical development to achieve all such IND applications. Following IND acceptance, each of our drug candidates will need to be progressed through clinical deve</w:t>
      </w:r>
      <w:r>
        <w:rPr>
          <w:rFonts w:eastAsia="Times New Roman"/>
          <w:color w:val="000000"/>
          <w:sz w:val="18"/>
          <w:szCs w:val="18"/>
        </w:rPr>
        <w:t>lopment in order to achieve regulatory approval, and we will also need to address issues relating to manufacture and supply, which may involve building our own capacity and expertise. In order to commercialize any product that achieves regulatory approval,</w:t>
      </w:r>
      <w:r>
        <w:rPr>
          <w:rFonts w:eastAsia="Times New Roman"/>
          <w:color w:val="000000"/>
          <w:sz w:val="18"/>
          <w:szCs w:val="18"/>
        </w:rPr>
        <w:t xml:space="preserve"> we will need to build a commercial organization or successfully outsource commercialization, all of which will require substantial investment and significant marketing efforts before we have the ability to generate any revenue from drug sales. We do not h</w:t>
      </w:r>
      <w:r>
        <w:rPr>
          <w:rFonts w:eastAsia="Times New Roman"/>
          <w:color w:val="000000"/>
          <w:sz w:val="18"/>
          <w:szCs w:val="18"/>
        </w:rPr>
        <w:t>ave any drugs that are approved for commercial sale, and we may never be able to develop or commercialize marketable drugs.</w:t>
      </w:r>
    </w:p>
    <w:p w:rsidR="00000000" w:rsidRDefault="00375AF8">
      <w:pPr>
        <w:ind w:firstLine="720"/>
        <w:jc w:val="both"/>
        <w:divId w:val="243418406"/>
        <w:rPr>
          <w:rFonts w:eastAsia="Times New Roman"/>
        </w:rPr>
      </w:pPr>
      <w:r>
        <w:rPr>
          <w:rFonts w:eastAsia="Times New Roman"/>
          <w:color w:val="000000"/>
          <w:sz w:val="18"/>
          <w:szCs w:val="18"/>
        </w:rPr>
        <w:t>Our ability to generate revenue from drug sales and achieve profitability depends on our ability, alone or with any current or futur</w:t>
      </w:r>
      <w:r>
        <w:rPr>
          <w:rFonts w:eastAsia="Times New Roman"/>
          <w:color w:val="000000"/>
          <w:sz w:val="18"/>
          <w:szCs w:val="18"/>
        </w:rPr>
        <w:t>e collaborative partners, to successfully complete the development of, and obtain the regulatory approvals necessary to commercialize, our current and future drug candidates. We do not anticipate generating revenue from drug sales for the next several year</w:t>
      </w:r>
      <w:r>
        <w:rPr>
          <w:rFonts w:eastAsia="Times New Roman"/>
          <w:color w:val="000000"/>
          <w:sz w:val="18"/>
          <w:szCs w:val="18"/>
        </w:rPr>
        <w:t>s, if ever. Our ability to generate revenue from drug sales depends heavily on our, or any current or future collaborators’, success in the following areas, including but not limited to:</w:t>
      </w:r>
    </w:p>
    <w:p w:rsidR="00000000" w:rsidRDefault="00375AF8">
      <w:pPr>
        <w:ind w:hanging="720"/>
        <w:jc w:val="both"/>
        <w:divId w:val="1679699447"/>
        <w:rPr>
          <w:rFonts w:eastAsia="Times New Roman"/>
        </w:rPr>
      </w:pPr>
      <w:r>
        <w:rPr>
          <w:rFonts w:eastAsia="Times New Roman"/>
          <w:color w:val="000000"/>
          <w:sz w:val="18"/>
          <w:szCs w:val="18"/>
        </w:rPr>
        <w:t>•</w:t>
      </w:r>
      <w:r>
        <w:rPr>
          <w:rFonts w:eastAsia="Times New Roman"/>
          <w:color w:val="000000"/>
          <w:sz w:val="18"/>
          <w:szCs w:val="18"/>
        </w:rPr>
        <w:t>timely and successfully completing preclinical and clinical development of our current and future drug candidates;</w:t>
      </w:r>
    </w:p>
    <w:p w:rsidR="00000000" w:rsidRDefault="00375AF8">
      <w:pPr>
        <w:ind w:hanging="720"/>
        <w:jc w:val="both"/>
        <w:divId w:val="79109840"/>
        <w:rPr>
          <w:rFonts w:eastAsia="Times New Roman"/>
        </w:rPr>
      </w:pPr>
      <w:r>
        <w:rPr>
          <w:rFonts w:eastAsia="Times New Roman"/>
          <w:color w:val="000000"/>
          <w:sz w:val="18"/>
          <w:szCs w:val="18"/>
        </w:rPr>
        <w:t>•obtaining regulatory approvals for our current and future drug candidates for which we successfully complete clinical trials;</w:t>
      </w:r>
    </w:p>
    <w:p w:rsidR="00000000" w:rsidRDefault="00375AF8">
      <w:pPr>
        <w:ind w:hanging="720"/>
        <w:jc w:val="both"/>
        <w:divId w:val="349529839"/>
        <w:rPr>
          <w:rFonts w:eastAsia="Times New Roman"/>
        </w:rPr>
      </w:pPr>
      <w:r>
        <w:rPr>
          <w:rFonts w:eastAsia="Times New Roman"/>
          <w:color w:val="000000"/>
          <w:sz w:val="18"/>
          <w:szCs w:val="18"/>
        </w:rPr>
        <w:t>•launching and</w:t>
      </w:r>
      <w:r>
        <w:rPr>
          <w:rFonts w:eastAsia="Times New Roman"/>
          <w:color w:val="000000"/>
          <w:sz w:val="18"/>
          <w:szCs w:val="18"/>
        </w:rPr>
        <w:t xml:space="preserve"> commercializing any drug candidates for which we obtain regulatory approval by establishing a sales force, marketing and distribution infrastructure or, alternatively, collaborating with a commercialization partner;</w:t>
      </w:r>
    </w:p>
    <w:p w:rsidR="00000000" w:rsidRDefault="00375AF8">
      <w:pPr>
        <w:ind w:hanging="720"/>
        <w:jc w:val="both"/>
        <w:divId w:val="2086418908"/>
        <w:rPr>
          <w:rFonts w:eastAsia="Times New Roman"/>
        </w:rPr>
      </w:pPr>
      <w:r>
        <w:rPr>
          <w:rFonts w:eastAsia="Times New Roman"/>
          <w:color w:val="000000"/>
          <w:sz w:val="18"/>
          <w:szCs w:val="18"/>
        </w:rPr>
        <w:t>•qualifying for coverage and adequate r</w:t>
      </w:r>
      <w:r>
        <w:rPr>
          <w:rFonts w:eastAsia="Times New Roman"/>
          <w:color w:val="000000"/>
          <w:sz w:val="18"/>
          <w:szCs w:val="18"/>
        </w:rPr>
        <w:t>eimbursement by government and third-party payors for any drug candidates for which we obtain regulatory approval, both in the United States and internationally;</w:t>
      </w:r>
    </w:p>
    <w:p w:rsidR="00000000" w:rsidRDefault="00375AF8">
      <w:pPr>
        <w:ind w:hanging="720"/>
        <w:jc w:val="both"/>
        <w:divId w:val="1338188602"/>
        <w:rPr>
          <w:rFonts w:eastAsia="Times New Roman"/>
        </w:rPr>
      </w:pPr>
      <w:r>
        <w:rPr>
          <w:rFonts w:eastAsia="Times New Roman"/>
          <w:color w:val="000000"/>
          <w:sz w:val="18"/>
          <w:szCs w:val="18"/>
        </w:rPr>
        <w:t>•developing, validating and maintaining a commercially viable, sustainable, scalable, reproduc</w:t>
      </w:r>
      <w:r>
        <w:rPr>
          <w:rFonts w:eastAsia="Times New Roman"/>
          <w:color w:val="000000"/>
          <w:sz w:val="18"/>
          <w:szCs w:val="18"/>
        </w:rPr>
        <w:t>ible and transferable manufacturing process for our current and future drug candidates that is compliant with current good manufacturing practices (“cGMP”);</w:t>
      </w:r>
    </w:p>
    <w:p w:rsidR="00000000" w:rsidRDefault="00375AF8">
      <w:pPr>
        <w:ind w:hanging="720"/>
        <w:jc w:val="both"/>
        <w:divId w:val="22363274"/>
        <w:rPr>
          <w:rFonts w:eastAsia="Times New Roman"/>
        </w:rPr>
      </w:pPr>
      <w:r>
        <w:rPr>
          <w:rFonts w:eastAsia="Times New Roman"/>
          <w:color w:val="000000"/>
          <w:sz w:val="18"/>
          <w:szCs w:val="18"/>
        </w:rPr>
        <w:t>•establishing and maintaining supply and manufacturing relationships with third parties that can pr</w:t>
      </w:r>
      <w:r>
        <w:rPr>
          <w:rFonts w:eastAsia="Times New Roman"/>
          <w:color w:val="000000"/>
          <w:sz w:val="18"/>
          <w:szCs w:val="18"/>
        </w:rPr>
        <w:t>ovide an adequate amount and quality of drugs and services to support clinical development, as well as the market demand for our current and future drug candidates, if approved;</w:t>
      </w:r>
    </w:p>
    <w:p w:rsidR="00000000" w:rsidRDefault="00375AF8">
      <w:pPr>
        <w:ind w:hanging="720"/>
        <w:jc w:val="both"/>
        <w:divId w:val="211501088"/>
        <w:rPr>
          <w:rFonts w:eastAsia="Times New Roman"/>
        </w:rPr>
      </w:pPr>
      <w:r>
        <w:rPr>
          <w:rFonts w:eastAsia="Times New Roman"/>
          <w:color w:val="000000"/>
          <w:sz w:val="18"/>
          <w:szCs w:val="18"/>
        </w:rPr>
        <w:t>•obtaining market acceptance, if and when approved, of our current or any futu</w:t>
      </w:r>
      <w:r>
        <w:rPr>
          <w:rFonts w:eastAsia="Times New Roman"/>
          <w:color w:val="000000"/>
          <w:sz w:val="18"/>
          <w:szCs w:val="18"/>
        </w:rPr>
        <w:t>re drug candidates as a viable treatment option by physicians, patients, third-party payors and others in the medical community;</w:t>
      </w:r>
    </w:p>
    <w:p w:rsidR="00000000" w:rsidRDefault="00375AF8">
      <w:pPr>
        <w:ind w:hanging="720"/>
        <w:jc w:val="both"/>
        <w:divId w:val="667558029"/>
        <w:rPr>
          <w:rFonts w:eastAsia="Times New Roman"/>
        </w:rPr>
      </w:pPr>
      <w:r>
        <w:rPr>
          <w:rFonts w:eastAsia="Times New Roman"/>
          <w:color w:val="000000"/>
          <w:sz w:val="18"/>
          <w:szCs w:val="18"/>
        </w:rPr>
        <w:t>•effectively addressing any competing technological and market developments;</w:t>
      </w:r>
    </w:p>
    <w:p w:rsidR="00000000" w:rsidRDefault="00375AF8">
      <w:pPr>
        <w:ind w:hanging="720"/>
        <w:jc w:val="both"/>
        <w:divId w:val="1309364593"/>
        <w:rPr>
          <w:rFonts w:eastAsia="Times New Roman"/>
        </w:rPr>
      </w:pPr>
      <w:r>
        <w:rPr>
          <w:rFonts w:eastAsia="Times New Roman"/>
          <w:color w:val="000000"/>
          <w:sz w:val="18"/>
          <w:szCs w:val="18"/>
        </w:rPr>
        <w:t>•implementing additional internal systems and infr</w:t>
      </w:r>
      <w:r>
        <w:rPr>
          <w:rFonts w:eastAsia="Times New Roman"/>
          <w:color w:val="000000"/>
          <w:sz w:val="18"/>
          <w:szCs w:val="18"/>
        </w:rPr>
        <w:t>astructure, as needed;</w:t>
      </w:r>
    </w:p>
    <w:p w:rsidR="00000000" w:rsidRDefault="00375AF8">
      <w:pPr>
        <w:ind w:hanging="720"/>
        <w:jc w:val="both"/>
        <w:divId w:val="115567164"/>
        <w:rPr>
          <w:rFonts w:eastAsia="Times New Roman"/>
        </w:rPr>
      </w:pPr>
      <w:r>
        <w:rPr>
          <w:rFonts w:eastAsia="Times New Roman"/>
          <w:color w:val="000000"/>
          <w:sz w:val="18"/>
          <w:szCs w:val="18"/>
        </w:rPr>
        <w:t>•negotiating favorable terms in any collaboration, licensing or other arrangements into which we may enter and performing our obligations pursuant to such arrangements;</w:t>
      </w:r>
    </w:p>
    <w:p w:rsidR="00000000" w:rsidRDefault="00375AF8">
      <w:pPr>
        <w:ind w:hanging="720"/>
        <w:jc w:val="both"/>
        <w:divId w:val="417408262"/>
        <w:rPr>
          <w:rFonts w:eastAsia="Times New Roman"/>
        </w:rPr>
      </w:pPr>
      <w:r>
        <w:rPr>
          <w:rFonts w:eastAsia="Times New Roman"/>
          <w:color w:val="000000"/>
          <w:sz w:val="18"/>
          <w:szCs w:val="18"/>
        </w:rPr>
        <w:t>•obtaining and maintaining orphan drug exclusivity for any of ou</w:t>
      </w:r>
      <w:r>
        <w:rPr>
          <w:rFonts w:eastAsia="Times New Roman"/>
          <w:color w:val="000000"/>
          <w:sz w:val="18"/>
          <w:szCs w:val="18"/>
        </w:rPr>
        <w:t>r current and future drug candidates for which we obtain regulatory approval;</w:t>
      </w:r>
    </w:p>
    <w:p w:rsidR="00000000" w:rsidRDefault="00375AF8">
      <w:pPr>
        <w:jc w:val="center"/>
        <w:divId w:val="1568415720"/>
        <w:rPr>
          <w:rFonts w:eastAsia="Times New Roman"/>
        </w:rPr>
      </w:pPr>
      <w:r>
        <w:rPr>
          <w:rFonts w:eastAsia="Times New Roman"/>
          <w:color w:val="000000"/>
          <w:sz w:val="18"/>
          <w:szCs w:val="18"/>
        </w:rPr>
        <w:t>32</w:t>
      </w:r>
    </w:p>
    <w:p w:rsidR="00000000" w:rsidRDefault="00375AF8">
      <w:pPr>
        <w:rPr>
          <w:rFonts w:eastAsia="Times New Roman"/>
        </w:rPr>
      </w:pPr>
      <w:r>
        <w:rPr>
          <w:rFonts w:eastAsia="Times New Roman"/>
        </w:rPr>
        <w:pict>
          <v:rect id="_x0000_i1058" style="width:0;height:1.5pt" o:hralign="center" o:hrstd="t" o:hr="t" fillcolor="#a0a0a0" stroked="f"/>
        </w:pict>
      </w:r>
    </w:p>
    <w:p w:rsidR="00000000" w:rsidRDefault="00375AF8">
      <w:pPr>
        <w:divId w:val="1054041763"/>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2014795781"/>
        <w:rPr>
          <w:rFonts w:eastAsia="Times New Roman"/>
        </w:rPr>
      </w:pPr>
      <w:r>
        <w:rPr>
          <w:rFonts w:eastAsia="Times New Roman"/>
          <w:color w:val="000000"/>
          <w:sz w:val="18"/>
          <w:szCs w:val="18"/>
        </w:rPr>
        <w:t>•maintaining, protecting and expanding our portfolio of intell</w:t>
      </w:r>
      <w:r>
        <w:rPr>
          <w:rFonts w:eastAsia="Times New Roman"/>
          <w:color w:val="000000"/>
          <w:sz w:val="18"/>
          <w:szCs w:val="18"/>
        </w:rPr>
        <w:t>ectual property rights, including patents, trade secrets and know-how;</w:t>
      </w:r>
    </w:p>
    <w:p w:rsidR="00000000" w:rsidRDefault="00375AF8">
      <w:pPr>
        <w:ind w:hanging="720"/>
        <w:jc w:val="both"/>
        <w:divId w:val="1643386682"/>
        <w:rPr>
          <w:rFonts w:eastAsia="Times New Roman"/>
        </w:rPr>
      </w:pPr>
      <w:r>
        <w:rPr>
          <w:rFonts w:eastAsia="Times New Roman"/>
          <w:color w:val="000000"/>
          <w:sz w:val="18"/>
          <w:szCs w:val="18"/>
        </w:rPr>
        <w:t>•avoiding and defending against third-party interference or infringement claims; and</w:t>
      </w:r>
    </w:p>
    <w:p w:rsidR="00000000" w:rsidRDefault="00375AF8">
      <w:pPr>
        <w:ind w:hanging="720"/>
        <w:jc w:val="both"/>
        <w:divId w:val="157810958"/>
        <w:rPr>
          <w:rFonts w:eastAsia="Times New Roman"/>
        </w:rPr>
      </w:pPr>
      <w:r>
        <w:rPr>
          <w:rFonts w:eastAsia="Times New Roman"/>
          <w:color w:val="000000"/>
          <w:sz w:val="18"/>
          <w:szCs w:val="18"/>
        </w:rPr>
        <w:t>•securing appropriate pricing in the United States, the European Union and other countries.</w:t>
      </w:r>
    </w:p>
    <w:p w:rsidR="00000000" w:rsidRDefault="00375AF8">
      <w:pPr>
        <w:ind w:firstLine="720"/>
        <w:jc w:val="both"/>
        <w:divId w:val="290286776"/>
        <w:rPr>
          <w:rFonts w:eastAsia="Times New Roman"/>
        </w:rPr>
      </w:pPr>
      <w:r>
        <w:rPr>
          <w:rFonts w:eastAsia="Times New Roman"/>
          <w:color w:val="000000"/>
          <w:sz w:val="18"/>
          <w:szCs w:val="18"/>
        </w:rPr>
        <w:t>If we ar</w:t>
      </w:r>
      <w:r>
        <w:rPr>
          <w:rFonts w:eastAsia="Times New Roman"/>
          <w:color w:val="000000"/>
          <w:sz w:val="18"/>
          <w:szCs w:val="18"/>
        </w:rPr>
        <w:t>e not successful with respect to one or more of these factors in a timely manner or at all, we could experience significant delays or an inability to successfully commercialize the drug candidates we develop, which would materially harm our business. If we</w:t>
      </w:r>
      <w:r>
        <w:rPr>
          <w:rFonts w:eastAsia="Times New Roman"/>
          <w:color w:val="000000"/>
          <w:sz w:val="18"/>
          <w:szCs w:val="18"/>
        </w:rPr>
        <w:t xml:space="preserve"> do not receive marketing approvals for any drug candidate we develop, we may not be able to continue our operations.</w:t>
      </w:r>
    </w:p>
    <w:p w:rsidR="00000000" w:rsidRDefault="00375AF8">
      <w:pPr>
        <w:jc w:val="both"/>
        <w:divId w:val="1725131998"/>
        <w:rPr>
          <w:rFonts w:eastAsia="Times New Roman"/>
        </w:rPr>
      </w:pPr>
      <w:r>
        <w:rPr>
          <w:rFonts w:eastAsia="Times New Roman"/>
          <w:b/>
          <w:bCs/>
          <w:i/>
          <w:iCs/>
          <w:color w:val="000000"/>
          <w:sz w:val="18"/>
          <w:szCs w:val="18"/>
        </w:rPr>
        <w:t>Our future success is dependent on the successful clinical development, regulatory approval and commercialization of our current and futur</w:t>
      </w:r>
      <w:r>
        <w:rPr>
          <w:rFonts w:eastAsia="Times New Roman"/>
          <w:b/>
          <w:bCs/>
          <w:i/>
          <w:iCs/>
          <w:color w:val="000000"/>
          <w:sz w:val="18"/>
          <w:szCs w:val="18"/>
        </w:rPr>
        <w:t>e drug candidates. If we, or our licensees, are not able to obtain the required regulatory approvals, we, or our licensees, will not be able to commercialize our drug candidates, and our ability to generate revenue will be adversely affected.</w:t>
      </w:r>
    </w:p>
    <w:p w:rsidR="00000000" w:rsidRDefault="00375AF8">
      <w:pPr>
        <w:ind w:firstLine="720"/>
        <w:jc w:val="both"/>
        <w:divId w:val="874005433"/>
        <w:rPr>
          <w:rFonts w:eastAsia="Times New Roman"/>
        </w:rPr>
      </w:pPr>
      <w:r>
        <w:rPr>
          <w:rFonts w:eastAsia="Times New Roman"/>
          <w:color w:val="000000"/>
          <w:sz w:val="18"/>
          <w:szCs w:val="18"/>
        </w:rPr>
        <w:t>We do not hav</w:t>
      </w:r>
      <w:r>
        <w:rPr>
          <w:rFonts w:eastAsia="Times New Roman"/>
          <w:color w:val="000000"/>
          <w:sz w:val="18"/>
          <w:szCs w:val="18"/>
        </w:rPr>
        <w:t>e any drugs that have received regulatory approval. Our business is dependent on our ability to successfully complete preclinical and clinical development of, obtain regulatory approval for, and, if approved, successfully commercialize our current and futu</w:t>
      </w:r>
      <w:r>
        <w:rPr>
          <w:rFonts w:eastAsia="Times New Roman"/>
          <w:color w:val="000000"/>
          <w:sz w:val="18"/>
          <w:szCs w:val="18"/>
        </w:rPr>
        <w:t>re drug candidates in a timely manner. Activities associated with the development and commercialization of our current and future drug candidates are subject to comprehensive regulation by the FDA and other regulatory agencies in the United States and simi</w:t>
      </w:r>
      <w:r>
        <w:rPr>
          <w:rFonts w:eastAsia="Times New Roman"/>
          <w:color w:val="000000"/>
          <w:sz w:val="18"/>
          <w:szCs w:val="18"/>
        </w:rPr>
        <w:t xml:space="preserve">lar regulatory authorities outside the United States. Failure to obtain regulatory approval in the United States or other jurisdictions would prevent us from commercializing and marketing our current and future drug candidates. An inability to effectively </w:t>
      </w:r>
      <w:r>
        <w:rPr>
          <w:rFonts w:eastAsia="Times New Roman"/>
          <w:color w:val="000000"/>
          <w:sz w:val="18"/>
          <w:szCs w:val="18"/>
        </w:rPr>
        <w:t>develop and commercialize our current and future drug candidates, whether due to the impacts of the ongoing COVID-19 pandemic or otherwise, could have an adverse effect on our business, financial condition, results of operations and growth prospects.</w:t>
      </w:r>
    </w:p>
    <w:p w:rsidR="00000000" w:rsidRDefault="00375AF8">
      <w:pPr>
        <w:ind w:firstLine="720"/>
        <w:jc w:val="both"/>
        <w:divId w:val="834880567"/>
        <w:rPr>
          <w:rFonts w:eastAsia="Times New Roman"/>
        </w:rPr>
      </w:pPr>
      <w:r>
        <w:rPr>
          <w:rFonts w:eastAsia="Times New Roman"/>
          <w:color w:val="000000"/>
          <w:sz w:val="18"/>
          <w:szCs w:val="18"/>
        </w:rPr>
        <w:t>TAK-9</w:t>
      </w:r>
      <w:r>
        <w:rPr>
          <w:rFonts w:eastAsia="Times New Roman"/>
          <w:color w:val="000000"/>
          <w:sz w:val="18"/>
          <w:szCs w:val="18"/>
        </w:rPr>
        <w:t>35, the most advanced compound we helped to develop, is being developed by Takeda and is currently in a pivotal trial program. If the pivotal trials are unsuccessful, or the compound is not approved, we will not receive the milestone payments and royalties</w:t>
      </w:r>
      <w:r>
        <w:rPr>
          <w:rFonts w:eastAsia="Times New Roman"/>
          <w:color w:val="000000"/>
          <w:sz w:val="18"/>
          <w:szCs w:val="18"/>
        </w:rPr>
        <w:t xml:space="preserve"> from the Takeda License and Termination Agreement. Without those funds, we may need to raise significant additional capital to pursue the development and commercialization of our current and future pipeline.</w:t>
      </w:r>
    </w:p>
    <w:p w:rsidR="00000000" w:rsidRDefault="00375AF8">
      <w:pPr>
        <w:ind w:firstLine="720"/>
        <w:jc w:val="both"/>
        <w:divId w:val="454375462"/>
        <w:rPr>
          <w:rFonts w:eastAsia="Times New Roman"/>
        </w:rPr>
      </w:pPr>
      <w:r>
        <w:rPr>
          <w:rFonts w:eastAsia="Times New Roman"/>
          <w:color w:val="000000"/>
          <w:sz w:val="18"/>
          <w:szCs w:val="18"/>
        </w:rPr>
        <w:t>Further, activities associated with the develop</w:t>
      </w:r>
      <w:r>
        <w:rPr>
          <w:rFonts w:eastAsia="Times New Roman"/>
          <w:color w:val="000000"/>
          <w:sz w:val="18"/>
          <w:szCs w:val="18"/>
        </w:rPr>
        <w:t>ment and commercialization of our current and future drug candidates are subject to comprehensive regulation by the FDA and other regulatory agencies in the United States and similar regulatory authorities outside the United States. Failure to obtain regul</w:t>
      </w:r>
      <w:r>
        <w:rPr>
          <w:rFonts w:eastAsia="Times New Roman"/>
          <w:color w:val="000000"/>
          <w:sz w:val="18"/>
          <w:szCs w:val="18"/>
        </w:rPr>
        <w:t>atory approval in the United States or other jurisdictions would prevent us from commercializing and marketing our current and future drug candidates.</w:t>
      </w:r>
    </w:p>
    <w:p w:rsidR="00000000" w:rsidRDefault="00375AF8">
      <w:pPr>
        <w:ind w:firstLine="720"/>
        <w:jc w:val="both"/>
        <w:divId w:val="786894733"/>
        <w:rPr>
          <w:rFonts w:eastAsia="Times New Roman"/>
        </w:rPr>
      </w:pPr>
      <w:r>
        <w:rPr>
          <w:rFonts w:eastAsia="Times New Roman"/>
          <w:color w:val="000000"/>
          <w:sz w:val="18"/>
          <w:szCs w:val="18"/>
        </w:rPr>
        <w:t>Even if we obtain approval from the FDA and comparable foreign regulatory authorities for our current and</w:t>
      </w:r>
      <w:r>
        <w:rPr>
          <w:rFonts w:eastAsia="Times New Roman"/>
          <w:color w:val="000000"/>
          <w:sz w:val="18"/>
          <w:szCs w:val="18"/>
        </w:rPr>
        <w:t xml:space="preserve"> future drug candidates, any approval might contain significant limitations related to use restrictions for specified age groups, warnings, precautions or contraindications, or may be subject to burdensome post-approval study or risk management requirement</w:t>
      </w:r>
      <w:r>
        <w:rPr>
          <w:rFonts w:eastAsia="Times New Roman"/>
          <w:color w:val="000000"/>
          <w:sz w:val="18"/>
          <w:szCs w:val="18"/>
        </w:rPr>
        <w:t>s. If we are unable to obtain regulatory approval, or any approval contains significant limitations, we may not be able to obtain sufficient funding or generate sufficient revenue to continue the development of that drug candidate or any other drug candida</w:t>
      </w:r>
      <w:r>
        <w:rPr>
          <w:rFonts w:eastAsia="Times New Roman"/>
          <w:color w:val="000000"/>
          <w:sz w:val="18"/>
          <w:szCs w:val="18"/>
        </w:rPr>
        <w:t>te that we may in-license, develop or acquire in the future. In certain circumstances, our third-party licensees are responsible for obtaining regulatory approvals in the countries covered by the license, and we are dependent on their efforts in order to a</w:t>
      </w:r>
      <w:r>
        <w:rPr>
          <w:rFonts w:eastAsia="Times New Roman"/>
          <w:color w:val="000000"/>
          <w:sz w:val="18"/>
          <w:szCs w:val="18"/>
        </w:rPr>
        <w:t>chieve the necessary approvals in order to commercialize our products. If any future licensees fail to perform their obligations to develop and obtain regulatory approvals for the licensed products, we may not be able to commercialize our products in the a</w:t>
      </w:r>
      <w:r>
        <w:rPr>
          <w:rFonts w:eastAsia="Times New Roman"/>
          <w:color w:val="000000"/>
          <w:sz w:val="18"/>
          <w:szCs w:val="18"/>
        </w:rPr>
        <w:t>ffected countries, or our ability to do so may be substantially delayed.</w:t>
      </w:r>
    </w:p>
    <w:p w:rsidR="00000000" w:rsidRDefault="00375AF8">
      <w:pPr>
        <w:ind w:firstLine="720"/>
        <w:jc w:val="both"/>
        <w:divId w:val="479078566"/>
        <w:rPr>
          <w:rFonts w:eastAsia="Times New Roman"/>
        </w:rPr>
      </w:pPr>
      <w:r>
        <w:rPr>
          <w:rFonts w:eastAsia="Times New Roman"/>
          <w:color w:val="000000"/>
          <w:sz w:val="18"/>
          <w:szCs w:val="18"/>
        </w:rPr>
        <w:t>Furthermore, even if we obtain regulatory approval for our current and future drug candidates, we will still need to develop a commercial organization, establish a commercially viable</w:t>
      </w:r>
      <w:r>
        <w:rPr>
          <w:rFonts w:eastAsia="Times New Roman"/>
          <w:color w:val="000000"/>
          <w:sz w:val="18"/>
          <w:szCs w:val="18"/>
        </w:rPr>
        <w:t xml:space="preserve"> pricing structure and obtain approval for adequate reimbursement from third-party and government payors. If we are unable to successfully commercialize our current and future drug candidates, we may not be able to generate sufficient revenue to continue o</w:t>
      </w:r>
      <w:r>
        <w:rPr>
          <w:rFonts w:eastAsia="Times New Roman"/>
          <w:color w:val="000000"/>
          <w:sz w:val="18"/>
          <w:szCs w:val="18"/>
        </w:rPr>
        <w:t>ur business.</w:t>
      </w:r>
    </w:p>
    <w:p w:rsidR="00000000" w:rsidRDefault="00375AF8">
      <w:pPr>
        <w:jc w:val="both"/>
        <w:divId w:val="2066752722"/>
        <w:rPr>
          <w:rFonts w:eastAsia="Times New Roman"/>
        </w:rPr>
      </w:pPr>
      <w:r>
        <w:rPr>
          <w:rFonts w:eastAsia="Times New Roman"/>
          <w:b/>
          <w:bCs/>
          <w:i/>
          <w:iCs/>
          <w:color w:val="000000"/>
          <w:sz w:val="18"/>
          <w:szCs w:val="18"/>
        </w:rPr>
        <w:t xml:space="preserve">Because the results of preclinical studies or earlier clinical trials are not necessarily predictive of future results, our drug candidates may not have favorable results in planned or future preclinical studies or clinical trials, or may not </w:t>
      </w:r>
      <w:r>
        <w:rPr>
          <w:rFonts w:eastAsia="Times New Roman"/>
          <w:b/>
          <w:bCs/>
          <w:i/>
          <w:iCs/>
          <w:color w:val="000000"/>
          <w:sz w:val="18"/>
          <w:szCs w:val="18"/>
        </w:rPr>
        <w:t>receive regulatory approval.</w:t>
      </w:r>
    </w:p>
    <w:p w:rsidR="00000000" w:rsidRDefault="00375AF8">
      <w:pPr>
        <w:ind w:firstLine="720"/>
        <w:jc w:val="both"/>
        <w:divId w:val="617839742"/>
        <w:rPr>
          <w:rFonts w:eastAsia="Times New Roman"/>
        </w:rPr>
      </w:pPr>
      <w:r>
        <w:rPr>
          <w:rFonts w:eastAsia="Times New Roman"/>
          <w:color w:val="000000"/>
          <w:sz w:val="18"/>
          <w:szCs w:val="18"/>
        </w:rPr>
        <w:t>Success in preclinical testing and early clinical trials does not ensure that subsequent clinical trials will generate similar results or otherwise provide adequate data to demonstrate the efficacy and safety of a drug candidat</w:t>
      </w:r>
      <w:r>
        <w:rPr>
          <w:rFonts w:eastAsia="Times New Roman"/>
          <w:color w:val="000000"/>
          <w:sz w:val="18"/>
          <w:szCs w:val="18"/>
        </w:rPr>
        <w:t>e. Frequently, drug candidates that have shown promising results in early clinical trials have subsequently suffered significant setbacks in later clinical trials. For instance, our NEPTUNE trial of OV101, one of our former drug candidates, did not meet it</w:t>
      </w:r>
      <w:r>
        <w:rPr>
          <w:rFonts w:eastAsia="Times New Roman"/>
          <w:color w:val="000000"/>
          <w:sz w:val="18"/>
          <w:szCs w:val="18"/>
        </w:rPr>
        <w:t>s primary endpoints despite earlier encouraging results from our Phase 2 trial STARS, the first clinical trial evaluating efficacy of OV101 in patients with Angelman syndrome. We closed our OV101 program in Angelman syndrome in early 2021. The results from</w:t>
      </w:r>
      <w:r>
        <w:rPr>
          <w:rFonts w:eastAsia="Times New Roman"/>
          <w:color w:val="000000"/>
          <w:sz w:val="18"/>
          <w:szCs w:val="18"/>
        </w:rPr>
        <w:t xml:space="preserve"> preclinical studies of our current and future drug candidates may not be predictive of the effects of these compounds in later stage clinical trials. If we do not observe favorable results in clinical trials of one of our drug candidates, we may decide to</w:t>
      </w:r>
      <w:r>
        <w:rPr>
          <w:rFonts w:eastAsia="Times New Roman"/>
          <w:color w:val="000000"/>
          <w:sz w:val="18"/>
          <w:szCs w:val="18"/>
        </w:rPr>
        <w:t xml:space="preserve"> delay or abandon clinical development of that drug candidate. Any such delay or abandonment could harm our business, financial condition, results of operations and prospects.</w:t>
      </w:r>
    </w:p>
    <w:p w:rsidR="00000000" w:rsidRDefault="00375AF8">
      <w:pPr>
        <w:jc w:val="both"/>
        <w:divId w:val="662048096"/>
        <w:rPr>
          <w:rFonts w:eastAsia="Times New Roman"/>
        </w:rPr>
      </w:pPr>
      <w:r>
        <w:rPr>
          <w:rFonts w:eastAsia="Times New Roman"/>
          <w:b/>
          <w:bCs/>
          <w:i/>
          <w:iCs/>
          <w:color w:val="000000"/>
          <w:sz w:val="18"/>
          <w:szCs w:val="18"/>
        </w:rPr>
        <w:t>It is difficult to predict the time and cost of product candidate development and subsequently obtaining regulatory approval for our gene therapy candidates.</w:t>
      </w:r>
    </w:p>
    <w:p w:rsidR="00000000" w:rsidRDefault="00375AF8">
      <w:pPr>
        <w:ind w:firstLine="720"/>
        <w:jc w:val="both"/>
        <w:divId w:val="941766059"/>
        <w:rPr>
          <w:rFonts w:eastAsia="Times New Roman"/>
        </w:rPr>
      </w:pPr>
      <w:r>
        <w:rPr>
          <w:rFonts w:eastAsia="Times New Roman"/>
          <w:color w:val="000000"/>
          <w:sz w:val="18"/>
          <w:szCs w:val="18"/>
        </w:rPr>
        <w:t>Our future success depends in part on the successful development of our early-stage gene therapy p</w:t>
      </w:r>
      <w:r>
        <w:rPr>
          <w:rFonts w:eastAsia="Times New Roman"/>
          <w:color w:val="000000"/>
          <w:sz w:val="18"/>
          <w:szCs w:val="18"/>
        </w:rPr>
        <w:t>roduct candidates. We may experience delays in developing a sustainable, reproducible, and scalable manufacturing process or transferring that process to internal and external commercial manufacturing sites, which may prevent us from initiating or completi</w:t>
      </w:r>
      <w:r>
        <w:rPr>
          <w:rFonts w:eastAsia="Times New Roman"/>
          <w:color w:val="000000"/>
          <w:sz w:val="18"/>
          <w:szCs w:val="18"/>
        </w:rPr>
        <w:t>ng our clinical trials or commercializing our product candidates on a timely or profitable basis, if at all.</w:t>
      </w:r>
    </w:p>
    <w:p w:rsidR="00000000" w:rsidRDefault="00375AF8">
      <w:pPr>
        <w:jc w:val="center"/>
        <w:divId w:val="2085637585"/>
        <w:rPr>
          <w:rFonts w:eastAsia="Times New Roman"/>
        </w:rPr>
      </w:pPr>
      <w:r>
        <w:rPr>
          <w:rFonts w:eastAsia="Times New Roman"/>
          <w:color w:val="000000"/>
          <w:sz w:val="18"/>
          <w:szCs w:val="18"/>
        </w:rPr>
        <w:t>33</w:t>
      </w:r>
    </w:p>
    <w:p w:rsidR="00000000" w:rsidRDefault="00375AF8">
      <w:pPr>
        <w:rPr>
          <w:rFonts w:eastAsia="Times New Roman"/>
        </w:rPr>
      </w:pPr>
      <w:r>
        <w:rPr>
          <w:rFonts w:eastAsia="Times New Roman"/>
        </w:rPr>
        <w:pict>
          <v:rect id="_x0000_i1059" style="width:0;height:1.5pt" o:hralign="center" o:hrstd="t" o:hr="t" fillcolor="#a0a0a0" stroked="f"/>
        </w:pict>
      </w:r>
    </w:p>
    <w:p w:rsidR="00000000" w:rsidRDefault="00375AF8">
      <w:pPr>
        <w:divId w:val="152050786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325283320"/>
        <w:rPr>
          <w:rFonts w:eastAsia="Times New Roman"/>
        </w:rPr>
      </w:pPr>
      <w:r>
        <w:rPr>
          <w:rFonts w:eastAsia="Times New Roman"/>
          <w:color w:val="000000"/>
          <w:sz w:val="18"/>
          <w:szCs w:val="18"/>
        </w:rPr>
        <w:t>The regulatory approval process for novel gene therapy products such as ours can be more expensive and take longer than for other product types, which are better known or more extensively studied to date. Regulatory approaches and requirements for gene the</w:t>
      </w:r>
      <w:r>
        <w:rPr>
          <w:rFonts w:eastAsia="Times New Roman"/>
          <w:color w:val="000000"/>
          <w:sz w:val="18"/>
          <w:szCs w:val="18"/>
        </w:rPr>
        <w:t xml:space="preserve">rapy products continue to evolve, and any changes could create significant delay and unpredictability for product development and approval as compared to technologies with which regulatory authorities have more substantial experience. </w:t>
      </w:r>
    </w:p>
    <w:p w:rsidR="00000000" w:rsidRDefault="00375AF8">
      <w:pPr>
        <w:ind w:firstLine="720"/>
        <w:jc w:val="both"/>
        <w:divId w:val="1754163946"/>
        <w:rPr>
          <w:rFonts w:eastAsia="Times New Roman"/>
        </w:rPr>
      </w:pPr>
      <w:r>
        <w:rPr>
          <w:rFonts w:eastAsia="Times New Roman"/>
          <w:color w:val="000000"/>
          <w:sz w:val="18"/>
          <w:szCs w:val="18"/>
        </w:rPr>
        <w:t>Also, before a clini</w:t>
      </w:r>
      <w:r>
        <w:rPr>
          <w:rFonts w:eastAsia="Times New Roman"/>
          <w:color w:val="000000"/>
          <w:sz w:val="18"/>
          <w:szCs w:val="18"/>
        </w:rPr>
        <w:t>cal trial can begin to enroll at a site, each clinical site's Institutional Review Board (“IRB”) and its Institutional Biosafety Committee will have to review the proposed clinical trial to assess appropriateness to conduct the clinical trial at that site.</w:t>
      </w:r>
      <w:r>
        <w:rPr>
          <w:rFonts w:eastAsia="Times New Roman"/>
          <w:color w:val="000000"/>
          <w:sz w:val="18"/>
          <w:szCs w:val="18"/>
        </w:rPr>
        <w:t xml:space="preserve"> In addition, adverse events in clinical trials of gene therapy products conducted by others may cause the FDA or other regulatory authorities outside the U.S. to change the requirements for human research on or for approval of any of our product candidate</w:t>
      </w:r>
      <w:r>
        <w:rPr>
          <w:rFonts w:eastAsia="Times New Roman"/>
          <w:color w:val="000000"/>
          <w:sz w:val="18"/>
          <w:szCs w:val="18"/>
        </w:rPr>
        <w:t>s.</w:t>
      </w:r>
    </w:p>
    <w:p w:rsidR="00000000" w:rsidRDefault="00375AF8">
      <w:pPr>
        <w:jc w:val="both"/>
        <w:divId w:val="1219130113"/>
        <w:rPr>
          <w:rFonts w:eastAsia="Times New Roman"/>
        </w:rPr>
      </w:pPr>
      <w:r>
        <w:rPr>
          <w:rFonts w:eastAsia="Times New Roman"/>
          <w:b/>
          <w:bCs/>
          <w:i/>
          <w:iCs/>
          <w:color w:val="000000"/>
          <w:sz w:val="18"/>
          <w:szCs w:val="18"/>
        </w:rPr>
        <w:t>Negative public opinion and increased regulatory scrutiny of gene therapy and genetic research may damage public perception of our product candidates or adversely affect our ability to conduct our business or obtain marketing approvals for our product c</w:t>
      </w:r>
      <w:r>
        <w:rPr>
          <w:rFonts w:eastAsia="Times New Roman"/>
          <w:b/>
          <w:bCs/>
          <w:i/>
          <w:iCs/>
          <w:color w:val="000000"/>
          <w:sz w:val="18"/>
          <w:szCs w:val="18"/>
        </w:rPr>
        <w:t>andidates.</w:t>
      </w:r>
    </w:p>
    <w:p w:rsidR="00000000" w:rsidRDefault="00375AF8">
      <w:pPr>
        <w:ind w:firstLine="720"/>
        <w:jc w:val="both"/>
        <w:divId w:val="331299364"/>
        <w:rPr>
          <w:rFonts w:eastAsia="Times New Roman"/>
        </w:rPr>
      </w:pPr>
      <w:r>
        <w:rPr>
          <w:rFonts w:eastAsia="Times New Roman"/>
          <w:color w:val="000000"/>
          <w:sz w:val="18"/>
          <w:szCs w:val="18"/>
        </w:rPr>
        <w:t>Public perception may be influenced by claims that gene therapy is unsafe, and gene therapy may not gain the acceptance of the public or the medical community. More restrictive government regulations or negative public opinion would have a negat</w:t>
      </w:r>
      <w:r>
        <w:rPr>
          <w:rFonts w:eastAsia="Times New Roman"/>
          <w:color w:val="000000"/>
          <w:sz w:val="18"/>
          <w:szCs w:val="18"/>
        </w:rPr>
        <w:t>ive effect on our business or financial condition and may delay or impair the development and commercialization of our product candidates or demand for any products we may develop. Trials using early versions of retroviral vectors, which integrate into, an</w:t>
      </w:r>
      <w:r>
        <w:rPr>
          <w:rFonts w:eastAsia="Times New Roman"/>
          <w:color w:val="000000"/>
          <w:sz w:val="18"/>
          <w:szCs w:val="18"/>
        </w:rPr>
        <w:t>d thereby alter, the host cell’s DNA, have led to several well-publicized adverse events. The risk of serious adverse events remains a concern for gene therapy and we cannot assure that it will not occur in any of our future clinical trials. In addition, t</w:t>
      </w:r>
      <w:r>
        <w:rPr>
          <w:rFonts w:eastAsia="Times New Roman"/>
          <w:color w:val="000000"/>
          <w:sz w:val="18"/>
          <w:szCs w:val="18"/>
        </w:rPr>
        <w:t>here is the potential risk of delayed adverse events following exposure to gene therapy products due to persistent biological activity of the genetic material or other components of products used to carry the genetic material.</w:t>
      </w:r>
    </w:p>
    <w:p w:rsidR="00000000" w:rsidRDefault="00375AF8">
      <w:pPr>
        <w:ind w:firstLine="720"/>
        <w:jc w:val="both"/>
        <w:divId w:val="313534274"/>
        <w:rPr>
          <w:rFonts w:eastAsia="Times New Roman"/>
        </w:rPr>
      </w:pPr>
      <w:r>
        <w:rPr>
          <w:rFonts w:eastAsia="Times New Roman"/>
          <w:color w:val="000000"/>
          <w:sz w:val="18"/>
          <w:szCs w:val="18"/>
        </w:rPr>
        <w:t>Adverse events in trials or s</w:t>
      </w:r>
      <w:r>
        <w:rPr>
          <w:rFonts w:eastAsia="Times New Roman"/>
          <w:color w:val="000000"/>
          <w:sz w:val="18"/>
          <w:szCs w:val="18"/>
        </w:rPr>
        <w:t>tudies conducted by us or other parties, even if not ultimately attributable to our product candidates, and resulting publicity, could result in increased governmental regulation, unfavorable public perception, potential regulatory delays in the testing or</w:t>
      </w:r>
      <w:r>
        <w:rPr>
          <w:rFonts w:eastAsia="Times New Roman"/>
          <w:color w:val="000000"/>
          <w:sz w:val="18"/>
          <w:szCs w:val="18"/>
        </w:rPr>
        <w:t xml:space="preserve"> approval of our product candidates, stricter labeling requirements for those product candidates that are approved and a decrease in demand for any such product candidates.</w:t>
      </w:r>
    </w:p>
    <w:p w:rsidR="00000000" w:rsidRDefault="00375AF8">
      <w:pPr>
        <w:jc w:val="both"/>
        <w:divId w:val="305283344"/>
        <w:rPr>
          <w:rFonts w:eastAsia="Times New Roman"/>
        </w:rPr>
      </w:pPr>
      <w:r>
        <w:rPr>
          <w:rFonts w:eastAsia="Times New Roman"/>
          <w:b/>
          <w:bCs/>
          <w:i/>
          <w:iCs/>
          <w:color w:val="000000"/>
          <w:sz w:val="18"/>
          <w:szCs w:val="18"/>
        </w:rPr>
        <w:t>Interim topline and preliminary results from our clinical trials that we announce o</w:t>
      </w:r>
      <w:r>
        <w:rPr>
          <w:rFonts w:eastAsia="Times New Roman"/>
          <w:b/>
          <w:bCs/>
          <w:i/>
          <w:iCs/>
          <w:color w:val="000000"/>
          <w:sz w:val="18"/>
          <w:szCs w:val="18"/>
        </w:rPr>
        <w:t>r publish from time to time may change as more patient data become available and are subject to audit and verification procedures, which could result in material changes in the final data.</w:t>
      </w:r>
    </w:p>
    <w:p w:rsidR="00000000" w:rsidRDefault="00375AF8">
      <w:pPr>
        <w:ind w:firstLine="720"/>
        <w:jc w:val="both"/>
        <w:divId w:val="785731672"/>
        <w:rPr>
          <w:rFonts w:eastAsia="Times New Roman"/>
        </w:rPr>
      </w:pPr>
      <w:r>
        <w:rPr>
          <w:rFonts w:eastAsia="Times New Roman"/>
          <w:color w:val="000000"/>
          <w:sz w:val="18"/>
          <w:szCs w:val="18"/>
        </w:rPr>
        <w:t xml:space="preserve">From time to time, we have and may in the future publish or report </w:t>
      </w:r>
      <w:r>
        <w:rPr>
          <w:rFonts w:eastAsia="Times New Roman"/>
          <w:color w:val="000000"/>
          <w:sz w:val="18"/>
          <w:szCs w:val="18"/>
        </w:rPr>
        <w:t>preliminary or interim data from our clinical trials. Preliminary or interim data from our clinical trials and those of our partners may not be indicative of the final results of the trial and are subject to the risk that one or more of the clinical outcom</w:t>
      </w:r>
      <w:r>
        <w:rPr>
          <w:rFonts w:eastAsia="Times New Roman"/>
          <w:color w:val="000000"/>
          <w:sz w:val="18"/>
          <w:szCs w:val="18"/>
        </w:rPr>
        <w:t>es may materially change as patient enrollment continues and/or more patient data become available. Preliminary or topline results also remain subject to audit and verification procedures that may result in the final data being materially different from th</w:t>
      </w:r>
      <w:r>
        <w:rPr>
          <w:rFonts w:eastAsia="Times New Roman"/>
          <w:color w:val="000000"/>
          <w:sz w:val="18"/>
          <w:szCs w:val="18"/>
        </w:rPr>
        <w:t>e preliminary data we previously published or reported. As a result, preliminary or interim data should be considered carefully and with caution until final data are available. Differences between preliminary or interim data and final data could significan</w:t>
      </w:r>
      <w:r>
        <w:rPr>
          <w:rFonts w:eastAsia="Times New Roman"/>
          <w:color w:val="000000"/>
          <w:sz w:val="18"/>
          <w:szCs w:val="18"/>
        </w:rPr>
        <w:t>tly harm our business prospects and may cause the trading price of our common stock to fluctuate significantly.</w:t>
      </w:r>
    </w:p>
    <w:p w:rsidR="00000000" w:rsidRDefault="00375AF8">
      <w:pPr>
        <w:jc w:val="both"/>
        <w:divId w:val="1924872176"/>
        <w:rPr>
          <w:rFonts w:eastAsia="Times New Roman"/>
        </w:rPr>
      </w:pPr>
      <w:r>
        <w:rPr>
          <w:rFonts w:eastAsia="Times New Roman"/>
          <w:b/>
          <w:bCs/>
          <w:i/>
          <w:iCs/>
          <w:color w:val="000000"/>
          <w:sz w:val="18"/>
          <w:szCs w:val="18"/>
        </w:rPr>
        <w:t>Preclinical studies and clinical trials are very expensive, time-consuming and difficult to design and implement and involve uncertain outcomes.</w:t>
      </w:r>
      <w:r>
        <w:rPr>
          <w:rFonts w:eastAsia="Times New Roman"/>
          <w:b/>
          <w:bCs/>
          <w:i/>
          <w:iCs/>
          <w:color w:val="000000"/>
          <w:sz w:val="18"/>
          <w:szCs w:val="18"/>
        </w:rPr>
        <w:t xml:space="preserve"> Further, we may encounter substantial delays in our clinical trials or we may fail to demonstrate safety and efficacy in our preclinical studies and clinical trials to the satisfaction of applicable regulatory authorities.</w:t>
      </w:r>
    </w:p>
    <w:p w:rsidR="00000000" w:rsidRDefault="00375AF8">
      <w:pPr>
        <w:ind w:firstLine="720"/>
        <w:jc w:val="both"/>
        <w:divId w:val="333924505"/>
        <w:rPr>
          <w:rFonts w:eastAsia="Times New Roman"/>
        </w:rPr>
      </w:pPr>
      <w:r>
        <w:rPr>
          <w:rFonts w:eastAsia="Times New Roman"/>
          <w:color w:val="000000"/>
          <w:sz w:val="18"/>
          <w:szCs w:val="18"/>
        </w:rPr>
        <w:t>All of our current drug candidat</w:t>
      </w:r>
      <w:r>
        <w:rPr>
          <w:rFonts w:eastAsia="Times New Roman"/>
          <w:color w:val="000000"/>
          <w:sz w:val="18"/>
          <w:szCs w:val="18"/>
        </w:rPr>
        <w:t>es are in preclinical development and their risk of failure is high. We must demonstrate through lengthy, complex and expensive preclinical testing and clinical trials that each of our drug candidates are safe and effective for its intended indications bef</w:t>
      </w:r>
      <w:r>
        <w:rPr>
          <w:rFonts w:eastAsia="Times New Roman"/>
          <w:color w:val="000000"/>
          <w:sz w:val="18"/>
          <w:szCs w:val="18"/>
        </w:rPr>
        <w:t>ore we are prepared to submit a new drug application (“NDA”) or Biologics License Application (“BLA”) for regulatory approval. We cannot predict with any certainty if or when we might submit an NDA or BLA for any of our product candidates or whether any su</w:t>
      </w:r>
      <w:r>
        <w:rPr>
          <w:rFonts w:eastAsia="Times New Roman"/>
          <w:color w:val="000000"/>
          <w:sz w:val="18"/>
          <w:szCs w:val="18"/>
        </w:rPr>
        <w:t>ch application will be approved by the FDA. Human clinical trials are very expensive and difficult to design and implement, in part because they are subject to rigorous review and regulatory requirements by numerous government authorities in the United Sta</w:t>
      </w:r>
      <w:r>
        <w:rPr>
          <w:rFonts w:eastAsia="Times New Roman"/>
          <w:color w:val="000000"/>
          <w:sz w:val="18"/>
          <w:szCs w:val="18"/>
        </w:rPr>
        <w:t>tes and in other countries where we intend to test and market our product candidates. For instance, the FDA may not agree with our proposed endpoints for any future clinical trial of our product candidates, which may delay the commencement of such clinical</w:t>
      </w:r>
      <w:r>
        <w:rPr>
          <w:rFonts w:eastAsia="Times New Roman"/>
          <w:color w:val="000000"/>
          <w:sz w:val="18"/>
          <w:szCs w:val="18"/>
        </w:rPr>
        <w:t xml:space="preserve"> trial.</w:t>
      </w:r>
    </w:p>
    <w:p w:rsidR="00000000" w:rsidRDefault="00375AF8">
      <w:pPr>
        <w:ind w:firstLine="720"/>
        <w:jc w:val="both"/>
        <w:divId w:val="968392635"/>
        <w:rPr>
          <w:rFonts w:eastAsia="Times New Roman"/>
        </w:rPr>
      </w:pPr>
      <w:r>
        <w:rPr>
          <w:rFonts w:eastAsia="Times New Roman"/>
          <w:color w:val="000000"/>
          <w:sz w:val="18"/>
          <w:szCs w:val="18"/>
        </w:rPr>
        <w:t>We estimate that the successful completion of clinical trials of our product candidates will take at least several years to complete, if not longer. We cannot guarantee that any clinical trials will be conducted as planned or completed on schedule,</w:t>
      </w:r>
      <w:r>
        <w:rPr>
          <w:rFonts w:eastAsia="Times New Roman"/>
          <w:color w:val="000000"/>
          <w:sz w:val="18"/>
          <w:szCs w:val="18"/>
        </w:rPr>
        <w:t xml:space="preserve"> if at all. Furthermore, failure can occur at any stage and we could encounter problems that cause us to abandon or repeat clinical trials. Events that may prevent successful or timely completion of clinical development include:</w:t>
      </w:r>
    </w:p>
    <w:p w:rsidR="00000000" w:rsidRDefault="00375AF8">
      <w:pPr>
        <w:ind w:hanging="720"/>
        <w:jc w:val="both"/>
        <w:divId w:val="1398239743"/>
        <w:rPr>
          <w:rFonts w:eastAsia="Times New Roman"/>
        </w:rPr>
      </w:pPr>
      <w:r>
        <w:rPr>
          <w:rFonts w:eastAsia="Times New Roman"/>
          <w:color w:val="000000"/>
          <w:sz w:val="18"/>
          <w:szCs w:val="18"/>
        </w:rPr>
        <w:t xml:space="preserve">•our inability to generate </w:t>
      </w:r>
      <w:r>
        <w:rPr>
          <w:rFonts w:eastAsia="Times New Roman"/>
          <w:color w:val="000000"/>
          <w:sz w:val="18"/>
          <w:szCs w:val="18"/>
        </w:rPr>
        <w:t>sufficient preclinical, toxicology or other data to support the initiation of clinical trials;</w:t>
      </w:r>
    </w:p>
    <w:p w:rsidR="00000000" w:rsidRDefault="00375AF8">
      <w:pPr>
        <w:ind w:hanging="720"/>
        <w:jc w:val="both"/>
        <w:divId w:val="1910724327"/>
        <w:rPr>
          <w:rFonts w:eastAsia="Times New Roman"/>
        </w:rPr>
      </w:pPr>
      <w:r>
        <w:rPr>
          <w:rFonts w:eastAsia="Times New Roman"/>
          <w:color w:val="000000"/>
          <w:sz w:val="18"/>
          <w:szCs w:val="18"/>
        </w:rPr>
        <w:t>•our inability to develop and validate disease-relevant clinical endpoints;</w:t>
      </w:r>
    </w:p>
    <w:p w:rsidR="00000000" w:rsidRDefault="00375AF8">
      <w:pPr>
        <w:ind w:hanging="720"/>
        <w:jc w:val="both"/>
        <w:divId w:val="2037385165"/>
        <w:rPr>
          <w:rFonts w:eastAsia="Times New Roman"/>
        </w:rPr>
      </w:pPr>
      <w:r>
        <w:rPr>
          <w:rFonts w:eastAsia="Times New Roman"/>
          <w:color w:val="000000"/>
          <w:sz w:val="18"/>
          <w:szCs w:val="18"/>
        </w:rPr>
        <w:t>•delays in reaching a consensus with regulatory authorities on trial design;</w:t>
      </w:r>
    </w:p>
    <w:p w:rsidR="00000000" w:rsidRDefault="00375AF8">
      <w:pPr>
        <w:ind w:hanging="720"/>
        <w:jc w:val="both"/>
        <w:divId w:val="1371147993"/>
        <w:rPr>
          <w:rFonts w:eastAsia="Times New Roman"/>
        </w:rPr>
      </w:pPr>
      <w:r>
        <w:rPr>
          <w:rFonts w:eastAsia="Times New Roman"/>
          <w:color w:val="000000"/>
          <w:sz w:val="18"/>
          <w:szCs w:val="18"/>
        </w:rPr>
        <w:t xml:space="preserve">•delays </w:t>
      </w:r>
      <w:r>
        <w:rPr>
          <w:rFonts w:eastAsia="Times New Roman"/>
          <w:color w:val="000000"/>
          <w:sz w:val="18"/>
          <w:szCs w:val="18"/>
        </w:rPr>
        <w:t>in reaching agreement on acceptable terms with prospective clinical research organizations (“CROs”) and clinical trial sites;</w:t>
      </w:r>
    </w:p>
    <w:p w:rsidR="00000000" w:rsidRDefault="00375AF8">
      <w:pPr>
        <w:ind w:hanging="720"/>
        <w:jc w:val="both"/>
        <w:divId w:val="716512084"/>
        <w:rPr>
          <w:rFonts w:eastAsia="Times New Roman"/>
        </w:rPr>
      </w:pPr>
      <w:r>
        <w:rPr>
          <w:rFonts w:eastAsia="Times New Roman"/>
          <w:color w:val="000000"/>
          <w:sz w:val="18"/>
          <w:szCs w:val="18"/>
        </w:rPr>
        <w:t>•delays in opening investigational sites;</w:t>
      </w:r>
    </w:p>
    <w:p w:rsidR="00000000" w:rsidRDefault="00375AF8">
      <w:pPr>
        <w:jc w:val="center"/>
        <w:divId w:val="1875191322"/>
        <w:rPr>
          <w:rFonts w:eastAsia="Times New Roman"/>
        </w:rPr>
      </w:pPr>
      <w:r>
        <w:rPr>
          <w:rFonts w:eastAsia="Times New Roman"/>
          <w:color w:val="000000"/>
          <w:sz w:val="18"/>
          <w:szCs w:val="18"/>
        </w:rPr>
        <w:t>34</w:t>
      </w:r>
    </w:p>
    <w:p w:rsidR="00000000" w:rsidRDefault="00375AF8">
      <w:pPr>
        <w:rPr>
          <w:rFonts w:eastAsia="Times New Roman"/>
        </w:rPr>
      </w:pPr>
      <w:r>
        <w:rPr>
          <w:rFonts w:eastAsia="Times New Roman"/>
        </w:rPr>
        <w:pict>
          <v:rect id="_x0000_i1060" style="width:0;height:1.5pt" o:hralign="center" o:hrstd="t" o:hr="t" fillcolor="#a0a0a0" stroked="f"/>
        </w:pict>
      </w:r>
    </w:p>
    <w:p w:rsidR="00000000" w:rsidRDefault="00375AF8">
      <w:pPr>
        <w:divId w:val="68382226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990204133"/>
        <w:rPr>
          <w:rFonts w:eastAsia="Times New Roman"/>
        </w:rPr>
      </w:pPr>
      <w:r>
        <w:rPr>
          <w:rFonts w:eastAsia="Times New Roman"/>
          <w:color w:val="000000"/>
          <w:sz w:val="18"/>
          <w:szCs w:val="18"/>
        </w:rPr>
        <w:t>•delays or difficulty in recruiting and enrollment of suitable patients to participate in our clinical trials, whether as a result of the COVID-19 pandemic or otherwise;</w:t>
      </w:r>
    </w:p>
    <w:p w:rsidR="00000000" w:rsidRDefault="00375AF8">
      <w:pPr>
        <w:ind w:hanging="720"/>
        <w:jc w:val="both"/>
        <w:divId w:val="1691107422"/>
        <w:rPr>
          <w:rFonts w:eastAsia="Times New Roman"/>
        </w:rPr>
      </w:pPr>
      <w:r>
        <w:rPr>
          <w:rFonts w:eastAsia="Times New Roman"/>
          <w:color w:val="000000"/>
          <w:sz w:val="18"/>
          <w:szCs w:val="18"/>
        </w:rPr>
        <w:t>•imposition of a clinical hold by regulatory authorities b</w:t>
      </w:r>
      <w:r>
        <w:rPr>
          <w:rFonts w:eastAsia="Times New Roman"/>
          <w:color w:val="000000"/>
          <w:sz w:val="18"/>
          <w:szCs w:val="18"/>
        </w:rPr>
        <w:t>ecause of a serious adverse event, concerns with a class of drug candidates or after an inspection of our clinical trial operations or trial sites;</w:t>
      </w:r>
    </w:p>
    <w:p w:rsidR="00000000" w:rsidRDefault="00375AF8">
      <w:pPr>
        <w:ind w:hanging="720"/>
        <w:jc w:val="both"/>
        <w:divId w:val="2091535515"/>
        <w:rPr>
          <w:rFonts w:eastAsia="Times New Roman"/>
        </w:rPr>
      </w:pPr>
      <w:r>
        <w:rPr>
          <w:rFonts w:eastAsia="Times New Roman"/>
          <w:color w:val="000000"/>
          <w:sz w:val="18"/>
          <w:szCs w:val="18"/>
        </w:rPr>
        <w:t>•delays in having patients complete participation in a trial or return for post-treatment follow-up;</w:t>
      </w:r>
    </w:p>
    <w:p w:rsidR="00000000" w:rsidRDefault="00375AF8">
      <w:pPr>
        <w:ind w:hanging="720"/>
        <w:jc w:val="both"/>
        <w:divId w:val="2124568849"/>
        <w:rPr>
          <w:rFonts w:eastAsia="Times New Roman"/>
        </w:rPr>
      </w:pPr>
      <w:r>
        <w:rPr>
          <w:rFonts w:eastAsia="Times New Roman"/>
          <w:color w:val="000000"/>
          <w:sz w:val="18"/>
          <w:szCs w:val="18"/>
        </w:rPr>
        <w:t>•</w:t>
      </w:r>
      <w:r>
        <w:rPr>
          <w:rFonts w:eastAsia="Times New Roman"/>
          <w:color w:val="000000"/>
          <w:sz w:val="18"/>
          <w:szCs w:val="18"/>
        </w:rPr>
        <w:t xml:space="preserve">occurrence of serious adverse events associated with the drug candidate that are viewed to outweigh its potential benefits; </w:t>
      </w:r>
    </w:p>
    <w:p w:rsidR="00000000" w:rsidRDefault="00375AF8">
      <w:pPr>
        <w:ind w:hanging="720"/>
        <w:jc w:val="both"/>
        <w:divId w:val="238373548"/>
        <w:rPr>
          <w:rFonts w:eastAsia="Times New Roman"/>
        </w:rPr>
      </w:pPr>
      <w:r>
        <w:rPr>
          <w:rFonts w:eastAsia="Times New Roman"/>
          <w:color w:val="000000"/>
          <w:sz w:val="18"/>
          <w:szCs w:val="18"/>
        </w:rPr>
        <w:t>•changes in regulatory requirements and guidance that require amending or submitting new clinical protocols; or</w:t>
      </w:r>
    </w:p>
    <w:p w:rsidR="00000000" w:rsidRDefault="00375AF8">
      <w:pPr>
        <w:ind w:hanging="720"/>
        <w:jc w:val="both"/>
        <w:divId w:val="1480656184"/>
        <w:rPr>
          <w:rFonts w:eastAsia="Times New Roman"/>
        </w:rPr>
      </w:pPr>
      <w:r>
        <w:rPr>
          <w:rFonts w:eastAsia="Times New Roman"/>
          <w:color w:val="000000"/>
          <w:sz w:val="18"/>
          <w:szCs w:val="18"/>
        </w:rPr>
        <w:t>•business interrupt</w:t>
      </w:r>
      <w:r>
        <w:rPr>
          <w:rFonts w:eastAsia="Times New Roman"/>
          <w:color w:val="000000"/>
          <w:sz w:val="18"/>
          <w:szCs w:val="18"/>
        </w:rPr>
        <w:t>ions resulting from geo-political actions, including the Russia-Ukraine war or the perception that such hostilities may be imminent, terrorism, natural disasters, or public health epidemics.</w:t>
      </w:r>
    </w:p>
    <w:p w:rsidR="00000000" w:rsidRDefault="00375AF8">
      <w:pPr>
        <w:ind w:firstLine="720"/>
        <w:jc w:val="both"/>
        <w:divId w:val="1232427225"/>
        <w:rPr>
          <w:rFonts w:eastAsia="Times New Roman"/>
        </w:rPr>
      </w:pPr>
      <w:r>
        <w:rPr>
          <w:rFonts w:eastAsia="Times New Roman"/>
          <w:color w:val="000000"/>
          <w:sz w:val="18"/>
          <w:szCs w:val="18"/>
        </w:rPr>
        <w:t>Clinical site initiation and patient enrollment may be delayed du</w:t>
      </w:r>
      <w:r>
        <w:rPr>
          <w:rFonts w:eastAsia="Times New Roman"/>
          <w:color w:val="000000"/>
          <w:sz w:val="18"/>
          <w:szCs w:val="18"/>
        </w:rPr>
        <w:t xml:space="preserve">e to prioritization of hospital resources toward the ongoing COVID-19 pandemic. Patients may not be able to comply with clinical trial protocols if quarantines impede patient movement or interrupt healthcare services. Similarly, our ability to recruit and </w:t>
      </w:r>
      <w:r>
        <w:rPr>
          <w:rFonts w:eastAsia="Times New Roman"/>
          <w:color w:val="000000"/>
          <w:sz w:val="18"/>
          <w:szCs w:val="18"/>
        </w:rPr>
        <w:t>retain patients and principal investigators and site staff who, as healthcare providers, may have heightened exposure to COVID-19, could be limited, which in turn could adversely impact our clinical trial operations. Additionally, we may experience interru</w:t>
      </w:r>
      <w:r>
        <w:rPr>
          <w:rFonts w:eastAsia="Times New Roman"/>
          <w:color w:val="000000"/>
          <w:sz w:val="18"/>
          <w:szCs w:val="18"/>
        </w:rPr>
        <w:t>ption of key clinical trial activities, such as clinical trial site monitoring, due to limitations on travel, quarantines or social distancing protocols imposed or recommended by federal or state governments, employers and others in connection with the ong</w:t>
      </w:r>
      <w:r>
        <w:rPr>
          <w:rFonts w:eastAsia="Times New Roman"/>
          <w:color w:val="000000"/>
          <w:sz w:val="18"/>
          <w:szCs w:val="18"/>
        </w:rPr>
        <w:t>oing COVID-19 pandemic. As a result of the COVID-19 pandemic, we have faced and may continue to face delays in meeting our anticipated timelines for our ongoing and planned preclinical studies and clinical trials.</w:t>
      </w:r>
    </w:p>
    <w:p w:rsidR="00000000" w:rsidRDefault="00375AF8">
      <w:pPr>
        <w:ind w:firstLine="720"/>
        <w:jc w:val="both"/>
        <w:divId w:val="276959251"/>
        <w:rPr>
          <w:rFonts w:eastAsia="Times New Roman"/>
        </w:rPr>
      </w:pPr>
      <w:r>
        <w:rPr>
          <w:rFonts w:eastAsia="Times New Roman"/>
          <w:color w:val="000000"/>
          <w:sz w:val="18"/>
          <w:szCs w:val="18"/>
        </w:rPr>
        <w:t>Further, clinical endpoints for certain di</w:t>
      </w:r>
      <w:r>
        <w:rPr>
          <w:rFonts w:eastAsia="Times New Roman"/>
          <w:color w:val="000000"/>
          <w:sz w:val="18"/>
          <w:szCs w:val="18"/>
        </w:rPr>
        <w:t xml:space="preserve">seases we are targeting have not been established, and accordingly we may have to develop new modalities or modify existing endpoints to measure efficacy, which may increase the time it takes for us to commence or complete clinical trials. In addition, we </w:t>
      </w:r>
      <w:r>
        <w:rPr>
          <w:rFonts w:eastAsia="Times New Roman"/>
          <w:color w:val="000000"/>
          <w:sz w:val="18"/>
          <w:szCs w:val="18"/>
        </w:rPr>
        <w:t>believe investigators in this area may be inexperienced in conducting trials in this area due to the current lack of drugs to treat these disorders, which may result in increased time and expense to train investigators and open clinical sites.</w:t>
      </w:r>
    </w:p>
    <w:p w:rsidR="00000000" w:rsidRDefault="00375AF8">
      <w:pPr>
        <w:ind w:firstLine="720"/>
        <w:jc w:val="both"/>
        <w:divId w:val="600524986"/>
        <w:rPr>
          <w:rFonts w:eastAsia="Times New Roman"/>
        </w:rPr>
      </w:pPr>
      <w:r>
        <w:rPr>
          <w:rFonts w:eastAsia="Times New Roman"/>
          <w:color w:val="000000"/>
          <w:sz w:val="18"/>
          <w:szCs w:val="18"/>
        </w:rPr>
        <w:t>Any inabilit</w:t>
      </w:r>
      <w:r>
        <w:rPr>
          <w:rFonts w:eastAsia="Times New Roman"/>
          <w:color w:val="000000"/>
          <w:sz w:val="18"/>
          <w:szCs w:val="18"/>
        </w:rPr>
        <w:t>y to successfully complete preclinical and clinical development could result in additional costs to us or impair our ability to generate revenue from future drug sales and regulatory and commercialization milestones. In addition, if we make manufacturing o</w:t>
      </w:r>
      <w:r>
        <w:rPr>
          <w:rFonts w:eastAsia="Times New Roman"/>
          <w:color w:val="000000"/>
          <w:sz w:val="18"/>
          <w:szCs w:val="18"/>
        </w:rPr>
        <w:t>r formulation changes to our drug candidates, we may need to conduct additional testing to bridge our modified drug candidate to earlier versions. Clinical trial delays could also shorten any periods during which we may have the exclusive right to commerci</w:t>
      </w:r>
      <w:r>
        <w:rPr>
          <w:rFonts w:eastAsia="Times New Roman"/>
          <w:color w:val="000000"/>
          <w:sz w:val="18"/>
          <w:szCs w:val="18"/>
        </w:rPr>
        <w:t>alize our drug candidates, if approved, or allow our competitors to bring comparable drugs to market before we do, which could impair our ability to successfully commercialize our drug candidates and may harm our business, financial condition, results of o</w:t>
      </w:r>
      <w:r>
        <w:rPr>
          <w:rFonts w:eastAsia="Times New Roman"/>
          <w:color w:val="000000"/>
          <w:sz w:val="18"/>
          <w:szCs w:val="18"/>
        </w:rPr>
        <w:t>perations and prospects.</w:t>
      </w:r>
    </w:p>
    <w:p w:rsidR="00000000" w:rsidRDefault="00375AF8">
      <w:pPr>
        <w:ind w:firstLine="720"/>
        <w:jc w:val="both"/>
        <w:divId w:val="413864911"/>
        <w:rPr>
          <w:rFonts w:eastAsia="Times New Roman"/>
        </w:rPr>
      </w:pPr>
      <w:r>
        <w:rPr>
          <w:rFonts w:eastAsia="Times New Roman"/>
          <w:color w:val="000000"/>
          <w:sz w:val="18"/>
          <w:szCs w:val="18"/>
        </w:rPr>
        <w:t>Additionally, if the results of our clinical trials are inconclusive or if there are safety concerns or serious adverse events associated with our drug candidates, we may:</w:t>
      </w:r>
    </w:p>
    <w:p w:rsidR="00000000" w:rsidRDefault="00375AF8">
      <w:pPr>
        <w:ind w:hanging="720"/>
        <w:jc w:val="both"/>
        <w:divId w:val="1773934464"/>
        <w:rPr>
          <w:rFonts w:eastAsia="Times New Roman"/>
        </w:rPr>
      </w:pPr>
      <w:r>
        <w:rPr>
          <w:rFonts w:eastAsia="Times New Roman"/>
          <w:color w:val="000000"/>
          <w:sz w:val="18"/>
          <w:szCs w:val="18"/>
        </w:rPr>
        <w:t>•be delayed in obtaining marketing approval, if at all;</w:t>
      </w:r>
    </w:p>
    <w:p w:rsidR="00000000" w:rsidRDefault="00375AF8">
      <w:pPr>
        <w:ind w:hanging="720"/>
        <w:jc w:val="both"/>
        <w:divId w:val="157618606"/>
        <w:rPr>
          <w:rFonts w:eastAsia="Times New Roman"/>
        </w:rPr>
      </w:pPr>
      <w:r>
        <w:rPr>
          <w:rFonts w:eastAsia="Times New Roman"/>
          <w:color w:val="000000"/>
          <w:sz w:val="18"/>
          <w:szCs w:val="18"/>
        </w:rPr>
        <w:t>•ob</w:t>
      </w:r>
      <w:r>
        <w:rPr>
          <w:rFonts w:eastAsia="Times New Roman"/>
          <w:color w:val="000000"/>
          <w:sz w:val="18"/>
          <w:szCs w:val="18"/>
        </w:rPr>
        <w:t>tain approval for indications or patient populations that are not as broad as intended or desired;</w:t>
      </w:r>
    </w:p>
    <w:p w:rsidR="00000000" w:rsidRDefault="00375AF8">
      <w:pPr>
        <w:ind w:hanging="720"/>
        <w:jc w:val="both"/>
        <w:divId w:val="1408960970"/>
        <w:rPr>
          <w:rFonts w:eastAsia="Times New Roman"/>
        </w:rPr>
      </w:pPr>
      <w:r>
        <w:rPr>
          <w:rFonts w:eastAsia="Times New Roman"/>
          <w:color w:val="000000"/>
          <w:sz w:val="18"/>
          <w:szCs w:val="18"/>
        </w:rPr>
        <w:t>•obtain approval with labeling that includes significant use or distribution restrictions or safety warnings;</w:t>
      </w:r>
    </w:p>
    <w:p w:rsidR="00000000" w:rsidRDefault="00375AF8">
      <w:pPr>
        <w:ind w:hanging="720"/>
        <w:jc w:val="both"/>
        <w:divId w:val="276375398"/>
        <w:rPr>
          <w:rFonts w:eastAsia="Times New Roman"/>
        </w:rPr>
      </w:pPr>
      <w:r>
        <w:rPr>
          <w:rFonts w:eastAsia="Times New Roman"/>
          <w:color w:val="000000"/>
          <w:sz w:val="18"/>
          <w:szCs w:val="18"/>
        </w:rPr>
        <w:t>•</w:t>
      </w:r>
      <w:r>
        <w:rPr>
          <w:rFonts w:eastAsia="Times New Roman"/>
          <w:color w:val="000000"/>
          <w:sz w:val="18"/>
          <w:szCs w:val="18"/>
        </w:rPr>
        <w:t>be subject to additional post-marketing testing requirements;</w:t>
      </w:r>
    </w:p>
    <w:p w:rsidR="00000000" w:rsidRDefault="00375AF8">
      <w:pPr>
        <w:ind w:hanging="720"/>
        <w:jc w:val="both"/>
        <w:divId w:val="1993100943"/>
        <w:rPr>
          <w:rFonts w:eastAsia="Times New Roman"/>
        </w:rPr>
      </w:pPr>
      <w:r>
        <w:rPr>
          <w:rFonts w:eastAsia="Times New Roman"/>
          <w:color w:val="000000"/>
          <w:sz w:val="18"/>
          <w:szCs w:val="18"/>
        </w:rPr>
        <w:t>•be required to perform additional clinical trials to support approval;</w:t>
      </w:r>
    </w:p>
    <w:p w:rsidR="00000000" w:rsidRDefault="00375AF8">
      <w:pPr>
        <w:ind w:hanging="720"/>
        <w:jc w:val="both"/>
        <w:divId w:val="1883010194"/>
        <w:rPr>
          <w:rFonts w:eastAsia="Times New Roman"/>
        </w:rPr>
      </w:pPr>
      <w:r>
        <w:rPr>
          <w:rFonts w:eastAsia="Times New Roman"/>
          <w:color w:val="000000"/>
          <w:sz w:val="18"/>
          <w:szCs w:val="18"/>
        </w:rPr>
        <w:t>•have regulatory authorities withdraw, or suspend, their approval of the drug or impose restrictions on its distribution i</w:t>
      </w:r>
      <w:r>
        <w:rPr>
          <w:rFonts w:eastAsia="Times New Roman"/>
          <w:color w:val="000000"/>
          <w:sz w:val="18"/>
          <w:szCs w:val="18"/>
        </w:rPr>
        <w:t>n the form of a modified risk evaluation and mitigation strategy (“REMS”);</w:t>
      </w:r>
    </w:p>
    <w:p w:rsidR="00000000" w:rsidRDefault="00375AF8">
      <w:pPr>
        <w:ind w:hanging="720"/>
        <w:jc w:val="both"/>
        <w:divId w:val="573393308"/>
        <w:rPr>
          <w:rFonts w:eastAsia="Times New Roman"/>
        </w:rPr>
      </w:pPr>
      <w:r>
        <w:rPr>
          <w:rFonts w:eastAsia="Times New Roman"/>
          <w:color w:val="000000"/>
          <w:sz w:val="18"/>
          <w:szCs w:val="18"/>
        </w:rPr>
        <w:t>•be subject to the addition of labeling statements, such as warnings or contraindications;</w:t>
      </w:r>
    </w:p>
    <w:p w:rsidR="00000000" w:rsidRDefault="00375AF8">
      <w:pPr>
        <w:ind w:hanging="720"/>
        <w:jc w:val="both"/>
        <w:divId w:val="2116049788"/>
        <w:rPr>
          <w:rFonts w:eastAsia="Times New Roman"/>
        </w:rPr>
      </w:pPr>
      <w:r>
        <w:rPr>
          <w:rFonts w:eastAsia="Times New Roman"/>
          <w:color w:val="000000"/>
          <w:sz w:val="18"/>
          <w:szCs w:val="18"/>
        </w:rPr>
        <w:t>•be sued; or</w:t>
      </w:r>
    </w:p>
    <w:p w:rsidR="00000000" w:rsidRDefault="00375AF8">
      <w:pPr>
        <w:ind w:hanging="720"/>
        <w:jc w:val="both"/>
        <w:divId w:val="1328023452"/>
        <w:rPr>
          <w:rFonts w:eastAsia="Times New Roman"/>
        </w:rPr>
      </w:pPr>
      <w:r>
        <w:rPr>
          <w:rFonts w:eastAsia="Times New Roman"/>
          <w:color w:val="000000"/>
          <w:sz w:val="18"/>
          <w:szCs w:val="18"/>
        </w:rPr>
        <w:t>•experience damage to our reputation.</w:t>
      </w:r>
    </w:p>
    <w:p w:rsidR="00000000" w:rsidRDefault="00375AF8">
      <w:pPr>
        <w:ind w:firstLine="720"/>
        <w:jc w:val="both"/>
        <w:divId w:val="1707095674"/>
        <w:rPr>
          <w:rFonts w:eastAsia="Times New Roman"/>
        </w:rPr>
      </w:pPr>
      <w:r>
        <w:rPr>
          <w:rFonts w:eastAsia="Times New Roman"/>
          <w:color w:val="000000"/>
          <w:sz w:val="18"/>
          <w:szCs w:val="18"/>
        </w:rPr>
        <w:t>Our drug development costs will also in</w:t>
      </w:r>
      <w:r>
        <w:rPr>
          <w:rFonts w:eastAsia="Times New Roman"/>
          <w:color w:val="000000"/>
          <w:sz w:val="18"/>
          <w:szCs w:val="18"/>
        </w:rPr>
        <w:t>crease if we experience delays in testing or obtaining marketing approvals. We do not know whether any of our preclinical studies or clinical trials will begin as planned, need to be restructured or be completed on schedule, if at all.</w:t>
      </w:r>
    </w:p>
    <w:p w:rsidR="00000000" w:rsidRDefault="00375AF8">
      <w:pPr>
        <w:ind w:firstLine="720"/>
        <w:jc w:val="both"/>
        <w:divId w:val="1906137187"/>
        <w:rPr>
          <w:rFonts w:eastAsia="Times New Roman"/>
        </w:rPr>
      </w:pPr>
      <w:r>
        <w:rPr>
          <w:rFonts w:eastAsia="Times New Roman"/>
          <w:color w:val="000000"/>
          <w:sz w:val="18"/>
          <w:szCs w:val="18"/>
        </w:rPr>
        <w:t>Further, we, the FDA</w:t>
      </w:r>
      <w:r>
        <w:rPr>
          <w:rFonts w:eastAsia="Times New Roman"/>
          <w:color w:val="000000"/>
          <w:sz w:val="18"/>
          <w:szCs w:val="18"/>
        </w:rPr>
        <w:t xml:space="preserve"> or an IRB may suspend our clinical trials at any time if it appears that we or our collaborators are failing to conduct a trial in accordance with regulatory requirements, including the FDA’s current Good Clinical Practice (“GCP”) regulations, that we are</w:t>
      </w:r>
      <w:r>
        <w:rPr>
          <w:rFonts w:eastAsia="Times New Roman"/>
          <w:color w:val="000000"/>
          <w:sz w:val="18"/>
          <w:szCs w:val="18"/>
        </w:rPr>
        <w:t xml:space="preserve"> exposing participants to unacceptable health risks, or if the FDA finds deficiencies in our IND applications or the conduct of these trials. Therefore, we cannot predict with any certainty the schedule for commencement and completion of future clinical tr</w:t>
      </w:r>
      <w:r>
        <w:rPr>
          <w:rFonts w:eastAsia="Times New Roman"/>
          <w:color w:val="000000"/>
          <w:sz w:val="18"/>
          <w:szCs w:val="18"/>
        </w:rPr>
        <w:t>ials. If we experience delays in the commencement or completion of our clinical trials, or if we terminate a clinical trial prior to completion, the commercial prospects of our drug candidates could be negatively impacted, and our ability to generate reven</w:t>
      </w:r>
      <w:r>
        <w:rPr>
          <w:rFonts w:eastAsia="Times New Roman"/>
          <w:color w:val="000000"/>
          <w:sz w:val="18"/>
          <w:szCs w:val="18"/>
        </w:rPr>
        <w:t>ues from our drug candidates may be delayed.</w:t>
      </w:r>
    </w:p>
    <w:p w:rsidR="00000000" w:rsidRDefault="00375AF8">
      <w:pPr>
        <w:jc w:val="center"/>
        <w:divId w:val="45417349"/>
        <w:rPr>
          <w:rFonts w:eastAsia="Times New Roman"/>
        </w:rPr>
      </w:pPr>
      <w:r>
        <w:rPr>
          <w:rFonts w:eastAsia="Times New Roman"/>
          <w:color w:val="000000"/>
          <w:sz w:val="18"/>
          <w:szCs w:val="18"/>
        </w:rPr>
        <w:t>35</w:t>
      </w:r>
    </w:p>
    <w:p w:rsidR="00000000" w:rsidRDefault="00375AF8">
      <w:pPr>
        <w:rPr>
          <w:rFonts w:eastAsia="Times New Roman"/>
        </w:rPr>
      </w:pPr>
      <w:r>
        <w:rPr>
          <w:rFonts w:eastAsia="Times New Roman"/>
        </w:rPr>
        <w:pict>
          <v:rect id="_x0000_i1061" style="width:0;height:1.5pt" o:hralign="center" o:hrstd="t" o:hr="t" fillcolor="#a0a0a0" stroked="f"/>
        </w:pict>
      </w:r>
    </w:p>
    <w:p w:rsidR="00000000" w:rsidRDefault="00375AF8">
      <w:pPr>
        <w:divId w:val="84944247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571958573"/>
        <w:rPr>
          <w:rFonts w:eastAsia="Times New Roman"/>
        </w:rPr>
      </w:pPr>
      <w:r>
        <w:rPr>
          <w:rFonts w:eastAsia="Times New Roman"/>
          <w:b/>
          <w:bCs/>
          <w:i/>
          <w:iCs/>
          <w:color w:val="000000"/>
          <w:sz w:val="18"/>
          <w:szCs w:val="18"/>
        </w:rPr>
        <w:t>If we are not successful in discovering, developing and commercializing additional drug candidat</w:t>
      </w:r>
      <w:r>
        <w:rPr>
          <w:rFonts w:eastAsia="Times New Roman"/>
          <w:b/>
          <w:bCs/>
          <w:i/>
          <w:iCs/>
          <w:color w:val="000000"/>
          <w:sz w:val="18"/>
          <w:szCs w:val="18"/>
        </w:rPr>
        <w:t>es, our ability to expand our business and achieve our strategic objectives would be impaired.</w:t>
      </w:r>
    </w:p>
    <w:p w:rsidR="00000000" w:rsidRDefault="00375AF8">
      <w:pPr>
        <w:ind w:firstLine="720"/>
        <w:jc w:val="both"/>
        <w:divId w:val="1582175557"/>
        <w:rPr>
          <w:rFonts w:eastAsia="Times New Roman"/>
        </w:rPr>
      </w:pPr>
      <w:r>
        <w:rPr>
          <w:rFonts w:eastAsia="Times New Roman"/>
          <w:color w:val="000000"/>
          <w:sz w:val="18"/>
          <w:szCs w:val="18"/>
        </w:rPr>
        <w:t>A key element of our current strategy is to discover, develop and potentially commercialize a portfolio of drug candidates to treat epilepsies, seizure-related d</w:t>
      </w:r>
      <w:r>
        <w:rPr>
          <w:rFonts w:eastAsia="Times New Roman"/>
          <w:color w:val="000000"/>
          <w:sz w:val="18"/>
          <w:szCs w:val="18"/>
        </w:rPr>
        <w:t>isorders, and rare neurological disorders. However, our business development activities and research activities may present attractive opportunities outside of epilepsies and seizure-related disorders and we may choose to pursue drug candidates in other ar</w:t>
      </w:r>
      <w:r>
        <w:rPr>
          <w:rFonts w:eastAsia="Times New Roman"/>
          <w:color w:val="000000"/>
          <w:sz w:val="18"/>
          <w:szCs w:val="18"/>
        </w:rPr>
        <w:t>eas of interest including other disorders that we believe would be in the best interest of the Company and our stockholders. We plan to continuously review our strategies and modify as necessary based on attractive areas of interest and assets that we choo</w:t>
      </w:r>
      <w:r>
        <w:rPr>
          <w:rFonts w:eastAsia="Times New Roman"/>
          <w:color w:val="000000"/>
          <w:sz w:val="18"/>
          <w:szCs w:val="18"/>
        </w:rPr>
        <w:t>se to pursue. We intend to develop our portfolio of drug candidates by in-licensing and entering into collaborations with leading biopharmaceutical companies or academic institutions for new drug candidates. Identifying new drug candidates requires substan</w:t>
      </w:r>
      <w:r>
        <w:rPr>
          <w:rFonts w:eastAsia="Times New Roman"/>
          <w:color w:val="000000"/>
          <w:sz w:val="18"/>
          <w:szCs w:val="18"/>
        </w:rPr>
        <w:t>tial technical, financial and human resources, whether or not any drug candidates are ultimately identified. The COVID-19 pandemic could also impact our ability to do in-person due diligence, negotiations and other interactions to identify new opportunitie</w:t>
      </w:r>
      <w:r>
        <w:rPr>
          <w:rFonts w:eastAsia="Times New Roman"/>
          <w:color w:val="000000"/>
          <w:sz w:val="18"/>
          <w:szCs w:val="18"/>
        </w:rPr>
        <w:t>s. Even if we identify drug candidates that initially show promise, we may fail to in-license or acquire these assets and may also fail to successfully develop and commercialize such drug candidates for many reasons, including the following:</w:t>
      </w:r>
    </w:p>
    <w:p w:rsidR="00000000" w:rsidRDefault="00375AF8">
      <w:pPr>
        <w:ind w:hanging="720"/>
        <w:jc w:val="both"/>
        <w:divId w:val="330136607"/>
        <w:rPr>
          <w:rFonts w:eastAsia="Times New Roman"/>
        </w:rPr>
      </w:pPr>
      <w:r>
        <w:rPr>
          <w:rFonts w:eastAsia="Times New Roman"/>
          <w:color w:val="000000"/>
          <w:sz w:val="18"/>
          <w:szCs w:val="18"/>
        </w:rPr>
        <w:t xml:space="preserve">•the research </w:t>
      </w:r>
      <w:r>
        <w:rPr>
          <w:rFonts w:eastAsia="Times New Roman"/>
          <w:color w:val="000000"/>
          <w:sz w:val="18"/>
          <w:szCs w:val="18"/>
        </w:rPr>
        <w:t>methodology used may not be successful in identifying potential drug candidates;</w:t>
      </w:r>
    </w:p>
    <w:p w:rsidR="00000000" w:rsidRDefault="00375AF8">
      <w:pPr>
        <w:ind w:hanging="720"/>
        <w:jc w:val="both"/>
        <w:divId w:val="1650674014"/>
        <w:rPr>
          <w:rFonts w:eastAsia="Times New Roman"/>
        </w:rPr>
      </w:pPr>
      <w:r>
        <w:rPr>
          <w:rFonts w:eastAsia="Times New Roman"/>
          <w:color w:val="000000"/>
          <w:sz w:val="18"/>
          <w:szCs w:val="18"/>
        </w:rPr>
        <w:t>•competitors may develop alternatives that render any drug candidate we develop obsolete;</w:t>
      </w:r>
    </w:p>
    <w:p w:rsidR="00000000" w:rsidRDefault="00375AF8">
      <w:pPr>
        <w:ind w:hanging="720"/>
        <w:jc w:val="both"/>
        <w:divId w:val="1124034184"/>
        <w:rPr>
          <w:rFonts w:eastAsia="Times New Roman"/>
        </w:rPr>
      </w:pPr>
      <w:r>
        <w:rPr>
          <w:rFonts w:eastAsia="Times New Roman"/>
          <w:color w:val="000000"/>
          <w:sz w:val="18"/>
          <w:szCs w:val="18"/>
        </w:rPr>
        <w:t xml:space="preserve">•any drug candidate we develop may nevertheless be covered by third parties’ patents </w:t>
      </w:r>
      <w:r>
        <w:rPr>
          <w:rFonts w:eastAsia="Times New Roman"/>
          <w:color w:val="000000"/>
          <w:sz w:val="18"/>
          <w:szCs w:val="18"/>
        </w:rPr>
        <w:t>or other exclusive rights;</w:t>
      </w:r>
    </w:p>
    <w:p w:rsidR="00000000" w:rsidRDefault="00375AF8">
      <w:pPr>
        <w:ind w:hanging="720"/>
        <w:jc w:val="both"/>
        <w:divId w:val="606237747"/>
        <w:rPr>
          <w:rFonts w:eastAsia="Times New Roman"/>
        </w:rPr>
      </w:pPr>
      <w:r>
        <w:rPr>
          <w:rFonts w:eastAsia="Times New Roman"/>
          <w:color w:val="000000"/>
          <w:sz w:val="18"/>
          <w:szCs w:val="18"/>
        </w:rPr>
        <w:t>•</w:t>
      </w:r>
      <w:r>
        <w:rPr>
          <w:rFonts w:eastAsia="Times New Roman"/>
          <w:color w:val="000000"/>
          <w:sz w:val="18"/>
          <w:szCs w:val="18"/>
        </w:rPr>
        <w:t>a drug candidate may, on further study, be shown to have harmful side effects or other characteristics that indicate it is unlikely to be effective or otherwise does not meet applicable regulatory criteria;</w:t>
      </w:r>
    </w:p>
    <w:p w:rsidR="00000000" w:rsidRDefault="00375AF8">
      <w:pPr>
        <w:ind w:hanging="720"/>
        <w:jc w:val="both"/>
        <w:divId w:val="1673950026"/>
        <w:rPr>
          <w:rFonts w:eastAsia="Times New Roman"/>
        </w:rPr>
      </w:pPr>
      <w:r>
        <w:rPr>
          <w:rFonts w:eastAsia="Times New Roman"/>
          <w:color w:val="000000"/>
          <w:sz w:val="18"/>
          <w:szCs w:val="18"/>
        </w:rPr>
        <w:t>•a drug candidate may not be capable of being pro</w:t>
      </w:r>
      <w:r>
        <w:rPr>
          <w:rFonts w:eastAsia="Times New Roman"/>
          <w:color w:val="000000"/>
          <w:sz w:val="18"/>
          <w:szCs w:val="18"/>
        </w:rPr>
        <w:t>duced in commercial quantities at an acceptable cost, or at all; and</w:t>
      </w:r>
    </w:p>
    <w:p w:rsidR="00000000" w:rsidRDefault="00375AF8">
      <w:pPr>
        <w:ind w:hanging="720"/>
        <w:jc w:val="both"/>
        <w:divId w:val="2054772565"/>
        <w:rPr>
          <w:rFonts w:eastAsia="Times New Roman"/>
        </w:rPr>
      </w:pPr>
      <w:r>
        <w:rPr>
          <w:rFonts w:eastAsia="Times New Roman"/>
          <w:color w:val="000000"/>
          <w:sz w:val="18"/>
          <w:szCs w:val="18"/>
        </w:rPr>
        <w:t>•a drug candidate may not be accepted as safe and effective by physicians, patients, the medical community or third-party payors, even if approved.</w:t>
      </w:r>
    </w:p>
    <w:p w:rsidR="00000000" w:rsidRDefault="00375AF8">
      <w:pPr>
        <w:ind w:firstLine="720"/>
        <w:jc w:val="both"/>
        <w:divId w:val="1891069336"/>
        <w:rPr>
          <w:rFonts w:eastAsia="Times New Roman"/>
        </w:rPr>
      </w:pPr>
      <w:r>
        <w:rPr>
          <w:rFonts w:eastAsia="Times New Roman"/>
          <w:color w:val="000000"/>
          <w:sz w:val="18"/>
          <w:szCs w:val="18"/>
        </w:rPr>
        <w:t>We have limited financial and managemen</w:t>
      </w:r>
      <w:r>
        <w:rPr>
          <w:rFonts w:eastAsia="Times New Roman"/>
          <w:color w:val="000000"/>
          <w:sz w:val="18"/>
          <w:szCs w:val="18"/>
        </w:rPr>
        <w:t>t resources and, as a result, we may forego or delay the pursuit of opportunities with other drug candidates or for other indications that later prove to have greater market potential. Our resource allocation decisions may cause us to fail to capitalize on</w:t>
      </w:r>
      <w:r>
        <w:rPr>
          <w:rFonts w:eastAsia="Times New Roman"/>
          <w:color w:val="000000"/>
          <w:sz w:val="18"/>
          <w:szCs w:val="18"/>
        </w:rPr>
        <w:t xml:space="preserve"> viable commercial drugs or profitable market opportunities. If we do not accurately evaluate the commercial potential or target market for a particular drug candidate, we may relinquish valuable rights to that drug candidate through collaboration, licensi</w:t>
      </w:r>
      <w:r>
        <w:rPr>
          <w:rFonts w:eastAsia="Times New Roman"/>
          <w:color w:val="000000"/>
          <w:sz w:val="18"/>
          <w:szCs w:val="18"/>
        </w:rPr>
        <w:t>ng or other royalty arrangements in circumstances under which it would have been more advantageous for us to retain sole development and commercialization rights to such drug candidate.</w:t>
      </w:r>
    </w:p>
    <w:p w:rsidR="00000000" w:rsidRDefault="00375AF8">
      <w:pPr>
        <w:ind w:firstLine="720"/>
        <w:jc w:val="both"/>
        <w:divId w:val="448209344"/>
        <w:rPr>
          <w:rFonts w:eastAsia="Times New Roman"/>
        </w:rPr>
      </w:pPr>
      <w:r>
        <w:rPr>
          <w:rFonts w:eastAsia="Times New Roman"/>
          <w:color w:val="000000"/>
          <w:sz w:val="18"/>
          <w:szCs w:val="18"/>
        </w:rPr>
        <w:t>If we are unsuccessful in identifying and developing additional drug c</w:t>
      </w:r>
      <w:r>
        <w:rPr>
          <w:rFonts w:eastAsia="Times New Roman"/>
          <w:color w:val="000000"/>
          <w:sz w:val="18"/>
          <w:szCs w:val="18"/>
        </w:rPr>
        <w:t>andidates or are unable to do so, our key growth strategy and business will be harmed.</w:t>
      </w:r>
    </w:p>
    <w:p w:rsidR="00000000" w:rsidRDefault="00375AF8">
      <w:pPr>
        <w:jc w:val="both"/>
        <w:divId w:val="1600261793"/>
        <w:rPr>
          <w:rFonts w:eastAsia="Times New Roman"/>
        </w:rPr>
      </w:pPr>
      <w:r>
        <w:rPr>
          <w:rFonts w:eastAsia="Times New Roman"/>
          <w:b/>
          <w:bCs/>
          <w:i/>
          <w:iCs/>
          <w:color w:val="000000"/>
          <w:sz w:val="18"/>
          <w:szCs w:val="18"/>
        </w:rPr>
        <w:t>Enrollment and retention of patients in clinical trials is an expensive and time-consuming process and could be made more difficult or rendered impossible by multiple fa</w:t>
      </w:r>
      <w:r>
        <w:rPr>
          <w:rFonts w:eastAsia="Times New Roman"/>
          <w:b/>
          <w:bCs/>
          <w:i/>
          <w:iCs/>
          <w:color w:val="000000"/>
          <w:sz w:val="18"/>
          <w:szCs w:val="18"/>
        </w:rPr>
        <w:t>ctors outside our control.</w:t>
      </w:r>
    </w:p>
    <w:p w:rsidR="00000000" w:rsidRDefault="00375AF8">
      <w:pPr>
        <w:ind w:firstLine="720"/>
        <w:jc w:val="both"/>
        <w:divId w:val="908736912"/>
        <w:rPr>
          <w:rFonts w:eastAsia="Times New Roman"/>
        </w:rPr>
      </w:pPr>
      <w:r>
        <w:rPr>
          <w:rFonts w:eastAsia="Times New Roman"/>
          <w:color w:val="000000"/>
          <w:sz w:val="18"/>
          <w:szCs w:val="18"/>
        </w:rPr>
        <w:t xml:space="preserve">Identifying and qualifying patients to participate in our clinical trials is critical to our success. The number of patients suffering from some of the seizure related disorders and rare neurological disorders we are pursuing is </w:t>
      </w:r>
      <w:r>
        <w:rPr>
          <w:rFonts w:eastAsia="Times New Roman"/>
          <w:color w:val="000000"/>
          <w:sz w:val="18"/>
          <w:szCs w:val="18"/>
        </w:rPr>
        <w:t>small and has not been established with precision. If the actual number of patients with these disorders is smaller than we anticipate, we may encounter difficulties in enrolling patients in our clinical trials, thereby delaying or preventing development a</w:t>
      </w:r>
      <w:r>
        <w:rPr>
          <w:rFonts w:eastAsia="Times New Roman"/>
          <w:color w:val="000000"/>
          <w:sz w:val="18"/>
          <w:szCs w:val="18"/>
        </w:rPr>
        <w:t xml:space="preserve">nd approval of our drug candidates. Even once enrolled we may be unable to retain a sufficient number of patients to complete any of our trials. Patient enrollment and retention in clinical trials depends on many factors, including the size of the patient </w:t>
      </w:r>
      <w:r>
        <w:rPr>
          <w:rFonts w:eastAsia="Times New Roman"/>
          <w:color w:val="000000"/>
          <w:sz w:val="18"/>
          <w:szCs w:val="18"/>
        </w:rPr>
        <w:t>population, the nature of the trial protocol, the existing body of safety and efficacy data, the number and nature of competing treatments and ongoing clinical trials of competing therapies for the same indication, the proximity of patients to clinical sit</w:t>
      </w:r>
      <w:r>
        <w:rPr>
          <w:rFonts w:eastAsia="Times New Roman"/>
          <w:color w:val="000000"/>
          <w:sz w:val="18"/>
          <w:szCs w:val="18"/>
        </w:rPr>
        <w:t>es and the eligibility criteria for the trial, any such enrollment issues could cause delays or prevent development and approval of our drug candidates. Since we are focused on addressing seizure-related disorders and rare neurological disorders, there are</w:t>
      </w:r>
      <w:r>
        <w:rPr>
          <w:rFonts w:eastAsia="Times New Roman"/>
          <w:color w:val="000000"/>
          <w:sz w:val="18"/>
          <w:szCs w:val="18"/>
        </w:rPr>
        <w:t xml:space="preserve"> limited patient pools from which to draw in order to complete our clinical trials in a timely and cost-effective manner. Furthermore, our efforts to build relationships with patient communities may not succeed, which could result in delays in patient enro</w:t>
      </w:r>
      <w:r>
        <w:rPr>
          <w:rFonts w:eastAsia="Times New Roman"/>
          <w:color w:val="000000"/>
          <w:sz w:val="18"/>
          <w:szCs w:val="18"/>
        </w:rPr>
        <w:t>llment in our clinical trials. In addition, any negative results we may report in clinical trials of our drug candidate may make it difficult or impossible to recruit and retain patients in other clinical trials of that same drug candidate. Delays or failu</w:t>
      </w:r>
      <w:r>
        <w:rPr>
          <w:rFonts w:eastAsia="Times New Roman"/>
          <w:color w:val="000000"/>
          <w:sz w:val="18"/>
          <w:szCs w:val="18"/>
        </w:rPr>
        <w:t>res in planned patient enrollment or retention may result in increased costs, program delays or both, which could have a harmful effect on our ability to develop our drug candidates, or could render further development impossible.</w:t>
      </w:r>
    </w:p>
    <w:p w:rsidR="00000000" w:rsidRDefault="00375AF8">
      <w:pPr>
        <w:jc w:val="both"/>
        <w:divId w:val="1920014822"/>
        <w:rPr>
          <w:rFonts w:eastAsia="Times New Roman"/>
        </w:rPr>
      </w:pPr>
      <w:r>
        <w:rPr>
          <w:rFonts w:eastAsia="Times New Roman"/>
          <w:b/>
          <w:bCs/>
          <w:i/>
          <w:iCs/>
          <w:color w:val="000000"/>
          <w:sz w:val="18"/>
          <w:szCs w:val="18"/>
        </w:rPr>
        <w:t>Our drug candidates may c</w:t>
      </w:r>
      <w:r>
        <w:rPr>
          <w:rFonts w:eastAsia="Times New Roman"/>
          <w:b/>
          <w:bCs/>
          <w:i/>
          <w:iCs/>
          <w:color w:val="000000"/>
          <w:sz w:val="18"/>
          <w:szCs w:val="18"/>
        </w:rPr>
        <w:t>ause undesirable side effects or have other properties that could delay or prevent their regulatory approval, limit the commercial potential or result in significant negative consequences following any potential marketing approval.</w:t>
      </w:r>
    </w:p>
    <w:p w:rsidR="00000000" w:rsidRDefault="00375AF8">
      <w:pPr>
        <w:ind w:firstLine="720"/>
        <w:jc w:val="both"/>
        <w:divId w:val="375011483"/>
        <w:rPr>
          <w:rFonts w:eastAsia="Times New Roman"/>
        </w:rPr>
      </w:pPr>
      <w:r>
        <w:rPr>
          <w:rFonts w:eastAsia="Times New Roman"/>
          <w:color w:val="000000"/>
          <w:sz w:val="18"/>
          <w:szCs w:val="18"/>
        </w:rPr>
        <w:t>During the conduct of cl</w:t>
      </w:r>
      <w:r>
        <w:rPr>
          <w:rFonts w:eastAsia="Times New Roman"/>
          <w:color w:val="000000"/>
          <w:sz w:val="18"/>
          <w:szCs w:val="18"/>
        </w:rPr>
        <w:t>inical trials, patients report changes in their health, including illnesses, injuries and discomforts, to their doctor. Often, it is not possible to determine whether or not the drug candidate being studied caused these conditions. Regulatory authorities m</w:t>
      </w:r>
      <w:r>
        <w:rPr>
          <w:rFonts w:eastAsia="Times New Roman"/>
          <w:color w:val="000000"/>
          <w:sz w:val="18"/>
          <w:szCs w:val="18"/>
        </w:rPr>
        <w:t>ay draw different conclusions or require additional testing to confirm these determinations, if they occur. In addition, it is possible that as we test our drug candidates in larger, longer and more extensive clinical programs, or as use of these drug cand</w:t>
      </w:r>
      <w:r>
        <w:rPr>
          <w:rFonts w:eastAsia="Times New Roman"/>
          <w:color w:val="000000"/>
          <w:sz w:val="18"/>
          <w:szCs w:val="18"/>
        </w:rPr>
        <w:t>idates becomes more widespread if they receive respective regulatory approval, illnesses, injuries, discomforts and other adverse events that were observed in earlier trials, as well as conditions that did not occur or went undetected in previous trials, w</w:t>
      </w:r>
      <w:r>
        <w:rPr>
          <w:rFonts w:eastAsia="Times New Roman"/>
          <w:color w:val="000000"/>
          <w:sz w:val="18"/>
          <w:szCs w:val="18"/>
        </w:rPr>
        <w:t xml:space="preserve">ill be reported by subjects. Many times, side effects are only detectable after investigational drugs are tested in large-scale, Phase 3 trials or, in some cases, after they are made available to patients on a commercial scale after approval. For example, </w:t>
      </w:r>
      <w:r>
        <w:rPr>
          <w:rFonts w:eastAsia="Times New Roman"/>
          <w:color w:val="000000"/>
          <w:sz w:val="18"/>
          <w:szCs w:val="18"/>
        </w:rPr>
        <w:t>adverse events were reported in certain clinical trials for OV101 and OV935, two of our former drug candidates. If clinical experience indicates that any of our drug candidates causes adverse events or serious or life-threatening adverse events, the develo</w:t>
      </w:r>
      <w:r>
        <w:rPr>
          <w:rFonts w:eastAsia="Times New Roman"/>
          <w:color w:val="000000"/>
          <w:sz w:val="18"/>
          <w:szCs w:val="18"/>
        </w:rPr>
        <w:t xml:space="preserve">pment of that drug candidate may fail or be delayed, or, if the drug </w:t>
      </w:r>
    </w:p>
    <w:p w:rsidR="00000000" w:rsidRDefault="00375AF8">
      <w:pPr>
        <w:jc w:val="center"/>
        <w:divId w:val="449401859"/>
        <w:rPr>
          <w:rFonts w:eastAsia="Times New Roman"/>
        </w:rPr>
      </w:pPr>
      <w:r>
        <w:rPr>
          <w:rFonts w:eastAsia="Times New Roman"/>
          <w:color w:val="000000"/>
          <w:sz w:val="18"/>
          <w:szCs w:val="18"/>
        </w:rPr>
        <w:t>36</w:t>
      </w:r>
    </w:p>
    <w:p w:rsidR="00000000" w:rsidRDefault="00375AF8">
      <w:pPr>
        <w:rPr>
          <w:rFonts w:eastAsia="Times New Roman"/>
        </w:rPr>
      </w:pPr>
      <w:r>
        <w:rPr>
          <w:rFonts w:eastAsia="Times New Roman"/>
        </w:rPr>
        <w:pict>
          <v:rect id="_x0000_i1062" style="width:0;height:1.5pt" o:hralign="center" o:hrstd="t" o:hr="t" fillcolor="#a0a0a0" stroked="f"/>
        </w:pict>
      </w:r>
    </w:p>
    <w:p w:rsidR="00000000" w:rsidRDefault="00375AF8">
      <w:pPr>
        <w:divId w:val="615253943"/>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687216612"/>
        <w:rPr>
          <w:rFonts w:eastAsia="Times New Roman"/>
        </w:rPr>
      </w:pPr>
      <w:r>
        <w:rPr>
          <w:rFonts w:eastAsia="Times New Roman"/>
          <w:color w:val="000000"/>
          <w:sz w:val="18"/>
          <w:szCs w:val="18"/>
        </w:rPr>
        <w:t>candidate has received regulatory approval, such approval may be revok</w:t>
      </w:r>
      <w:r>
        <w:rPr>
          <w:rFonts w:eastAsia="Times New Roman"/>
          <w:color w:val="000000"/>
          <w:sz w:val="18"/>
          <w:szCs w:val="18"/>
        </w:rPr>
        <w:t>ed, which would harm our business, prospects, operating results and financial condition.</w:t>
      </w:r>
    </w:p>
    <w:p w:rsidR="00000000" w:rsidRDefault="00375AF8">
      <w:pPr>
        <w:ind w:firstLine="720"/>
        <w:jc w:val="both"/>
        <w:divId w:val="211423369"/>
        <w:rPr>
          <w:rFonts w:eastAsia="Times New Roman"/>
        </w:rPr>
      </w:pPr>
      <w:r>
        <w:rPr>
          <w:rFonts w:eastAsia="Times New Roman"/>
          <w:color w:val="000000"/>
          <w:sz w:val="18"/>
          <w:szCs w:val="18"/>
        </w:rPr>
        <w:t>Moreover, if we elect, or are required, to delay, suspend or terminate any clinical trial of our drug candidates, the commercial prospects of our drug candidates may b</w:t>
      </w:r>
      <w:r>
        <w:rPr>
          <w:rFonts w:eastAsia="Times New Roman"/>
          <w:color w:val="000000"/>
          <w:sz w:val="18"/>
          <w:szCs w:val="18"/>
        </w:rPr>
        <w:t>e harmed and our ability to generate revenue through their sale may be delayed or eliminated. Any of these occurrences may harm our business, financial condition and prospects significantly.</w:t>
      </w:r>
    </w:p>
    <w:p w:rsidR="00000000" w:rsidRDefault="00375AF8">
      <w:pPr>
        <w:ind w:firstLine="720"/>
        <w:jc w:val="both"/>
        <w:divId w:val="1447119098"/>
        <w:rPr>
          <w:rFonts w:eastAsia="Times New Roman"/>
        </w:rPr>
      </w:pPr>
      <w:r>
        <w:rPr>
          <w:rFonts w:eastAsia="Times New Roman"/>
          <w:color w:val="000000"/>
          <w:sz w:val="18"/>
          <w:szCs w:val="18"/>
        </w:rPr>
        <w:t>Additionally, if any of our drug candidates receive marketing approval, the FDA could require us to include a black box warning in our label or adopt REMS to ensure that the benefits outweigh its risks, which may include, among other things, a medication g</w:t>
      </w:r>
      <w:r>
        <w:rPr>
          <w:rFonts w:eastAsia="Times New Roman"/>
          <w:color w:val="000000"/>
          <w:sz w:val="18"/>
          <w:szCs w:val="18"/>
        </w:rPr>
        <w:t>uide outlining the risks of the drug for distribution to patients and a communication plan to health care practitioners. Furthermore, if we or others later identify undesirable side effects caused by our drug candidates, several potentially significant neg</w:t>
      </w:r>
      <w:r>
        <w:rPr>
          <w:rFonts w:eastAsia="Times New Roman"/>
          <w:color w:val="000000"/>
          <w:sz w:val="18"/>
          <w:szCs w:val="18"/>
        </w:rPr>
        <w:t>ative consequences could result, including:</w:t>
      </w:r>
    </w:p>
    <w:p w:rsidR="00000000" w:rsidRDefault="00375AF8">
      <w:pPr>
        <w:ind w:hanging="720"/>
        <w:jc w:val="both"/>
        <w:divId w:val="1326712186"/>
        <w:rPr>
          <w:rFonts w:eastAsia="Times New Roman"/>
        </w:rPr>
      </w:pPr>
      <w:r>
        <w:rPr>
          <w:rFonts w:eastAsia="Times New Roman"/>
          <w:color w:val="000000"/>
          <w:sz w:val="18"/>
          <w:szCs w:val="18"/>
        </w:rPr>
        <w:t>•regulatory authorities may suspend or withdraw approvals of such drug candidate;</w:t>
      </w:r>
    </w:p>
    <w:p w:rsidR="00000000" w:rsidRDefault="00375AF8">
      <w:pPr>
        <w:ind w:hanging="720"/>
        <w:jc w:val="both"/>
        <w:divId w:val="497423043"/>
        <w:rPr>
          <w:rFonts w:eastAsia="Times New Roman"/>
        </w:rPr>
      </w:pPr>
      <w:r>
        <w:rPr>
          <w:rFonts w:eastAsia="Times New Roman"/>
          <w:color w:val="000000"/>
          <w:sz w:val="18"/>
          <w:szCs w:val="18"/>
        </w:rPr>
        <w:t>•regulatory authorities may require additional warnings on the label;</w:t>
      </w:r>
    </w:p>
    <w:p w:rsidR="00000000" w:rsidRDefault="00375AF8">
      <w:pPr>
        <w:ind w:hanging="720"/>
        <w:jc w:val="both"/>
        <w:divId w:val="1304579229"/>
        <w:rPr>
          <w:rFonts w:eastAsia="Times New Roman"/>
        </w:rPr>
      </w:pPr>
      <w:r>
        <w:rPr>
          <w:rFonts w:eastAsia="Times New Roman"/>
          <w:color w:val="000000"/>
          <w:sz w:val="18"/>
          <w:szCs w:val="18"/>
        </w:rPr>
        <w:t>•we may be required to change the way a drug candidate is ad</w:t>
      </w:r>
      <w:r>
        <w:rPr>
          <w:rFonts w:eastAsia="Times New Roman"/>
          <w:color w:val="000000"/>
          <w:sz w:val="18"/>
          <w:szCs w:val="18"/>
        </w:rPr>
        <w:t>ministered or conduct additional clinical trials;</w:t>
      </w:r>
    </w:p>
    <w:p w:rsidR="00000000" w:rsidRDefault="00375AF8">
      <w:pPr>
        <w:ind w:hanging="720"/>
        <w:jc w:val="both"/>
        <w:divId w:val="1369796157"/>
        <w:rPr>
          <w:rFonts w:eastAsia="Times New Roman"/>
        </w:rPr>
      </w:pPr>
      <w:r>
        <w:rPr>
          <w:rFonts w:eastAsia="Times New Roman"/>
          <w:color w:val="000000"/>
          <w:sz w:val="18"/>
          <w:szCs w:val="18"/>
        </w:rPr>
        <w:t>•we could be sued and held liable for harm caused to patients;</w:t>
      </w:r>
    </w:p>
    <w:p w:rsidR="00000000" w:rsidRDefault="00375AF8">
      <w:pPr>
        <w:ind w:hanging="720"/>
        <w:jc w:val="both"/>
        <w:divId w:val="1255433527"/>
        <w:rPr>
          <w:rFonts w:eastAsia="Times New Roman"/>
        </w:rPr>
      </w:pPr>
      <w:r>
        <w:rPr>
          <w:rFonts w:eastAsia="Times New Roman"/>
          <w:color w:val="000000"/>
          <w:sz w:val="18"/>
          <w:szCs w:val="18"/>
        </w:rPr>
        <w:t>•we may need to conduct a recall; and</w:t>
      </w:r>
    </w:p>
    <w:p w:rsidR="00000000" w:rsidRDefault="00375AF8">
      <w:pPr>
        <w:ind w:hanging="720"/>
        <w:jc w:val="both"/>
        <w:divId w:val="247924954"/>
        <w:rPr>
          <w:rFonts w:eastAsia="Times New Roman"/>
        </w:rPr>
      </w:pPr>
      <w:r>
        <w:rPr>
          <w:rFonts w:eastAsia="Times New Roman"/>
          <w:color w:val="000000"/>
          <w:sz w:val="18"/>
          <w:szCs w:val="18"/>
        </w:rPr>
        <w:t>•our reputation may suffer.</w:t>
      </w:r>
    </w:p>
    <w:p w:rsidR="00000000" w:rsidRDefault="00375AF8">
      <w:pPr>
        <w:ind w:firstLine="720"/>
        <w:jc w:val="both"/>
        <w:divId w:val="232587856"/>
        <w:rPr>
          <w:rFonts w:eastAsia="Times New Roman"/>
        </w:rPr>
      </w:pPr>
      <w:r>
        <w:rPr>
          <w:rFonts w:eastAsia="Times New Roman"/>
          <w:color w:val="000000"/>
          <w:sz w:val="18"/>
          <w:szCs w:val="18"/>
        </w:rPr>
        <w:t>Any of these events could prevent us from achieving or maintaining market acc</w:t>
      </w:r>
      <w:r>
        <w:rPr>
          <w:rFonts w:eastAsia="Times New Roman"/>
          <w:color w:val="000000"/>
          <w:sz w:val="18"/>
          <w:szCs w:val="18"/>
        </w:rPr>
        <w:t>eptance of our drug candidates and could significantly harm our business, prospects, financial condition and results of operations.</w:t>
      </w:r>
    </w:p>
    <w:p w:rsidR="00000000" w:rsidRDefault="00375AF8">
      <w:pPr>
        <w:jc w:val="both"/>
        <w:divId w:val="747115666"/>
        <w:rPr>
          <w:rFonts w:eastAsia="Times New Roman"/>
        </w:rPr>
      </w:pPr>
      <w:r>
        <w:rPr>
          <w:rFonts w:eastAsia="Times New Roman"/>
          <w:b/>
          <w:bCs/>
          <w:i/>
          <w:iCs/>
          <w:color w:val="000000"/>
          <w:sz w:val="18"/>
          <w:szCs w:val="18"/>
        </w:rPr>
        <w:t>If the market opportunities for our drug candidates are smaller than we believe they are, even assuming approval of a drug c</w:t>
      </w:r>
      <w:r>
        <w:rPr>
          <w:rFonts w:eastAsia="Times New Roman"/>
          <w:b/>
          <w:bCs/>
          <w:i/>
          <w:iCs/>
          <w:color w:val="000000"/>
          <w:sz w:val="18"/>
          <w:szCs w:val="18"/>
        </w:rPr>
        <w:t xml:space="preserve">andidate, our business may suffer. Because the patient populations in the market for our drug candidates may be small or difficult to assess, we must be able to successfully identify patients and acquire a significant market share to achieve profitability </w:t>
      </w:r>
      <w:r>
        <w:rPr>
          <w:rFonts w:eastAsia="Times New Roman"/>
          <w:b/>
          <w:bCs/>
          <w:i/>
          <w:iCs/>
          <w:color w:val="000000"/>
          <w:sz w:val="18"/>
          <w:szCs w:val="18"/>
        </w:rPr>
        <w:t>and growth.</w:t>
      </w:r>
    </w:p>
    <w:p w:rsidR="00000000" w:rsidRDefault="00375AF8">
      <w:pPr>
        <w:ind w:firstLine="720"/>
        <w:jc w:val="both"/>
        <w:divId w:val="768893134"/>
        <w:rPr>
          <w:rFonts w:eastAsia="Times New Roman"/>
        </w:rPr>
      </w:pPr>
      <w:r>
        <w:rPr>
          <w:rFonts w:eastAsia="Times New Roman"/>
          <w:color w:val="000000"/>
          <w:sz w:val="18"/>
          <w:szCs w:val="18"/>
        </w:rPr>
        <w:t>We focus our research and drug development on treatments for epilepsies, seizure-related disorders and other rare neurological disorders. Given the small number of patients who have the disorders that we are targeting, our eligible patient popu</w:t>
      </w:r>
      <w:r>
        <w:rPr>
          <w:rFonts w:eastAsia="Times New Roman"/>
          <w:color w:val="000000"/>
          <w:sz w:val="18"/>
          <w:szCs w:val="18"/>
        </w:rPr>
        <w:t>lation and pricing estimates may differ significantly from the actual market addressable by our drug candidates. Our projections of both the number of people who have these disorders, as well as the subset of people with these disorders who have the potent</w:t>
      </w:r>
      <w:r>
        <w:rPr>
          <w:rFonts w:eastAsia="Times New Roman"/>
          <w:color w:val="000000"/>
          <w:sz w:val="18"/>
          <w:szCs w:val="18"/>
        </w:rPr>
        <w:t>ial to benefit from treatment with our drug candidates, are based on our beliefs and estimates. These estimates have been derived from a variety of sources, including the scientific literature, patient foundations, or market research, and may prove to be i</w:t>
      </w:r>
      <w:r>
        <w:rPr>
          <w:rFonts w:eastAsia="Times New Roman"/>
          <w:color w:val="000000"/>
          <w:sz w:val="18"/>
          <w:szCs w:val="18"/>
        </w:rPr>
        <w:t xml:space="preserve">ncorrect. Further, new studies may change the estimated incidence or prevalence of these disorders. The number of patients may turn out to be lower than expected. Likewise, the potentially addressable patient population for each of our drug candidates may </w:t>
      </w:r>
      <w:r>
        <w:rPr>
          <w:rFonts w:eastAsia="Times New Roman"/>
          <w:color w:val="000000"/>
          <w:sz w:val="18"/>
          <w:szCs w:val="18"/>
        </w:rPr>
        <w:t xml:space="preserve">be limited or may not be amenable to treatment with our drug candidates, and new patients may become increasingly difficult to identify or gain access to, which would adversely affect our results of operations and our business. </w:t>
      </w:r>
    </w:p>
    <w:p w:rsidR="00000000" w:rsidRDefault="00375AF8">
      <w:pPr>
        <w:jc w:val="both"/>
        <w:divId w:val="1896118038"/>
        <w:rPr>
          <w:rFonts w:eastAsia="Times New Roman"/>
        </w:rPr>
      </w:pPr>
      <w:r>
        <w:rPr>
          <w:rFonts w:eastAsia="Times New Roman"/>
          <w:b/>
          <w:bCs/>
          <w:i/>
          <w:iCs/>
          <w:color w:val="000000"/>
          <w:sz w:val="18"/>
          <w:szCs w:val="18"/>
        </w:rPr>
        <w:t>We face substantial competi</w:t>
      </w:r>
      <w:r>
        <w:rPr>
          <w:rFonts w:eastAsia="Times New Roman"/>
          <w:b/>
          <w:bCs/>
          <w:i/>
          <w:iCs/>
          <w:color w:val="000000"/>
          <w:sz w:val="18"/>
          <w:szCs w:val="18"/>
        </w:rPr>
        <w:t>tion, which may result in others developing or commercializing drugs before or more successfully than us.</w:t>
      </w:r>
    </w:p>
    <w:p w:rsidR="00000000" w:rsidRDefault="00375AF8">
      <w:pPr>
        <w:ind w:firstLine="720"/>
        <w:jc w:val="both"/>
        <w:divId w:val="625089238"/>
        <w:rPr>
          <w:rFonts w:eastAsia="Times New Roman"/>
        </w:rPr>
      </w:pPr>
      <w:r>
        <w:rPr>
          <w:rFonts w:eastAsia="Times New Roman"/>
          <w:color w:val="000000"/>
          <w:sz w:val="18"/>
          <w:szCs w:val="18"/>
        </w:rPr>
        <w:t>The development and commercialization of new drugs is highly competitive. We face competition with respect to our current drug candidates and will fac</w:t>
      </w:r>
      <w:r>
        <w:rPr>
          <w:rFonts w:eastAsia="Times New Roman"/>
          <w:color w:val="000000"/>
          <w:sz w:val="18"/>
          <w:szCs w:val="18"/>
        </w:rPr>
        <w:t>e competition with respect to any other drug candidates that we may seek to develop or commercialize in the future, from major pharmaceutical companies, specialty pharmaceutical companies and biotechnology companies worldwide. There are a number of large p</w:t>
      </w:r>
      <w:r>
        <w:rPr>
          <w:rFonts w:eastAsia="Times New Roman"/>
          <w:color w:val="000000"/>
          <w:sz w:val="18"/>
          <w:szCs w:val="18"/>
        </w:rPr>
        <w:t>harmaceutical and biotechnology companies that currently market and sell drugs or are pursuing the development of drug candidates for the treatment of the indications that we are pursuing. Potential competitors also include academic institutions, governmen</w:t>
      </w:r>
      <w:r>
        <w:rPr>
          <w:rFonts w:eastAsia="Times New Roman"/>
          <w:color w:val="000000"/>
          <w:sz w:val="18"/>
          <w:szCs w:val="18"/>
        </w:rPr>
        <w:t>t agencies and other public and private research organizations that conduct research, seek patent protection and establish collaborative arrangements for research, development, manufacturing and commercialization.</w:t>
      </w:r>
    </w:p>
    <w:p w:rsidR="00000000" w:rsidRDefault="00375AF8">
      <w:pPr>
        <w:ind w:firstLine="720"/>
        <w:jc w:val="both"/>
        <w:divId w:val="640843294"/>
        <w:rPr>
          <w:rFonts w:eastAsia="Times New Roman"/>
        </w:rPr>
      </w:pPr>
      <w:r>
        <w:rPr>
          <w:rFonts w:eastAsia="Times New Roman"/>
          <w:color w:val="000000"/>
          <w:sz w:val="18"/>
          <w:szCs w:val="18"/>
        </w:rPr>
        <w:t>More established companies may have a competitive advantage over us due to their greater size, resources and institutional experience. In particular, these companies have greater experience and expertise in securing reimbursement, government contracts, rel</w:t>
      </w:r>
      <w:r>
        <w:rPr>
          <w:rFonts w:eastAsia="Times New Roman"/>
          <w:color w:val="000000"/>
          <w:sz w:val="18"/>
          <w:szCs w:val="18"/>
        </w:rPr>
        <w:t>ationships with key opinion leaders, conducting testing and clinical trials, obtaining and maintaining regulatory approvals and distribution relationships to market products, and marketing approved drugs. These companies also have significantly greater res</w:t>
      </w:r>
      <w:r>
        <w:rPr>
          <w:rFonts w:eastAsia="Times New Roman"/>
          <w:color w:val="000000"/>
          <w:sz w:val="18"/>
          <w:szCs w:val="18"/>
        </w:rPr>
        <w:t>earch and marketing capabilities than we do. If we are not able to compete effectively against existing and potential competitors, our business and financial condition may be harmed.</w:t>
      </w:r>
    </w:p>
    <w:p w:rsidR="00000000" w:rsidRDefault="00375AF8">
      <w:pPr>
        <w:ind w:firstLine="720"/>
        <w:jc w:val="both"/>
        <w:divId w:val="71244680"/>
        <w:rPr>
          <w:rFonts w:eastAsia="Times New Roman"/>
        </w:rPr>
      </w:pPr>
      <w:r>
        <w:rPr>
          <w:rFonts w:eastAsia="Times New Roman"/>
          <w:color w:val="000000"/>
          <w:sz w:val="18"/>
          <w:szCs w:val="18"/>
        </w:rPr>
        <w:t>As a result of these factors, our competitors may obtain regulatory appro</w:t>
      </w:r>
      <w:r>
        <w:rPr>
          <w:rFonts w:eastAsia="Times New Roman"/>
          <w:color w:val="000000"/>
          <w:sz w:val="18"/>
          <w:szCs w:val="18"/>
        </w:rPr>
        <w:t>val of their drugs before we are able to, which may limit our ability to develop or commercialize our drug candidates. Our competitors may also develop therapies that are safer, more effective, more widely accepted and cheaper than ours, and may also be mo</w:t>
      </w:r>
      <w:r>
        <w:rPr>
          <w:rFonts w:eastAsia="Times New Roman"/>
          <w:color w:val="000000"/>
          <w:sz w:val="18"/>
          <w:szCs w:val="18"/>
        </w:rPr>
        <w:t>re successful than us in manufacturing and marketing their drugs. These appreciable advantages could render our drug candidates obsolete or non-competitive before we can recover the expenses of such drug candidates’ development and commercialization.</w:t>
      </w:r>
    </w:p>
    <w:p w:rsidR="00000000" w:rsidRDefault="00375AF8">
      <w:pPr>
        <w:ind w:firstLine="720"/>
        <w:jc w:val="both"/>
        <w:divId w:val="814175536"/>
        <w:rPr>
          <w:rFonts w:eastAsia="Times New Roman"/>
        </w:rPr>
      </w:pPr>
      <w:r>
        <w:rPr>
          <w:rFonts w:eastAsia="Times New Roman"/>
          <w:color w:val="000000"/>
          <w:sz w:val="18"/>
          <w:szCs w:val="18"/>
        </w:rPr>
        <w:t>Merge</w:t>
      </w:r>
      <w:r>
        <w:rPr>
          <w:rFonts w:eastAsia="Times New Roman"/>
          <w:color w:val="000000"/>
          <w:sz w:val="18"/>
          <w:szCs w:val="18"/>
        </w:rPr>
        <w:t>rs and acquisitions in the pharmaceutical and biotechnology industries may result in even more resources being concentrated among a smaller number of our competitors. Smaller and other early-stage companies may also prove to be significant competitors, par</w:t>
      </w:r>
      <w:r>
        <w:rPr>
          <w:rFonts w:eastAsia="Times New Roman"/>
          <w:color w:val="000000"/>
          <w:sz w:val="18"/>
          <w:szCs w:val="18"/>
        </w:rPr>
        <w:t>ticularly through collaborative arrangements with large and established companies. These third parties compete with us in recruiting and retaining qualified scientific, management and commercial personnel, establishing clinical trial sites and subject regi</w:t>
      </w:r>
      <w:r>
        <w:rPr>
          <w:rFonts w:eastAsia="Times New Roman"/>
          <w:color w:val="000000"/>
          <w:sz w:val="18"/>
          <w:szCs w:val="18"/>
        </w:rPr>
        <w:t>stration for clinical trials, as well as in acquiring technologies complementary to, or necessary for, our programs.</w:t>
      </w:r>
    </w:p>
    <w:p w:rsidR="00000000" w:rsidRDefault="00375AF8">
      <w:pPr>
        <w:jc w:val="center"/>
        <w:divId w:val="1130247077"/>
        <w:rPr>
          <w:rFonts w:eastAsia="Times New Roman"/>
        </w:rPr>
      </w:pPr>
      <w:r>
        <w:rPr>
          <w:rFonts w:eastAsia="Times New Roman"/>
          <w:color w:val="000000"/>
          <w:sz w:val="18"/>
          <w:szCs w:val="18"/>
        </w:rPr>
        <w:t>37</w:t>
      </w:r>
    </w:p>
    <w:p w:rsidR="00000000" w:rsidRDefault="00375AF8">
      <w:pPr>
        <w:rPr>
          <w:rFonts w:eastAsia="Times New Roman"/>
        </w:rPr>
      </w:pPr>
      <w:r>
        <w:rPr>
          <w:rFonts w:eastAsia="Times New Roman"/>
        </w:rPr>
        <w:pict>
          <v:rect id="_x0000_i1063" style="width:0;height:1.5pt" o:hralign="center" o:hrstd="t" o:hr="t" fillcolor="#a0a0a0" stroked="f"/>
        </w:pict>
      </w:r>
    </w:p>
    <w:p w:rsidR="00000000" w:rsidRDefault="00375AF8">
      <w:pPr>
        <w:divId w:val="157870731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065449584"/>
        <w:rPr>
          <w:rFonts w:eastAsia="Times New Roman"/>
        </w:rPr>
      </w:pPr>
      <w:r>
        <w:rPr>
          <w:rFonts w:eastAsia="Times New Roman"/>
          <w:b/>
          <w:bCs/>
          <w:i/>
          <w:iCs/>
          <w:color w:val="000000"/>
          <w:sz w:val="18"/>
          <w:szCs w:val="18"/>
        </w:rPr>
        <w:t>Even if our current or f</w:t>
      </w:r>
      <w:r>
        <w:rPr>
          <w:rFonts w:eastAsia="Times New Roman"/>
          <w:b/>
          <w:bCs/>
          <w:i/>
          <w:iCs/>
          <w:color w:val="000000"/>
          <w:sz w:val="18"/>
          <w:szCs w:val="18"/>
        </w:rPr>
        <w:t>uture drug candidates receive marketing approval, they may fail to achieve market acceptance by physicians, patients, third-party payors or others in the medical community necessary for commercial success.</w:t>
      </w:r>
    </w:p>
    <w:p w:rsidR="00000000" w:rsidRDefault="00375AF8">
      <w:pPr>
        <w:ind w:firstLine="720"/>
        <w:jc w:val="both"/>
        <w:divId w:val="478499137"/>
        <w:rPr>
          <w:rFonts w:eastAsia="Times New Roman"/>
        </w:rPr>
      </w:pPr>
      <w:r>
        <w:rPr>
          <w:rFonts w:eastAsia="Times New Roman"/>
          <w:color w:val="000000"/>
          <w:sz w:val="18"/>
          <w:szCs w:val="18"/>
        </w:rPr>
        <w:t>Even if our current or future drug candidates rece</w:t>
      </w:r>
      <w:r>
        <w:rPr>
          <w:rFonts w:eastAsia="Times New Roman"/>
          <w:color w:val="000000"/>
          <w:sz w:val="18"/>
          <w:szCs w:val="18"/>
        </w:rPr>
        <w:t>ive marketing approval, they may fail to gain sufficient market acceptance by physicians, patients, third-party payors and others in the medical community. If they do not achieve an adequate level of acceptance, we may not generate significant drug revenue</w:t>
      </w:r>
      <w:r>
        <w:rPr>
          <w:rFonts w:eastAsia="Times New Roman"/>
          <w:color w:val="000000"/>
          <w:sz w:val="18"/>
          <w:szCs w:val="18"/>
        </w:rPr>
        <w:t xml:space="preserve"> and may not become profitable. The degree of market acceptance of our current or future drug candidates, if approved for commercial sale, will depend on a number of factors, including but not limited to:</w:t>
      </w:r>
    </w:p>
    <w:p w:rsidR="00000000" w:rsidRDefault="00375AF8">
      <w:pPr>
        <w:ind w:hanging="720"/>
        <w:jc w:val="both"/>
        <w:divId w:val="1124422277"/>
        <w:rPr>
          <w:rFonts w:eastAsia="Times New Roman"/>
        </w:rPr>
      </w:pPr>
      <w:r>
        <w:rPr>
          <w:rFonts w:eastAsia="Times New Roman"/>
          <w:color w:val="000000"/>
          <w:sz w:val="18"/>
          <w:szCs w:val="18"/>
        </w:rPr>
        <w:t xml:space="preserve">•the efficacy and potential advantages compared to </w:t>
      </w:r>
      <w:r>
        <w:rPr>
          <w:rFonts w:eastAsia="Times New Roman"/>
          <w:color w:val="000000"/>
          <w:sz w:val="18"/>
          <w:szCs w:val="18"/>
        </w:rPr>
        <w:t>alternative treatments and therapies;</w:t>
      </w:r>
    </w:p>
    <w:p w:rsidR="00000000" w:rsidRDefault="00375AF8">
      <w:pPr>
        <w:ind w:hanging="720"/>
        <w:jc w:val="both"/>
        <w:divId w:val="1570846374"/>
        <w:rPr>
          <w:rFonts w:eastAsia="Times New Roman"/>
        </w:rPr>
      </w:pPr>
      <w:r>
        <w:rPr>
          <w:rFonts w:eastAsia="Times New Roman"/>
          <w:color w:val="000000"/>
          <w:sz w:val="18"/>
          <w:szCs w:val="18"/>
        </w:rPr>
        <w:t>•the safety profile of our drug candidate compared to alternative treatments and therapies;</w:t>
      </w:r>
    </w:p>
    <w:p w:rsidR="00000000" w:rsidRDefault="00375AF8">
      <w:pPr>
        <w:ind w:hanging="720"/>
        <w:jc w:val="both"/>
        <w:divId w:val="131756333"/>
        <w:rPr>
          <w:rFonts w:eastAsia="Times New Roman"/>
        </w:rPr>
      </w:pPr>
      <w:r>
        <w:rPr>
          <w:rFonts w:eastAsia="Times New Roman"/>
          <w:color w:val="000000"/>
          <w:sz w:val="18"/>
          <w:szCs w:val="18"/>
        </w:rPr>
        <w:t>•effectiveness of sales and marketing efforts;</w:t>
      </w:r>
    </w:p>
    <w:p w:rsidR="00000000" w:rsidRDefault="00375AF8">
      <w:pPr>
        <w:ind w:hanging="720"/>
        <w:jc w:val="both"/>
        <w:divId w:val="2030837525"/>
        <w:rPr>
          <w:rFonts w:eastAsia="Times New Roman"/>
        </w:rPr>
      </w:pPr>
      <w:r>
        <w:rPr>
          <w:rFonts w:eastAsia="Times New Roman"/>
          <w:color w:val="000000"/>
          <w:sz w:val="18"/>
          <w:szCs w:val="18"/>
        </w:rPr>
        <w:t>•the strength of our relationships with patient communities;</w:t>
      </w:r>
    </w:p>
    <w:p w:rsidR="00000000" w:rsidRDefault="00375AF8">
      <w:pPr>
        <w:ind w:hanging="720"/>
        <w:jc w:val="both"/>
        <w:divId w:val="1943142958"/>
        <w:rPr>
          <w:rFonts w:eastAsia="Times New Roman"/>
        </w:rPr>
      </w:pPr>
      <w:r>
        <w:rPr>
          <w:rFonts w:eastAsia="Times New Roman"/>
          <w:color w:val="000000"/>
          <w:sz w:val="18"/>
          <w:szCs w:val="18"/>
        </w:rPr>
        <w:t>•the cost of treat</w:t>
      </w:r>
      <w:r>
        <w:rPr>
          <w:rFonts w:eastAsia="Times New Roman"/>
          <w:color w:val="000000"/>
          <w:sz w:val="18"/>
          <w:szCs w:val="18"/>
        </w:rPr>
        <w:t>ment in relation to alternative treatments and therapies, including any similar generic treatments;</w:t>
      </w:r>
    </w:p>
    <w:p w:rsidR="00000000" w:rsidRDefault="00375AF8">
      <w:pPr>
        <w:ind w:hanging="720"/>
        <w:jc w:val="both"/>
        <w:divId w:val="879896990"/>
        <w:rPr>
          <w:rFonts w:eastAsia="Times New Roman"/>
        </w:rPr>
      </w:pPr>
      <w:r>
        <w:rPr>
          <w:rFonts w:eastAsia="Times New Roman"/>
          <w:color w:val="000000"/>
          <w:sz w:val="18"/>
          <w:szCs w:val="18"/>
        </w:rPr>
        <w:t>•our ability to offer such drug for sale at competitive prices;</w:t>
      </w:r>
    </w:p>
    <w:p w:rsidR="00000000" w:rsidRDefault="00375AF8">
      <w:pPr>
        <w:ind w:hanging="720"/>
        <w:jc w:val="both"/>
        <w:divId w:val="595747035"/>
        <w:rPr>
          <w:rFonts w:eastAsia="Times New Roman"/>
        </w:rPr>
      </w:pPr>
      <w:r>
        <w:rPr>
          <w:rFonts w:eastAsia="Times New Roman"/>
          <w:color w:val="000000"/>
          <w:sz w:val="18"/>
          <w:szCs w:val="18"/>
        </w:rPr>
        <w:t>•the convenience and ease of administration compared to alternative treatments and therapies</w:t>
      </w:r>
      <w:r>
        <w:rPr>
          <w:rFonts w:eastAsia="Times New Roman"/>
          <w:color w:val="000000"/>
          <w:sz w:val="18"/>
          <w:szCs w:val="18"/>
        </w:rPr>
        <w:t>;</w:t>
      </w:r>
    </w:p>
    <w:p w:rsidR="00000000" w:rsidRDefault="00375AF8">
      <w:pPr>
        <w:ind w:hanging="720"/>
        <w:jc w:val="both"/>
        <w:divId w:val="1134133110"/>
        <w:rPr>
          <w:rFonts w:eastAsia="Times New Roman"/>
        </w:rPr>
      </w:pPr>
      <w:r>
        <w:rPr>
          <w:rFonts w:eastAsia="Times New Roman"/>
          <w:color w:val="000000"/>
          <w:sz w:val="18"/>
          <w:szCs w:val="18"/>
        </w:rPr>
        <w:t>•the willingness of the target patient population to try new therapies and of physicians to prescribe these therapies;</w:t>
      </w:r>
    </w:p>
    <w:p w:rsidR="00000000" w:rsidRDefault="00375AF8">
      <w:pPr>
        <w:ind w:hanging="720"/>
        <w:jc w:val="both"/>
        <w:divId w:val="1941253587"/>
        <w:rPr>
          <w:rFonts w:eastAsia="Times New Roman"/>
        </w:rPr>
      </w:pPr>
      <w:r>
        <w:rPr>
          <w:rFonts w:eastAsia="Times New Roman"/>
          <w:color w:val="000000"/>
          <w:sz w:val="18"/>
          <w:szCs w:val="18"/>
        </w:rPr>
        <w:t>•the strength of marketing and distribution support;</w:t>
      </w:r>
    </w:p>
    <w:p w:rsidR="00000000" w:rsidRDefault="00375AF8">
      <w:pPr>
        <w:ind w:hanging="720"/>
        <w:jc w:val="both"/>
        <w:divId w:val="138427035"/>
        <w:rPr>
          <w:rFonts w:eastAsia="Times New Roman"/>
        </w:rPr>
      </w:pPr>
      <w:r>
        <w:rPr>
          <w:rFonts w:eastAsia="Times New Roman"/>
          <w:color w:val="000000"/>
          <w:sz w:val="18"/>
          <w:szCs w:val="18"/>
        </w:rPr>
        <w:t>•the availability of third-party coverage and adequate reimbursement;</w:t>
      </w:r>
    </w:p>
    <w:p w:rsidR="00000000" w:rsidRDefault="00375AF8">
      <w:pPr>
        <w:ind w:hanging="720"/>
        <w:jc w:val="both"/>
        <w:divId w:val="2006199093"/>
        <w:rPr>
          <w:rFonts w:eastAsia="Times New Roman"/>
        </w:rPr>
      </w:pPr>
      <w:r>
        <w:rPr>
          <w:rFonts w:eastAsia="Times New Roman"/>
          <w:color w:val="000000"/>
          <w:sz w:val="18"/>
          <w:szCs w:val="18"/>
        </w:rPr>
        <w:t>•the prevale</w:t>
      </w:r>
      <w:r>
        <w:rPr>
          <w:rFonts w:eastAsia="Times New Roman"/>
          <w:color w:val="000000"/>
          <w:sz w:val="18"/>
          <w:szCs w:val="18"/>
        </w:rPr>
        <w:t>nce and severity of any side effects; and</w:t>
      </w:r>
    </w:p>
    <w:p w:rsidR="00000000" w:rsidRDefault="00375AF8">
      <w:pPr>
        <w:ind w:hanging="720"/>
        <w:jc w:val="both"/>
        <w:divId w:val="570818659"/>
        <w:rPr>
          <w:rFonts w:eastAsia="Times New Roman"/>
        </w:rPr>
      </w:pPr>
      <w:r>
        <w:rPr>
          <w:rFonts w:eastAsia="Times New Roman"/>
          <w:color w:val="000000"/>
          <w:sz w:val="18"/>
          <w:szCs w:val="18"/>
        </w:rPr>
        <w:t>•any restrictions on the use of the drug together with other medications.</w:t>
      </w:r>
    </w:p>
    <w:p w:rsidR="00000000" w:rsidRDefault="00375AF8">
      <w:pPr>
        <w:ind w:firstLine="720"/>
        <w:jc w:val="both"/>
        <w:divId w:val="1835535437"/>
        <w:rPr>
          <w:rFonts w:eastAsia="Times New Roman"/>
        </w:rPr>
      </w:pPr>
      <w:r>
        <w:rPr>
          <w:rFonts w:eastAsia="Times New Roman"/>
          <w:color w:val="000000"/>
          <w:sz w:val="18"/>
          <w:szCs w:val="18"/>
        </w:rPr>
        <w:t>Our efforts to educate physicians, patients, third-party payors and others in the medical community on the benefits of our drug candidates m</w:t>
      </w:r>
      <w:r>
        <w:rPr>
          <w:rFonts w:eastAsia="Times New Roman"/>
          <w:color w:val="000000"/>
          <w:sz w:val="18"/>
          <w:szCs w:val="18"/>
        </w:rPr>
        <w:t>ay require significant resources and may never be successful. Such efforts may require more resources than are typically required due to the complexity and uniqueness of our drug candidates. Since we expect sales of our drug candidates, if approved, to gen</w:t>
      </w:r>
      <w:r>
        <w:rPr>
          <w:rFonts w:eastAsia="Times New Roman"/>
          <w:color w:val="000000"/>
          <w:sz w:val="18"/>
          <w:szCs w:val="18"/>
        </w:rPr>
        <w:t>erate substantially all of our drug revenues for the foreseeable future, the failure of our drugs to find market acceptance would harm our business and could require us to seek additional financing.</w:t>
      </w:r>
    </w:p>
    <w:p w:rsidR="00000000" w:rsidRDefault="00375AF8">
      <w:pPr>
        <w:jc w:val="both"/>
        <w:divId w:val="1644694160"/>
        <w:rPr>
          <w:rFonts w:eastAsia="Times New Roman"/>
        </w:rPr>
      </w:pPr>
      <w:r>
        <w:rPr>
          <w:rFonts w:eastAsia="Times New Roman"/>
          <w:b/>
          <w:bCs/>
          <w:i/>
          <w:iCs/>
          <w:color w:val="000000"/>
          <w:sz w:val="18"/>
          <w:szCs w:val="18"/>
        </w:rPr>
        <w:t>Even if we obtain and maintain approval for our current or future drug candidates from the FDA, we may never obtain approval for our current or future drug candidates outside of the United States, which would limit our market opportunities and could harm o</w:t>
      </w:r>
      <w:r>
        <w:rPr>
          <w:rFonts w:eastAsia="Times New Roman"/>
          <w:b/>
          <w:bCs/>
          <w:i/>
          <w:iCs/>
          <w:color w:val="000000"/>
          <w:sz w:val="18"/>
          <w:szCs w:val="18"/>
        </w:rPr>
        <w:t>ur business.</w:t>
      </w:r>
    </w:p>
    <w:p w:rsidR="00000000" w:rsidRDefault="00375AF8">
      <w:pPr>
        <w:ind w:firstLine="720"/>
        <w:jc w:val="both"/>
        <w:divId w:val="1109393549"/>
        <w:rPr>
          <w:rFonts w:eastAsia="Times New Roman"/>
        </w:rPr>
      </w:pPr>
      <w:r>
        <w:rPr>
          <w:rFonts w:eastAsia="Times New Roman"/>
          <w:color w:val="000000"/>
          <w:sz w:val="18"/>
          <w:szCs w:val="18"/>
        </w:rPr>
        <w:t>Approval of a drug candidate in the United States by the FDA does not ensure approval of such drug candidate by regulatory authorities in other countries or jurisdictions, and approval by one foreign regulatory authority does not ensure approv</w:t>
      </w:r>
      <w:r>
        <w:rPr>
          <w:rFonts w:eastAsia="Times New Roman"/>
          <w:color w:val="000000"/>
          <w:sz w:val="18"/>
          <w:szCs w:val="18"/>
        </w:rPr>
        <w:t>al by regulatory authorities in other foreign countries or by the FDA. Sales of our current and future drug candidates outside of the United States will be subject to foreign regulatory requirements governing clinical trials and marketing approval. Even if</w:t>
      </w:r>
      <w:r>
        <w:rPr>
          <w:rFonts w:eastAsia="Times New Roman"/>
          <w:color w:val="000000"/>
          <w:sz w:val="18"/>
          <w:szCs w:val="18"/>
        </w:rPr>
        <w:t xml:space="preserve"> the FDA grants marketing approval for a drug candidate, comparable regulatory authorities of foreign countries also must approve the manufacturing and marketing of the drug candidate in those countries. Approval procedures vary among jurisdictions and can</w:t>
      </w:r>
      <w:r>
        <w:rPr>
          <w:rFonts w:eastAsia="Times New Roman"/>
          <w:color w:val="000000"/>
          <w:sz w:val="18"/>
          <w:szCs w:val="18"/>
        </w:rPr>
        <w:t xml:space="preserve"> involve requirements and administrative review periods different from, and more onerous than, those in the United States, which may require additional preclinical studies or clinical trials. In many countries outside the United States, a drug candidate mu</w:t>
      </w:r>
      <w:r>
        <w:rPr>
          <w:rFonts w:eastAsia="Times New Roman"/>
          <w:color w:val="000000"/>
          <w:sz w:val="18"/>
          <w:szCs w:val="18"/>
        </w:rPr>
        <w:t>st be approved for reimbursement before it can be approved for sale in that country. In some cases, the price that we intend to charge for any drug candidates, if approved, is also subject to approval. Obtaining approval for our current and future drug can</w:t>
      </w:r>
      <w:r>
        <w:rPr>
          <w:rFonts w:eastAsia="Times New Roman"/>
          <w:color w:val="000000"/>
          <w:sz w:val="18"/>
          <w:szCs w:val="18"/>
        </w:rPr>
        <w:t xml:space="preserve">didates in the European Union from the European Commission following the opinion of the European Medicines Agency, if we choose to submit a marketing authorization application there, would be a lengthy and expensive process. The FDA and comparable foreign </w:t>
      </w:r>
      <w:r>
        <w:rPr>
          <w:rFonts w:eastAsia="Times New Roman"/>
          <w:color w:val="000000"/>
          <w:sz w:val="18"/>
          <w:szCs w:val="18"/>
        </w:rPr>
        <w:t xml:space="preserve">regulatory authorities have the ability to limit the indications for which the drug may be marketed, require extensive warnings on the drug labeling or require expensive and time-consuming additional clinical trials or reporting as conditions of approval. </w:t>
      </w:r>
      <w:r>
        <w:rPr>
          <w:rFonts w:eastAsia="Times New Roman"/>
          <w:color w:val="000000"/>
          <w:sz w:val="18"/>
          <w:szCs w:val="18"/>
        </w:rPr>
        <w:t>Obtaining foreign regulatory approvals and compliance with foreign regulatory requirements could result in significant delays, difficulties and costs for us and could delay or prevent the introduction of our current and future drug candidates in certain co</w:t>
      </w:r>
      <w:r>
        <w:rPr>
          <w:rFonts w:eastAsia="Times New Roman"/>
          <w:color w:val="000000"/>
          <w:sz w:val="18"/>
          <w:szCs w:val="18"/>
        </w:rPr>
        <w:t>untries. In certain cases, we are dependent on third parties to obtain such foreign regulatory approvals, and any delay or failure of performance of such third parties could delay or prevent our ability to commercialize our products in the affected countri</w:t>
      </w:r>
      <w:r>
        <w:rPr>
          <w:rFonts w:eastAsia="Times New Roman"/>
          <w:color w:val="000000"/>
          <w:sz w:val="18"/>
          <w:szCs w:val="18"/>
        </w:rPr>
        <w:t>es. Due to the ongoing COVID-19 pandemic, it is possible that we could experience delays in the timing of our interactions with regulatory authorities due to absenteeism by governmental employees, inability to conduct planned physical inspections related t</w:t>
      </w:r>
      <w:r>
        <w:rPr>
          <w:rFonts w:eastAsia="Times New Roman"/>
          <w:color w:val="000000"/>
          <w:sz w:val="18"/>
          <w:szCs w:val="18"/>
        </w:rPr>
        <w:t>o regulatory approval, or the diversion of regulatory authority efforts and attention to approval of other therapeutics or other activities related to COVID-19, which could delay anticipated approval decisions and otherwise delay or limit our ability to ma</w:t>
      </w:r>
      <w:r>
        <w:rPr>
          <w:rFonts w:eastAsia="Times New Roman"/>
          <w:color w:val="000000"/>
          <w:sz w:val="18"/>
          <w:szCs w:val="18"/>
        </w:rPr>
        <w:t>ke planned regulatory submissions or obtain new product approvals.</w:t>
      </w:r>
    </w:p>
    <w:p w:rsidR="00000000" w:rsidRDefault="00375AF8">
      <w:pPr>
        <w:ind w:firstLine="720"/>
        <w:jc w:val="both"/>
        <w:divId w:val="712928141"/>
        <w:rPr>
          <w:rFonts w:eastAsia="Times New Roman"/>
        </w:rPr>
      </w:pPr>
      <w:r>
        <w:rPr>
          <w:rFonts w:eastAsia="Times New Roman"/>
          <w:color w:val="000000"/>
          <w:sz w:val="18"/>
          <w:szCs w:val="18"/>
        </w:rPr>
        <w:t>Further, clinical trials conducted in one country may not be accepted by regulatory authorities in other countries. Also, regulatory approval for our drug candidates may be withdrawn. If we</w:t>
      </w:r>
      <w:r>
        <w:rPr>
          <w:rFonts w:eastAsia="Times New Roman"/>
          <w:color w:val="000000"/>
          <w:sz w:val="18"/>
          <w:szCs w:val="18"/>
        </w:rPr>
        <w:t xml:space="preserve"> fail to comply with the regulatory requirements, our target market will be reduced and our ability to realize the full market potential of our current and future drug candidates will be harmed and our business, financial condition, results of operations a</w:t>
      </w:r>
      <w:r>
        <w:rPr>
          <w:rFonts w:eastAsia="Times New Roman"/>
          <w:color w:val="000000"/>
          <w:sz w:val="18"/>
          <w:szCs w:val="18"/>
        </w:rPr>
        <w:t>nd prospects could be harmed.</w:t>
      </w:r>
    </w:p>
    <w:p w:rsidR="00000000" w:rsidRDefault="00375AF8">
      <w:pPr>
        <w:jc w:val="center"/>
        <w:divId w:val="670721464"/>
        <w:rPr>
          <w:rFonts w:eastAsia="Times New Roman"/>
        </w:rPr>
      </w:pPr>
      <w:r>
        <w:rPr>
          <w:rFonts w:eastAsia="Times New Roman"/>
          <w:color w:val="000000"/>
          <w:sz w:val="18"/>
          <w:szCs w:val="18"/>
        </w:rPr>
        <w:t>38</w:t>
      </w:r>
    </w:p>
    <w:p w:rsidR="00000000" w:rsidRDefault="00375AF8">
      <w:pPr>
        <w:rPr>
          <w:rFonts w:eastAsia="Times New Roman"/>
        </w:rPr>
      </w:pPr>
      <w:r>
        <w:rPr>
          <w:rFonts w:eastAsia="Times New Roman"/>
        </w:rPr>
        <w:pict>
          <v:rect id="_x0000_i1064" style="width:0;height:1.5pt" o:hralign="center" o:hrstd="t" o:hr="t" fillcolor="#a0a0a0" stroked="f"/>
        </w:pict>
      </w:r>
    </w:p>
    <w:p w:rsidR="00000000" w:rsidRDefault="00375AF8">
      <w:pPr>
        <w:divId w:val="10362238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215002564"/>
        <w:rPr>
          <w:rFonts w:eastAsia="Times New Roman"/>
        </w:rPr>
      </w:pPr>
      <w:r>
        <w:rPr>
          <w:rFonts w:eastAsia="Times New Roman"/>
          <w:b/>
          <w:bCs/>
          <w:i/>
          <w:iCs/>
          <w:color w:val="000000"/>
          <w:sz w:val="18"/>
          <w:szCs w:val="18"/>
        </w:rPr>
        <w:t>If we seek approval to commercialize our current or future drug candidates outside of the United States, a variety of risks associated with international operations could harm our business.</w:t>
      </w:r>
    </w:p>
    <w:p w:rsidR="00000000" w:rsidRDefault="00375AF8">
      <w:pPr>
        <w:ind w:firstLine="720"/>
        <w:jc w:val="both"/>
        <w:divId w:val="1195267647"/>
        <w:rPr>
          <w:rFonts w:eastAsia="Times New Roman"/>
        </w:rPr>
      </w:pPr>
      <w:r>
        <w:rPr>
          <w:rFonts w:eastAsia="Times New Roman"/>
          <w:color w:val="000000"/>
          <w:sz w:val="18"/>
          <w:szCs w:val="18"/>
        </w:rPr>
        <w:t>If we seek approval of our current or future drug candidates outsi</w:t>
      </w:r>
      <w:r>
        <w:rPr>
          <w:rFonts w:eastAsia="Times New Roman"/>
          <w:color w:val="000000"/>
          <w:sz w:val="18"/>
          <w:szCs w:val="18"/>
        </w:rPr>
        <w:t>de of the United States, we expect that we will be subject to additional risks in commercialization including:</w:t>
      </w:r>
    </w:p>
    <w:p w:rsidR="00000000" w:rsidRDefault="00375AF8">
      <w:pPr>
        <w:ind w:hanging="720"/>
        <w:jc w:val="both"/>
        <w:divId w:val="1294797497"/>
        <w:rPr>
          <w:rFonts w:eastAsia="Times New Roman"/>
        </w:rPr>
      </w:pPr>
      <w:r>
        <w:rPr>
          <w:rFonts w:eastAsia="Times New Roman"/>
          <w:color w:val="000000"/>
          <w:sz w:val="18"/>
          <w:szCs w:val="18"/>
        </w:rPr>
        <w:t>•different regulatory requirements for approval of therapies in foreign countries;</w:t>
      </w:r>
    </w:p>
    <w:p w:rsidR="00000000" w:rsidRDefault="00375AF8">
      <w:pPr>
        <w:ind w:hanging="720"/>
        <w:jc w:val="both"/>
        <w:divId w:val="1568102901"/>
        <w:rPr>
          <w:rFonts w:eastAsia="Times New Roman"/>
        </w:rPr>
      </w:pPr>
      <w:r>
        <w:rPr>
          <w:rFonts w:eastAsia="Times New Roman"/>
          <w:color w:val="000000"/>
          <w:sz w:val="18"/>
          <w:szCs w:val="18"/>
        </w:rPr>
        <w:t>•reduced protection for intellectual property rights;</w:t>
      </w:r>
    </w:p>
    <w:p w:rsidR="00000000" w:rsidRDefault="00375AF8">
      <w:pPr>
        <w:ind w:hanging="720"/>
        <w:jc w:val="both"/>
        <w:divId w:val="597296474"/>
        <w:rPr>
          <w:rFonts w:eastAsia="Times New Roman"/>
        </w:rPr>
      </w:pPr>
      <w:r>
        <w:rPr>
          <w:rFonts w:eastAsia="Times New Roman"/>
          <w:color w:val="000000"/>
          <w:sz w:val="18"/>
          <w:szCs w:val="18"/>
        </w:rPr>
        <w:t>•the pot</w:t>
      </w:r>
      <w:r>
        <w:rPr>
          <w:rFonts w:eastAsia="Times New Roman"/>
          <w:color w:val="000000"/>
          <w:sz w:val="18"/>
          <w:szCs w:val="18"/>
        </w:rPr>
        <w:t>ential requirement of additional clinical studies in international jurisdictions;</w:t>
      </w:r>
    </w:p>
    <w:p w:rsidR="00000000" w:rsidRDefault="00375AF8">
      <w:pPr>
        <w:ind w:hanging="720"/>
        <w:jc w:val="both"/>
        <w:divId w:val="1504397522"/>
        <w:rPr>
          <w:rFonts w:eastAsia="Times New Roman"/>
        </w:rPr>
      </w:pPr>
      <w:r>
        <w:rPr>
          <w:rFonts w:eastAsia="Times New Roman"/>
          <w:color w:val="000000"/>
          <w:sz w:val="18"/>
          <w:szCs w:val="18"/>
        </w:rPr>
        <w:t>•unexpected changes in tariffs, trade barriers and regulatory requirements;</w:t>
      </w:r>
    </w:p>
    <w:p w:rsidR="00000000" w:rsidRDefault="00375AF8">
      <w:pPr>
        <w:ind w:hanging="720"/>
        <w:jc w:val="both"/>
        <w:divId w:val="854658317"/>
        <w:rPr>
          <w:rFonts w:eastAsia="Times New Roman"/>
        </w:rPr>
      </w:pPr>
      <w:r>
        <w:rPr>
          <w:rFonts w:eastAsia="Times New Roman"/>
          <w:color w:val="000000"/>
          <w:sz w:val="18"/>
          <w:szCs w:val="18"/>
        </w:rPr>
        <w:t xml:space="preserve">•economic weakness, including inflation, or political instability in particular foreign economies </w:t>
      </w:r>
      <w:r>
        <w:rPr>
          <w:rFonts w:eastAsia="Times New Roman"/>
          <w:color w:val="000000"/>
          <w:sz w:val="18"/>
          <w:szCs w:val="18"/>
        </w:rPr>
        <w:t>and markets;</w:t>
      </w:r>
    </w:p>
    <w:p w:rsidR="00000000" w:rsidRDefault="00375AF8">
      <w:pPr>
        <w:ind w:hanging="720"/>
        <w:jc w:val="both"/>
        <w:divId w:val="1005862774"/>
        <w:rPr>
          <w:rFonts w:eastAsia="Times New Roman"/>
        </w:rPr>
      </w:pPr>
      <w:r>
        <w:rPr>
          <w:rFonts w:eastAsia="Times New Roman"/>
          <w:color w:val="000000"/>
          <w:sz w:val="18"/>
          <w:szCs w:val="18"/>
        </w:rPr>
        <w:t>•compliance with tax, employment, immigration and labor laws for employees living or traveling abroad;</w:t>
      </w:r>
    </w:p>
    <w:p w:rsidR="00000000" w:rsidRDefault="00375AF8">
      <w:pPr>
        <w:ind w:hanging="720"/>
        <w:jc w:val="both"/>
        <w:divId w:val="650988414"/>
        <w:rPr>
          <w:rFonts w:eastAsia="Times New Roman"/>
        </w:rPr>
      </w:pPr>
      <w:r>
        <w:rPr>
          <w:rFonts w:eastAsia="Times New Roman"/>
          <w:color w:val="000000"/>
          <w:sz w:val="18"/>
          <w:szCs w:val="18"/>
        </w:rPr>
        <w:t>•foreign currency fluctuations, which could result in increased operating expenses and reduced revenues, and other obligations incident to d</w:t>
      </w:r>
      <w:r>
        <w:rPr>
          <w:rFonts w:eastAsia="Times New Roman"/>
          <w:color w:val="000000"/>
          <w:sz w:val="18"/>
          <w:szCs w:val="18"/>
        </w:rPr>
        <w:t>oing business in another country;</w:t>
      </w:r>
    </w:p>
    <w:p w:rsidR="00000000" w:rsidRDefault="00375AF8">
      <w:pPr>
        <w:ind w:hanging="720"/>
        <w:jc w:val="both"/>
        <w:divId w:val="1169904018"/>
        <w:rPr>
          <w:rFonts w:eastAsia="Times New Roman"/>
        </w:rPr>
      </w:pPr>
      <w:r>
        <w:rPr>
          <w:rFonts w:eastAsia="Times New Roman"/>
          <w:color w:val="000000"/>
          <w:sz w:val="18"/>
          <w:szCs w:val="18"/>
        </w:rPr>
        <w:t>•foreign reimbursement, pricing and insurance regimes;</w:t>
      </w:r>
    </w:p>
    <w:p w:rsidR="00000000" w:rsidRDefault="00375AF8">
      <w:pPr>
        <w:ind w:hanging="720"/>
        <w:jc w:val="both"/>
        <w:divId w:val="2047876532"/>
        <w:rPr>
          <w:rFonts w:eastAsia="Times New Roman"/>
        </w:rPr>
      </w:pPr>
      <w:r>
        <w:rPr>
          <w:rFonts w:eastAsia="Times New Roman"/>
          <w:color w:val="000000"/>
          <w:sz w:val="18"/>
          <w:szCs w:val="18"/>
        </w:rPr>
        <w:t>•workforce uncertainty in countries where labor unrest is more common than in the United States;</w:t>
      </w:r>
    </w:p>
    <w:p w:rsidR="00000000" w:rsidRDefault="00375AF8">
      <w:pPr>
        <w:ind w:hanging="720"/>
        <w:jc w:val="both"/>
        <w:divId w:val="443156656"/>
        <w:rPr>
          <w:rFonts w:eastAsia="Times New Roman"/>
        </w:rPr>
      </w:pPr>
      <w:r>
        <w:rPr>
          <w:rFonts w:eastAsia="Times New Roman"/>
          <w:color w:val="000000"/>
          <w:sz w:val="18"/>
          <w:szCs w:val="18"/>
        </w:rPr>
        <w:t>•production shortages resulting from any events affecting raw material</w:t>
      </w:r>
      <w:r>
        <w:rPr>
          <w:rFonts w:eastAsia="Times New Roman"/>
          <w:color w:val="000000"/>
          <w:sz w:val="18"/>
          <w:szCs w:val="18"/>
        </w:rPr>
        <w:t xml:space="preserve"> supply or manufacturing capabilities abroad; and</w:t>
      </w:r>
    </w:p>
    <w:p w:rsidR="00000000" w:rsidRDefault="00375AF8">
      <w:pPr>
        <w:ind w:hanging="720"/>
        <w:jc w:val="both"/>
        <w:divId w:val="1582636872"/>
        <w:rPr>
          <w:rFonts w:eastAsia="Times New Roman"/>
        </w:rPr>
      </w:pPr>
      <w:r>
        <w:rPr>
          <w:rFonts w:eastAsia="Times New Roman"/>
          <w:color w:val="000000"/>
          <w:sz w:val="18"/>
          <w:szCs w:val="18"/>
        </w:rPr>
        <w:t>•business interruptions resulting from geopolitical actions, including war and terrorism, or natural disasters and public health pandemics, such as COVID-19.</w:t>
      </w:r>
    </w:p>
    <w:p w:rsidR="00000000" w:rsidRDefault="00375AF8">
      <w:pPr>
        <w:ind w:firstLine="720"/>
        <w:jc w:val="both"/>
        <w:divId w:val="673730383"/>
        <w:rPr>
          <w:rFonts w:eastAsia="Times New Roman"/>
        </w:rPr>
      </w:pPr>
      <w:r>
        <w:rPr>
          <w:rFonts w:eastAsia="Times New Roman"/>
          <w:color w:val="000000"/>
          <w:sz w:val="18"/>
          <w:szCs w:val="18"/>
        </w:rPr>
        <w:t>We have no prior experience in these areas. In a</w:t>
      </w:r>
      <w:r>
        <w:rPr>
          <w:rFonts w:eastAsia="Times New Roman"/>
          <w:color w:val="000000"/>
          <w:sz w:val="18"/>
          <w:szCs w:val="18"/>
        </w:rPr>
        <w:t>ddition, there are complex regulatory, tax, labor and other legal requirements imposed by many of the individual countries in and outside of Europe with which we will need to comply. Many biopharmaceutical companies have found the process of marketing thei</w:t>
      </w:r>
      <w:r>
        <w:rPr>
          <w:rFonts w:eastAsia="Times New Roman"/>
          <w:color w:val="000000"/>
          <w:sz w:val="18"/>
          <w:szCs w:val="18"/>
        </w:rPr>
        <w:t>r own products in foreign countries to be very challenging.</w:t>
      </w:r>
    </w:p>
    <w:p w:rsidR="00000000" w:rsidRDefault="00375AF8">
      <w:pPr>
        <w:jc w:val="both"/>
        <w:divId w:val="773282083"/>
        <w:rPr>
          <w:rFonts w:eastAsia="Times New Roman"/>
        </w:rPr>
      </w:pPr>
      <w:r>
        <w:rPr>
          <w:rFonts w:eastAsia="Times New Roman"/>
          <w:b/>
          <w:bCs/>
          <w:i/>
          <w:iCs/>
          <w:color w:val="000000"/>
          <w:sz w:val="18"/>
          <w:szCs w:val="18"/>
        </w:rPr>
        <w:t>Product liability lawsuits against us could cause us to incur substantial liabilities and could limit commercialization of any drug candidate that we may develop.</w:t>
      </w:r>
    </w:p>
    <w:p w:rsidR="00000000" w:rsidRDefault="00375AF8">
      <w:pPr>
        <w:ind w:firstLine="720"/>
        <w:jc w:val="both"/>
        <w:divId w:val="643241311"/>
        <w:rPr>
          <w:rFonts w:eastAsia="Times New Roman"/>
        </w:rPr>
      </w:pPr>
      <w:r>
        <w:rPr>
          <w:rFonts w:eastAsia="Times New Roman"/>
          <w:color w:val="000000"/>
          <w:sz w:val="18"/>
          <w:szCs w:val="18"/>
        </w:rPr>
        <w:t>We face an inherent risk of produ</w:t>
      </w:r>
      <w:r>
        <w:rPr>
          <w:rFonts w:eastAsia="Times New Roman"/>
          <w:color w:val="000000"/>
          <w:sz w:val="18"/>
          <w:szCs w:val="18"/>
        </w:rPr>
        <w:t>ct liability exposure related to the testing of our current and any future drug candidates in clinical trials and may face an even greater risk if we commercialize any drug candidate that we may develop. If we cannot successfully defend ourselves against c</w:t>
      </w:r>
      <w:r>
        <w:rPr>
          <w:rFonts w:eastAsia="Times New Roman"/>
          <w:color w:val="000000"/>
          <w:sz w:val="18"/>
          <w:szCs w:val="18"/>
        </w:rPr>
        <w:t>laims that any such drug candidates caused injuries, we could incur substantial liabilities. Regardless of merit or eventual outcome, liability claims may result in:</w:t>
      </w:r>
    </w:p>
    <w:p w:rsidR="00000000" w:rsidRDefault="00375AF8">
      <w:pPr>
        <w:ind w:hanging="720"/>
        <w:jc w:val="both"/>
        <w:divId w:val="1876503262"/>
        <w:rPr>
          <w:rFonts w:eastAsia="Times New Roman"/>
        </w:rPr>
      </w:pPr>
      <w:r>
        <w:rPr>
          <w:rFonts w:eastAsia="Times New Roman"/>
          <w:color w:val="000000"/>
          <w:sz w:val="18"/>
          <w:szCs w:val="18"/>
        </w:rPr>
        <w:t>•decreased demand for any drug candidate that we may develop;</w:t>
      </w:r>
    </w:p>
    <w:p w:rsidR="00000000" w:rsidRDefault="00375AF8">
      <w:pPr>
        <w:ind w:hanging="720"/>
        <w:jc w:val="both"/>
        <w:divId w:val="751707841"/>
        <w:rPr>
          <w:rFonts w:eastAsia="Times New Roman"/>
        </w:rPr>
      </w:pPr>
      <w:r>
        <w:rPr>
          <w:rFonts w:eastAsia="Times New Roman"/>
          <w:color w:val="000000"/>
          <w:sz w:val="18"/>
          <w:szCs w:val="18"/>
        </w:rPr>
        <w:t>•loss of revenue;</w:t>
      </w:r>
    </w:p>
    <w:p w:rsidR="00000000" w:rsidRDefault="00375AF8">
      <w:pPr>
        <w:ind w:hanging="720"/>
        <w:jc w:val="both"/>
        <w:divId w:val="1048842621"/>
        <w:rPr>
          <w:rFonts w:eastAsia="Times New Roman"/>
        </w:rPr>
      </w:pPr>
      <w:r>
        <w:rPr>
          <w:rFonts w:eastAsia="Times New Roman"/>
          <w:color w:val="000000"/>
          <w:sz w:val="18"/>
          <w:szCs w:val="18"/>
        </w:rPr>
        <w:t>•substanti</w:t>
      </w:r>
      <w:r>
        <w:rPr>
          <w:rFonts w:eastAsia="Times New Roman"/>
          <w:color w:val="000000"/>
          <w:sz w:val="18"/>
          <w:szCs w:val="18"/>
        </w:rPr>
        <w:t>al monetary awards to trial participants or patients;</w:t>
      </w:r>
    </w:p>
    <w:p w:rsidR="00000000" w:rsidRDefault="00375AF8">
      <w:pPr>
        <w:ind w:hanging="720"/>
        <w:jc w:val="both"/>
        <w:divId w:val="2116896294"/>
        <w:rPr>
          <w:rFonts w:eastAsia="Times New Roman"/>
        </w:rPr>
      </w:pPr>
      <w:r>
        <w:rPr>
          <w:rFonts w:eastAsia="Times New Roman"/>
          <w:color w:val="000000"/>
          <w:sz w:val="18"/>
          <w:szCs w:val="18"/>
        </w:rPr>
        <w:t>•significant time and costs to defend the related litigation;</w:t>
      </w:r>
    </w:p>
    <w:p w:rsidR="00000000" w:rsidRDefault="00375AF8">
      <w:pPr>
        <w:ind w:hanging="720"/>
        <w:jc w:val="both"/>
        <w:divId w:val="756513019"/>
        <w:rPr>
          <w:rFonts w:eastAsia="Times New Roman"/>
        </w:rPr>
      </w:pPr>
      <w:r>
        <w:rPr>
          <w:rFonts w:eastAsia="Times New Roman"/>
          <w:color w:val="000000"/>
          <w:sz w:val="18"/>
          <w:szCs w:val="18"/>
        </w:rPr>
        <w:t>•withdrawal of clinical trial participants;</w:t>
      </w:r>
    </w:p>
    <w:p w:rsidR="00000000" w:rsidRDefault="00375AF8">
      <w:pPr>
        <w:ind w:hanging="720"/>
        <w:jc w:val="both"/>
        <w:divId w:val="1464957082"/>
        <w:rPr>
          <w:rFonts w:eastAsia="Times New Roman"/>
        </w:rPr>
      </w:pPr>
      <w:r>
        <w:rPr>
          <w:rFonts w:eastAsia="Times New Roman"/>
          <w:color w:val="000000"/>
          <w:sz w:val="18"/>
          <w:szCs w:val="18"/>
        </w:rPr>
        <w:t>•the inability to commercialize any drug candidate that we may develop; and</w:t>
      </w:r>
    </w:p>
    <w:p w:rsidR="00000000" w:rsidRDefault="00375AF8">
      <w:pPr>
        <w:ind w:hanging="720"/>
        <w:jc w:val="both"/>
        <w:divId w:val="1662998672"/>
        <w:rPr>
          <w:rFonts w:eastAsia="Times New Roman"/>
        </w:rPr>
      </w:pPr>
      <w:r>
        <w:rPr>
          <w:rFonts w:eastAsia="Times New Roman"/>
          <w:color w:val="000000"/>
          <w:sz w:val="18"/>
          <w:szCs w:val="18"/>
        </w:rPr>
        <w:t>•injury to our reput</w:t>
      </w:r>
      <w:r>
        <w:rPr>
          <w:rFonts w:eastAsia="Times New Roman"/>
          <w:color w:val="000000"/>
          <w:sz w:val="18"/>
          <w:szCs w:val="18"/>
        </w:rPr>
        <w:t>ation and significant negative media attention.</w:t>
      </w:r>
    </w:p>
    <w:p w:rsidR="00000000" w:rsidRDefault="00375AF8">
      <w:pPr>
        <w:ind w:firstLine="720"/>
        <w:jc w:val="both"/>
        <w:divId w:val="548155691"/>
        <w:rPr>
          <w:rFonts w:eastAsia="Times New Roman"/>
        </w:rPr>
      </w:pPr>
      <w:r>
        <w:rPr>
          <w:rFonts w:eastAsia="Times New Roman"/>
          <w:color w:val="000000"/>
          <w:sz w:val="18"/>
          <w:szCs w:val="18"/>
        </w:rPr>
        <w:t>Although we maintain product liability insurance coverage, such insurance may not be adequate to cover all liabilities that we may incur. We anticipate that we will need to increase our insurance coverage eac</w:t>
      </w:r>
      <w:r>
        <w:rPr>
          <w:rFonts w:eastAsia="Times New Roman"/>
          <w:color w:val="000000"/>
          <w:sz w:val="18"/>
          <w:szCs w:val="18"/>
        </w:rPr>
        <w:t>h time we commence a clinical trial and if we successfully commercialize any drug candidate. Insurance coverage is increasingly expensive. We may not be able to maintain insurance coverage at a reasonable cost or in an amount adequate to satisfy any liabil</w:t>
      </w:r>
      <w:r>
        <w:rPr>
          <w:rFonts w:eastAsia="Times New Roman"/>
          <w:color w:val="000000"/>
          <w:sz w:val="18"/>
          <w:szCs w:val="18"/>
        </w:rPr>
        <w:t>ity that may arise.</w:t>
      </w:r>
    </w:p>
    <w:p w:rsidR="00000000" w:rsidRDefault="00375AF8">
      <w:pPr>
        <w:jc w:val="both"/>
        <w:divId w:val="1327320806"/>
        <w:rPr>
          <w:rFonts w:eastAsia="Times New Roman"/>
        </w:rPr>
      </w:pPr>
      <w:r>
        <w:rPr>
          <w:rFonts w:eastAsia="Times New Roman"/>
          <w:b/>
          <w:bCs/>
          <w:color w:val="000000"/>
          <w:sz w:val="18"/>
          <w:szCs w:val="18"/>
        </w:rPr>
        <w:t>Risks Related to Licensing and Collaboration Arrangements</w:t>
      </w:r>
    </w:p>
    <w:p w:rsidR="00000000" w:rsidRDefault="00375AF8">
      <w:pPr>
        <w:jc w:val="both"/>
        <w:divId w:val="2102069908"/>
        <w:rPr>
          <w:rFonts w:eastAsia="Times New Roman"/>
        </w:rPr>
      </w:pPr>
      <w:r>
        <w:rPr>
          <w:rFonts w:eastAsia="Times New Roman"/>
          <w:b/>
          <w:bCs/>
          <w:i/>
          <w:iCs/>
          <w:color w:val="000000"/>
          <w:sz w:val="18"/>
          <w:szCs w:val="18"/>
        </w:rPr>
        <w:t>Under the Takeda License and Termination Agreement, we are entitled to receive royalty and milestone payments in connection with the development and commercialization of soticlestat. If Takeda fails to progress or discontinues the development of soticlesta</w:t>
      </w:r>
      <w:r>
        <w:rPr>
          <w:rFonts w:eastAsia="Times New Roman"/>
          <w:b/>
          <w:bCs/>
          <w:i/>
          <w:iCs/>
          <w:color w:val="000000"/>
          <w:sz w:val="18"/>
          <w:szCs w:val="18"/>
        </w:rPr>
        <w:t>t, we may not receive some or all of such payments, which would materially harm our business.</w:t>
      </w:r>
    </w:p>
    <w:p w:rsidR="00000000" w:rsidRDefault="00375AF8">
      <w:pPr>
        <w:ind w:firstLine="720"/>
        <w:jc w:val="both"/>
        <w:divId w:val="1515145105"/>
        <w:rPr>
          <w:rFonts w:eastAsia="Times New Roman"/>
        </w:rPr>
      </w:pPr>
      <w:r>
        <w:rPr>
          <w:rFonts w:eastAsia="Times New Roman"/>
          <w:color w:val="000000"/>
          <w:sz w:val="18"/>
          <w:szCs w:val="18"/>
        </w:rPr>
        <w:t>In March 2021, we entered into the Takeda License and Termination Agreement, pursuant to which Takeda secured rights to our 50% global share in soticlestat, which</w:t>
      </w:r>
      <w:r>
        <w:rPr>
          <w:rFonts w:eastAsia="Times New Roman"/>
          <w:color w:val="000000"/>
          <w:sz w:val="18"/>
          <w:szCs w:val="18"/>
        </w:rPr>
        <w:t xml:space="preserve"> we had originally licensed from Takeda, and we granted to Takeda an exclusive worldwide license under our relevant intellectual property rights to develop and commercialize the investigational medicine soticlestat for the treatment of developmental and ep</w:t>
      </w:r>
      <w:r>
        <w:rPr>
          <w:rFonts w:eastAsia="Times New Roman"/>
          <w:color w:val="000000"/>
          <w:sz w:val="18"/>
          <w:szCs w:val="18"/>
        </w:rPr>
        <w:t>ileptic encephalopathies, including Dravet syndrome and Lennox-Gastaut syndrome. All rights in soticlestat are now owned by Takeda or exclusively licensed to Takeda by us. Following the closing date of the Takeda License and Termination Agreement, Takeda a</w:t>
      </w:r>
      <w:r>
        <w:rPr>
          <w:rFonts w:eastAsia="Times New Roman"/>
          <w:color w:val="000000"/>
          <w:sz w:val="18"/>
          <w:szCs w:val="18"/>
        </w:rPr>
        <w:t>ssumed all responsibility for, and costs of, both development and commercialization of soticlestat, and we will no longer have any financial obligation to Takeda under the original collaboration agreement, including for milestone payments or any future dev</w:t>
      </w:r>
      <w:r>
        <w:rPr>
          <w:rFonts w:eastAsia="Times New Roman"/>
          <w:color w:val="000000"/>
          <w:sz w:val="18"/>
          <w:szCs w:val="18"/>
        </w:rPr>
        <w:t xml:space="preserve">elopment and commercialization costs. Upon closing of the Takeda License and Termination Agreement, we received a </w:t>
      </w:r>
    </w:p>
    <w:p w:rsidR="00000000" w:rsidRDefault="00375AF8">
      <w:pPr>
        <w:jc w:val="center"/>
        <w:divId w:val="425271306"/>
        <w:rPr>
          <w:rFonts w:eastAsia="Times New Roman"/>
        </w:rPr>
      </w:pPr>
      <w:r>
        <w:rPr>
          <w:rFonts w:eastAsia="Times New Roman"/>
          <w:color w:val="000000"/>
          <w:sz w:val="18"/>
          <w:szCs w:val="18"/>
        </w:rPr>
        <w:t>39</w:t>
      </w:r>
    </w:p>
    <w:p w:rsidR="00000000" w:rsidRDefault="00375AF8">
      <w:pPr>
        <w:rPr>
          <w:rFonts w:eastAsia="Times New Roman"/>
        </w:rPr>
      </w:pPr>
      <w:r>
        <w:rPr>
          <w:rFonts w:eastAsia="Times New Roman"/>
        </w:rPr>
        <w:pict>
          <v:rect id="_x0000_i1065" style="width:0;height:1.5pt" o:hralign="center" o:hrstd="t" o:hr="t" fillcolor="#a0a0a0" stroked="f"/>
        </w:pict>
      </w:r>
    </w:p>
    <w:p w:rsidR="00000000" w:rsidRDefault="00375AF8">
      <w:pPr>
        <w:divId w:val="18980065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741633935"/>
        <w:rPr>
          <w:rFonts w:eastAsia="Times New Roman"/>
        </w:rPr>
      </w:pPr>
      <w:r>
        <w:rPr>
          <w:rFonts w:eastAsia="Times New Roman"/>
          <w:color w:val="000000"/>
          <w:sz w:val="18"/>
          <w:szCs w:val="18"/>
        </w:rPr>
        <w:t xml:space="preserve">one-time, upfront payment </w:t>
      </w:r>
      <w:r>
        <w:rPr>
          <w:rFonts w:eastAsia="Times New Roman"/>
          <w:color w:val="000000"/>
          <w:sz w:val="18"/>
          <w:szCs w:val="18"/>
        </w:rPr>
        <w:t>of $196.0 million and, if soticlestat is successfully developed, we will be eligible to receive up to an additional $660.0 million upon Takeda achieving specified regulatory and sales milestones. In addition, if soticlestat achieves regulatory approval, we</w:t>
      </w:r>
      <w:r>
        <w:rPr>
          <w:rFonts w:eastAsia="Times New Roman"/>
          <w:color w:val="000000"/>
          <w:sz w:val="18"/>
          <w:szCs w:val="18"/>
        </w:rPr>
        <w:t xml:space="preserve"> will be entitled to receive tiered royalties at percentages ranging from the low double-digits, up to 20% on sales of soticlestat. Royalties will be payable on a country-by-country and product-by-product basis during the period beginning on the date of th</w:t>
      </w:r>
      <w:r>
        <w:rPr>
          <w:rFonts w:eastAsia="Times New Roman"/>
          <w:color w:val="000000"/>
          <w:sz w:val="18"/>
          <w:szCs w:val="18"/>
        </w:rPr>
        <w:t>e first commercial sale of such product in such country and ending on the later to occur of the expiration of patent rights covering the product in such country and a specified anniversary of such first commercial sale.</w:t>
      </w:r>
    </w:p>
    <w:p w:rsidR="00000000" w:rsidRDefault="00375AF8">
      <w:pPr>
        <w:ind w:firstLine="720"/>
        <w:jc w:val="both"/>
        <w:divId w:val="888801249"/>
        <w:rPr>
          <w:rFonts w:eastAsia="Times New Roman"/>
        </w:rPr>
      </w:pPr>
      <w:r>
        <w:rPr>
          <w:rFonts w:eastAsia="Times New Roman"/>
          <w:color w:val="000000"/>
          <w:sz w:val="18"/>
          <w:szCs w:val="18"/>
        </w:rPr>
        <w:t>Under the terms of the Takeda Licens</w:t>
      </w:r>
      <w:r>
        <w:rPr>
          <w:rFonts w:eastAsia="Times New Roman"/>
          <w:color w:val="000000"/>
          <w:sz w:val="18"/>
          <w:szCs w:val="18"/>
        </w:rPr>
        <w:t xml:space="preserve">e and Termination Agreement, Takeda now has sole discretion over the conduct of the development and commercialization of soticlestat. If for any reason, Takeda fails to progress, or elects to terminate the development of soticlestat as contemplated by the </w:t>
      </w:r>
      <w:r>
        <w:rPr>
          <w:rFonts w:eastAsia="Times New Roman"/>
          <w:color w:val="000000"/>
          <w:sz w:val="18"/>
          <w:szCs w:val="18"/>
        </w:rPr>
        <w:t>Takeda License and Termination Agreement, or if the development or commercialization of soticlestat is delayed or deprioritized by Takeda, we may not receive some or all of the royalty and milestone payments under such agreement. We are dependent upon Take</w:t>
      </w:r>
      <w:r>
        <w:rPr>
          <w:rFonts w:eastAsia="Times New Roman"/>
          <w:color w:val="000000"/>
          <w:sz w:val="18"/>
          <w:szCs w:val="18"/>
        </w:rPr>
        <w:t>da’s progression of such development and the resulting payments to fund the regulatory development of our current and future drug candidates. If we are unable to find alternative sources of revenue, our inability to receive royalty or milestone payments un</w:t>
      </w:r>
      <w:r>
        <w:rPr>
          <w:rFonts w:eastAsia="Times New Roman"/>
          <w:color w:val="000000"/>
          <w:sz w:val="18"/>
          <w:szCs w:val="18"/>
        </w:rPr>
        <w:t>der the Takeda License and Termination Agreement would negatively impact our business and results of operations.</w:t>
      </w:r>
    </w:p>
    <w:p w:rsidR="00000000" w:rsidRDefault="00375AF8">
      <w:pPr>
        <w:jc w:val="both"/>
        <w:divId w:val="995498830"/>
        <w:rPr>
          <w:rFonts w:eastAsia="Times New Roman"/>
        </w:rPr>
      </w:pPr>
      <w:r>
        <w:rPr>
          <w:rFonts w:eastAsia="Times New Roman"/>
          <w:b/>
          <w:bCs/>
          <w:i/>
          <w:iCs/>
          <w:color w:val="000000"/>
          <w:sz w:val="18"/>
          <w:szCs w:val="18"/>
        </w:rPr>
        <w:t>Risks associated with the in-licensing or acquisition of drug candidates could cause substantial delays in the preclinical and clinical develop</w:t>
      </w:r>
      <w:r>
        <w:rPr>
          <w:rFonts w:eastAsia="Times New Roman"/>
          <w:b/>
          <w:bCs/>
          <w:i/>
          <w:iCs/>
          <w:color w:val="000000"/>
          <w:sz w:val="18"/>
          <w:szCs w:val="18"/>
        </w:rPr>
        <w:t>ment of our drug candidates.</w:t>
      </w:r>
    </w:p>
    <w:p w:rsidR="00000000" w:rsidRDefault="00375AF8">
      <w:pPr>
        <w:ind w:firstLine="720"/>
        <w:jc w:val="both"/>
        <w:divId w:val="327758334"/>
        <w:rPr>
          <w:rFonts w:eastAsia="Times New Roman"/>
        </w:rPr>
      </w:pPr>
      <w:r>
        <w:rPr>
          <w:rFonts w:eastAsia="Times New Roman"/>
          <w:color w:val="000000"/>
          <w:sz w:val="18"/>
          <w:szCs w:val="18"/>
        </w:rPr>
        <w:t>We have previously acquired and we may acquire or in-license drug candidates for preclinical or clinical development in the future as we continue to build our pipeline. Such arrangements with third parties may impose, diligence</w:t>
      </w:r>
      <w:r>
        <w:rPr>
          <w:rFonts w:eastAsia="Times New Roman"/>
          <w:color w:val="000000"/>
          <w:sz w:val="18"/>
          <w:szCs w:val="18"/>
        </w:rPr>
        <w:t xml:space="preserve">, development and commercialization obligations, milestone payments, royalty payments, indemnification and other obligations on us. Our obligations to pay milestone, royalty and other payments to our licensors may be substantial, and the amount and timing </w:t>
      </w:r>
      <w:r>
        <w:rPr>
          <w:rFonts w:eastAsia="Times New Roman"/>
          <w:color w:val="000000"/>
          <w:sz w:val="18"/>
          <w:szCs w:val="18"/>
        </w:rPr>
        <w:t>of such payments may impact our ability to progress the development and commercialization of our drug candidates. Our rights to use any licensed intellectual property may be subject to the continuation of and our compliance with the terms of any such agree</w:t>
      </w:r>
      <w:r>
        <w:rPr>
          <w:rFonts w:eastAsia="Times New Roman"/>
          <w:color w:val="000000"/>
          <w:sz w:val="18"/>
          <w:szCs w:val="18"/>
        </w:rPr>
        <w:t>ments. Additionally, disputes may arise regarding our rights to intellectual property licensed to us or acquired by us from a third party, including but not limited to:</w:t>
      </w:r>
    </w:p>
    <w:p w:rsidR="00000000" w:rsidRDefault="00375AF8">
      <w:pPr>
        <w:ind w:hanging="720"/>
        <w:jc w:val="both"/>
        <w:divId w:val="1987346202"/>
        <w:rPr>
          <w:rFonts w:eastAsia="Times New Roman"/>
        </w:rPr>
      </w:pPr>
      <w:r>
        <w:rPr>
          <w:rFonts w:eastAsia="Times New Roman"/>
          <w:color w:val="000000"/>
          <w:sz w:val="18"/>
          <w:szCs w:val="18"/>
        </w:rPr>
        <w:t>•the scope of intellectual property rights included in, and rights granted under, any l</w:t>
      </w:r>
      <w:r>
        <w:rPr>
          <w:rFonts w:eastAsia="Times New Roman"/>
          <w:color w:val="000000"/>
          <w:sz w:val="18"/>
          <w:szCs w:val="18"/>
        </w:rPr>
        <w:t>icense or other agreement;</w:t>
      </w:r>
    </w:p>
    <w:p w:rsidR="00000000" w:rsidRDefault="00375AF8">
      <w:pPr>
        <w:ind w:hanging="720"/>
        <w:jc w:val="both"/>
        <w:divId w:val="755714401"/>
        <w:rPr>
          <w:rFonts w:eastAsia="Times New Roman"/>
        </w:rPr>
      </w:pPr>
      <w:r>
        <w:rPr>
          <w:rFonts w:eastAsia="Times New Roman"/>
          <w:color w:val="000000"/>
          <w:sz w:val="18"/>
          <w:szCs w:val="18"/>
        </w:rPr>
        <w:t>•the sublicensing of patent and other rights under such agreements;</w:t>
      </w:r>
    </w:p>
    <w:p w:rsidR="00000000" w:rsidRDefault="00375AF8">
      <w:pPr>
        <w:ind w:hanging="720"/>
        <w:jc w:val="both"/>
        <w:divId w:val="789936325"/>
        <w:rPr>
          <w:rFonts w:eastAsia="Times New Roman"/>
        </w:rPr>
      </w:pPr>
      <w:r>
        <w:rPr>
          <w:rFonts w:eastAsia="Times New Roman"/>
          <w:color w:val="000000"/>
          <w:sz w:val="18"/>
          <w:szCs w:val="18"/>
        </w:rPr>
        <w:t>•our compliance with our diligence obligations under any license agreement;</w:t>
      </w:r>
    </w:p>
    <w:p w:rsidR="00000000" w:rsidRDefault="00375AF8">
      <w:pPr>
        <w:ind w:hanging="720"/>
        <w:jc w:val="both"/>
        <w:divId w:val="1218930948"/>
        <w:rPr>
          <w:rFonts w:eastAsia="Times New Roman"/>
        </w:rPr>
      </w:pPr>
      <w:r>
        <w:rPr>
          <w:rFonts w:eastAsia="Times New Roman"/>
          <w:color w:val="000000"/>
          <w:sz w:val="18"/>
          <w:szCs w:val="18"/>
        </w:rPr>
        <w:t>•the ownership of inventions and know-how resulting from the creation or use of intel</w:t>
      </w:r>
      <w:r>
        <w:rPr>
          <w:rFonts w:eastAsia="Times New Roman"/>
          <w:color w:val="000000"/>
          <w:sz w:val="18"/>
          <w:szCs w:val="18"/>
        </w:rPr>
        <w:t>lectual property by us, alone or with our licensors and collaborators;</w:t>
      </w:r>
    </w:p>
    <w:p w:rsidR="00000000" w:rsidRDefault="00375AF8">
      <w:pPr>
        <w:ind w:hanging="720"/>
        <w:jc w:val="both"/>
        <w:divId w:val="1417286667"/>
        <w:rPr>
          <w:rFonts w:eastAsia="Times New Roman"/>
        </w:rPr>
      </w:pPr>
      <w:r>
        <w:rPr>
          <w:rFonts w:eastAsia="Times New Roman"/>
          <w:color w:val="000000"/>
          <w:sz w:val="18"/>
          <w:szCs w:val="18"/>
        </w:rPr>
        <w:t>•the scope and duration of our payment obligations, and our ability to make such payments when they are owed;</w:t>
      </w:r>
    </w:p>
    <w:p w:rsidR="00000000" w:rsidRDefault="00375AF8">
      <w:pPr>
        <w:ind w:hanging="720"/>
        <w:jc w:val="both"/>
        <w:divId w:val="1964385628"/>
        <w:rPr>
          <w:rFonts w:eastAsia="Times New Roman"/>
        </w:rPr>
      </w:pPr>
      <w:r>
        <w:rPr>
          <w:rFonts w:eastAsia="Times New Roman"/>
          <w:color w:val="000000"/>
          <w:sz w:val="18"/>
          <w:szCs w:val="18"/>
        </w:rPr>
        <w:t>•our need to acquire additional intellectual property rights from third par</w:t>
      </w:r>
      <w:r>
        <w:rPr>
          <w:rFonts w:eastAsia="Times New Roman"/>
          <w:color w:val="000000"/>
          <w:sz w:val="18"/>
          <w:szCs w:val="18"/>
        </w:rPr>
        <w:t>ties that may impact payments due under such agreements;</w:t>
      </w:r>
    </w:p>
    <w:p w:rsidR="00000000" w:rsidRDefault="00375AF8">
      <w:pPr>
        <w:ind w:hanging="720"/>
        <w:jc w:val="both"/>
        <w:divId w:val="1206211838"/>
        <w:rPr>
          <w:rFonts w:eastAsia="Times New Roman"/>
        </w:rPr>
      </w:pPr>
      <w:r>
        <w:rPr>
          <w:rFonts w:eastAsia="Times New Roman"/>
          <w:color w:val="000000"/>
          <w:sz w:val="18"/>
          <w:szCs w:val="18"/>
        </w:rPr>
        <w:t>•the rights of our licensors to terminate any such agreement;</w:t>
      </w:r>
    </w:p>
    <w:p w:rsidR="00000000" w:rsidRDefault="00375AF8">
      <w:pPr>
        <w:ind w:hanging="720"/>
        <w:jc w:val="both"/>
        <w:divId w:val="687213980"/>
        <w:rPr>
          <w:rFonts w:eastAsia="Times New Roman"/>
        </w:rPr>
      </w:pPr>
      <w:r>
        <w:rPr>
          <w:rFonts w:eastAsia="Times New Roman"/>
          <w:color w:val="000000"/>
          <w:sz w:val="18"/>
          <w:szCs w:val="18"/>
        </w:rPr>
        <w:t>•our rights and obligations upon termination of such agreement; and</w:t>
      </w:r>
    </w:p>
    <w:p w:rsidR="00000000" w:rsidRDefault="00375AF8">
      <w:pPr>
        <w:ind w:hanging="720"/>
        <w:jc w:val="both"/>
        <w:divId w:val="508561921"/>
        <w:rPr>
          <w:rFonts w:eastAsia="Times New Roman"/>
        </w:rPr>
      </w:pPr>
      <w:r>
        <w:rPr>
          <w:rFonts w:eastAsia="Times New Roman"/>
          <w:color w:val="000000"/>
          <w:sz w:val="18"/>
          <w:szCs w:val="18"/>
        </w:rPr>
        <w:t>•the scope and duration of exclusivity obligations of each party to t</w:t>
      </w:r>
      <w:r>
        <w:rPr>
          <w:rFonts w:eastAsia="Times New Roman"/>
          <w:color w:val="000000"/>
          <w:sz w:val="18"/>
          <w:szCs w:val="18"/>
        </w:rPr>
        <w:t>he agreement.</w:t>
      </w:r>
    </w:p>
    <w:p w:rsidR="00000000" w:rsidRDefault="00375AF8">
      <w:pPr>
        <w:ind w:firstLine="720"/>
        <w:jc w:val="both"/>
        <w:divId w:val="1418793561"/>
        <w:rPr>
          <w:rFonts w:eastAsia="Times New Roman"/>
        </w:rPr>
      </w:pPr>
      <w:r>
        <w:rPr>
          <w:rFonts w:eastAsia="Times New Roman"/>
          <w:color w:val="000000"/>
          <w:sz w:val="18"/>
          <w:szCs w:val="18"/>
        </w:rPr>
        <w:t>Disputes over intellectual property and other rights that we have licensed or acquired, or may license or acquire in the future, from third parties could prevent or impair our ability to maintain any such arrangements on acceptable terms, res</w:t>
      </w:r>
      <w:r>
        <w:rPr>
          <w:rFonts w:eastAsia="Times New Roman"/>
          <w:color w:val="000000"/>
          <w:sz w:val="18"/>
          <w:szCs w:val="18"/>
        </w:rPr>
        <w:t>ult in delays in the commencement or completion of our preclinical studies and clinical trials and impact our ability to successfully develop and commercialize the affected drug candidates. If we fail to comply with our obligations under any future licensi</w:t>
      </w:r>
      <w:r>
        <w:rPr>
          <w:rFonts w:eastAsia="Times New Roman"/>
          <w:color w:val="000000"/>
          <w:sz w:val="18"/>
          <w:szCs w:val="18"/>
        </w:rPr>
        <w:t>ng agreements, these agreements may be terminated or the scope of our rights under them may be reduced and we might be unable to develop, manufacture or market any product that is licensed under these agreements.</w:t>
      </w:r>
    </w:p>
    <w:p w:rsidR="00000000" w:rsidRDefault="00375AF8">
      <w:pPr>
        <w:jc w:val="both"/>
        <w:divId w:val="1956478784"/>
        <w:rPr>
          <w:rFonts w:eastAsia="Times New Roman"/>
        </w:rPr>
      </w:pPr>
      <w:r>
        <w:rPr>
          <w:rFonts w:eastAsia="Times New Roman"/>
          <w:b/>
          <w:bCs/>
          <w:i/>
          <w:iCs/>
          <w:color w:val="000000"/>
          <w:sz w:val="18"/>
          <w:szCs w:val="18"/>
        </w:rPr>
        <w:t xml:space="preserve">We may be required to relinquish important </w:t>
      </w:r>
      <w:r>
        <w:rPr>
          <w:rFonts w:eastAsia="Times New Roman"/>
          <w:b/>
          <w:bCs/>
          <w:i/>
          <w:iCs/>
          <w:color w:val="000000"/>
          <w:sz w:val="18"/>
          <w:szCs w:val="18"/>
        </w:rPr>
        <w:t>rights to and control over the development and commercialization of our drug candidates to any future collaborators.</w:t>
      </w:r>
    </w:p>
    <w:p w:rsidR="00000000" w:rsidRDefault="00375AF8">
      <w:pPr>
        <w:ind w:firstLine="720"/>
        <w:jc w:val="both"/>
        <w:divId w:val="1553888619"/>
        <w:rPr>
          <w:rFonts w:eastAsia="Times New Roman"/>
        </w:rPr>
      </w:pPr>
      <w:r>
        <w:rPr>
          <w:rFonts w:eastAsia="Times New Roman"/>
          <w:color w:val="000000"/>
          <w:sz w:val="18"/>
          <w:szCs w:val="18"/>
        </w:rPr>
        <w:t>Our current and future collaborations could subject us to a number of risks, including:</w:t>
      </w:r>
    </w:p>
    <w:p w:rsidR="00000000" w:rsidRDefault="00375AF8">
      <w:pPr>
        <w:ind w:hanging="720"/>
        <w:jc w:val="both"/>
        <w:divId w:val="877399917"/>
        <w:rPr>
          <w:rFonts w:eastAsia="Times New Roman"/>
        </w:rPr>
      </w:pPr>
      <w:r>
        <w:rPr>
          <w:rFonts w:eastAsia="Times New Roman"/>
          <w:color w:val="000000"/>
          <w:sz w:val="18"/>
          <w:szCs w:val="18"/>
        </w:rPr>
        <w:t>•we may be required to undertake the expenditure of</w:t>
      </w:r>
      <w:r>
        <w:rPr>
          <w:rFonts w:eastAsia="Times New Roman"/>
          <w:color w:val="000000"/>
          <w:sz w:val="18"/>
          <w:szCs w:val="18"/>
        </w:rPr>
        <w:t xml:space="preserve"> substantial operational, financial and management resources;</w:t>
      </w:r>
    </w:p>
    <w:p w:rsidR="00000000" w:rsidRDefault="00375AF8">
      <w:pPr>
        <w:ind w:hanging="720"/>
        <w:jc w:val="both"/>
        <w:divId w:val="1483152845"/>
        <w:rPr>
          <w:rFonts w:eastAsia="Times New Roman"/>
        </w:rPr>
      </w:pPr>
      <w:r>
        <w:rPr>
          <w:rFonts w:eastAsia="Times New Roman"/>
          <w:color w:val="000000"/>
          <w:sz w:val="18"/>
          <w:szCs w:val="18"/>
        </w:rPr>
        <w:t>•we may be required to issue equity securities that would dilute our stockholders’ percentage of ownership;</w:t>
      </w:r>
    </w:p>
    <w:p w:rsidR="00000000" w:rsidRDefault="00375AF8">
      <w:pPr>
        <w:ind w:hanging="720"/>
        <w:jc w:val="both"/>
        <w:divId w:val="1326199934"/>
        <w:rPr>
          <w:rFonts w:eastAsia="Times New Roman"/>
        </w:rPr>
      </w:pPr>
      <w:r>
        <w:rPr>
          <w:rFonts w:eastAsia="Times New Roman"/>
          <w:color w:val="000000"/>
          <w:sz w:val="18"/>
          <w:szCs w:val="18"/>
        </w:rPr>
        <w:t>•we may be required to assume substantial actual or contingent liabilities;</w:t>
      </w:r>
    </w:p>
    <w:p w:rsidR="00000000" w:rsidRDefault="00375AF8">
      <w:pPr>
        <w:ind w:hanging="720"/>
        <w:jc w:val="both"/>
        <w:divId w:val="1623266073"/>
        <w:rPr>
          <w:rFonts w:eastAsia="Times New Roman"/>
        </w:rPr>
      </w:pPr>
      <w:r>
        <w:rPr>
          <w:rFonts w:eastAsia="Times New Roman"/>
          <w:color w:val="000000"/>
          <w:sz w:val="18"/>
          <w:szCs w:val="18"/>
        </w:rPr>
        <w:t>•we may no</w:t>
      </w:r>
      <w:r>
        <w:rPr>
          <w:rFonts w:eastAsia="Times New Roman"/>
          <w:color w:val="000000"/>
          <w:sz w:val="18"/>
          <w:szCs w:val="18"/>
        </w:rPr>
        <w:t>t be able to control the amount and timing of resources that our strategic collaborators devote to the development or commercialization of our drug candidates;</w:t>
      </w:r>
    </w:p>
    <w:p w:rsidR="00000000" w:rsidRDefault="00375AF8">
      <w:pPr>
        <w:ind w:hanging="720"/>
        <w:jc w:val="both"/>
        <w:divId w:val="661012251"/>
        <w:rPr>
          <w:rFonts w:eastAsia="Times New Roman"/>
        </w:rPr>
      </w:pPr>
      <w:r>
        <w:rPr>
          <w:rFonts w:eastAsia="Times New Roman"/>
          <w:color w:val="000000"/>
          <w:sz w:val="18"/>
          <w:szCs w:val="18"/>
        </w:rPr>
        <w:t>•strategic collaborators may delay clinical trials, provide insufficient funding, terminate a cl</w:t>
      </w:r>
      <w:r>
        <w:rPr>
          <w:rFonts w:eastAsia="Times New Roman"/>
          <w:color w:val="000000"/>
          <w:sz w:val="18"/>
          <w:szCs w:val="18"/>
        </w:rPr>
        <w:t>inical trial or abandon a drug candidate, repeat or conduct new clinical trials or require a new version of a drug candidate for clinical testing;</w:t>
      </w:r>
    </w:p>
    <w:p w:rsidR="00000000" w:rsidRDefault="00375AF8">
      <w:pPr>
        <w:ind w:hanging="720"/>
        <w:jc w:val="both"/>
        <w:divId w:val="2110392265"/>
        <w:rPr>
          <w:rFonts w:eastAsia="Times New Roman"/>
        </w:rPr>
      </w:pPr>
      <w:r>
        <w:rPr>
          <w:rFonts w:eastAsia="Times New Roman"/>
          <w:color w:val="000000"/>
          <w:sz w:val="18"/>
          <w:szCs w:val="18"/>
        </w:rPr>
        <w:t>•</w:t>
      </w:r>
      <w:r>
        <w:rPr>
          <w:rFonts w:eastAsia="Times New Roman"/>
          <w:color w:val="000000"/>
          <w:sz w:val="18"/>
          <w:szCs w:val="18"/>
        </w:rPr>
        <w:t>strategic collaborators may not pursue further development and commercialization of products resulting from the strategic collaboration arrangement or may elect to discontinue research and development programs;</w:t>
      </w:r>
    </w:p>
    <w:p w:rsidR="00000000" w:rsidRDefault="00375AF8">
      <w:pPr>
        <w:ind w:hanging="720"/>
        <w:jc w:val="both"/>
        <w:divId w:val="681396483"/>
        <w:rPr>
          <w:rFonts w:eastAsia="Times New Roman"/>
        </w:rPr>
      </w:pPr>
      <w:r>
        <w:rPr>
          <w:rFonts w:eastAsia="Times New Roman"/>
          <w:color w:val="000000"/>
          <w:sz w:val="18"/>
          <w:szCs w:val="18"/>
        </w:rPr>
        <w:t>•strategic collaborators may not commit adequ</w:t>
      </w:r>
      <w:r>
        <w:rPr>
          <w:rFonts w:eastAsia="Times New Roman"/>
          <w:color w:val="000000"/>
          <w:sz w:val="18"/>
          <w:szCs w:val="18"/>
        </w:rPr>
        <w:t>ate resources to the marketing and distribution, or even commercial launch of our drug candidates, limiting our potential revenues from these products;</w:t>
      </w:r>
    </w:p>
    <w:p w:rsidR="00000000" w:rsidRDefault="00375AF8">
      <w:pPr>
        <w:jc w:val="center"/>
        <w:divId w:val="222910855"/>
        <w:rPr>
          <w:rFonts w:eastAsia="Times New Roman"/>
        </w:rPr>
      </w:pPr>
      <w:r>
        <w:rPr>
          <w:rFonts w:eastAsia="Times New Roman"/>
          <w:color w:val="000000"/>
          <w:sz w:val="18"/>
          <w:szCs w:val="18"/>
        </w:rPr>
        <w:t>40</w:t>
      </w:r>
    </w:p>
    <w:p w:rsidR="00000000" w:rsidRDefault="00375AF8">
      <w:pPr>
        <w:rPr>
          <w:rFonts w:eastAsia="Times New Roman"/>
        </w:rPr>
      </w:pPr>
      <w:r>
        <w:rPr>
          <w:rFonts w:eastAsia="Times New Roman"/>
        </w:rPr>
        <w:pict>
          <v:rect id="_x0000_i1066" style="width:0;height:1.5pt" o:hralign="center" o:hrstd="t" o:hr="t" fillcolor="#a0a0a0" stroked="f"/>
        </w:pict>
      </w:r>
    </w:p>
    <w:p w:rsidR="00000000" w:rsidRDefault="00375AF8">
      <w:pPr>
        <w:divId w:val="1515727337"/>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054742445"/>
        <w:rPr>
          <w:rFonts w:eastAsia="Times New Roman"/>
        </w:rPr>
      </w:pPr>
      <w:r>
        <w:rPr>
          <w:rFonts w:eastAsia="Times New Roman"/>
          <w:color w:val="000000"/>
          <w:sz w:val="18"/>
          <w:szCs w:val="18"/>
        </w:rPr>
        <w:t>•we rely on our current collaborators to manufacture drug substance and drug product and may do so with respect to future collaborators, which could result in disputes or delays;</w:t>
      </w:r>
    </w:p>
    <w:p w:rsidR="00000000" w:rsidRDefault="00375AF8">
      <w:pPr>
        <w:ind w:hanging="720"/>
        <w:jc w:val="both"/>
        <w:divId w:val="1410690001"/>
        <w:rPr>
          <w:rFonts w:eastAsia="Times New Roman"/>
        </w:rPr>
      </w:pPr>
      <w:r>
        <w:rPr>
          <w:rFonts w:eastAsia="Times New Roman"/>
          <w:color w:val="000000"/>
          <w:sz w:val="18"/>
          <w:szCs w:val="18"/>
        </w:rPr>
        <w:t>•</w:t>
      </w:r>
      <w:r>
        <w:rPr>
          <w:rFonts w:eastAsia="Times New Roman"/>
          <w:color w:val="000000"/>
          <w:sz w:val="18"/>
          <w:szCs w:val="18"/>
        </w:rPr>
        <w:t>disputes may arise between us and our strategic collaborators that result in the delay or termination of the research, development or commercialization of our drug candidates or that result in costly litigation or arbitration that diverts management’s atte</w:t>
      </w:r>
      <w:r>
        <w:rPr>
          <w:rFonts w:eastAsia="Times New Roman"/>
          <w:color w:val="000000"/>
          <w:sz w:val="18"/>
          <w:szCs w:val="18"/>
        </w:rPr>
        <w:t>ntion and consumes resources;</w:t>
      </w:r>
    </w:p>
    <w:p w:rsidR="00000000" w:rsidRDefault="00375AF8">
      <w:pPr>
        <w:ind w:hanging="720"/>
        <w:jc w:val="both"/>
        <w:divId w:val="1790931063"/>
        <w:rPr>
          <w:rFonts w:eastAsia="Times New Roman"/>
        </w:rPr>
      </w:pPr>
      <w:r>
        <w:rPr>
          <w:rFonts w:eastAsia="Times New Roman"/>
          <w:color w:val="000000"/>
          <w:sz w:val="18"/>
          <w:szCs w:val="18"/>
        </w:rPr>
        <w:t>•disputes may arise between us and our current or future collaborators regarding any termination of any collaboration, license, or other business development arrangement in which we may enter;</w:t>
      </w:r>
    </w:p>
    <w:p w:rsidR="00000000" w:rsidRDefault="00375AF8">
      <w:pPr>
        <w:ind w:hanging="720"/>
        <w:jc w:val="both"/>
        <w:divId w:val="932393449"/>
        <w:rPr>
          <w:rFonts w:eastAsia="Times New Roman"/>
        </w:rPr>
      </w:pPr>
      <w:r>
        <w:rPr>
          <w:rFonts w:eastAsia="Times New Roman"/>
          <w:color w:val="000000"/>
          <w:sz w:val="18"/>
          <w:szCs w:val="18"/>
        </w:rPr>
        <w:t>•strategic collaborators may expe</w:t>
      </w:r>
      <w:r>
        <w:rPr>
          <w:rFonts w:eastAsia="Times New Roman"/>
          <w:color w:val="000000"/>
          <w:sz w:val="18"/>
          <w:szCs w:val="18"/>
        </w:rPr>
        <w:t>rience financial difficulties;</w:t>
      </w:r>
    </w:p>
    <w:p w:rsidR="00000000" w:rsidRDefault="00375AF8">
      <w:pPr>
        <w:ind w:hanging="720"/>
        <w:jc w:val="both"/>
        <w:divId w:val="1199468858"/>
        <w:rPr>
          <w:rFonts w:eastAsia="Times New Roman"/>
        </w:rPr>
      </w:pPr>
      <w:r>
        <w:rPr>
          <w:rFonts w:eastAsia="Times New Roman"/>
          <w:color w:val="000000"/>
          <w:sz w:val="18"/>
          <w:szCs w:val="18"/>
        </w:rPr>
        <w:t xml:space="preserve">•strategic collaborators may not properly maintain or defend our intellectual property rights or may use our proprietary information in a manner that could jeopardize or invalidate our proprietary information or expose us to </w:t>
      </w:r>
      <w:r>
        <w:rPr>
          <w:rFonts w:eastAsia="Times New Roman"/>
          <w:color w:val="000000"/>
          <w:sz w:val="18"/>
          <w:szCs w:val="18"/>
        </w:rPr>
        <w:t>potential litigation;</w:t>
      </w:r>
    </w:p>
    <w:p w:rsidR="00000000" w:rsidRDefault="00375AF8">
      <w:pPr>
        <w:ind w:hanging="720"/>
        <w:jc w:val="both"/>
        <w:divId w:val="1835996337"/>
        <w:rPr>
          <w:rFonts w:eastAsia="Times New Roman"/>
        </w:rPr>
      </w:pPr>
      <w:r>
        <w:rPr>
          <w:rFonts w:eastAsia="Times New Roman"/>
          <w:color w:val="000000"/>
          <w:sz w:val="18"/>
          <w:szCs w:val="18"/>
        </w:rPr>
        <w:t>•business combinations or significant changes in a strategic collaborator’s business strategy may also adversely affect a strategic collaborator’s willingness or ability to complete its obligations under any arrangement;</w:t>
      </w:r>
    </w:p>
    <w:p w:rsidR="00000000" w:rsidRDefault="00375AF8">
      <w:pPr>
        <w:ind w:hanging="720"/>
        <w:jc w:val="both"/>
        <w:divId w:val="1705863829"/>
        <w:rPr>
          <w:rFonts w:eastAsia="Times New Roman"/>
        </w:rPr>
      </w:pPr>
      <w:r>
        <w:rPr>
          <w:rFonts w:eastAsia="Times New Roman"/>
          <w:color w:val="000000"/>
          <w:sz w:val="18"/>
          <w:szCs w:val="18"/>
        </w:rPr>
        <w:t>•strategic co</w:t>
      </w:r>
      <w:r>
        <w:rPr>
          <w:rFonts w:eastAsia="Times New Roman"/>
          <w:color w:val="000000"/>
          <w:sz w:val="18"/>
          <w:szCs w:val="18"/>
        </w:rPr>
        <w:t>llaborators could decide to move forward with a competing drug candidate developed either independently or in collaboration with others, including our competitors; and</w:t>
      </w:r>
    </w:p>
    <w:p w:rsidR="00000000" w:rsidRDefault="00375AF8">
      <w:pPr>
        <w:ind w:hanging="720"/>
        <w:jc w:val="both"/>
        <w:divId w:val="1975982184"/>
        <w:rPr>
          <w:rFonts w:eastAsia="Times New Roman"/>
        </w:rPr>
      </w:pPr>
      <w:r>
        <w:rPr>
          <w:rFonts w:eastAsia="Times New Roman"/>
          <w:color w:val="000000"/>
          <w:sz w:val="18"/>
          <w:szCs w:val="18"/>
        </w:rPr>
        <w:t>•strategic collaborators could terminate the arrangement or allow it to expire, which wo</w:t>
      </w:r>
      <w:r>
        <w:rPr>
          <w:rFonts w:eastAsia="Times New Roman"/>
          <w:color w:val="000000"/>
          <w:sz w:val="18"/>
          <w:szCs w:val="18"/>
        </w:rPr>
        <w:t>uld delay the development and may increase the cost of developing our drug candidates.</w:t>
      </w:r>
    </w:p>
    <w:p w:rsidR="00000000" w:rsidRDefault="00375AF8">
      <w:pPr>
        <w:jc w:val="both"/>
        <w:divId w:val="1741948211"/>
        <w:rPr>
          <w:rFonts w:eastAsia="Times New Roman"/>
        </w:rPr>
      </w:pPr>
      <w:r>
        <w:rPr>
          <w:rFonts w:eastAsia="Times New Roman"/>
          <w:b/>
          <w:bCs/>
          <w:i/>
          <w:iCs/>
          <w:color w:val="000000"/>
          <w:sz w:val="18"/>
          <w:szCs w:val="18"/>
        </w:rPr>
        <w:t>We may explore additional strategic collaborations that may never materialize or may fail.</w:t>
      </w:r>
    </w:p>
    <w:p w:rsidR="00000000" w:rsidRDefault="00375AF8">
      <w:pPr>
        <w:ind w:firstLine="720"/>
        <w:jc w:val="both"/>
        <w:divId w:val="1832403277"/>
        <w:rPr>
          <w:rFonts w:eastAsia="Times New Roman"/>
        </w:rPr>
      </w:pPr>
      <w:r>
        <w:rPr>
          <w:rFonts w:eastAsia="Times New Roman"/>
          <w:color w:val="000000"/>
          <w:sz w:val="18"/>
          <w:szCs w:val="18"/>
        </w:rPr>
        <w:t>Our business strategy is based on acquiring or in-licensing compounds directed</w:t>
      </w:r>
      <w:r>
        <w:rPr>
          <w:rFonts w:eastAsia="Times New Roman"/>
          <w:color w:val="000000"/>
          <w:sz w:val="18"/>
          <w:szCs w:val="18"/>
        </w:rPr>
        <w:t xml:space="preserve"> at epilepsies, seizure-related disorders, and rare neurological disorders. As a result, we intend to periodically explore a variety of possible additional strategic collaborations in an effort to gain access to additional drug candidates or resources. At </w:t>
      </w:r>
      <w:r>
        <w:rPr>
          <w:rFonts w:eastAsia="Times New Roman"/>
          <w:color w:val="000000"/>
          <w:sz w:val="18"/>
          <w:szCs w:val="18"/>
        </w:rPr>
        <w:t>the current time, we cannot predict what form such a strategic collaboration might take. We are likely to face significant competition in seeking appropriate strategic collaborators, and strategic collaborations can be complicated and time consuming to neg</w:t>
      </w:r>
      <w:r>
        <w:rPr>
          <w:rFonts w:eastAsia="Times New Roman"/>
          <w:color w:val="000000"/>
          <w:sz w:val="18"/>
          <w:szCs w:val="18"/>
        </w:rPr>
        <w:t>otiate and document. We may not be able to negotiate strategic collaborations on acceptable terms, or at all. We are unable to predict when, if ever, we will enter into any additional strategic collaborations because of the numerous risks and uncertainties</w:t>
      </w:r>
      <w:r>
        <w:rPr>
          <w:rFonts w:eastAsia="Times New Roman"/>
          <w:color w:val="000000"/>
          <w:sz w:val="18"/>
          <w:szCs w:val="18"/>
        </w:rPr>
        <w:t xml:space="preserve"> associated with establishing them. Further, our business development activities and research activities may present attractive opportunities outside of epilepsies and seizure related disorders and we may choose to pursue drug candidates in other areas of </w:t>
      </w:r>
      <w:r>
        <w:rPr>
          <w:rFonts w:eastAsia="Times New Roman"/>
          <w:color w:val="000000"/>
          <w:sz w:val="18"/>
          <w:szCs w:val="18"/>
        </w:rPr>
        <w:t>interest including other disorders and diseases that we believe would be in the best interest of the Company and our stockholders. We plan to continuously review our strategies and modify as necessary based on attractive areas of interest and assets that w</w:t>
      </w:r>
      <w:r>
        <w:rPr>
          <w:rFonts w:eastAsia="Times New Roman"/>
          <w:color w:val="000000"/>
          <w:sz w:val="18"/>
          <w:szCs w:val="18"/>
        </w:rPr>
        <w:t>e choose to pursue.</w:t>
      </w:r>
    </w:p>
    <w:p w:rsidR="00000000" w:rsidRDefault="00375AF8">
      <w:pPr>
        <w:jc w:val="both"/>
        <w:divId w:val="935215614"/>
        <w:rPr>
          <w:rFonts w:eastAsia="Times New Roman"/>
        </w:rPr>
      </w:pPr>
      <w:r>
        <w:rPr>
          <w:rFonts w:eastAsia="Times New Roman"/>
          <w:b/>
          <w:bCs/>
          <w:color w:val="000000"/>
          <w:sz w:val="18"/>
          <w:szCs w:val="18"/>
        </w:rPr>
        <w:t>Risks Related to Regulatory Compliance</w:t>
      </w:r>
    </w:p>
    <w:p w:rsidR="00000000" w:rsidRDefault="00375AF8">
      <w:pPr>
        <w:jc w:val="both"/>
        <w:divId w:val="1304575807"/>
        <w:rPr>
          <w:rFonts w:eastAsia="Times New Roman"/>
        </w:rPr>
      </w:pPr>
      <w:r>
        <w:rPr>
          <w:rFonts w:eastAsia="Times New Roman"/>
          <w:b/>
          <w:bCs/>
          <w:i/>
          <w:iCs/>
          <w:color w:val="000000"/>
          <w:sz w:val="18"/>
          <w:szCs w:val="18"/>
        </w:rPr>
        <w:t>Our relationships with customers, physicians, and third-party payors may be subject, directly or indirectly, to federal and state healthcare fraud and abuse laws, false claims laws, health informat</w:t>
      </w:r>
      <w:r>
        <w:rPr>
          <w:rFonts w:eastAsia="Times New Roman"/>
          <w:b/>
          <w:bCs/>
          <w:i/>
          <w:iCs/>
          <w:color w:val="000000"/>
          <w:sz w:val="18"/>
          <w:szCs w:val="18"/>
        </w:rPr>
        <w:t>ion privacy and security laws, and other healthcare laws and regulations. If we are unable to comply, or have not fully complied, with such laws, we could face substantial penalties.</w:t>
      </w:r>
    </w:p>
    <w:p w:rsidR="00000000" w:rsidRDefault="00375AF8">
      <w:pPr>
        <w:ind w:firstLine="720"/>
        <w:jc w:val="both"/>
        <w:divId w:val="2112966703"/>
        <w:rPr>
          <w:rFonts w:eastAsia="Times New Roman"/>
        </w:rPr>
      </w:pPr>
      <w:r>
        <w:rPr>
          <w:rFonts w:eastAsia="Times New Roman"/>
          <w:color w:val="000000"/>
          <w:sz w:val="18"/>
          <w:szCs w:val="18"/>
        </w:rPr>
        <w:t>Healthcare providers and third-party payors in the United States and else</w:t>
      </w:r>
      <w:r>
        <w:rPr>
          <w:rFonts w:eastAsia="Times New Roman"/>
          <w:color w:val="000000"/>
          <w:sz w:val="18"/>
          <w:szCs w:val="18"/>
        </w:rPr>
        <w:t>where will play a primary role in the recommendation and prescription of any drug candidates for which we obtain marketing approval. Our current and future arrangements with healthcare professionals, principal investigators, consultants, customers and thir</w:t>
      </w:r>
      <w:r>
        <w:rPr>
          <w:rFonts w:eastAsia="Times New Roman"/>
          <w:color w:val="000000"/>
          <w:sz w:val="18"/>
          <w:szCs w:val="18"/>
        </w:rPr>
        <w:t>d-party payors may subject us to various federal and state fraud and abuse laws and other healthcare laws, including, without limitation, the federal Anti-Kickback Statute, the federal civil and criminal false claims laws and the law commonly referred to a</w:t>
      </w:r>
      <w:r>
        <w:rPr>
          <w:rFonts w:eastAsia="Times New Roman"/>
          <w:color w:val="000000"/>
          <w:sz w:val="18"/>
          <w:szCs w:val="18"/>
        </w:rPr>
        <w:t>s the Physician Payments Sunshine Act and regulations. These laws will impact, among other things, our clinical research, proposed sales, marketing and educational programs. In addition, we may be subject to patient privacy laws by both the federal governm</w:t>
      </w:r>
      <w:r>
        <w:rPr>
          <w:rFonts w:eastAsia="Times New Roman"/>
          <w:color w:val="000000"/>
          <w:sz w:val="18"/>
          <w:szCs w:val="18"/>
        </w:rPr>
        <w:t>ent and the states in which we conduct or may conduct our business. The laws that will affect our operations include, but are not limited to:</w:t>
      </w:r>
    </w:p>
    <w:p w:rsidR="00000000" w:rsidRDefault="00375AF8">
      <w:pPr>
        <w:ind w:hanging="720"/>
        <w:jc w:val="both"/>
        <w:divId w:val="1209881249"/>
        <w:rPr>
          <w:rFonts w:eastAsia="Times New Roman"/>
        </w:rPr>
      </w:pPr>
      <w:r>
        <w:rPr>
          <w:rFonts w:eastAsia="Times New Roman"/>
          <w:color w:val="000000"/>
          <w:sz w:val="18"/>
          <w:szCs w:val="18"/>
        </w:rPr>
        <w:t>•the federal Anti-Kickback Statute, which prohibits, among other things, persons or entities from knowingly and wi</w:t>
      </w:r>
      <w:r>
        <w:rPr>
          <w:rFonts w:eastAsia="Times New Roman"/>
          <w:color w:val="000000"/>
          <w:sz w:val="18"/>
          <w:szCs w:val="18"/>
        </w:rPr>
        <w:t>llfully soliciting, receiving, offering or paying any remuneration (including any kickback, bribe or rebate), directly or indirectly, overtly or covertly, in cash or in kind, in return for the purchase, recommendation, leasing or furnishing of an item or s</w:t>
      </w:r>
      <w:r>
        <w:rPr>
          <w:rFonts w:eastAsia="Times New Roman"/>
          <w:color w:val="000000"/>
          <w:sz w:val="18"/>
          <w:szCs w:val="18"/>
        </w:rPr>
        <w:t>ervice reimbursable under a federal healthcare program, such as the Medicare and Medicaid programs. This statute has been interpreted to apply to arrangements between pharmaceutical manufacturers on the one hand, and prescribers, purchasers and formulary m</w:t>
      </w:r>
      <w:r>
        <w:rPr>
          <w:rFonts w:eastAsia="Times New Roman"/>
          <w:color w:val="000000"/>
          <w:sz w:val="18"/>
          <w:szCs w:val="18"/>
        </w:rPr>
        <w:t>anagers on the other. The Patient Protection and Affordable Care Act, as amended by the Health Care and Education Reconciliation Act (collectively, the “PPACA”), amended the intent requirement of the federal Anti-Kickback Statute. A person or entity no lon</w:t>
      </w:r>
      <w:r>
        <w:rPr>
          <w:rFonts w:eastAsia="Times New Roman"/>
          <w:color w:val="000000"/>
          <w:sz w:val="18"/>
          <w:szCs w:val="18"/>
        </w:rPr>
        <w:t>ger needs to have actual knowledge of this statute or specific intent to violate it in order to have committed a violation;</w:t>
      </w:r>
    </w:p>
    <w:p w:rsidR="00000000" w:rsidRDefault="00375AF8">
      <w:pPr>
        <w:ind w:hanging="720"/>
        <w:jc w:val="both"/>
        <w:divId w:val="46609724"/>
        <w:rPr>
          <w:rFonts w:eastAsia="Times New Roman"/>
        </w:rPr>
      </w:pPr>
      <w:r>
        <w:rPr>
          <w:rFonts w:eastAsia="Times New Roman"/>
          <w:color w:val="000000"/>
          <w:sz w:val="18"/>
          <w:szCs w:val="18"/>
        </w:rPr>
        <w:t xml:space="preserve">•federal civil and criminal false claims laws, including, without limitation, the False Claims Act, and civil monetary penalty laws </w:t>
      </w:r>
      <w:r>
        <w:rPr>
          <w:rFonts w:eastAsia="Times New Roman"/>
          <w:color w:val="000000"/>
          <w:sz w:val="18"/>
          <w:szCs w:val="18"/>
        </w:rPr>
        <w:t>which prohibit, among other things, individuals or entities from knowingly presenting, or causing to be presented, claims for payment or approval from Medicare, Medicaid or other government payors that are false or fraudulent or making a false statement to</w:t>
      </w:r>
      <w:r>
        <w:rPr>
          <w:rFonts w:eastAsia="Times New Roman"/>
          <w:color w:val="000000"/>
          <w:sz w:val="18"/>
          <w:szCs w:val="18"/>
        </w:rPr>
        <w:t xml:space="preserve"> avoid, decrease or conceal an obligation to pay money to the federal government. The PPACA provides, and recent government cases against pharmaceutical and medical device manufacturers support, the view that federal Anti-Kickback Statute violations and ce</w:t>
      </w:r>
      <w:r>
        <w:rPr>
          <w:rFonts w:eastAsia="Times New Roman"/>
          <w:color w:val="000000"/>
          <w:sz w:val="18"/>
          <w:szCs w:val="18"/>
        </w:rPr>
        <w:t>rtain marketing practices, including off-label promotion, may implicate the False Claims Act;</w:t>
      </w:r>
    </w:p>
    <w:p w:rsidR="00000000" w:rsidRDefault="00375AF8">
      <w:pPr>
        <w:jc w:val="center"/>
        <w:divId w:val="1518038622"/>
        <w:rPr>
          <w:rFonts w:eastAsia="Times New Roman"/>
        </w:rPr>
      </w:pPr>
      <w:r>
        <w:rPr>
          <w:rFonts w:eastAsia="Times New Roman"/>
          <w:color w:val="000000"/>
          <w:sz w:val="18"/>
          <w:szCs w:val="18"/>
        </w:rPr>
        <w:t>41</w:t>
      </w:r>
    </w:p>
    <w:p w:rsidR="00000000" w:rsidRDefault="00375AF8">
      <w:pPr>
        <w:rPr>
          <w:rFonts w:eastAsia="Times New Roman"/>
        </w:rPr>
      </w:pPr>
      <w:r>
        <w:rPr>
          <w:rFonts w:eastAsia="Times New Roman"/>
        </w:rPr>
        <w:pict>
          <v:rect id="_x0000_i1067" style="width:0;height:1.5pt" o:hralign="center" o:hrstd="t" o:hr="t" fillcolor="#a0a0a0" stroked="f"/>
        </w:pict>
      </w:r>
    </w:p>
    <w:p w:rsidR="00000000" w:rsidRDefault="00375AF8">
      <w:pPr>
        <w:divId w:val="100343854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2146651894"/>
        <w:rPr>
          <w:rFonts w:eastAsia="Times New Roman"/>
        </w:rPr>
      </w:pPr>
      <w:r>
        <w:rPr>
          <w:rFonts w:eastAsia="Times New Roman"/>
          <w:color w:val="000000"/>
          <w:sz w:val="18"/>
          <w:szCs w:val="18"/>
        </w:rPr>
        <w:t xml:space="preserve">•the federal Health Insurance Portability and </w:t>
      </w:r>
      <w:r>
        <w:rPr>
          <w:rFonts w:eastAsia="Times New Roman"/>
          <w:color w:val="000000"/>
          <w:sz w:val="18"/>
          <w:szCs w:val="18"/>
        </w:rPr>
        <w:t>Accountability Act of 1996 (“HIPAA”), which created additional federal criminal statutes that prohibit a person from knowingly and willfully executing a scheme or making false or fraudulent statements to defraud any healthcare benefit program, regardless o</w:t>
      </w:r>
      <w:r>
        <w:rPr>
          <w:rFonts w:eastAsia="Times New Roman"/>
          <w:color w:val="000000"/>
          <w:sz w:val="18"/>
          <w:szCs w:val="18"/>
        </w:rPr>
        <w:t>f the payor (e.g., public or private);</w:t>
      </w:r>
    </w:p>
    <w:p w:rsidR="00000000" w:rsidRDefault="00375AF8">
      <w:pPr>
        <w:ind w:hanging="720"/>
        <w:jc w:val="both"/>
        <w:divId w:val="1353267626"/>
        <w:rPr>
          <w:rFonts w:eastAsia="Times New Roman"/>
        </w:rPr>
      </w:pPr>
      <w:r>
        <w:rPr>
          <w:rFonts w:eastAsia="Times New Roman"/>
          <w:color w:val="000000"/>
          <w:sz w:val="18"/>
          <w:szCs w:val="18"/>
        </w:rPr>
        <w:t>•HIPAA, as amended by the Health Information Technology for Economic and Clinical Health Act (“HITECH”), and their implementing regulations, and as amended again by the final HIPAA omnibus rule, Modifications to the H</w:t>
      </w:r>
      <w:r>
        <w:rPr>
          <w:rFonts w:eastAsia="Times New Roman"/>
          <w:color w:val="000000"/>
          <w:sz w:val="18"/>
          <w:szCs w:val="18"/>
        </w:rPr>
        <w:t>IPAA Privacy, Security, Enforcement, and Breach Notification Rules Under HITECH and the Genetic Information Nondiscrimination Act; Other Modifications to HIPAA, published in January 2013, which imposes certain requirements relating to the privacy, security</w:t>
      </w:r>
      <w:r>
        <w:rPr>
          <w:rFonts w:eastAsia="Times New Roman"/>
          <w:color w:val="000000"/>
          <w:sz w:val="18"/>
          <w:szCs w:val="18"/>
        </w:rPr>
        <w:t xml:space="preserve"> and transmission of individually identifiable health information without appropriate authorization by entities subject to the rule, such as health plans, healthcare clearinghouses and certain healthcare providers, known as covered entities, and their resp</w:t>
      </w:r>
      <w:r>
        <w:rPr>
          <w:rFonts w:eastAsia="Times New Roman"/>
          <w:color w:val="000000"/>
          <w:sz w:val="18"/>
          <w:szCs w:val="18"/>
        </w:rPr>
        <w:t>ective business associates, individuals or entities that perform certain services on behalf of a covered entity that involves the use or disclosure of individually identifiable health information and their subcontractors that use, disclose or otherwise pro</w:t>
      </w:r>
      <w:r>
        <w:rPr>
          <w:rFonts w:eastAsia="Times New Roman"/>
          <w:color w:val="000000"/>
          <w:sz w:val="18"/>
          <w:szCs w:val="18"/>
        </w:rPr>
        <w:t>cess individually identifiable health information;</w:t>
      </w:r>
    </w:p>
    <w:p w:rsidR="00000000" w:rsidRDefault="00375AF8">
      <w:pPr>
        <w:ind w:hanging="720"/>
        <w:jc w:val="both"/>
        <w:divId w:val="1384519363"/>
        <w:rPr>
          <w:rFonts w:eastAsia="Times New Roman"/>
        </w:rPr>
      </w:pPr>
      <w:r>
        <w:rPr>
          <w:rFonts w:eastAsia="Times New Roman"/>
          <w:color w:val="000000"/>
          <w:sz w:val="18"/>
          <w:szCs w:val="18"/>
        </w:rPr>
        <w:t>•Physician Payments Sunshine Act, which is part of the PPACA, that require certain manufacturers of drugs, devices, biologics and medical supplies for which payment is available under Medicare, Medicaid or</w:t>
      </w:r>
      <w:r>
        <w:rPr>
          <w:rFonts w:eastAsia="Times New Roman"/>
          <w:color w:val="000000"/>
          <w:sz w:val="18"/>
          <w:szCs w:val="18"/>
        </w:rPr>
        <w:t xml:space="preserve"> the Children’s Health Insurance Program, with specific exceptions, to report annually to the Centers for Medicare &amp; Medicaid Services (“CMS”), information related to: (i) payments or other “transfers of value” made to physicians (defined to include doctor</w:t>
      </w:r>
      <w:r>
        <w:rPr>
          <w:rFonts w:eastAsia="Times New Roman"/>
          <w:color w:val="000000"/>
          <w:sz w:val="18"/>
          <w:szCs w:val="18"/>
        </w:rPr>
        <w:t>s, dentists, optometrists, podiatrists and chiropractors), certain other healthcare professionals (such as physician assistants and nurse practitioners), and teaching hospitals; and (ii) ownership and investment interests held by physicians and their immed</w:t>
      </w:r>
      <w:r>
        <w:rPr>
          <w:rFonts w:eastAsia="Times New Roman"/>
          <w:color w:val="000000"/>
          <w:sz w:val="18"/>
          <w:szCs w:val="18"/>
        </w:rPr>
        <w:t>iate family members;</w:t>
      </w:r>
    </w:p>
    <w:p w:rsidR="00000000" w:rsidRDefault="00375AF8">
      <w:pPr>
        <w:ind w:hanging="720"/>
        <w:jc w:val="both"/>
        <w:divId w:val="962803950"/>
        <w:rPr>
          <w:rFonts w:eastAsia="Times New Roman"/>
        </w:rPr>
      </w:pPr>
      <w:r>
        <w:rPr>
          <w:rFonts w:eastAsia="Times New Roman"/>
          <w:color w:val="000000"/>
          <w:sz w:val="18"/>
          <w:szCs w:val="18"/>
        </w:rPr>
        <w:t>•</w:t>
      </w:r>
      <w:r>
        <w:rPr>
          <w:rFonts w:eastAsia="Times New Roman"/>
          <w:color w:val="000000"/>
          <w:sz w:val="18"/>
          <w:szCs w:val="18"/>
        </w:rPr>
        <w:t xml:space="preserve">state and foreign law equivalents of each of the above federal laws, state laws that require manufacturers to report information related to payments and other transfers of value to physicians and other healthcare providers or marketing expenditures and/or </w:t>
      </w:r>
      <w:r>
        <w:rPr>
          <w:rFonts w:eastAsia="Times New Roman"/>
          <w:color w:val="000000"/>
          <w:sz w:val="18"/>
          <w:szCs w:val="18"/>
        </w:rPr>
        <w:t>information regarding drug pricing, state laws that require pharmaceutical companies to comply with the pharmaceutical industry’s voluntary compliance guidelines and the relevant compliance guidance promulgated by the federal government or to adopt complia</w:t>
      </w:r>
      <w:r>
        <w:rPr>
          <w:rFonts w:eastAsia="Times New Roman"/>
          <w:color w:val="000000"/>
          <w:sz w:val="18"/>
          <w:szCs w:val="18"/>
        </w:rPr>
        <w:t>nce programs as prescribed by state laws and regulations, or that otherwise restrict payments that may be made to healthcare providers, state laws and regulations that require drug manufacturers to file reports relating to drug pricing and marketing inform</w:t>
      </w:r>
      <w:r>
        <w:rPr>
          <w:rFonts w:eastAsia="Times New Roman"/>
          <w:color w:val="000000"/>
          <w:sz w:val="18"/>
          <w:szCs w:val="18"/>
        </w:rPr>
        <w:t>ation, and state and local laws that require the registration of pharmaceutical sales representatives; and</w:t>
      </w:r>
    </w:p>
    <w:p w:rsidR="00000000" w:rsidRDefault="00375AF8">
      <w:pPr>
        <w:ind w:hanging="720"/>
        <w:jc w:val="both"/>
        <w:divId w:val="772166417"/>
        <w:rPr>
          <w:rFonts w:eastAsia="Times New Roman"/>
        </w:rPr>
      </w:pPr>
      <w:r>
        <w:rPr>
          <w:rFonts w:eastAsia="Times New Roman"/>
          <w:color w:val="000000"/>
          <w:sz w:val="18"/>
          <w:szCs w:val="18"/>
        </w:rPr>
        <w:t>•state and foreign laws that govern the privacy and security of health information in some circumstances, many of which differ from each other in sig</w:t>
      </w:r>
      <w:r>
        <w:rPr>
          <w:rFonts w:eastAsia="Times New Roman"/>
          <w:color w:val="000000"/>
          <w:sz w:val="18"/>
          <w:szCs w:val="18"/>
        </w:rPr>
        <w:t>nificant ways and often are not preempted by HIPAA, thus complicating compliance efforts.</w:t>
      </w:r>
    </w:p>
    <w:p w:rsidR="00000000" w:rsidRDefault="00375AF8">
      <w:pPr>
        <w:ind w:firstLine="720"/>
        <w:jc w:val="both"/>
        <w:divId w:val="1201866427"/>
        <w:rPr>
          <w:rFonts w:eastAsia="Times New Roman"/>
        </w:rPr>
      </w:pPr>
      <w:r>
        <w:rPr>
          <w:rFonts w:eastAsia="Times New Roman"/>
          <w:color w:val="000000"/>
          <w:sz w:val="18"/>
          <w:szCs w:val="18"/>
        </w:rPr>
        <w:t>Because of the breadth of these laws and the narrowness of the statutory exceptions and regulatory safe harbors available, it is possible that some of our business ac</w:t>
      </w:r>
      <w:r>
        <w:rPr>
          <w:rFonts w:eastAsia="Times New Roman"/>
          <w:color w:val="000000"/>
          <w:sz w:val="18"/>
          <w:szCs w:val="18"/>
        </w:rPr>
        <w:t>tivities could be subject to challenge under one or more of such laws.</w:t>
      </w:r>
    </w:p>
    <w:p w:rsidR="00000000" w:rsidRDefault="00375AF8">
      <w:pPr>
        <w:ind w:firstLine="720"/>
        <w:jc w:val="both"/>
        <w:divId w:val="1358237333"/>
        <w:rPr>
          <w:rFonts w:eastAsia="Times New Roman"/>
        </w:rPr>
      </w:pPr>
      <w:r>
        <w:rPr>
          <w:rFonts w:eastAsia="Times New Roman"/>
          <w:color w:val="000000"/>
          <w:sz w:val="18"/>
          <w:szCs w:val="18"/>
        </w:rPr>
        <w:t>It is possible that governmental authorities will conclude that our business practices may not comply with current or future statutes, regulations or case law involving applicable fraud</w:t>
      </w:r>
      <w:r>
        <w:rPr>
          <w:rFonts w:eastAsia="Times New Roman"/>
          <w:color w:val="000000"/>
          <w:sz w:val="18"/>
          <w:szCs w:val="18"/>
        </w:rPr>
        <w:t xml:space="preserve"> and abuse or other healthcare laws and regulations. If our operations are found to be in violation of any of these laws or any other governmental regulations that may apply to us, we may be subject to significant civil, criminal and administrative penalti</w:t>
      </w:r>
      <w:r>
        <w:rPr>
          <w:rFonts w:eastAsia="Times New Roman"/>
          <w:color w:val="000000"/>
          <w:sz w:val="18"/>
          <w:szCs w:val="18"/>
        </w:rPr>
        <w:t>es, damages, fines, disgorgement, imprisonment, exclusion from participation in government funded healthcare programs, such as Medicare and Medicaid, additional reporting requirements and oversight if we become subject to a corporate integrity agreement or</w:t>
      </w:r>
      <w:r>
        <w:rPr>
          <w:rFonts w:eastAsia="Times New Roman"/>
          <w:color w:val="000000"/>
          <w:sz w:val="18"/>
          <w:szCs w:val="18"/>
        </w:rPr>
        <w:t xml:space="preserve"> similar agreement to resolve allegations of non-compliance with these laws and the curtailment or restructuring of our operations.</w:t>
      </w:r>
    </w:p>
    <w:p w:rsidR="00000000" w:rsidRDefault="00375AF8">
      <w:pPr>
        <w:ind w:firstLine="720"/>
        <w:jc w:val="both"/>
        <w:divId w:val="2061786644"/>
        <w:rPr>
          <w:rFonts w:eastAsia="Times New Roman"/>
        </w:rPr>
      </w:pPr>
      <w:r>
        <w:rPr>
          <w:rFonts w:eastAsia="Times New Roman"/>
          <w:color w:val="000000"/>
          <w:sz w:val="18"/>
          <w:szCs w:val="18"/>
        </w:rPr>
        <w:t>The risk of our being found in violation of these laws is increased by the fact that many of them have not been fully interp</w:t>
      </w:r>
      <w:r>
        <w:rPr>
          <w:rFonts w:eastAsia="Times New Roman"/>
          <w:color w:val="000000"/>
          <w:sz w:val="18"/>
          <w:szCs w:val="18"/>
        </w:rPr>
        <w:t>reted by the regulatory authorities or the courts, and their provisions are open to a variety of interpretations. Efforts to ensure that our business arrangements with third parties will comply with applicable healthcare laws and regulations will involve s</w:t>
      </w:r>
      <w:r>
        <w:rPr>
          <w:rFonts w:eastAsia="Times New Roman"/>
          <w:color w:val="000000"/>
          <w:sz w:val="18"/>
          <w:szCs w:val="18"/>
        </w:rPr>
        <w:t>ubstantial costs. Any action against us for violation of these laws, even if we successfully defend against it, could cause us to incur significant legal expenses and divert our management’s attention from the operation of our business. The shifting compli</w:t>
      </w:r>
      <w:r>
        <w:rPr>
          <w:rFonts w:eastAsia="Times New Roman"/>
          <w:color w:val="000000"/>
          <w:sz w:val="18"/>
          <w:szCs w:val="18"/>
        </w:rPr>
        <w:t>ance environment and the need to build and maintain robust and expandable systems to comply with multiple jurisdictions with different compliance and/or reporting requirements increases the possibility that a healthcare company may run afoul of one or more</w:t>
      </w:r>
      <w:r>
        <w:rPr>
          <w:rFonts w:eastAsia="Times New Roman"/>
          <w:color w:val="000000"/>
          <w:sz w:val="18"/>
          <w:szCs w:val="18"/>
        </w:rPr>
        <w:t xml:space="preserve"> of the requirements.</w:t>
      </w:r>
    </w:p>
    <w:p w:rsidR="00000000" w:rsidRDefault="00375AF8">
      <w:pPr>
        <w:jc w:val="both"/>
        <w:divId w:val="1224566266"/>
        <w:rPr>
          <w:rFonts w:eastAsia="Times New Roman"/>
        </w:rPr>
      </w:pPr>
      <w:r>
        <w:rPr>
          <w:rFonts w:eastAsia="Times New Roman"/>
          <w:b/>
          <w:bCs/>
          <w:i/>
          <w:iCs/>
          <w:color w:val="000000"/>
          <w:sz w:val="18"/>
          <w:szCs w:val="18"/>
        </w:rPr>
        <w:t>Coverage and adequate reimbursement may not be available for our current or any future drug candidates, which could make it difficult for us to sell profitably, if approved.</w:t>
      </w:r>
    </w:p>
    <w:p w:rsidR="00000000" w:rsidRDefault="00375AF8">
      <w:pPr>
        <w:ind w:firstLine="720"/>
        <w:jc w:val="both"/>
        <w:divId w:val="1339426607"/>
        <w:rPr>
          <w:rFonts w:eastAsia="Times New Roman"/>
        </w:rPr>
      </w:pPr>
      <w:r>
        <w:rPr>
          <w:rFonts w:eastAsia="Times New Roman"/>
          <w:color w:val="000000"/>
          <w:sz w:val="18"/>
          <w:szCs w:val="18"/>
        </w:rPr>
        <w:t>Market acceptance and sales of any drug candidates that we commercialize, if appro</w:t>
      </w:r>
      <w:r>
        <w:rPr>
          <w:rFonts w:eastAsia="Times New Roman"/>
          <w:color w:val="000000"/>
          <w:sz w:val="18"/>
          <w:szCs w:val="18"/>
        </w:rPr>
        <w:t>ved, will depend in part on the extent to which coverage and adequate reimbursement for these drugs and related treatments will be available from third-party payors, including government health administration authorities, managed care organizations and oth</w:t>
      </w:r>
      <w:r>
        <w:rPr>
          <w:rFonts w:eastAsia="Times New Roman"/>
          <w:color w:val="000000"/>
          <w:sz w:val="18"/>
          <w:szCs w:val="18"/>
        </w:rPr>
        <w:t xml:space="preserve">er private health insurers. Third-party payors decide which therapies they will pay for and establish reimbursement levels. Third-party payors often rely upon Medicare coverage policy and payment limitations in setting their own coverage and reimbursement </w:t>
      </w:r>
      <w:r>
        <w:rPr>
          <w:rFonts w:eastAsia="Times New Roman"/>
          <w:color w:val="000000"/>
          <w:sz w:val="18"/>
          <w:szCs w:val="18"/>
        </w:rPr>
        <w:t>policies. However, decisions regarding the extent of coverage and amount of reimbursement to be provided for any drug candidates that we develop will be made on a payor-by-payor basis. One third-party payor’s determination to provide coverage for a drug do</w:t>
      </w:r>
      <w:r>
        <w:rPr>
          <w:rFonts w:eastAsia="Times New Roman"/>
          <w:color w:val="000000"/>
          <w:sz w:val="18"/>
          <w:szCs w:val="18"/>
        </w:rPr>
        <w:t>es not assure that other payors will also provide coverage, and adequate reimbursement, for the drug. Additionally, a third-party payor’s decision to provide coverage for a therapy does not imply that an adequate reimbursement rate will be approved. Each t</w:t>
      </w:r>
      <w:r>
        <w:rPr>
          <w:rFonts w:eastAsia="Times New Roman"/>
          <w:color w:val="000000"/>
          <w:sz w:val="18"/>
          <w:szCs w:val="18"/>
        </w:rPr>
        <w:t>hird-party payor determines whether or not it will provide coverage for a therapy, what amount it will pay the manufacturer for the therapy, and on what tier of its formulary it will be placed. The position on a third-party payor’s list of covered drugs, o</w:t>
      </w:r>
      <w:r>
        <w:rPr>
          <w:rFonts w:eastAsia="Times New Roman"/>
          <w:color w:val="000000"/>
          <w:sz w:val="18"/>
          <w:szCs w:val="18"/>
        </w:rPr>
        <w:t xml:space="preserve">r formulary, generally determines the co-payment that a patient will need to make to obtain the therapy </w:t>
      </w:r>
    </w:p>
    <w:p w:rsidR="00000000" w:rsidRDefault="00375AF8">
      <w:pPr>
        <w:jc w:val="center"/>
        <w:divId w:val="831991916"/>
        <w:rPr>
          <w:rFonts w:eastAsia="Times New Roman"/>
        </w:rPr>
      </w:pPr>
      <w:r>
        <w:rPr>
          <w:rFonts w:eastAsia="Times New Roman"/>
          <w:color w:val="000000"/>
          <w:sz w:val="18"/>
          <w:szCs w:val="18"/>
        </w:rPr>
        <w:t>42</w:t>
      </w:r>
    </w:p>
    <w:p w:rsidR="00000000" w:rsidRDefault="00375AF8">
      <w:pPr>
        <w:rPr>
          <w:rFonts w:eastAsia="Times New Roman"/>
        </w:rPr>
      </w:pPr>
      <w:r>
        <w:rPr>
          <w:rFonts w:eastAsia="Times New Roman"/>
        </w:rPr>
        <w:pict>
          <v:rect id="_x0000_i1068" style="width:0;height:1.5pt" o:hralign="center" o:hrstd="t" o:hr="t" fillcolor="#a0a0a0" stroked="f"/>
        </w:pict>
      </w:r>
    </w:p>
    <w:p w:rsidR="00000000" w:rsidRDefault="00375AF8">
      <w:pPr>
        <w:divId w:val="456488493"/>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540245701"/>
        <w:rPr>
          <w:rFonts w:eastAsia="Times New Roman"/>
        </w:rPr>
      </w:pPr>
      <w:r>
        <w:rPr>
          <w:rFonts w:eastAsia="Times New Roman"/>
          <w:color w:val="000000"/>
          <w:sz w:val="18"/>
          <w:szCs w:val="18"/>
        </w:rPr>
        <w:t>and can strongly influence the adopt</w:t>
      </w:r>
      <w:r>
        <w:rPr>
          <w:rFonts w:eastAsia="Times New Roman"/>
          <w:color w:val="000000"/>
          <w:sz w:val="18"/>
          <w:szCs w:val="18"/>
        </w:rPr>
        <w:t>ion of such therapy by patients and physicians. Patients who are prescribed treatments for their conditions and providers prescribing such services generally rely on third-party payors to reimburse all or part of the associated healthcare costs. Patients a</w:t>
      </w:r>
      <w:r>
        <w:rPr>
          <w:rFonts w:eastAsia="Times New Roman"/>
          <w:color w:val="000000"/>
          <w:sz w:val="18"/>
          <w:szCs w:val="18"/>
        </w:rPr>
        <w:t>re unlikely to use our drugs unless coverage is provided and reimbursement is adequate to cover a significant portion of the cost of our drugs.</w:t>
      </w:r>
    </w:p>
    <w:p w:rsidR="00000000" w:rsidRDefault="00375AF8">
      <w:pPr>
        <w:ind w:firstLine="720"/>
        <w:jc w:val="both"/>
        <w:divId w:val="1947804147"/>
        <w:rPr>
          <w:rFonts w:eastAsia="Times New Roman"/>
        </w:rPr>
      </w:pPr>
      <w:r>
        <w:rPr>
          <w:rFonts w:eastAsia="Times New Roman"/>
          <w:color w:val="000000"/>
          <w:sz w:val="18"/>
          <w:szCs w:val="18"/>
        </w:rPr>
        <w:t>A primary trend in the U.S. healthcare industry and elsewhere is cost containment. Third-party payors have attem</w:t>
      </w:r>
      <w:r>
        <w:rPr>
          <w:rFonts w:eastAsia="Times New Roman"/>
          <w:color w:val="000000"/>
          <w:sz w:val="18"/>
          <w:szCs w:val="18"/>
        </w:rPr>
        <w:t>pted to control costs by limiting coverage and the amount of reimbursement for particular medications. We cannot be sure that coverage and reimbursement will be available for any drug that we commercialize and, if reimbursement is available, what the level</w:t>
      </w:r>
      <w:r>
        <w:rPr>
          <w:rFonts w:eastAsia="Times New Roman"/>
          <w:color w:val="000000"/>
          <w:sz w:val="18"/>
          <w:szCs w:val="18"/>
        </w:rPr>
        <w:t xml:space="preserve"> of reimbursement will be. Inadequate coverage and reimbursement may impact the demand for, or the price of, any drug for which we obtain marketing approval. If coverage and adequate reimbursement are not available, or are available only to limited levels,</w:t>
      </w:r>
      <w:r>
        <w:rPr>
          <w:rFonts w:eastAsia="Times New Roman"/>
          <w:color w:val="000000"/>
          <w:sz w:val="18"/>
          <w:szCs w:val="18"/>
        </w:rPr>
        <w:t xml:space="preserve"> we may not be able to successfully commercialize our current and any future drug candidates that we develop. Further, coverage policies and third-party payor reimbursement rates may change at any time. Even if favorable coverage and reimbursement status i</w:t>
      </w:r>
      <w:r>
        <w:rPr>
          <w:rFonts w:eastAsia="Times New Roman"/>
          <w:color w:val="000000"/>
          <w:sz w:val="18"/>
          <w:szCs w:val="18"/>
        </w:rPr>
        <w:t>s attained, less favorable coverage policies and reimbursement rates may be implemented in the future.</w:t>
      </w:r>
    </w:p>
    <w:p w:rsidR="00000000" w:rsidRDefault="00375AF8">
      <w:pPr>
        <w:jc w:val="both"/>
        <w:divId w:val="178852811"/>
        <w:rPr>
          <w:rFonts w:eastAsia="Times New Roman"/>
        </w:rPr>
      </w:pPr>
      <w:r>
        <w:rPr>
          <w:rFonts w:eastAsia="Times New Roman"/>
          <w:b/>
          <w:bCs/>
          <w:i/>
          <w:iCs/>
          <w:color w:val="000000"/>
          <w:sz w:val="18"/>
          <w:szCs w:val="18"/>
        </w:rPr>
        <w:t>Healthcare legislative reform measures may have a negative impact on our business and results of operations.</w:t>
      </w:r>
    </w:p>
    <w:p w:rsidR="00000000" w:rsidRDefault="00375AF8">
      <w:pPr>
        <w:ind w:firstLine="720"/>
        <w:jc w:val="both"/>
        <w:divId w:val="1786847297"/>
        <w:rPr>
          <w:rFonts w:eastAsia="Times New Roman"/>
        </w:rPr>
      </w:pPr>
      <w:r>
        <w:rPr>
          <w:rFonts w:eastAsia="Times New Roman"/>
          <w:color w:val="000000"/>
          <w:sz w:val="18"/>
          <w:szCs w:val="18"/>
        </w:rPr>
        <w:t>In the United States and some foreign jurisd</w:t>
      </w:r>
      <w:r>
        <w:rPr>
          <w:rFonts w:eastAsia="Times New Roman"/>
          <w:color w:val="000000"/>
          <w:sz w:val="18"/>
          <w:szCs w:val="18"/>
        </w:rPr>
        <w:t xml:space="preserve">ictions, there have been, and continue to be, several legislative and regulatory changes and proposed changes regarding the healthcare system that could prevent or delay marketing approval of drug candidates, restrict or regulate post-approval activities, </w:t>
      </w:r>
      <w:r>
        <w:rPr>
          <w:rFonts w:eastAsia="Times New Roman"/>
          <w:color w:val="000000"/>
          <w:sz w:val="18"/>
          <w:szCs w:val="18"/>
        </w:rPr>
        <w:t>and affect our ability to profitably sell any drug candidates for which we obtain marketing approval.</w:t>
      </w:r>
    </w:p>
    <w:p w:rsidR="00000000" w:rsidRDefault="00375AF8">
      <w:pPr>
        <w:ind w:firstLine="720"/>
        <w:jc w:val="both"/>
        <w:divId w:val="1568766764"/>
        <w:rPr>
          <w:rFonts w:eastAsia="Times New Roman"/>
        </w:rPr>
      </w:pPr>
      <w:r>
        <w:rPr>
          <w:rFonts w:eastAsia="Times New Roman"/>
          <w:color w:val="000000"/>
          <w:sz w:val="18"/>
          <w:szCs w:val="18"/>
        </w:rPr>
        <w:t>Among policy makers and payors in the United States and elsewhere, there is significant interest in promoting changes in healthcare systems with the state</w:t>
      </w:r>
      <w:r>
        <w:rPr>
          <w:rFonts w:eastAsia="Times New Roman"/>
          <w:color w:val="000000"/>
          <w:sz w:val="18"/>
          <w:szCs w:val="18"/>
        </w:rPr>
        <w:t>d goals of containing healthcare costs, improving quality and/or expanding access. In the United States, the pharmaceutical industry has been a particular focus of these efforts and has been significantly affected by major legislative initiatives. In March</w:t>
      </w:r>
      <w:r>
        <w:rPr>
          <w:rFonts w:eastAsia="Times New Roman"/>
          <w:color w:val="000000"/>
          <w:sz w:val="18"/>
          <w:szCs w:val="18"/>
        </w:rPr>
        <w:t xml:space="preserve"> 2010, the PPACA was passed, which substantially changed the way healthcare is financed by both the government and private insurers, and significantly impacts the U.S. pharmaceutical industry.</w:t>
      </w:r>
    </w:p>
    <w:p w:rsidR="00000000" w:rsidRDefault="00375AF8">
      <w:pPr>
        <w:ind w:firstLine="720"/>
        <w:jc w:val="both"/>
        <w:divId w:val="1630090332"/>
        <w:rPr>
          <w:rFonts w:eastAsia="Times New Roman"/>
        </w:rPr>
      </w:pPr>
      <w:r>
        <w:rPr>
          <w:rFonts w:eastAsia="Times New Roman"/>
          <w:color w:val="000000"/>
          <w:sz w:val="18"/>
          <w:szCs w:val="18"/>
        </w:rPr>
        <w:t>There have been executive, judicial, Congressional and executiv</w:t>
      </w:r>
      <w:r>
        <w:rPr>
          <w:rFonts w:eastAsia="Times New Roman"/>
          <w:color w:val="000000"/>
          <w:sz w:val="18"/>
          <w:szCs w:val="18"/>
        </w:rPr>
        <w:t>e branch challenges to certain aspects of the PPACA. For example, President Trump signed Executive Orders and other directives designed to delay the implementation of certain provisions of the PPACA or otherwise circumvent some of the requirements for heal</w:t>
      </w:r>
      <w:r>
        <w:rPr>
          <w:rFonts w:eastAsia="Times New Roman"/>
          <w:color w:val="000000"/>
          <w:sz w:val="18"/>
          <w:szCs w:val="18"/>
        </w:rPr>
        <w:t>th insurance mandated by the PPACA. Concurrently, Congress considered legislation to repeal or repeal and replace all or part of the PPACA. While Congress has not passed comprehensive repeal legislation, it has enacted laws that modify certain provisions o</w:t>
      </w:r>
      <w:r>
        <w:rPr>
          <w:rFonts w:eastAsia="Times New Roman"/>
          <w:color w:val="000000"/>
          <w:sz w:val="18"/>
          <w:szCs w:val="18"/>
        </w:rPr>
        <w:t>f the PPACA such as removing penalties, effective January 1, 2019, for not complying with the PPACA’s individual mandate to carry health insurance, delaying the implementation of certain PPACA-mandated fees, and increasing the point-of-sale discount that i</w:t>
      </w:r>
      <w:r>
        <w:rPr>
          <w:rFonts w:eastAsia="Times New Roman"/>
          <w:color w:val="000000"/>
          <w:sz w:val="18"/>
          <w:szCs w:val="18"/>
        </w:rPr>
        <w:t>s owed by pharmaceutical manufacturers who participate in Medicare Part D. On June 17, 2021 the U.S. Supreme Court dismissed a challenge on procedural grounds that argued the PPACA is unconstitutional in its entirety because the “individual mandate” was re</w:t>
      </w:r>
      <w:r>
        <w:rPr>
          <w:rFonts w:eastAsia="Times New Roman"/>
          <w:color w:val="000000"/>
          <w:sz w:val="18"/>
          <w:szCs w:val="18"/>
        </w:rPr>
        <w:t>pealed by Congress. Thus, the PPACA will remain in effect in its current form. Further, prior to the U.S. Supreme Court ruling, on January 28, 2021, President Biden issued an executive order that initiated a special enrollment period for purposes of obtain</w:t>
      </w:r>
      <w:r>
        <w:rPr>
          <w:rFonts w:eastAsia="Times New Roman"/>
          <w:color w:val="000000"/>
          <w:sz w:val="18"/>
          <w:szCs w:val="18"/>
        </w:rPr>
        <w:t>ing health insurance coverage through the PPACA marketplace. The executive order also instructed certain governmental agencies to review and reconsider their existing policies and rules that limit access to healthcare, including among others, reexamining M</w:t>
      </w:r>
      <w:r>
        <w:rPr>
          <w:rFonts w:eastAsia="Times New Roman"/>
          <w:color w:val="000000"/>
          <w:sz w:val="18"/>
          <w:szCs w:val="18"/>
        </w:rPr>
        <w:t>edicaid demonstration projects and waiver programs that include work requirements, and policies that create barriers to obtaining access to health insurance coverage through Medicaid or the PPACA. It is possible that the PPACA will be subject to judicial o</w:t>
      </w:r>
      <w:r>
        <w:rPr>
          <w:rFonts w:eastAsia="Times New Roman"/>
          <w:color w:val="000000"/>
          <w:sz w:val="18"/>
          <w:szCs w:val="18"/>
        </w:rPr>
        <w:t>r Congressional challenges in the future. It is unclear how any such challenges and the healthcare reform measures of the Biden administration will impact the PPACA and our business.</w:t>
      </w:r>
    </w:p>
    <w:p w:rsidR="00000000" w:rsidRDefault="00375AF8">
      <w:pPr>
        <w:ind w:firstLine="720"/>
        <w:jc w:val="both"/>
        <w:divId w:val="1211309439"/>
        <w:rPr>
          <w:rFonts w:eastAsia="Times New Roman"/>
        </w:rPr>
      </w:pPr>
      <w:r>
        <w:rPr>
          <w:rFonts w:eastAsia="Times New Roman"/>
          <w:color w:val="000000"/>
          <w:sz w:val="18"/>
          <w:szCs w:val="18"/>
        </w:rPr>
        <w:t xml:space="preserve">Other legislative changes have been proposed and adopted since the PPACA </w:t>
      </w:r>
      <w:r>
        <w:rPr>
          <w:rFonts w:eastAsia="Times New Roman"/>
          <w:color w:val="000000"/>
          <w:sz w:val="18"/>
          <w:szCs w:val="18"/>
        </w:rPr>
        <w:t>was enacted. These changes include aggregate reductions to Medicare payments to providers of up to 2% per fiscal year pursuant to the Budget Control Act of 2011, which began in 2013, and due to subsequent legislative amendments to the statute, including th</w:t>
      </w:r>
      <w:r>
        <w:rPr>
          <w:rFonts w:eastAsia="Times New Roman"/>
          <w:color w:val="000000"/>
          <w:sz w:val="18"/>
          <w:szCs w:val="18"/>
        </w:rPr>
        <w:t xml:space="preserve">e BBA, will remain in effect through 2031 unless additional Congressional action is taken. However, COVID-19 relief legislation suspended the 2% Medicare sequester from May 1, 2020 through March 31, 2022. Under current legislation, the actual reduction in </w:t>
      </w:r>
      <w:r>
        <w:rPr>
          <w:rFonts w:eastAsia="Times New Roman"/>
          <w:color w:val="000000"/>
          <w:sz w:val="18"/>
          <w:szCs w:val="18"/>
        </w:rPr>
        <w:t>Medicare payments will vary from 1% in 2022 to up to 3% in the final fiscal year of this sequester. The American Taxpayer Relief Act of 2012, among other things, further reduced Medicare payments to several providers, including hospitals and cancer treatme</w:t>
      </w:r>
      <w:r>
        <w:rPr>
          <w:rFonts w:eastAsia="Times New Roman"/>
          <w:color w:val="000000"/>
          <w:sz w:val="18"/>
          <w:szCs w:val="18"/>
        </w:rPr>
        <w:t>nt centers, and increased the statute of limitations period for the government to recover overpayments to providers from three to five years. Congress is also considering additional health reform measures.</w:t>
      </w:r>
    </w:p>
    <w:p w:rsidR="00000000" w:rsidRDefault="00375AF8">
      <w:pPr>
        <w:ind w:firstLine="720"/>
        <w:jc w:val="both"/>
        <w:divId w:val="343477051"/>
        <w:rPr>
          <w:rFonts w:eastAsia="Times New Roman"/>
        </w:rPr>
      </w:pPr>
      <w:r>
        <w:rPr>
          <w:rFonts w:eastAsia="Times New Roman"/>
          <w:color w:val="000000"/>
          <w:sz w:val="18"/>
          <w:szCs w:val="18"/>
        </w:rPr>
        <w:t>Additional changes that may affect our business in</w:t>
      </w:r>
      <w:r>
        <w:rPr>
          <w:rFonts w:eastAsia="Times New Roman"/>
          <w:color w:val="000000"/>
          <w:sz w:val="18"/>
          <w:szCs w:val="18"/>
        </w:rPr>
        <w:t>clude the expansion of new programs such as Medicare payment for performance initiatives for physicians under the Medicare Access and CHIP Reauthorization Act of 2015 (“MACRA”), which ended the use of the statutory formula and established a quality payment</w:t>
      </w:r>
      <w:r>
        <w:rPr>
          <w:rFonts w:eastAsia="Times New Roman"/>
          <w:color w:val="000000"/>
          <w:sz w:val="18"/>
          <w:szCs w:val="18"/>
        </w:rPr>
        <w:t xml:space="preserve"> program, also referred to as the Quality Payment Program. In November 2019, CMS issued a final rule finalizing the changes to the Quality Payment Program. At this time, the full impact to overall physician reimbursement as a result of the introduction of </w:t>
      </w:r>
      <w:r>
        <w:rPr>
          <w:rFonts w:eastAsia="Times New Roman"/>
          <w:color w:val="000000"/>
          <w:sz w:val="18"/>
          <w:szCs w:val="18"/>
        </w:rPr>
        <w:t>the Quality Payment Program remains unclear.</w:t>
      </w:r>
    </w:p>
    <w:p w:rsidR="00000000" w:rsidRDefault="00375AF8">
      <w:pPr>
        <w:ind w:firstLine="720"/>
        <w:jc w:val="both"/>
        <w:divId w:val="1772314266"/>
        <w:rPr>
          <w:rFonts w:eastAsia="Times New Roman"/>
        </w:rPr>
      </w:pPr>
      <w:r>
        <w:rPr>
          <w:rFonts w:eastAsia="Times New Roman"/>
          <w:color w:val="000000"/>
          <w:sz w:val="18"/>
          <w:szCs w:val="18"/>
        </w:rPr>
        <w:t>Also, there has been heightened governmental scrutiny recently over the manner in which drug manufacturers set prices for their marketed products, which have resulted in several Presidential executive orders, Co</w:t>
      </w:r>
      <w:r>
        <w:rPr>
          <w:rFonts w:eastAsia="Times New Roman"/>
          <w:color w:val="000000"/>
          <w:sz w:val="18"/>
          <w:szCs w:val="18"/>
        </w:rPr>
        <w:t>ngressional inquiries and proposed and enacted federal and state legislation designed to, among other things, bring more transparency to product pricing, review the relationship between pricing and manufacturer patient programs, and reform government progr</w:t>
      </w:r>
      <w:r>
        <w:rPr>
          <w:rFonts w:eastAsia="Times New Roman"/>
          <w:color w:val="000000"/>
          <w:sz w:val="18"/>
          <w:szCs w:val="18"/>
        </w:rPr>
        <w:t>am reimbursement methodologies for drug products. At the federal level, the Trump administration used several means to propose or implement drug pricing reform, including through federal budget proposals, executive orders and policy initiatives. For exampl</w:t>
      </w:r>
      <w:r>
        <w:rPr>
          <w:rFonts w:eastAsia="Times New Roman"/>
          <w:color w:val="000000"/>
          <w:sz w:val="18"/>
          <w:szCs w:val="18"/>
        </w:rPr>
        <w:t>e, on July 24, 2020 and September 13, 2020, the Trump administration announced several executive orders related to prescription drug pricing that attempt to implement several of the administration’s proposals. Additionally, in July 2021, the Biden administ</w:t>
      </w:r>
      <w:r>
        <w:rPr>
          <w:rFonts w:eastAsia="Times New Roman"/>
          <w:color w:val="000000"/>
          <w:sz w:val="18"/>
          <w:szCs w:val="18"/>
        </w:rPr>
        <w:t xml:space="preserve">ration released an executive order, “Promoting Competition in </w:t>
      </w:r>
    </w:p>
    <w:p w:rsidR="00000000" w:rsidRDefault="00375AF8">
      <w:pPr>
        <w:jc w:val="center"/>
        <w:divId w:val="1292663124"/>
        <w:rPr>
          <w:rFonts w:eastAsia="Times New Roman"/>
        </w:rPr>
      </w:pPr>
      <w:r>
        <w:rPr>
          <w:rFonts w:eastAsia="Times New Roman"/>
          <w:color w:val="000000"/>
          <w:sz w:val="18"/>
          <w:szCs w:val="18"/>
        </w:rPr>
        <w:t>43</w:t>
      </w:r>
    </w:p>
    <w:p w:rsidR="00000000" w:rsidRDefault="00375AF8">
      <w:pPr>
        <w:rPr>
          <w:rFonts w:eastAsia="Times New Roman"/>
        </w:rPr>
      </w:pPr>
      <w:r>
        <w:rPr>
          <w:rFonts w:eastAsia="Times New Roman"/>
        </w:rPr>
        <w:pict>
          <v:rect id="_x0000_i1069" style="width:0;height:1.5pt" o:hralign="center" o:hrstd="t" o:hr="t" fillcolor="#a0a0a0" stroked="f"/>
        </w:pict>
      </w:r>
    </w:p>
    <w:p w:rsidR="00000000" w:rsidRDefault="00375AF8">
      <w:pPr>
        <w:divId w:val="1602761542"/>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2040858559"/>
        <w:rPr>
          <w:rFonts w:eastAsia="Times New Roman"/>
        </w:rPr>
      </w:pPr>
      <w:r>
        <w:rPr>
          <w:rFonts w:eastAsia="Times New Roman"/>
          <w:color w:val="000000"/>
          <w:sz w:val="18"/>
          <w:szCs w:val="18"/>
        </w:rPr>
        <w:t>the American Economy,” with multiple provisions aimed at prescription drugs. I</w:t>
      </w:r>
      <w:r>
        <w:rPr>
          <w:rFonts w:eastAsia="Times New Roman"/>
          <w:color w:val="000000"/>
          <w:sz w:val="18"/>
          <w:szCs w:val="18"/>
        </w:rPr>
        <w:t xml:space="preserve">n response to Biden’s executive order, on September 9, 2021, the U.S. Department of Health and Human Services, or HHS, released a Comprehensive Plan for Addressing High Drug Prices that outlines principles for drug pricing reform and sets out a variety of </w:t>
      </w:r>
      <w:r>
        <w:rPr>
          <w:rFonts w:eastAsia="Times New Roman"/>
          <w:color w:val="000000"/>
          <w:sz w:val="18"/>
          <w:szCs w:val="18"/>
        </w:rPr>
        <w:t xml:space="preserve">potential legislative policies that Congress could pursue as well as potential administrative actions HHS can take to advance these principles. No legislation or administrative actions have been finalized to implement these principles. At the state level, </w:t>
      </w:r>
      <w:r>
        <w:rPr>
          <w:rFonts w:eastAsia="Times New Roman"/>
          <w:color w:val="000000"/>
          <w:sz w:val="18"/>
          <w:szCs w:val="18"/>
        </w:rPr>
        <w:t xml:space="preserve">legislatures have increasingly passed and implemented regulations designed to control pharmaceutical and biological product pricing, including pricing, including price or patient reimbursement constraints, discounts, restrictions on certain product access </w:t>
      </w:r>
      <w:r>
        <w:rPr>
          <w:rFonts w:eastAsia="Times New Roman"/>
          <w:color w:val="000000"/>
          <w:sz w:val="18"/>
          <w:szCs w:val="18"/>
        </w:rPr>
        <w:t>and marketing cost disclosure and transparency measures, and, in some cases, designed to encourage importation from other countries and bulk purchasing. We expect that these and other healthcare reform measures that may be adopted in the future, may result</w:t>
      </w:r>
      <w:r>
        <w:rPr>
          <w:rFonts w:eastAsia="Times New Roman"/>
          <w:color w:val="000000"/>
          <w:sz w:val="18"/>
          <w:szCs w:val="18"/>
        </w:rPr>
        <w:t xml:space="preserve"> in more rigorous coverage criteria and in additional downward pressure on the price that we receive for any approved drug. For example, based on a recent executive order, the Biden administration expressed its intent to pursue certain policy initiatives t</w:t>
      </w:r>
      <w:r>
        <w:rPr>
          <w:rFonts w:eastAsia="Times New Roman"/>
          <w:color w:val="000000"/>
          <w:sz w:val="18"/>
          <w:szCs w:val="18"/>
        </w:rPr>
        <w:t>o reduce drug prices. Any reduction in reimbursement from Medicare or other government programs may result in a similar reduction in payments from private payors. The implementation of cost containment measures or other healthcare reforms may prevent us fr</w:t>
      </w:r>
      <w:r>
        <w:rPr>
          <w:rFonts w:eastAsia="Times New Roman"/>
          <w:color w:val="000000"/>
          <w:sz w:val="18"/>
          <w:szCs w:val="18"/>
        </w:rPr>
        <w:t>om being able to generate revenue, attain profitability, or commercialize our drugs.</w:t>
      </w:r>
    </w:p>
    <w:p w:rsidR="00000000" w:rsidRDefault="00375AF8">
      <w:pPr>
        <w:ind w:firstLine="720"/>
        <w:jc w:val="both"/>
        <w:divId w:val="598637854"/>
        <w:rPr>
          <w:rFonts w:eastAsia="Times New Roman"/>
        </w:rPr>
      </w:pPr>
      <w:r>
        <w:rPr>
          <w:rFonts w:eastAsia="Times New Roman"/>
          <w:color w:val="000000"/>
          <w:sz w:val="18"/>
          <w:szCs w:val="18"/>
        </w:rPr>
        <w:t xml:space="preserve">It is possible that additional governmental action is taken in response to the ongoing COVID-19 pandemic. </w:t>
      </w:r>
    </w:p>
    <w:p w:rsidR="00000000" w:rsidRDefault="00375AF8">
      <w:pPr>
        <w:jc w:val="both"/>
        <w:divId w:val="590772316"/>
        <w:rPr>
          <w:rFonts w:eastAsia="Times New Roman"/>
        </w:rPr>
      </w:pPr>
      <w:r>
        <w:rPr>
          <w:rFonts w:eastAsia="Times New Roman"/>
          <w:b/>
          <w:bCs/>
          <w:i/>
          <w:iCs/>
          <w:color w:val="000000"/>
          <w:sz w:val="18"/>
          <w:szCs w:val="18"/>
        </w:rPr>
        <w:t>We may not be able to obtain or maintain orphan drug designation</w:t>
      </w:r>
      <w:r>
        <w:rPr>
          <w:rFonts w:eastAsia="Times New Roman"/>
          <w:b/>
          <w:bCs/>
          <w:i/>
          <w:iCs/>
          <w:color w:val="000000"/>
          <w:sz w:val="18"/>
          <w:szCs w:val="18"/>
        </w:rPr>
        <w:t>s or exclusivity for our drug candidates, which could limit the potential profitability of our drug candidates.</w:t>
      </w:r>
    </w:p>
    <w:p w:rsidR="00000000" w:rsidRDefault="00375AF8">
      <w:pPr>
        <w:ind w:firstLine="720"/>
        <w:jc w:val="both"/>
        <w:divId w:val="2060475022"/>
        <w:rPr>
          <w:rFonts w:eastAsia="Times New Roman"/>
        </w:rPr>
      </w:pPr>
      <w:r>
        <w:rPr>
          <w:rFonts w:eastAsia="Times New Roman"/>
          <w:color w:val="000000"/>
          <w:sz w:val="18"/>
          <w:szCs w:val="18"/>
        </w:rPr>
        <w:t>Regulatory authorities in some jurisdictions, including the United States, may designate drugs for relatively small patient populations as orpha</w:t>
      </w:r>
      <w:r>
        <w:rPr>
          <w:rFonts w:eastAsia="Times New Roman"/>
          <w:color w:val="000000"/>
          <w:sz w:val="18"/>
          <w:szCs w:val="18"/>
        </w:rPr>
        <w:t>n drugs. Under the Orphan Drug Act of 1983, the FDA may designate a drug as an orphan drug if it is a drug intended to treat a rare disease or condition, which is generally defined as a patient population of fewer than 200,000 individuals in the United Sta</w:t>
      </w:r>
      <w:r>
        <w:rPr>
          <w:rFonts w:eastAsia="Times New Roman"/>
          <w:color w:val="000000"/>
          <w:sz w:val="18"/>
          <w:szCs w:val="18"/>
        </w:rPr>
        <w:t>tes. Generally, if a drug with an orphan drug designation subsequently receives the first marketing approval for an indication for which it receives the designation, then the drug is entitled to a period of marketing exclusivity that precludes the applicab</w:t>
      </w:r>
      <w:r>
        <w:rPr>
          <w:rFonts w:eastAsia="Times New Roman"/>
          <w:color w:val="000000"/>
          <w:sz w:val="18"/>
          <w:szCs w:val="18"/>
        </w:rPr>
        <w:t>le regulatory authority from approving another marketing application for the same drug for the same indication for the exclusivity period except in limited situations. For purposes of small molecule drugs, the FDA defines “same drug” as a drug that contain</w:t>
      </w:r>
      <w:r>
        <w:rPr>
          <w:rFonts w:eastAsia="Times New Roman"/>
          <w:color w:val="000000"/>
          <w:sz w:val="18"/>
          <w:szCs w:val="18"/>
        </w:rPr>
        <w:t>s the same active moiety and is intended for the same use as the drug in question. A designated orphan drug may not receive orphan drug exclusivity if it is approved for a use that is broader than the indication for which it received orphan designation.</w:t>
      </w:r>
    </w:p>
    <w:p w:rsidR="00000000" w:rsidRDefault="00375AF8">
      <w:pPr>
        <w:ind w:firstLine="720"/>
        <w:jc w:val="both"/>
        <w:divId w:val="551962396"/>
        <w:rPr>
          <w:rFonts w:eastAsia="Times New Roman"/>
        </w:rPr>
      </w:pPr>
      <w:r>
        <w:rPr>
          <w:rFonts w:eastAsia="Times New Roman"/>
          <w:color w:val="000000"/>
          <w:sz w:val="18"/>
          <w:szCs w:val="18"/>
        </w:rPr>
        <w:t>Obtaining orphan drug designations is important to our business strategy; however, obtaining an orphan drug designation can be difficult and we may not be successful in doing so. Even if we were to obtain orphan drug designation for a drug candidate, we ma</w:t>
      </w:r>
      <w:r>
        <w:rPr>
          <w:rFonts w:eastAsia="Times New Roman"/>
          <w:color w:val="000000"/>
          <w:sz w:val="18"/>
          <w:szCs w:val="18"/>
        </w:rPr>
        <w:t>y not obtain orphan exclusivity and that exclusivity may not effectively protect the drug from the competition of different drugs for the same condition, which could be approved during the exclusivity period. Additionally, after an orphan drug is approved,</w:t>
      </w:r>
      <w:r>
        <w:rPr>
          <w:rFonts w:eastAsia="Times New Roman"/>
          <w:color w:val="000000"/>
          <w:sz w:val="18"/>
          <w:szCs w:val="18"/>
        </w:rPr>
        <w:t xml:space="preserve"> the FDA could subsequently approve another application for the same drug for the same indication if the FDA concludes that the later drug is shown to be safer, more effective or makes a major contribution to patient care. Orphan drug exclusive marketing r</w:t>
      </w:r>
      <w:r>
        <w:rPr>
          <w:rFonts w:eastAsia="Times New Roman"/>
          <w:color w:val="000000"/>
          <w:sz w:val="18"/>
          <w:szCs w:val="18"/>
        </w:rPr>
        <w:t>ights in the United States also may be lost if the FDA later determines that the request for designation was materially defective or if the manufacturer is unable to assure sufficient quantity of the drug to meet the needs of patients with the rare disease</w:t>
      </w:r>
      <w:r>
        <w:rPr>
          <w:rFonts w:eastAsia="Times New Roman"/>
          <w:color w:val="000000"/>
          <w:sz w:val="18"/>
          <w:szCs w:val="18"/>
        </w:rPr>
        <w:t xml:space="preserve"> or condition. The failure to obtain an orphan drug designation for any drug candidates we may develop, the inability to maintain that designation for the duration of the applicable period, or the inability to obtain or maintain orphan drug exclusivity cou</w:t>
      </w:r>
      <w:r>
        <w:rPr>
          <w:rFonts w:eastAsia="Times New Roman"/>
          <w:color w:val="000000"/>
          <w:sz w:val="18"/>
          <w:szCs w:val="18"/>
        </w:rPr>
        <w:t>ld reduce our ability to make sufficient sales of the applicable drug candidate to balance our expenses incurred to develop it, which would have a negative impact on our operational results and financial condition.</w:t>
      </w:r>
    </w:p>
    <w:p w:rsidR="00000000" w:rsidRDefault="00375AF8">
      <w:pPr>
        <w:jc w:val="both"/>
        <w:divId w:val="593705642"/>
        <w:rPr>
          <w:rFonts w:eastAsia="Times New Roman"/>
        </w:rPr>
      </w:pPr>
      <w:r>
        <w:rPr>
          <w:rFonts w:eastAsia="Times New Roman"/>
          <w:b/>
          <w:bCs/>
          <w:i/>
          <w:iCs/>
          <w:color w:val="000000"/>
          <w:sz w:val="18"/>
          <w:szCs w:val="18"/>
        </w:rPr>
        <w:t>Even if we obtain regulatory approval for</w:t>
      </w:r>
      <w:r>
        <w:rPr>
          <w:rFonts w:eastAsia="Times New Roman"/>
          <w:b/>
          <w:bCs/>
          <w:i/>
          <w:iCs/>
          <w:color w:val="000000"/>
          <w:sz w:val="18"/>
          <w:szCs w:val="18"/>
        </w:rPr>
        <w:t xml:space="preserve"> our current or future drug candidates, they will remain subject to ongoing regulatory oversight.</w:t>
      </w:r>
    </w:p>
    <w:p w:rsidR="00000000" w:rsidRDefault="00375AF8">
      <w:pPr>
        <w:ind w:firstLine="720"/>
        <w:jc w:val="both"/>
        <w:divId w:val="734275376"/>
        <w:rPr>
          <w:rFonts w:eastAsia="Times New Roman"/>
        </w:rPr>
      </w:pPr>
      <w:r>
        <w:rPr>
          <w:rFonts w:eastAsia="Times New Roman"/>
          <w:color w:val="000000"/>
          <w:sz w:val="18"/>
          <w:szCs w:val="18"/>
        </w:rPr>
        <w:t>Even if we obtain any regulatory approval for our current or future drug candidates, such approvals will be subject to ongoing regulatory requirements for man</w:t>
      </w:r>
      <w:r>
        <w:rPr>
          <w:rFonts w:eastAsia="Times New Roman"/>
          <w:color w:val="000000"/>
          <w:sz w:val="18"/>
          <w:szCs w:val="18"/>
        </w:rPr>
        <w:t>ufacturing, labeling, packaging, storage, advertising, promotion, sampling, record-keeping and submission of safety and other post-market information. Any regulatory approvals that we receive for our current or future drug candidates may also be subject to</w:t>
      </w:r>
      <w:r>
        <w:rPr>
          <w:rFonts w:eastAsia="Times New Roman"/>
          <w:color w:val="000000"/>
          <w:sz w:val="18"/>
          <w:szCs w:val="18"/>
        </w:rPr>
        <w:t xml:space="preserve"> a REMS, limitations on the approved indicated uses for which the drug may be marketed or to the conditions of approval, or contain requirements for potentially costly post-marketing testing, including Phase 4 trials, and surveillance to monitor the qualit</w:t>
      </w:r>
      <w:r>
        <w:rPr>
          <w:rFonts w:eastAsia="Times New Roman"/>
          <w:color w:val="000000"/>
          <w:sz w:val="18"/>
          <w:szCs w:val="18"/>
        </w:rPr>
        <w:t>y, safety and efficacy of the drug.</w:t>
      </w:r>
    </w:p>
    <w:p w:rsidR="00000000" w:rsidRDefault="00375AF8">
      <w:pPr>
        <w:ind w:firstLine="720"/>
        <w:jc w:val="both"/>
        <w:divId w:val="1810242843"/>
        <w:rPr>
          <w:rFonts w:eastAsia="Times New Roman"/>
        </w:rPr>
      </w:pPr>
      <w:r>
        <w:rPr>
          <w:rFonts w:eastAsia="Times New Roman"/>
          <w:color w:val="000000"/>
          <w:sz w:val="18"/>
          <w:szCs w:val="18"/>
        </w:rPr>
        <w:t>In addition, drug manufacturers and their facilities are subject to payment of user fees and continual review and periodic inspections by the FDA and other regulatory authorities for compliance with cGMP requirements and</w:t>
      </w:r>
      <w:r>
        <w:rPr>
          <w:rFonts w:eastAsia="Times New Roman"/>
          <w:color w:val="000000"/>
          <w:sz w:val="18"/>
          <w:szCs w:val="18"/>
        </w:rPr>
        <w:t xml:space="preserve"> adherence to commitments made in the NDA, BLA or foreign marketing application. If we, or a regulatory authority, discover previously unknown problems with a drug, such as adverse events of unanticipated severity or frequency, or problems with the facilit</w:t>
      </w:r>
      <w:r>
        <w:rPr>
          <w:rFonts w:eastAsia="Times New Roman"/>
          <w:color w:val="000000"/>
          <w:sz w:val="18"/>
          <w:szCs w:val="18"/>
        </w:rPr>
        <w:t>y where the drug is manufactured or if a regulatory authority disagrees with the promotion, marketing or labeling of that drug, a regulatory authority may impose restrictions relative to that drug, the manufacturing facility or us, including requesting a r</w:t>
      </w:r>
      <w:r>
        <w:rPr>
          <w:rFonts w:eastAsia="Times New Roman"/>
          <w:color w:val="000000"/>
          <w:sz w:val="18"/>
          <w:szCs w:val="18"/>
        </w:rPr>
        <w:t>ecall or requiring withdrawal of the drug from the market or suspension of manufacturing.</w:t>
      </w:r>
    </w:p>
    <w:p w:rsidR="00000000" w:rsidRDefault="00375AF8">
      <w:pPr>
        <w:ind w:firstLine="720"/>
        <w:jc w:val="both"/>
        <w:divId w:val="438641478"/>
        <w:rPr>
          <w:rFonts w:eastAsia="Times New Roman"/>
        </w:rPr>
      </w:pPr>
      <w:r>
        <w:rPr>
          <w:rFonts w:eastAsia="Times New Roman"/>
          <w:color w:val="000000"/>
          <w:sz w:val="18"/>
          <w:szCs w:val="18"/>
        </w:rPr>
        <w:t>If we fail to comply with applicable regulatory requirements following approval of our current or future drug candidates, a regulatory authority may:</w:t>
      </w:r>
    </w:p>
    <w:p w:rsidR="00000000" w:rsidRDefault="00375AF8">
      <w:pPr>
        <w:ind w:hanging="720"/>
        <w:jc w:val="both"/>
        <w:divId w:val="970327755"/>
        <w:rPr>
          <w:rFonts w:eastAsia="Times New Roman"/>
        </w:rPr>
      </w:pPr>
      <w:r>
        <w:rPr>
          <w:rFonts w:eastAsia="Times New Roman"/>
          <w:color w:val="000000"/>
          <w:sz w:val="18"/>
          <w:szCs w:val="18"/>
        </w:rPr>
        <w:t>•issue an untitl</w:t>
      </w:r>
      <w:r>
        <w:rPr>
          <w:rFonts w:eastAsia="Times New Roman"/>
          <w:color w:val="000000"/>
          <w:sz w:val="18"/>
          <w:szCs w:val="18"/>
        </w:rPr>
        <w:t>ed letter or warning letter asserting that we are in violation of the law;</w:t>
      </w:r>
    </w:p>
    <w:p w:rsidR="00000000" w:rsidRDefault="00375AF8">
      <w:pPr>
        <w:ind w:hanging="720"/>
        <w:jc w:val="both"/>
        <w:divId w:val="846020541"/>
        <w:rPr>
          <w:rFonts w:eastAsia="Times New Roman"/>
        </w:rPr>
      </w:pPr>
      <w:r>
        <w:rPr>
          <w:rFonts w:eastAsia="Times New Roman"/>
          <w:color w:val="000000"/>
          <w:sz w:val="18"/>
          <w:szCs w:val="18"/>
        </w:rPr>
        <w:t>•seek an injunction or impose administrative, civil or criminal penalties or monetary fines;</w:t>
      </w:r>
    </w:p>
    <w:p w:rsidR="00000000" w:rsidRDefault="00375AF8">
      <w:pPr>
        <w:ind w:hanging="720"/>
        <w:jc w:val="both"/>
        <w:divId w:val="1111700727"/>
        <w:rPr>
          <w:rFonts w:eastAsia="Times New Roman"/>
        </w:rPr>
      </w:pPr>
      <w:r>
        <w:rPr>
          <w:rFonts w:eastAsia="Times New Roman"/>
          <w:color w:val="000000"/>
          <w:sz w:val="18"/>
          <w:szCs w:val="18"/>
        </w:rPr>
        <w:t>•suspend or withdraw regulatory approval;</w:t>
      </w:r>
    </w:p>
    <w:p w:rsidR="00000000" w:rsidRDefault="00375AF8">
      <w:pPr>
        <w:ind w:hanging="720"/>
        <w:jc w:val="both"/>
        <w:divId w:val="2096824503"/>
        <w:rPr>
          <w:rFonts w:eastAsia="Times New Roman"/>
        </w:rPr>
      </w:pPr>
      <w:r>
        <w:rPr>
          <w:rFonts w:eastAsia="Times New Roman"/>
          <w:color w:val="000000"/>
          <w:sz w:val="18"/>
          <w:szCs w:val="18"/>
        </w:rPr>
        <w:t>•</w:t>
      </w:r>
      <w:r>
        <w:rPr>
          <w:rFonts w:eastAsia="Times New Roman"/>
          <w:color w:val="000000"/>
          <w:sz w:val="18"/>
          <w:szCs w:val="18"/>
        </w:rPr>
        <w:t>suspend any ongoing clinical trials;</w:t>
      </w:r>
    </w:p>
    <w:p w:rsidR="00000000" w:rsidRDefault="00375AF8">
      <w:pPr>
        <w:jc w:val="center"/>
        <w:divId w:val="1948728968"/>
        <w:rPr>
          <w:rFonts w:eastAsia="Times New Roman"/>
        </w:rPr>
      </w:pPr>
      <w:r>
        <w:rPr>
          <w:rFonts w:eastAsia="Times New Roman"/>
          <w:color w:val="000000"/>
          <w:sz w:val="18"/>
          <w:szCs w:val="18"/>
        </w:rPr>
        <w:t>44</w:t>
      </w:r>
    </w:p>
    <w:p w:rsidR="00000000" w:rsidRDefault="00375AF8">
      <w:pPr>
        <w:rPr>
          <w:rFonts w:eastAsia="Times New Roman"/>
        </w:rPr>
      </w:pPr>
      <w:r>
        <w:rPr>
          <w:rFonts w:eastAsia="Times New Roman"/>
        </w:rPr>
        <w:pict>
          <v:rect id="_x0000_i1070" style="width:0;height:1.5pt" o:hralign="center" o:hrstd="t" o:hr="t" fillcolor="#a0a0a0" stroked="f"/>
        </w:pict>
      </w:r>
    </w:p>
    <w:p w:rsidR="00000000" w:rsidRDefault="00375AF8">
      <w:pPr>
        <w:divId w:val="961764656"/>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993750414"/>
        <w:rPr>
          <w:rFonts w:eastAsia="Times New Roman"/>
        </w:rPr>
      </w:pPr>
      <w:r>
        <w:rPr>
          <w:rFonts w:eastAsia="Times New Roman"/>
          <w:color w:val="000000"/>
          <w:sz w:val="18"/>
          <w:szCs w:val="18"/>
        </w:rPr>
        <w:t>•refuse to approve a pending NDA or comparable foreign marketing application (or any supplements thereto</w:t>
      </w:r>
      <w:r>
        <w:rPr>
          <w:rFonts w:eastAsia="Times New Roman"/>
          <w:color w:val="000000"/>
          <w:sz w:val="18"/>
          <w:szCs w:val="18"/>
        </w:rPr>
        <w:t>) submitted by us or our strategic partners;</w:t>
      </w:r>
    </w:p>
    <w:p w:rsidR="00000000" w:rsidRDefault="00375AF8">
      <w:pPr>
        <w:ind w:hanging="720"/>
        <w:jc w:val="both"/>
        <w:divId w:val="1366368654"/>
        <w:rPr>
          <w:rFonts w:eastAsia="Times New Roman"/>
        </w:rPr>
      </w:pPr>
      <w:r>
        <w:rPr>
          <w:rFonts w:eastAsia="Times New Roman"/>
          <w:color w:val="000000"/>
          <w:sz w:val="18"/>
          <w:szCs w:val="18"/>
        </w:rPr>
        <w:t>•restrict the marketing or manufacturing of the drug;</w:t>
      </w:r>
    </w:p>
    <w:p w:rsidR="00000000" w:rsidRDefault="00375AF8">
      <w:pPr>
        <w:ind w:hanging="720"/>
        <w:jc w:val="both"/>
        <w:divId w:val="1771898680"/>
        <w:rPr>
          <w:rFonts w:eastAsia="Times New Roman"/>
        </w:rPr>
      </w:pPr>
      <w:r>
        <w:rPr>
          <w:rFonts w:eastAsia="Times New Roman"/>
          <w:color w:val="000000"/>
          <w:sz w:val="18"/>
          <w:szCs w:val="18"/>
        </w:rPr>
        <w:t>•seize or detain the drug or otherwise require the withdrawal of the drug from the market;</w:t>
      </w:r>
    </w:p>
    <w:p w:rsidR="00000000" w:rsidRDefault="00375AF8">
      <w:pPr>
        <w:ind w:hanging="720"/>
        <w:jc w:val="both"/>
        <w:divId w:val="1861973103"/>
        <w:rPr>
          <w:rFonts w:eastAsia="Times New Roman"/>
        </w:rPr>
      </w:pPr>
      <w:r>
        <w:rPr>
          <w:rFonts w:eastAsia="Times New Roman"/>
          <w:color w:val="000000"/>
          <w:sz w:val="18"/>
          <w:szCs w:val="18"/>
        </w:rPr>
        <w:t>•refuse to permit the import or export of drug candidates; or</w:t>
      </w:r>
    </w:p>
    <w:p w:rsidR="00000000" w:rsidRDefault="00375AF8">
      <w:pPr>
        <w:ind w:hanging="720"/>
        <w:jc w:val="both"/>
        <w:divId w:val="1627001903"/>
        <w:rPr>
          <w:rFonts w:eastAsia="Times New Roman"/>
        </w:rPr>
      </w:pPr>
      <w:r>
        <w:rPr>
          <w:rFonts w:eastAsia="Times New Roman"/>
          <w:color w:val="000000"/>
          <w:sz w:val="18"/>
          <w:szCs w:val="18"/>
        </w:rPr>
        <w:t>•ref</w:t>
      </w:r>
      <w:r>
        <w:rPr>
          <w:rFonts w:eastAsia="Times New Roman"/>
          <w:color w:val="000000"/>
          <w:sz w:val="18"/>
          <w:szCs w:val="18"/>
        </w:rPr>
        <w:t>use to allow us to enter into supply contracts, including government contracts.</w:t>
      </w:r>
    </w:p>
    <w:p w:rsidR="00000000" w:rsidRDefault="00375AF8">
      <w:pPr>
        <w:ind w:firstLine="720"/>
        <w:jc w:val="both"/>
        <w:divId w:val="1858234136"/>
        <w:rPr>
          <w:rFonts w:eastAsia="Times New Roman"/>
        </w:rPr>
      </w:pPr>
      <w:r>
        <w:rPr>
          <w:rFonts w:eastAsia="Times New Roman"/>
          <w:color w:val="000000"/>
          <w:sz w:val="18"/>
          <w:szCs w:val="18"/>
        </w:rPr>
        <w:t>Moreover, the FDA strictly regulates the promotional claims that may be made about drug products. In particular, a product may not be promoted for uses that are not approved by</w:t>
      </w:r>
      <w:r>
        <w:rPr>
          <w:rFonts w:eastAsia="Times New Roman"/>
          <w:color w:val="000000"/>
          <w:sz w:val="18"/>
          <w:szCs w:val="18"/>
        </w:rPr>
        <w:t xml:space="preserve"> the FDA as reflected in the product’s approved labeling. The FDA and other agencies actively enforce the laws and regulations prohibiting the promotion of off-label uses, and a company that is found to have improperly promoted off-label uses may be subjec</w:t>
      </w:r>
      <w:r>
        <w:rPr>
          <w:rFonts w:eastAsia="Times New Roman"/>
          <w:color w:val="000000"/>
          <w:sz w:val="18"/>
          <w:szCs w:val="18"/>
        </w:rPr>
        <w:t>t to significant civil, criminal and administrative penalties.</w:t>
      </w:r>
    </w:p>
    <w:p w:rsidR="00000000" w:rsidRDefault="00375AF8">
      <w:pPr>
        <w:ind w:firstLine="720"/>
        <w:jc w:val="both"/>
        <w:divId w:val="945773684"/>
        <w:rPr>
          <w:rFonts w:eastAsia="Times New Roman"/>
        </w:rPr>
      </w:pPr>
      <w:r>
        <w:rPr>
          <w:rFonts w:eastAsia="Times New Roman"/>
          <w:color w:val="000000"/>
          <w:sz w:val="18"/>
          <w:szCs w:val="18"/>
        </w:rPr>
        <w:t>Any government investigation of alleged violations of law could require us to expend significant time and resources in response and could generate negative publicity. The occurrence of any even</w:t>
      </w:r>
      <w:r>
        <w:rPr>
          <w:rFonts w:eastAsia="Times New Roman"/>
          <w:color w:val="000000"/>
          <w:sz w:val="18"/>
          <w:szCs w:val="18"/>
        </w:rPr>
        <w:t>t or penalty described above may inhibit our ability to commercialize our current or future drug candidates and harm our business, financial condition, results of operations and prospects.</w:t>
      </w:r>
    </w:p>
    <w:p w:rsidR="00000000" w:rsidRDefault="00375AF8">
      <w:pPr>
        <w:ind w:firstLine="720"/>
        <w:jc w:val="both"/>
        <w:divId w:val="1874076455"/>
        <w:rPr>
          <w:rFonts w:eastAsia="Times New Roman"/>
        </w:rPr>
      </w:pPr>
      <w:r>
        <w:rPr>
          <w:rFonts w:eastAsia="Times New Roman"/>
          <w:color w:val="000000"/>
          <w:sz w:val="18"/>
          <w:szCs w:val="18"/>
        </w:rPr>
        <w:t>In addition, the FDA’s policies, and those of equivalent foreign re</w:t>
      </w:r>
      <w:r>
        <w:rPr>
          <w:rFonts w:eastAsia="Times New Roman"/>
          <w:color w:val="000000"/>
          <w:sz w:val="18"/>
          <w:szCs w:val="18"/>
        </w:rPr>
        <w:t>gulatory agencies, may change and additional government regulations may be enacted that could cause changes to or delays in the drug review process, or suspend or restrict regulatory approval of our drug candidates. We cannot predict the likelihood, nature</w:t>
      </w:r>
      <w:r>
        <w:rPr>
          <w:rFonts w:eastAsia="Times New Roman"/>
          <w:color w:val="000000"/>
          <w:sz w:val="18"/>
          <w:szCs w:val="18"/>
        </w:rPr>
        <w:t xml:space="preserve"> or extent of government regulation that may arise from future legislation or administrative action, either in the United States or abroad. If we are slow or unable to adapt to changes in existing requirements or the adoption of new requirements or policie</w:t>
      </w:r>
      <w:r>
        <w:rPr>
          <w:rFonts w:eastAsia="Times New Roman"/>
          <w:color w:val="000000"/>
          <w:sz w:val="18"/>
          <w:szCs w:val="18"/>
        </w:rPr>
        <w:t>s, or if we are not able to maintain regulatory compliance, we may lose any marketing approval that we may have obtained and we may not achieve or sustain profitability, which would harm our business, financial condition, results of operations and prospect</w:t>
      </w:r>
      <w:r>
        <w:rPr>
          <w:rFonts w:eastAsia="Times New Roman"/>
          <w:color w:val="000000"/>
          <w:sz w:val="18"/>
          <w:szCs w:val="18"/>
        </w:rPr>
        <w:t xml:space="preserve">s. </w:t>
      </w:r>
    </w:p>
    <w:p w:rsidR="00000000" w:rsidRDefault="00375AF8">
      <w:pPr>
        <w:jc w:val="both"/>
        <w:divId w:val="831990072"/>
        <w:rPr>
          <w:rFonts w:eastAsia="Times New Roman"/>
        </w:rPr>
      </w:pPr>
      <w:r>
        <w:rPr>
          <w:rFonts w:eastAsia="Times New Roman"/>
          <w:b/>
          <w:bCs/>
          <w:color w:val="000000"/>
          <w:sz w:val="18"/>
          <w:szCs w:val="18"/>
        </w:rPr>
        <w:t>Risks Related to Our Intellectual Property</w:t>
      </w:r>
    </w:p>
    <w:p w:rsidR="00000000" w:rsidRDefault="00375AF8">
      <w:pPr>
        <w:jc w:val="both"/>
        <w:divId w:val="1816798600"/>
        <w:rPr>
          <w:rFonts w:eastAsia="Times New Roman"/>
        </w:rPr>
      </w:pPr>
      <w:r>
        <w:rPr>
          <w:rFonts w:eastAsia="Times New Roman"/>
          <w:b/>
          <w:bCs/>
          <w:i/>
          <w:iCs/>
          <w:color w:val="000000"/>
          <w:sz w:val="18"/>
          <w:szCs w:val="18"/>
        </w:rPr>
        <w:t>If we are unable to obtain and maintain patent protection for our current or any future drug candidates, or if the scope of the patent protection obtained is not sufficiently broad, we may not be able to compe</w:t>
      </w:r>
      <w:r>
        <w:rPr>
          <w:rFonts w:eastAsia="Times New Roman"/>
          <w:b/>
          <w:bCs/>
          <w:i/>
          <w:iCs/>
          <w:color w:val="000000"/>
          <w:sz w:val="18"/>
          <w:szCs w:val="18"/>
        </w:rPr>
        <w:t>te effectively in our markets.</w:t>
      </w:r>
    </w:p>
    <w:p w:rsidR="00000000" w:rsidRDefault="00375AF8">
      <w:pPr>
        <w:ind w:firstLine="720"/>
        <w:jc w:val="both"/>
        <w:divId w:val="1594975603"/>
        <w:rPr>
          <w:rFonts w:eastAsia="Times New Roman"/>
        </w:rPr>
      </w:pPr>
      <w:r>
        <w:rPr>
          <w:rFonts w:eastAsia="Times New Roman"/>
          <w:color w:val="000000"/>
          <w:sz w:val="18"/>
          <w:szCs w:val="18"/>
        </w:rPr>
        <w:t xml:space="preserve">We rely upon a combination of patents, trade secret protection and confidentiality agreements to protect the intellectual property related to our development programs and drug candidates. Our success depends in large part on </w:t>
      </w:r>
      <w:r>
        <w:rPr>
          <w:rFonts w:eastAsia="Times New Roman"/>
          <w:color w:val="000000"/>
          <w:sz w:val="18"/>
          <w:szCs w:val="18"/>
        </w:rPr>
        <w:t>our ability to obtain and maintain patent protection in the United States and other countries with respect to our current and any future drug candidates. We seek to protect our proprietary position by filing patent applications in the United States and abr</w:t>
      </w:r>
      <w:r>
        <w:rPr>
          <w:rFonts w:eastAsia="Times New Roman"/>
          <w:color w:val="000000"/>
          <w:sz w:val="18"/>
          <w:szCs w:val="18"/>
        </w:rPr>
        <w:t>oad related to our current and future development programs and drug candidates. The patent prosecution process is expensive and time-consuming, and we may not be able to file and prosecute all necessary or desirable patent applications at a reasonable cost</w:t>
      </w:r>
      <w:r>
        <w:rPr>
          <w:rFonts w:eastAsia="Times New Roman"/>
          <w:color w:val="000000"/>
          <w:sz w:val="18"/>
          <w:szCs w:val="18"/>
        </w:rPr>
        <w:t xml:space="preserve"> or in a timely manner.</w:t>
      </w:r>
    </w:p>
    <w:p w:rsidR="00000000" w:rsidRDefault="00375AF8">
      <w:pPr>
        <w:ind w:firstLine="720"/>
        <w:jc w:val="both"/>
        <w:divId w:val="141048636"/>
        <w:rPr>
          <w:rFonts w:eastAsia="Times New Roman"/>
        </w:rPr>
      </w:pPr>
      <w:r>
        <w:rPr>
          <w:rFonts w:eastAsia="Times New Roman"/>
          <w:color w:val="000000"/>
          <w:sz w:val="18"/>
          <w:szCs w:val="18"/>
        </w:rPr>
        <w:t>It is also possible that we will fail to identify patentable aspects of our research and development output before it is too late to obtain patent protection. The patent applications that we own or in-license may fail to result in i</w:t>
      </w:r>
      <w:r>
        <w:rPr>
          <w:rFonts w:eastAsia="Times New Roman"/>
          <w:color w:val="000000"/>
          <w:sz w:val="18"/>
          <w:szCs w:val="18"/>
        </w:rPr>
        <w:t>ssued patents with claims that cover our current or any future drug candidates in the United States or in other foreign countries. There is no assurance that all of the potentially relevant prior art relating to our patents and patent applications has been</w:t>
      </w:r>
      <w:r>
        <w:rPr>
          <w:rFonts w:eastAsia="Times New Roman"/>
          <w:color w:val="000000"/>
          <w:sz w:val="18"/>
          <w:szCs w:val="18"/>
        </w:rPr>
        <w:t xml:space="preserve"> found, which can invalidate a patent or prevent a patent from issuing from a pending patent application. Even if patents do successfully issue and even if such patents cover our current or any future drug candidates, third parties may challenge their vali</w:t>
      </w:r>
      <w:r>
        <w:rPr>
          <w:rFonts w:eastAsia="Times New Roman"/>
          <w:color w:val="000000"/>
          <w:sz w:val="18"/>
          <w:szCs w:val="18"/>
        </w:rPr>
        <w:t>dity, enforceability or scope, which may result in such patents being narrowed, invalidated, or held unenforceable. Any successful opposition to these patents or any other patents owned by or licensed to us could deprive us of rights necessary for the succ</w:t>
      </w:r>
      <w:r>
        <w:rPr>
          <w:rFonts w:eastAsia="Times New Roman"/>
          <w:color w:val="000000"/>
          <w:sz w:val="18"/>
          <w:szCs w:val="18"/>
        </w:rPr>
        <w:t>essful commercialization of any drug candidates or companion diagnostic that we may develop. Further, if we encounter delays in regulatory approvals, the period of time during which we could market a drug candidate and companion diagnostic under patent pro</w:t>
      </w:r>
      <w:r>
        <w:rPr>
          <w:rFonts w:eastAsia="Times New Roman"/>
          <w:color w:val="000000"/>
          <w:sz w:val="18"/>
          <w:szCs w:val="18"/>
        </w:rPr>
        <w:t xml:space="preserve">tection could be reduced. </w:t>
      </w:r>
    </w:p>
    <w:p w:rsidR="00000000" w:rsidRDefault="00375AF8">
      <w:pPr>
        <w:ind w:firstLine="720"/>
        <w:jc w:val="both"/>
        <w:divId w:val="46539407"/>
        <w:rPr>
          <w:rFonts w:eastAsia="Times New Roman"/>
        </w:rPr>
      </w:pPr>
      <w:r>
        <w:rPr>
          <w:rFonts w:eastAsia="Times New Roman"/>
          <w:color w:val="000000"/>
          <w:sz w:val="18"/>
          <w:szCs w:val="18"/>
        </w:rPr>
        <w:t>If the patent applications we hold or have in-licensed with respect to our development programs and drug candidates fail to issue, if their breadth or strength of protection is threatened, or if they fail to provide meaningful ex</w:t>
      </w:r>
      <w:r>
        <w:rPr>
          <w:rFonts w:eastAsia="Times New Roman"/>
          <w:color w:val="000000"/>
          <w:sz w:val="18"/>
          <w:szCs w:val="18"/>
        </w:rPr>
        <w:t>clusivity for our current or any future drug candidates, it could dissuade companies from collaborating with us to develop drug candidates, and threaten our ability to commercialize future drugs. Any such outcome could have a negative effect on our busines</w:t>
      </w:r>
      <w:r>
        <w:rPr>
          <w:rFonts w:eastAsia="Times New Roman"/>
          <w:color w:val="000000"/>
          <w:sz w:val="18"/>
          <w:szCs w:val="18"/>
        </w:rPr>
        <w:t>s.</w:t>
      </w:r>
    </w:p>
    <w:p w:rsidR="00000000" w:rsidRDefault="00375AF8">
      <w:pPr>
        <w:ind w:firstLine="720"/>
        <w:jc w:val="both"/>
        <w:divId w:val="1770348493"/>
        <w:rPr>
          <w:rFonts w:eastAsia="Times New Roman"/>
        </w:rPr>
      </w:pPr>
      <w:r>
        <w:rPr>
          <w:rFonts w:eastAsia="Times New Roman"/>
          <w:color w:val="000000"/>
          <w:sz w:val="18"/>
          <w:szCs w:val="18"/>
        </w:rPr>
        <w:t>The patent position of biotechnology and pharmaceutical companies generally is highly uncertain, involves complex legal and factual questions and has in recent years been the subject of much litigation. In addition, the laws of foreign countries may not</w:t>
      </w:r>
      <w:r>
        <w:rPr>
          <w:rFonts w:eastAsia="Times New Roman"/>
          <w:color w:val="000000"/>
          <w:sz w:val="18"/>
          <w:szCs w:val="18"/>
        </w:rPr>
        <w:t xml:space="preserve"> protect our rights to the same extent as the laws of the United States. For example, European patent law restricts the patentability of methods of treatment of the human body more than United States law does. Publications of discoveries in scientific lite</w:t>
      </w:r>
      <w:r>
        <w:rPr>
          <w:rFonts w:eastAsia="Times New Roman"/>
          <w:color w:val="000000"/>
          <w:sz w:val="18"/>
          <w:szCs w:val="18"/>
        </w:rPr>
        <w:t xml:space="preserve">rature often lag behind the actual discoveries, and patent applications in the United States and other jurisdictions are typically not published until 18 months after filing, or in some cases not at all. Therefore, we cannot know with certainty whether we </w:t>
      </w:r>
      <w:r>
        <w:rPr>
          <w:rFonts w:eastAsia="Times New Roman"/>
          <w:color w:val="000000"/>
          <w:sz w:val="18"/>
          <w:szCs w:val="18"/>
        </w:rPr>
        <w:t>were the first to make the inventions claimed in our owned or licensed patents or pending patent applications, or that we were the first to file for patent protection of such inventions. As a result, the issuance, scope, validity, enforceability and commer</w:t>
      </w:r>
      <w:r>
        <w:rPr>
          <w:rFonts w:eastAsia="Times New Roman"/>
          <w:color w:val="000000"/>
          <w:sz w:val="18"/>
          <w:szCs w:val="18"/>
        </w:rPr>
        <w:t>cial value of our patent rights are highly uncertain. Our pending and future patent applications may not result in patents being issued which protect our technology or drugs, in whole or in part, or which effectively prevent others from commercializing com</w:t>
      </w:r>
      <w:r>
        <w:rPr>
          <w:rFonts w:eastAsia="Times New Roman"/>
          <w:color w:val="000000"/>
          <w:sz w:val="18"/>
          <w:szCs w:val="18"/>
        </w:rPr>
        <w:t>petitive technologies and drugs. Changes in either the patent laws or interpretation of the patent laws in the United States and other countries may diminish the value of our patents or narrow the scope of our patent protection.</w:t>
      </w:r>
    </w:p>
    <w:p w:rsidR="00000000" w:rsidRDefault="00375AF8">
      <w:pPr>
        <w:ind w:firstLine="720"/>
        <w:jc w:val="both"/>
        <w:divId w:val="1800683221"/>
        <w:rPr>
          <w:rFonts w:eastAsia="Times New Roman"/>
        </w:rPr>
      </w:pPr>
      <w:r>
        <w:rPr>
          <w:rFonts w:eastAsia="Times New Roman"/>
          <w:color w:val="000000"/>
          <w:sz w:val="18"/>
          <w:szCs w:val="18"/>
        </w:rPr>
        <w:t xml:space="preserve">Recent patent reform legislation could increase the uncertainties and costs surrounding the prosecution of our patent applications and the enforcement or defense of our issued patents. On December 16, 2011, the Leahy-Smith America Invents Act (the </w:t>
      </w:r>
    </w:p>
    <w:p w:rsidR="00000000" w:rsidRDefault="00375AF8">
      <w:pPr>
        <w:jc w:val="center"/>
        <w:divId w:val="2037581430"/>
        <w:rPr>
          <w:rFonts w:eastAsia="Times New Roman"/>
        </w:rPr>
      </w:pPr>
      <w:r>
        <w:rPr>
          <w:rFonts w:eastAsia="Times New Roman"/>
          <w:color w:val="000000"/>
          <w:sz w:val="18"/>
          <w:szCs w:val="18"/>
        </w:rPr>
        <w:t>45</w:t>
      </w:r>
    </w:p>
    <w:p w:rsidR="00000000" w:rsidRDefault="00375AF8">
      <w:pPr>
        <w:rPr>
          <w:rFonts w:eastAsia="Times New Roman"/>
        </w:rPr>
      </w:pPr>
      <w:r>
        <w:rPr>
          <w:rFonts w:eastAsia="Times New Roman"/>
        </w:rPr>
        <w:pict>
          <v:rect id="_x0000_i1071" style="width:0;height:1.5pt" o:hralign="center" o:hrstd="t" o:hr="t" fillcolor="#a0a0a0" stroked="f"/>
        </w:pict>
      </w:r>
    </w:p>
    <w:p w:rsidR="00000000" w:rsidRDefault="00375AF8">
      <w:pPr>
        <w:divId w:val="325286436"/>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254629509"/>
        <w:rPr>
          <w:rFonts w:eastAsia="Times New Roman"/>
        </w:rPr>
      </w:pPr>
      <w:r>
        <w:rPr>
          <w:rFonts w:eastAsia="Times New Roman"/>
          <w:color w:val="000000"/>
          <w:sz w:val="18"/>
          <w:szCs w:val="18"/>
        </w:rPr>
        <w:t>“Leahy-Smith Act”) was signed into law. The Leahy-Smith Act includes a number of significant changes to United States patent law. These include prov</w:t>
      </w:r>
      <w:r>
        <w:rPr>
          <w:rFonts w:eastAsia="Times New Roman"/>
          <w:color w:val="000000"/>
          <w:sz w:val="18"/>
          <w:szCs w:val="18"/>
        </w:rPr>
        <w:t>isions that affect the way patent applications are prosecuted and may also affect patent litigation. The United States Patent Office recently developed new regulations and procedures to govern administration of the Leahy-Smith Act, and many of the substant</w:t>
      </w:r>
      <w:r>
        <w:rPr>
          <w:rFonts w:eastAsia="Times New Roman"/>
          <w:color w:val="000000"/>
          <w:sz w:val="18"/>
          <w:szCs w:val="18"/>
        </w:rPr>
        <w:t>ive changes to patent law associated with the Leahy-Smith Act, and in particular, the first to file provisions, only became effective on March 16, 2013. Accordingly, it is not clear what, if any, impact the Leahy-Smith Act will have on the operation of our</w:t>
      </w:r>
      <w:r>
        <w:rPr>
          <w:rFonts w:eastAsia="Times New Roman"/>
          <w:color w:val="000000"/>
          <w:sz w:val="18"/>
          <w:szCs w:val="18"/>
        </w:rPr>
        <w:t xml:space="preserve"> business. However, the Leahy-Smith Act and its implementation could increase the uncertainties and costs surrounding the prosecution of our patent applications and the enforcement or defense of our issued patents, all of which could harm our business and </w:t>
      </w:r>
      <w:r>
        <w:rPr>
          <w:rFonts w:eastAsia="Times New Roman"/>
          <w:color w:val="000000"/>
          <w:sz w:val="18"/>
          <w:szCs w:val="18"/>
        </w:rPr>
        <w:t>financial condition.</w:t>
      </w:r>
    </w:p>
    <w:p w:rsidR="00000000" w:rsidRDefault="00375AF8">
      <w:pPr>
        <w:ind w:firstLine="720"/>
        <w:jc w:val="both"/>
        <w:divId w:val="1342581923"/>
        <w:rPr>
          <w:rFonts w:eastAsia="Times New Roman"/>
        </w:rPr>
      </w:pPr>
      <w:r>
        <w:rPr>
          <w:rFonts w:eastAsia="Times New Roman"/>
          <w:color w:val="000000"/>
          <w:sz w:val="18"/>
          <w:szCs w:val="18"/>
        </w:rPr>
        <w:t>Moreover, we may be subject to a third-party pre-issuance submission of prior art to the U.S. Patent and Trademark Office (the “USPTO”) or become involved in opposition, derivation, reexamination, inter partes review, post-grant review</w:t>
      </w:r>
      <w:r>
        <w:rPr>
          <w:rFonts w:eastAsia="Times New Roman"/>
          <w:color w:val="000000"/>
          <w:sz w:val="18"/>
          <w:szCs w:val="18"/>
        </w:rPr>
        <w:t xml:space="preserve"> or interference proceedings challenging our patent rights or the patent rights of others. An adverse determination in any such submission, proceeding or litigation could reduce the scope of, or invalidate, our patent rights, allow third parties to commerc</w:t>
      </w:r>
      <w:r>
        <w:rPr>
          <w:rFonts w:eastAsia="Times New Roman"/>
          <w:color w:val="000000"/>
          <w:sz w:val="18"/>
          <w:szCs w:val="18"/>
        </w:rPr>
        <w:t>ialize our technology or drugs and compete directly with us, without payment to us, or result in our inability to manufacture or commercialize drugs without infringing third-party patent rights. In addition, if the breadth or strength of protection provide</w:t>
      </w:r>
      <w:r>
        <w:rPr>
          <w:rFonts w:eastAsia="Times New Roman"/>
          <w:color w:val="000000"/>
          <w:sz w:val="18"/>
          <w:szCs w:val="18"/>
        </w:rPr>
        <w:t>d by our patents and patent applications is threatened, it could dissuade companies from collaborating with us to license, develop or commercialize current or future drug candidates.</w:t>
      </w:r>
    </w:p>
    <w:p w:rsidR="00000000" w:rsidRDefault="00375AF8">
      <w:pPr>
        <w:ind w:firstLine="720"/>
        <w:jc w:val="both"/>
        <w:divId w:val="78991551"/>
        <w:rPr>
          <w:rFonts w:eastAsia="Times New Roman"/>
        </w:rPr>
      </w:pPr>
      <w:r>
        <w:rPr>
          <w:rFonts w:eastAsia="Times New Roman"/>
          <w:color w:val="000000"/>
          <w:sz w:val="18"/>
          <w:szCs w:val="18"/>
        </w:rPr>
        <w:t>The issuance of a patent is not conclusive as to its inventorship, scope,</w:t>
      </w:r>
      <w:r>
        <w:rPr>
          <w:rFonts w:eastAsia="Times New Roman"/>
          <w:color w:val="000000"/>
          <w:sz w:val="18"/>
          <w:szCs w:val="18"/>
        </w:rPr>
        <w:t xml:space="preserve"> validity or enforceability, and our owned and licensed patents may be challenged in the courts or patent offices in the United States and abroad. An adverse determination in any such challenges may result in loss of exclusivity or in patent claims being n</w:t>
      </w:r>
      <w:r>
        <w:rPr>
          <w:rFonts w:eastAsia="Times New Roman"/>
          <w:color w:val="000000"/>
          <w:sz w:val="18"/>
          <w:szCs w:val="18"/>
        </w:rPr>
        <w:t>arrowed, invalidated or held unenforceable, in whole or in part, which could limit our ability to stop others from using or commercializing similar or identical technology and drugs, or limit the duration of the patent protection of our technology and drug</w:t>
      </w:r>
      <w:r>
        <w:rPr>
          <w:rFonts w:eastAsia="Times New Roman"/>
          <w:color w:val="000000"/>
          <w:sz w:val="18"/>
          <w:szCs w:val="18"/>
        </w:rPr>
        <w:t xml:space="preserve">s. Moreover, patents have a limited lifespan. In the United States, the natural expiration of a patent is generally 20 years from the earliest filing date of a non-provisional patent application. Various extensions may be available; however, the life of a </w:t>
      </w:r>
      <w:r>
        <w:rPr>
          <w:rFonts w:eastAsia="Times New Roman"/>
          <w:color w:val="000000"/>
          <w:sz w:val="18"/>
          <w:szCs w:val="18"/>
        </w:rPr>
        <w:t>patent, and the protection it affords, is limited. Without patent protection for our current or future drug candidates, we may be open to competition from generic versions of such drugs. Given the amount of time required for the development, testing and re</w:t>
      </w:r>
      <w:r>
        <w:rPr>
          <w:rFonts w:eastAsia="Times New Roman"/>
          <w:color w:val="000000"/>
          <w:sz w:val="18"/>
          <w:szCs w:val="18"/>
        </w:rPr>
        <w:t>gulatory review of new drug candidates, patents protecting such candidates might expire before or shortly after such candidates are commercialized. As a result, our owned and licensed patent portfolio may not provide us with sufficient rights to exclude ot</w:t>
      </w:r>
      <w:r>
        <w:rPr>
          <w:rFonts w:eastAsia="Times New Roman"/>
          <w:color w:val="000000"/>
          <w:sz w:val="18"/>
          <w:szCs w:val="18"/>
        </w:rPr>
        <w:t>hers from commercializing drugs similar or identical to ours.</w:t>
      </w:r>
    </w:p>
    <w:p w:rsidR="00000000" w:rsidRDefault="00375AF8">
      <w:pPr>
        <w:jc w:val="both"/>
        <w:divId w:val="1279947666"/>
        <w:rPr>
          <w:rFonts w:eastAsia="Times New Roman"/>
        </w:rPr>
      </w:pPr>
      <w:r>
        <w:rPr>
          <w:rFonts w:eastAsia="Times New Roman"/>
          <w:b/>
          <w:bCs/>
          <w:i/>
          <w:iCs/>
          <w:color w:val="000000"/>
          <w:sz w:val="18"/>
          <w:szCs w:val="18"/>
        </w:rPr>
        <w:t xml:space="preserve">Obtaining and maintaining our patent protection depends on compliance with various procedural, document submission, fee payment and other requirements imposed by government patent agencies, and </w:t>
      </w:r>
      <w:r>
        <w:rPr>
          <w:rFonts w:eastAsia="Times New Roman"/>
          <w:b/>
          <w:bCs/>
          <w:i/>
          <w:iCs/>
          <w:color w:val="000000"/>
          <w:sz w:val="18"/>
          <w:szCs w:val="18"/>
        </w:rPr>
        <w:t>our patent protection could be reduced or eliminated for non-compliance with these requirements.</w:t>
      </w:r>
    </w:p>
    <w:p w:rsidR="00000000" w:rsidRDefault="00375AF8">
      <w:pPr>
        <w:ind w:firstLine="720"/>
        <w:jc w:val="both"/>
        <w:divId w:val="1478065017"/>
        <w:rPr>
          <w:rFonts w:eastAsia="Times New Roman"/>
        </w:rPr>
      </w:pPr>
      <w:r>
        <w:rPr>
          <w:rFonts w:eastAsia="Times New Roman"/>
          <w:color w:val="000000"/>
          <w:sz w:val="18"/>
          <w:szCs w:val="18"/>
        </w:rPr>
        <w:t xml:space="preserve">Periodic maintenance fees, renewal fees, annuity fees and various other government fees on patents and/or applications will be due to be paid to the USPTO and </w:t>
      </w:r>
      <w:r>
        <w:rPr>
          <w:rFonts w:eastAsia="Times New Roman"/>
          <w:color w:val="000000"/>
          <w:sz w:val="18"/>
          <w:szCs w:val="18"/>
        </w:rPr>
        <w:t>various government patent agencies outside of the United States over the lifetime of our owned and licensed patents and/or applications and any patent rights we may own or license in the future. We rely on our outside counsel or our licensing partners to p</w:t>
      </w:r>
      <w:r>
        <w:rPr>
          <w:rFonts w:eastAsia="Times New Roman"/>
          <w:color w:val="000000"/>
          <w:sz w:val="18"/>
          <w:szCs w:val="18"/>
        </w:rPr>
        <w:t>ay these fees due to non-U.S. patent agencies. The USPTO and various non-U.S. government patent agencies require compliance with several procedural, documentary, fee payment and other similar provisions during the patent application process. We employ repu</w:t>
      </w:r>
      <w:r>
        <w:rPr>
          <w:rFonts w:eastAsia="Times New Roman"/>
          <w:color w:val="000000"/>
          <w:sz w:val="18"/>
          <w:szCs w:val="18"/>
        </w:rPr>
        <w:t xml:space="preserve">table law firms and other professionals to help us comply and we are also dependent on our licensors to take the necessary action to comply with these requirements with respect to our licensed intellectual property. In many cases, an inadvertent lapse can </w:t>
      </w:r>
      <w:r>
        <w:rPr>
          <w:rFonts w:eastAsia="Times New Roman"/>
          <w:color w:val="000000"/>
          <w:sz w:val="18"/>
          <w:szCs w:val="18"/>
        </w:rPr>
        <w:t>be cured by payment of a late fee or by other means in accordance with the applicable rules. There are situations, however, in which non-compliance can result in abandonment or lapse of the patent or patent application, resulting in partial or complete los</w:t>
      </w:r>
      <w:r>
        <w:rPr>
          <w:rFonts w:eastAsia="Times New Roman"/>
          <w:color w:val="000000"/>
          <w:sz w:val="18"/>
          <w:szCs w:val="18"/>
        </w:rPr>
        <w:t>s of patent rights in the relevant jurisdiction. In such an event, potential competitors might be able to enter the market and this circumstance could harm our business.</w:t>
      </w:r>
    </w:p>
    <w:p w:rsidR="00000000" w:rsidRDefault="00375AF8">
      <w:pPr>
        <w:jc w:val="both"/>
        <w:divId w:val="211817758"/>
        <w:rPr>
          <w:rFonts w:eastAsia="Times New Roman"/>
        </w:rPr>
      </w:pPr>
      <w:r>
        <w:rPr>
          <w:rFonts w:eastAsia="Times New Roman"/>
          <w:b/>
          <w:bCs/>
          <w:i/>
          <w:iCs/>
          <w:color w:val="000000"/>
          <w:sz w:val="18"/>
          <w:szCs w:val="18"/>
        </w:rPr>
        <w:t>Patent terms may be inadequate to protect our competitive position on our drug candidates for an adequate amount of time.</w:t>
      </w:r>
    </w:p>
    <w:p w:rsidR="00000000" w:rsidRDefault="00375AF8">
      <w:pPr>
        <w:ind w:firstLine="720"/>
        <w:jc w:val="both"/>
        <w:divId w:val="706180434"/>
        <w:rPr>
          <w:rFonts w:eastAsia="Times New Roman"/>
        </w:rPr>
      </w:pPr>
      <w:r>
        <w:rPr>
          <w:rFonts w:eastAsia="Times New Roman"/>
          <w:color w:val="000000"/>
          <w:sz w:val="18"/>
          <w:szCs w:val="18"/>
        </w:rPr>
        <w:t>Given the amount of time required for the development, testing and regulatory review of new drug candidates, patents protecting such c</w:t>
      </w:r>
      <w:r>
        <w:rPr>
          <w:rFonts w:eastAsia="Times New Roman"/>
          <w:color w:val="000000"/>
          <w:sz w:val="18"/>
          <w:szCs w:val="18"/>
        </w:rPr>
        <w:t>andidates might expire before or shortly after such candidates are commercialized. We expect to seek extensions of patent terms in the United States and, if available, in other countries where we are prosecuting patents. In the United States, the Drug Pric</w:t>
      </w:r>
      <w:r>
        <w:rPr>
          <w:rFonts w:eastAsia="Times New Roman"/>
          <w:color w:val="000000"/>
          <w:sz w:val="18"/>
          <w:szCs w:val="18"/>
        </w:rPr>
        <w:t>e Competition and Patent Term Restoration Act of 1984 permits a patent term extension of up to five years beyond the normal expiration of the patent, which is limited to the approved indication (or any additional indications approved during the period of e</w:t>
      </w:r>
      <w:r>
        <w:rPr>
          <w:rFonts w:eastAsia="Times New Roman"/>
          <w:color w:val="000000"/>
          <w:sz w:val="18"/>
          <w:szCs w:val="18"/>
        </w:rPr>
        <w:t xml:space="preserve">xtension). However, the applicable authorities, including the FDA and the USPTO in the United States, and any equivalent regulatory authority in other countries, may not agree with our assessment of whether such extensions are available, and may refuse to </w:t>
      </w:r>
      <w:r>
        <w:rPr>
          <w:rFonts w:eastAsia="Times New Roman"/>
          <w:color w:val="000000"/>
          <w:sz w:val="18"/>
          <w:szCs w:val="18"/>
        </w:rPr>
        <w:t>grant extensions to our patents, or may grant more limited extensions than we request. If this occurs, our competitors may be able to take advantage of our investment in development and clinical trials by referencing our clinical and preclinical data and l</w:t>
      </w:r>
      <w:r>
        <w:rPr>
          <w:rFonts w:eastAsia="Times New Roman"/>
          <w:color w:val="000000"/>
          <w:sz w:val="18"/>
          <w:szCs w:val="18"/>
        </w:rPr>
        <w:t>aunch their drug earlier than might otherwise be the case.</w:t>
      </w:r>
    </w:p>
    <w:p w:rsidR="00000000" w:rsidRDefault="00375AF8">
      <w:pPr>
        <w:jc w:val="both"/>
        <w:divId w:val="1983850459"/>
        <w:rPr>
          <w:rFonts w:eastAsia="Times New Roman"/>
        </w:rPr>
      </w:pPr>
      <w:r>
        <w:rPr>
          <w:rFonts w:eastAsia="Times New Roman"/>
          <w:b/>
          <w:bCs/>
          <w:i/>
          <w:iCs/>
          <w:color w:val="000000"/>
          <w:sz w:val="18"/>
          <w:szCs w:val="18"/>
        </w:rPr>
        <w:t>Intellectual property rights do not necessarily address all potential threats to our business.</w:t>
      </w:r>
    </w:p>
    <w:p w:rsidR="00000000" w:rsidRDefault="00375AF8">
      <w:pPr>
        <w:ind w:firstLine="720"/>
        <w:jc w:val="both"/>
        <w:divId w:val="88356632"/>
        <w:rPr>
          <w:rFonts w:eastAsia="Times New Roman"/>
        </w:rPr>
      </w:pPr>
      <w:r>
        <w:rPr>
          <w:rFonts w:eastAsia="Times New Roman"/>
          <w:color w:val="000000"/>
          <w:sz w:val="18"/>
          <w:szCs w:val="18"/>
        </w:rPr>
        <w:t>The degree of future protection afforded by our intellectual property rights is uncertain because inte</w:t>
      </w:r>
      <w:r>
        <w:rPr>
          <w:rFonts w:eastAsia="Times New Roman"/>
          <w:color w:val="000000"/>
          <w:sz w:val="18"/>
          <w:szCs w:val="18"/>
        </w:rPr>
        <w:t>llectual property rights have limitations, and may not adequately protect our business. The following examples are illustrative:</w:t>
      </w:r>
    </w:p>
    <w:p w:rsidR="00000000" w:rsidRDefault="00375AF8">
      <w:pPr>
        <w:ind w:hanging="720"/>
        <w:jc w:val="both"/>
        <w:divId w:val="914512579"/>
        <w:rPr>
          <w:rFonts w:eastAsia="Times New Roman"/>
        </w:rPr>
      </w:pPr>
      <w:r>
        <w:rPr>
          <w:rFonts w:eastAsia="Times New Roman"/>
          <w:color w:val="000000"/>
          <w:sz w:val="18"/>
          <w:szCs w:val="18"/>
        </w:rPr>
        <w:t>•others may be able to make compounds or formulations that are similar to our drug candidates but that are not covered by the c</w:t>
      </w:r>
      <w:r>
        <w:rPr>
          <w:rFonts w:eastAsia="Times New Roman"/>
          <w:color w:val="000000"/>
          <w:sz w:val="18"/>
          <w:szCs w:val="18"/>
        </w:rPr>
        <w:t>laims of any patents, should they issue, that we own or control;</w:t>
      </w:r>
    </w:p>
    <w:p w:rsidR="00000000" w:rsidRDefault="00375AF8">
      <w:pPr>
        <w:ind w:hanging="720"/>
        <w:jc w:val="both"/>
        <w:divId w:val="56822694"/>
        <w:rPr>
          <w:rFonts w:eastAsia="Times New Roman"/>
        </w:rPr>
      </w:pPr>
      <w:r>
        <w:rPr>
          <w:rFonts w:eastAsia="Times New Roman"/>
          <w:color w:val="000000"/>
          <w:sz w:val="18"/>
          <w:szCs w:val="18"/>
        </w:rPr>
        <w:t>•we or any strategic partners might not have been the first to make the inventions covered by the issued patents or pending patent applications that we own or control;</w:t>
      </w:r>
    </w:p>
    <w:p w:rsidR="00000000" w:rsidRDefault="00375AF8">
      <w:pPr>
        <w:ind w:hanging="720"/>
        <w:jc w:val="both"/>
        <w:divId w:val="1932006848"/>
        <w:rPr>
          <w:rFonts w:eastAsia="Times New Roman"/>
        </w:rPr>
      </w:pPr>
      <w:r>
        <w:rPr>
          <w:rFonts w:eastAsia="Times New Roman"/>
          <w:color w:val="000000"/>
          <w:sz w:val="18"/>
          <w:szCs w:val="18"/>
        </w:rPr>
        <w:t>•we might not have been</w:t>
      </w:r>
      <w:r>
        <w:rPr>
          <w:rFonts w:eastAsia="Times New Roman"/>
          <w:color w:val="000000"/>
          <w:sz w:val="18"/>
          <w:szCs w:val="18"/>
        </w:rPr>
        <w:t xml:space="preserve"> the first to file patent applications covering certain of our inventions;</w:t>
      </w:r>
    </w:p>
    <w:p w:rsidR="00000000" w:rsidRDefault="00375AF8">
      <w:pPr>
        <w:jc w:val="center"/>
        <w:divId w:val="17435356"/>
        <w:rPr>
          <w:rFonts w:eastAsia="Times New Roman"/>
        </w:rPr>
      </w:pPr>
      <w:r>
        <w:rPr>
          <w:rFonts w:eastAsia="Times New Roman"/>
          <w:color w:val="000000"/>
          <w:sz w:val="18"/>
          <w:szCs w:val="18"/>
        </w:rPr>
        <w:t>46</w:t>
      </w:r>
    </w:p>
    <w:p w:rsidR="00000000" w:rsidRDefault="00375AF8">
      <w:pPr>
        <w:rPr>
          <w:rFonts w:eastAsia="Times New Roman"/>
        </w:rPr>
      </w:pPr>
      <w:r>
        <w:rPr>
          <w:rFonts w:eastAsia="Times New Roman"/>
        </w:rPr>
        <w:pict>
          <v:rect id="_x0000_i1072" style="width:0;height:1.5pt" o:hralign="center" o:hrstd="t" o:hr="t" fillcolor="#a0a0a0" stroked="f"/>
        </w:pict>
      </w:r>
    </w:p>
    <w:p w:rsidR="00000000" w:rsidRDefault="00375AF8">
      <w:pPr>
        <w:divId w:val="833256950"/>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920455008"/>
        <w:rPr>
          <w:rFonts w:eastAsia="Times New Roman"/>
        </w:rPr>
      </w:pPr>
      <w:r>
        <w:rPr>
          <w:rFonts w:eastAsia="Times New Roman"/>
          <w:color w:val="000000"/>
          <w:sz w:val="18"/>
          <w:szCs w:val="18"/>
        </w:rPr>
        <w:t>•others may independently develop similar or alternative technolog</w:t>
      </w:r>
      <w:r>
        <w:rPr>
          <w:rFonts w:eastAsia="Times New Roman"/>
          <w:color w:val="000000"/>
          <w:sz w:val="18"/>
          <w:szCs w:val="18"/>
        </w:rPr>
        <w:t>ies or duplicate any of our technologies without infringing our intellectual property rights;</w:t>
      </w:r>
    </w:p>
    <w:p w:rsidR="00000000" w:rsidRDefault="00375AF8">
      <w:pPr>
        <w:ind w:hanging="720"/>
        <w:jc w:val="both"/>
        <w:divId w:val="1869415837"/>
        <w:rPr>
          <w:rFonts w:eastAsia="Times New Roman"/>
        </w:rPr>
      </w:pPr>
      <w:r>
        <w:rPr>
          <w:rFonts w:eastAsia="Times New Roman"/>
          <w:color w:val="000000"/>
          <w:sz w:val="18"/>
          <w:szCs w:val="18"/>
        </w:rPr>
        <w:t>•it is possible that our pending patent applications will not lead to issued patents;</w:t>
      </w:r>
    </w:p>
    <w:p w:rsidR="00000000" w:rsidRDefault="00375AF8">
      <w:pPr>
        <w:ind w:hanging="720"/>
        <w:jc w:val="both"/>
        <w:divId w:val="1813324999"/>
        <w:rPr>
          <w:rFonts w:eastAsia="Times New Roman"/>
        </w:rPr>
      </w:pPr>
      <w:r>
        <w:rPr>
          <w:rFonts w:eastAsia="Times New Roman"/>
          <w:color w:val="000000"/>
          <w:sz w:val="18"/>
          <w:szCs w:val="18"/>
        </w:rPr>
        <w:t>•issued patents that we own or control may not provide us with any competiti</w:t>
      </w:r>
      <w:r>
        <w:rPr>
          <w:rFonts w:eastAsia="Times New Roman"/>
          <w:color w:val="000000"/>
          <w:sz w:val="18"/>
          <w:szCs w:val="18"/>
        </w:rPr>
        <w:t>ve advantages, or may be held invalid or unenforceable because of legal challenges;</w:t>
      </w:r>
    </w:p>
    <w:p w:rsidR="00000000" w:rsidRDefault="00375AF8">
      <w:pPr>
        <w:ind w:hanging="720"/>
        <w:jc w:val="both"/>
        <w:divId w:val="34428355"/>
        <w:rPr>
          <w:rFonts w:eastAsia="Times New Roman"/>
        </w:rPr>
      </w:pPr>
      <w:r>
        <w:rPr>
          <w:rFonts w:eastAsia="Times New Roman"/>
          <w:color w:val="000000"/>
          <w:sz w:val="18"/>
          <w:szCs w:val="18"/>
        </w:rPr>
        <w:t>•our competitors might conduct research and development activities in the United States and other countries that provide a safe harbor from patent infringement claims for c</w:t>
      </w:r>
      <w:r>
        <w:rPr>
          <w:rFonts w:eastAsia="Times New Roman"/>
          <w:color w:val="000000"/>
          <w:sz w:val="18"/>
          <w:szCs w:val="18"/>
        </w:rPr>
        <w:t>ertain research and development activities, as well as in countries where we do not have patent rights and then use the information learned from such activities to develop competitive drugs for sale in our major commercial markets;</w:t>
      </w:r>
    </w:p>
    <w:p w:rsidR="00000000" w:rsidRDefault="00375AF8">
      <w:pPr>
        <w:ind w:hanging="720"/>
        <w:jc w:val="both"/>
        <w:divId w:val="1259488317"/>
        <w:rPr>
          <w:rFonts w:eastAsia="Times New Roman"/>
        </w:rPr>
      </w:pPr>
      <w:r>
        <w:rPr>
          <w:rFonts w:eastAsia="Times New Roman"/>
          <w:color w:val="000000"/>
          <w:sz w:val="18"/>
          <w:szCs w:val="18"/>
        </w:rPr>
        <w:t>•we may not develop addi</w:t>
      </w:r>
      <w:r>
        <w:rPr>
          <w:rFonts w:eastAsia="Times New Roman"/>
          <w:color w:val="000000"/>
          <w:sz w:val="18"/>
          <w:szCs w:val="18"/>
        </w:rPr>
        <w:t>tional proprietary technologies that are patentable; and</w:t>
      </w:r>
    </w:p>
    <w:p w:rsidR="00000000" w:rsidRDefault="00375AF8">
      <w:pPr>
        <w:ind w:hanging="720"/>
        <w:jc w:val="both"/>
        <w:divId w:val="1770468702"/>
        <w:rPr>
          <w:rFonts w:eastAsia="Times New Roman"/>
        </w:rPr>
      </w:pPr>
      <w:r>
        <w:rPr>
          <w:rFonts w:eastAsia="Times New Roman"/>
          <w:color w:val="000000"/>
          <w:sz w:val="18"/>
          <w:szCs w:val="18"/>
        </w:rPr>
        <w:t>•the patents of others may have an adverse effect on our business.</w:t>
      </w:r>
    </w:p>
    <w:p w:rsidR="00000000" w:rsidRDefault="00375AF8">
      <w:pPr>
        <w:ind w:firstLine="720"/>
        <w:jc w:val="both"/>
        <w:divId w:val="2146579867"/>
        <w:rPr>
          <w:rFonts w:eastAsia="Times New Roman"/>
        </w:rPr>
      </w:pPr>
      <w:r>
        <w:rPr>
          <w:rFonts w:eastAsia="Times New Roman"/>
          <w:color w:val="000000"/>
          <w:sz w:val="18"/>
          <w:szCs w:val="18"/>
        </w:rPr>
        <w:t xml:space="preserve">The proprietary map of disease-relevant biological pathways underlying orphan disorders of the brain that we developed would not be </w:t>
      </w:r>
      <w:r>
        <w:rPr>
          <w:rFonts w:eastAsia="Times New Roman"/>
          <w:color w:val="000000"/>
          <w:sz w:val="18"/>
          <w:szCs w:val="18"/>
        </w:rPr>
        <w:t>appropriate for patent protection and, as a result, we rely on trade secrets to protect this aspect of our business.</w:t>
      </w:r>
    </w:p>
    <w:p w:rsidR="00000000" w:rsidRDefault="00375AF8">
      <w:pPr>
        <w:jc w:val="both"/>
        <w:divId w:val="302392364"/>
        <w:rPr>
          <w:rFonts w:eastAsia="Times New Roman"/>
        </w:rPr>
      </w:pPr>
      <w:r>
        <w:rPr>
          <w:rFonts w:eastAsia="Times New Roman"/>
          <w:b/>
          <w:bCs/>
          <w:i/>
          <w:iCs/>
          <w:color w:val="000000"/>
          <w:sz w:val="18"/>
          <w:szCs w:val="18"/>
        </w:rPr>
        <w:t>Third parties may initiate legal proceedings alleging that we are infringing their intellectual property rights, the outcome of which would be uncertain and could have a negative impact on the success of our business.</w:t>
      </w:r>
    </w:p>
    <w:p w:rsidR="00000000" w:rsidRDefault="00375AF8">
      <w:pPr>
        <w:ind w:firstLine="720"/>
        <w:jc w:val="both"/>
        <w:divId w:val="770588812"/>
        <w:rPr>
          <w:rFonts w:eastAsia="Times New Roman"/>
        </w:rPr>
      </w:pPr>
      <w:r>
        <w:rPr>
          <w:rFonts w:eastAsia="Times New Roman"/>
          <w:color w:val="000000"/>
          <w:sz w:val="18"/>
          <w:szCs w:val="18"/>
        </w:rPr>
        <w:t>Our commercial success depends, in par</w:t>
      </w:r>
      <w:r>
        <w:rPr>
          <w:rFonts w:eastAsia="Times New Roman"/>
          <w:color w:val="000000"/>
          <w:sz w:val="18"/>
          <w:szCs w:val="18"/>
        </w:rPr>
        <w:t>t, upon our ability and the ability of our current or future collaborators to develop, manufacture, market and sell our current and any future drug candidates and use our proprietary technologies without infringing the proprietary rights and intellectual p</w:t>
      </w:r>
      <w:r>
        <w:rPr>
          <w:rFonts w:eastAsia="Times New Roman"/>
          <w:color w:val="000000"/>
          <w:sz w:val="18"/>
          <w:szCs w:val="18"/>
        </w:rPr>
        <w:t>roperty of third parties. The biotechnology and pharmaceutical industries are characterized by extensive and complex litigation regarding patents and other intellectual property rights. We may in the future become party to, or be threatened with, adversari</w:t>
      </w:r>
      <w:r>
        <w:rPr>
          <w:rFonts w:eastAsia="Times New Roman"/>
          <w:color w:val="000000"/>
          <w:sz w:val="18"/>
          <w:szCs w:val="18"/>
        </w:rPr>
        <w:t>al proceedings or litigation regarding intellectual property rights with respect to our current and any future drug candidates and technology, including interference proceedings, post grant review and inter partes review before the USPTO. Third parties may</w:t>
      </w:r>
      <w:r>
        <w:rPr>
          <w:rFonts w:eastAsia="Times New Roman"/>
          <w:color w:val="000000"/>
          <w:sz w:val="18"/>
          <w:szCs w:val="18"/>
        </w:rPr>
        <w:t xml:space="preserve"> assert infringement claims against us based on existing patents or patents that may be granted in the future, regardless of their merit. There is a risk that third parties may choose to engage in litigation with us to enforce or to otherwise assert their </w:t>
      </w:r>
      <w:r>
        <w:rPr>
          <w:rFonts w:eastAsia="Times New Roman"/>
          <w:color w:val="000000"/>
          <w:sz w:val="18"/>
          <w:szCs w:val="18"/>
        </w:rPr>
        <w:t>patent rights against us. Even if we believe such claims are without merit, a court of competent jurisdiction could hold that these third-party patents are valid, enforceable and infringed, which could have a negative impact on our ability to commercialize</w:t>
      </w:r>
      <w:r>
        <w:rPr>
          <w:rFonts w:eastAsia="Times New Roman"/>
          <w:color w:val="000000"/>
          <w:sz w:val="18"/>
          <w:szCs w:val="18"/>
        </w:rPr>
        <w:t xml:space="preserve"> our current and any future drug candidates. In order to successfully challenge the validity of any such U.S. patent in federal court, we would need to overcome a presumption of validity. As this burden is a high one requiring us to present clear and convi</w:t>
      </w:r>
      <w:r>
        <w:rPr>
          <w:rFonts w:eastAsia="Times New Roman"/>
          <w:color w:val="000000"/>
          <w:sz w:val="18"/>
          <w:szCs w:val="18"/>
        </w:rPr>
        <w:t>ncing evidence as to the invalidity of any such U.S. patent claim, there is no assurance that a court of competent jurisdiction would invalidate the claims of any such U.S. patent. If we are found to infringe a third party’s valid and enforceable intellect</w:t>
      </w:r>
      <w:r>
        <w:rPr>
          <w:rFonts w:eastAsia="Times New Roman"/>
          <w:color w:val="000000"/>
          <w:sz w:val="18"/>
          <w:szCs w:val="18"/>
        </w:rPr>
        <w:t>ual property rights, we could be required to obtain a license from such third party to continue developing, manufacturing and marketing our drug candidate(s) and technology. However, we may not be able to obtain any required license on commercially reasona</w:t>
      </w:r>
      <w:r>
        <w:rPr>
          <w:rFonts w:eastAsia="Times New Roman"/>
          <w:color w:val="000000"/>
          <w:sz w:val="18"/>
          <w:szCs w:val="18"/>
        </w:rPr>
        <w:t>ble terms or at all. Even if we were able to obtain a license, it could be non-exclusive, thereby giving our competitors and other third parties access to the same technologies licensed to us, and it could require us to make substantial licensing and royal</w:t>
      </w:r>
      <w:r>
        <w:rPr>
          <w:rFonts w:eastAsia="Times New Roman"/>
          <w:color w:val="000000"/>
          <w:sz w:val="18"/>
          <w:szCs w:val="18"/>
        </w:rPr>
        <w:t>ty payments. We could be forced, including by court order, to cease developing, manufacturing and commercializing the infringing technology or drug candidate. In addition, we could be found liable for monetary damages, including treble damages and attorney</w:t>
      </w:r>
      <w:r>
        <w:rPr>
          <w:rFonts w:eastAsia="Times New Roman"/>
          <w:color w:val="000000"/>
          <w:sz w:val="18"/>
          <w:szCs w:val="18"/>
        </w:rPr>
        <w:t>s’ fees, if we are found to have willfully infringed a patent or other intellectual property right. A finding of infringement could prevent us from manufacturing and commercializing our current or any future drug candidates or force us to cease some or all</w:t>
      </w:r>
      <w:r>
        <w:rPr>
          <w:rFonts w:eastAsia="Times New Roman"/>
          <w:color w:val="000000"/>
          <w:sz w:val="18"/>
          <w:szCs w:val="18"/>
        </w:rPr>
        <w:t xml:space="preserve"> of our business operations, which could materially harm our business. Claims that we have misappropriated the confidential information or trade secrets of third parties could have a similar negative impact on our business, financial condition, results of </w:t>
      </w:r>
      <w:r>
        <w:rPr>
          <w:rFonts w:eastAsia="Times New Roman"/>
          <w:color w:val="000000"/>
          <w:sz w:val="18"/>
          <w:szCs w:val="18"/>
        </w:rPr>
        <w:t>operations and prospects. See the section herein titled “Legal Proceedings” for additional information.</w:t>
      </w:r>
    </w:p>
    <w:p w:rsidR="00000000" w:rsidRDefault="00375AF8">
      <w:pPr>
        <w:jc w:val="both"/>
        <w:divId w:val="1314867599"/>
        <w:rPr>
          <w:rFonts w:eastAsia="Times New Roman"/>
        </w:rPr>
      </w:pPr>
      <w:r>
        <w:rPr>
          <w:rFonts w:eastAsia="Times New Roman"/>
          <w:b/>
          <w:bCs/>
          <w:i/>
          <w:iCs/>
          <w:color w:val="000000"/>
          <w:sz w:val="18"/>
          <w:szCs w:val="18"/>
        </w:rPr>
        <w:t>We may be subject to claims asserting that our employees, consultants or advisors have wrongfully used or disclosed alleged trade secrets of their curre</w:t>
      </w:r>
      <w:r>
        <w:rPr>
          <w:rFonts w:eastAsia="Times New Roman"/>
          <w:b/>
          <w:bCs/>
          <w:i/>
          <w:iCs/>
          <w:color w:val="000000"/>
          <w:sz w:val="18"/>
          <w:szCs w:val="18"/>
        </w:rPr>
        <w:t>nt or former employers or claims asserting ownership of what we regard as our own intellectual property.</w:t>
      </w:r>
    </w:p>
    <w:p w:rsidR="00000000" w:rsidRDefault="00375AF8">
      <w:pPr>
        <w:ind w:firstLine="720"/>
        <w:jc w:val="both"/>
        <w:divId w:val="250506807"/>
        <w:rPr>
          <w:rFonts w:eastAsia="Times New Roman"/>
        </w:rPr>
      </w:pPr>
      <w:r>
        <w:rPr>
          <w:rFonts w:eastAsia="Times New Roman"/>
          <w:color w:val="000000"/>
          <w:sz w:val="18"/>
          <w:szCs w:val="18"/>
        </w:rPr>
        <w:t xml:space="preserve">Certain of our employees, consultants or advisors are currently, or were previously, employed at universities or other biotechnology or pharmaceutical </w:t>
      </w:r>
      <w:r>
        <w:rPr>
          <w:rFonts w:eastAsia="Times New Roman"/>
          <w:color w:val="000000"/>
          <w:sz w:val="18"/>
          <w:szCs w:val="18"/>
        </w:rPr>
        <w:t xml:space="preserve">companies, including our competitors or potential competitors. Although we try to ensure that our employees, consultants and advisors do not use the proprietary information or know-how of others in their work for us, we may be subject to claims that these </w:t>
      </w:r>
      <w:r>
        <w:rPr>
          <w:rFonts w:eastAsia="Times New Roman"/>
          <w:color w:val="000000"/>
          <w:sz w:val="18"/>
          <w:szCs w:val="18"/>
        </w:rPr>
        <w:t>individuals or we have used or disclosed intellectual property, including trade secrets or other proprietary information, of any such individual’s current or former employer. Litigation may be necessary to defend against these claims. If we fail in defendi</w:t>
      </w:r>
      <w:r>
        <w:rPr>
          <w:rFonts w:eastAsia="Times New Roman"/>
          <w:color w:val="000000"/>
          <w:sz w:val="18"/>
          <w:szCs w:val="18"/>
        </w:rPr>
        <w:t>ng any such claims, in addition to paying monetary damages, we may lose valuable intellectual property rights or personnel. Even if we are successful in defending against such claims, litigation could result in substantial costs and be a distraction to man</w:t>
      </w:r>
      <w:r>
        <w:rPr>
          <w:rFonts w:eastAsia="Times New Roman"/>
          <w:color w:val="000000"/>
          <w:sz w:val="18"/>
          <w:szCs w:val="18"/>
        </w:rPr>
        <w:t>agement.</w:t>
      </w:r>
    </w:p>
    <w:p w:rsidR="00000000" w:rsidRDefault="00375AF8">
      <w:pPr>
        <w:ind w:firstLine="720"/>
        <w:jc w:val="both"/>
        <w:divId w:val="1476796485"/>
        <w:rPr>
          <w:rFonts w:eastAsia="Times New Roman"/>
        </w:rPr>
      </w:pPr>
      <w:r>
        <w:rPr>
          <w:rFonts w:eastAsia="Times New Roman"/>
          <w:color w:val="000000"/>
          <w:sz w:val="18"/>
          <w:szCs w:val="18"/>
        </w:rPr>
        <w:t xml:space="preserve">In addition, while it is our policy to require our employees and contractors who may be involved in the conception or development of intellectual property to execute agreements assigning such intellectual property to us, we may be unsuccessful in </w:t>
      </w:r>
      <w:r>
        <w:rPr>
          <w:rFonts w:eastAsia="Times New Roman"/>
          <w:color w:val="000000"/>
          <w:sz w:val="18"/>
          <w:szCs w:val="18"/>
        </w:rPr>
        <w:t>executing such an agreement with each party who, in fact, conceives or develops intellectual property that we regard as our own. The assignment of intellectual property rights may not be self-executing or the assignment agreements may be breached, and we m</w:t>
      </w:r>
      <w:r>
        <w:rPr>
          <w:rFonts w:eastAsia="Times New Roman"/>
          <w:color w:val="000000"/>
          <w:sz w:val="18"/>
          <w:szCs w:val="18"/>
        </w:rPr>
        <w:t>ay be forced to bring claims against third parties, or defend claims that they may bring against us, to determine the ownership of what we regard as our intellectual property.</w:t>
      </w:r>
    </w:p>
    <w:p w:rsidR="00000000" w:rsidRDefault="00375AF8">
      <w:pPr>
        <w:jc w:val="both"/>
        <w:divId w:val="56587631"/>
        <w:rPr>
          <w:rFonts w:eastAsia="Times New Roman"/>
        </w:rPr>
      </w:pPr>
      <w:r>
        <w:rPr>
          <w:rFonts w:eastAsia="Times New Roman"/>
          <w:b/>
          <w:bCs/>
          <w:i/>
          <w:iCs/>
          <w:color w:val="000000"/>
          <w:sz w:val="18"/>
          <w:szCs w:val="18"/>
        </w:rPr>
        <w:t>We may be involved in lawsuits to protect or enforce our patents, the patents of</w:t>
      </w:r>
      <w:r>
        <w:rPr>
          <w:rFonts w:eastAsia="Times New Roman"/>
          <w:b/>
          <w:bCs/>
          <w:i/>
          <w:iCs/>
          <w:color w:val="000000"/>
          <w:sz w:val="18"/>
          <w:szCs w:val="18"/>
        </w:rPr>
        <w:t xml:space="preserve"> our licensors or our other intellectual property rights, which could be expensive, time consuming and unsuccessful.</w:t>
      </w:r>
    </w:p>
    <w:p w:rsidR="00000000" w:rsidRDefault="00375AF8">
      <w:pPr>
        <w:ind w:firstLine="720"/>
        <w:jc w:val="both"/>
        <w:divId w:val="1085760410"/>
        <w:rPr>
          <w:rFonts w:eastAsia="Times New Roman"/>
        </w:rPr>
      </w:pPr>
      <w:r>
        <w:rPr>
          <w:rFonts w:eastAsia="Times New Roman"/>
          <w:color w:val="000000"/>
          <w:sz w:val="18"/>
          <w:szCs w:val="18"/>
        </w:rPr>
        <w:t>Competitors may infringe or otherwise violate our patents, the patents of our licensors or our other intellectual property rights. To count</w:t>
      </w:r>
      <w:r>
        <w:rPr>
          <w:rFonts w:eastAsia="Times New Roman"/>
          <w:color w:val="000000"/>
          <w:sz w:val="18"/>
          <w:szCs w:val="18"/>
        </w:rPr>
        <w:t xml:space="preserve">er infringement or unauthorized use, we may be required to file legal claims, which can be expensive and time-consuming. In </w:t>
      </w:r>
    </w:p>
    <w:p w:rsidR="00000000" w:rsidRDefault="00375AF8">
      <w:pPr>
        <w:jc w:val="center"/>
        <w:divId w:val="865098938"/>
        <w:rPr>
          <w:rFonts w:eastAsia="Times New Roman"/>
        </w:rPr>
      </w:pPr>
      <w:r>
        <w:rPr>
          <w:rFonts w:eastAsia="Times New Roman"/>
          <w:color w:val="000000"/>
          <w:sz w:val="18"/>
          <w:szCs w:val="18"/>
        </w:rPr>
        <w:t>47</w:t>
      </w:r>
    </w:p>
    <w:p w:rsidR="00000000" w:rsidRDefault="00375AF8">
      <w:pPr>
        <w:rPr>
          <w:rFonts w:eastAsia="Times New Roman"/>
        </w:rPr>
      </w:pPr>
      <w:r>
        <w:rPr>
          <w:rFonts w:eastAsia="Times New Roman"/>
        </w:rPr>
        <w:pict>
          <v:rect id="_x0000_i1073" style="width:0;height:1.5pt" o:hralign="center" o:hrstd="t" o:hr="t" fillcolor="#a0a0a0" stroked="f"/>
        </w:pict>
      </w:r>
    </w:p>
    <w:p w:rsidR="00000000" w:rsidRDefault="00375AF8">
      <w:pPr>
        <w:divId w:val="1117068410"/>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760716303"/>
        <w:rPr>
          <w:rFonts w:eastAsia="Times New Roman"/>
        </w:rPr>
      </w:pPr>
      <w:r>
        <w:rPr>
          <w:rFonts w:eastAsia="Times New Roman"/>
          <w:color w:val="000000"/>
          <w:sz w:val="18"/>
          <w:szCs w:val="18"/>
        </w:rPr>
        <w:t xml:space="preserve">addition, in an </w:t>
      </w:r>
      <w:r>
        <w:rPr>
          <w:rFonts w:eastAsia="Times New Roman"/>
          <w:color w:val="000000"/>
          <w:sz w:val="18"/>
          <w:szCs w:val="18"/>
        </w:rPr>
        <w:t>infringement proceeding, a court may decide that a patent of ours or our licensors is not valid or is unenforceable, or may refuse to stop the other party from using the technology at issue on the grounds that our patents do not cover the technology in que</w:t>
      </w:r>
      <w:r>
        <w:rPr>
          <w:rFonts w:eastAsia="Times New Roman"/>
          <w:color w:val="000000"/>
          <w:sz w:val="18"/>
          <w:szCs w:val="18"/>
        </w:rPr>
        <w:t>stion. An adverse result in any litigation or defense proceedings could put one or more of our patents at risk of being invalidated or interpreted narrowly and could put our patent applications at risk of not issuing. The initiation of a claim against a th</w:t>
      </w:r>
      <w:r>
        <w:rPr>
          <w:rFonts w:eastAsia="Times New Roman"/>
          <w:color w:val="000000"/>
          <w:sz w:val="18"/>
          <w:szCs w:val="18"/>
        </w:rPr>
        <w:t>ird party may also cause the third party to bring counter claims against us such as claims asserting that our patents are invalid or unenforceable. In patent litigation in the United States, defendant counterclaims alleging invalidity or unenforceability a</w:t>
      </w:r>
      <w:r>
        <w:rPr>
          <w:rFonts w:eastAsia="Times New Roman"/>
          <w:color w:val="000000"/>
          <w:sz w:val="18"/>
          <w:szCs w:val="18"/>
        </w:rPr>
        <w:t>re commonplace. Grounds for a validity challenge could be an alleged failure to meet any of several statutory requirements, including lack of novelty, obviousness, non-enablement or lack of statutory subject matter. Grounds for an unenforceability assertio</w:t>
      </w:r>
      <w:r>
        <w:rPr>
          <w:rFonts w:eastAsia="Times New Roman"/>
          <w:color w:val="000000"/>
          <w:sz w:val="18"/>
          <w:szCs w:val="18"/>
        </w:rPr>
        <w:t>n could be an allegation that someone connected with prosecution of the patent withheld relevant material information from the USPTO, or made a materially misleading statement, during prosecution. Third parties may also raise similar validity claims before</w:t>
      </w:r>
      <w:r>
        <w:rPr>
          <w:rFonts w:eastAsia="Times New Roman"/>
          <w:color w:val="000000"/>
          <w:sz w:val="18"/>
          <w:szCs w:val="18"/>
        </w:rPr>
        <w:t xml:space="preserve"> the USPTO in post-grant proceedings such as ex parte reexaminations, inter partes review, or post-grant review, or oppositions or similar proceedings outside the United States, in parallel with litigation or even outside the context of litigation. The out</w:t>
      </w:r>
      <w:r>
        <w:rPr>
          <w:rFonts w:eastAsia="Times New Roman"/>
          <w:color w:val="000000"/>
          <w:sz w:val="18"/>
          <w:szCs w:val="18"/>
        </w:rPr>
        <w:t xml:space="preserve">come following legal assertions of invalidity and unenforceability is unpredictable. We cannot be certain that there is no invalidating prior art, of which we and the patent examiner were unaware during prosecution. For the patents and patent applications </w:t>
      </w:r>
      <w:r>
        <w:rPr>
          <w:rFonts w:eastAsia="Times New Roman"/>
          <w:color w:val="000000"/>
          <w:sz w:val="18"/>
          <w:szCs w:val="18"/>
        </w:rPr>
        <w:t>that we have licensed, we may have limited or no right to participate in the defense of any licensed patents against challenge by a third party. If a defendant were to prevail on a legal assertion of invalidity or unenforceability, we would lose at least p</w:t>
      </w:r>
      <w:r>
        <w:rPr>
          <w:rFonts w:eastAsia="Times New Roman"/>
          <w:color w:val="000000"/>
          <w:sz w:val="18"/>
          <w:szCs w:val="18"/>
        </w:rPr>
        <w:t>art, and perhaps all, of any future patent protection on our current or future drug candidates. Such a loss of patent protection could harm our business.</w:t>
      </w:r>
    </w:p>
    <w:p w:rsidR="00000000" w:rsidRDefault="00375AF8">
      <w:pPr>
        <w:ind w:firstLine="720"/>
        <w:jc w:val="both"/>
        <w:divId w:val="115292086"/>
        <w:rPr>
          <w:rFonts w:eastAsia="Times New Roman"/>
        </w:rPr>
      </w:pPr>
      <w:r>
        <w:rPr>
          <w:rFonts w:eastAsia="Times New Roman"/>
          <w:color w:val="000000"/>
          <w:sz w:val="18"/>
          <w:szCs w:val="18"/>
        </w:rPr>
        <w:t>We may not be able to prevent, alone or with our licensors, misappropriation of our intellectual prope</w:t>
      </w:r>
      <w:r>
        <w:rPr>
          <w:rFonts w:eastAsia="Times New Roman"/>
          <w:color w:val="000000"/>
          <w:sz w:val="18"/>
          <w:szCs w:val="18"/>
        </w:rPr>
        <w:t>rty rights, particularly in countries where the laws may not protect those rights as fully as in the United States. Our business could be harmed if in litigation the prevailing party does not offer us a license on commercially reasonable terms. Any litigat</w:t>
      </w:r>
      <w:r>
        <w:rPr>
          <w:rFonts w:eastAsia="Times New Roman"/>
          <w:color w:val="000000"/>
          <w:sz w:val="18"/>
          <w:szCs w:val="18"/>
        </w:rPr>
        <w:t>ion or other proceedings to enforce our intellectual property rights may fail, and even if successful, may result in substantial costs and distract our management and other employees.</w:t>
      </w:r>
    </w:p>
    <w:p w:rsidR="00000000" w:rsidRDefault="00375AF8">
      <w:pPr>
        <w:ind w:firstLine="720"/>
        <w:jc w:val="both"/>
        <w:divId w:val="1601063526"/>
        <w:rPr>
          <w:rFonts w:eastAsia="Times New Roman"/>
        </w:rPr>
      </w:pPr>
      <w:r>
        <w:rPr>
          <w:rFonts w:eastAsia="Times New Roman"/>
          <w:color w:val="000000"/>
          <w:sz w:val="18"/>
          <w:szCs w:val="18"/>
        </w:rPr>
        <w:t xml:space="preserve">Furthermore, because of the substantial amount of discovery required in </w:t>
      </w:r>
      <w:r>
        <w:rPr>
          <w:rFonts w:eastAsia="Times New Roman"/>
          <w:color w:val="000000"/>
          <w:sz w:val="18"/>
          <w:szCs w:val="18"/>
        </w:rPr>
        <w:t>connection with intellectual property litigation, there is a risk that some of our confidential information could be compromised by disclosure during this type of litigation. There could also be public announcements of the results of hearings, motions or o</w:t>
      </w:r>
      <w:r>
        <w:rPr>
          <w:rFonts w:eastAsia="Times New Roman"/>
          <w:color w:val="000000"/>
          <w:sz w:val="18"/>
          <w:szCs w:val="18"/>
        </w:rPr>
        <w:t>ther interim proceedings or developments. If securities analysts or investors perceive these results to be negative, it could have an adverse effect on the price of our common stock.</w:t>
      </w:r>
    </w:p>
    <w:p w:rsidR="00000000" w:rsidRDefault="00375AF8">
      <w:pPr>
        <w:jc w:val="both"/>
        <w:divId w:val="1324043361"/>
        <w:rPr>
          <w:rFonts w:eastAsia="Times New Roman"/>
        </w:rPr>
      </w:pPr>
      <w:r>
        <w:rPr>
          <w:rFonts w:eastAsia="Times New Roman"/>
          <w:b/>
          <w:bCs/>
          <w:i/>
          <w:iCs/>
          <w:color w:val="000000"/>
          <w:sz w:val="18"/>
          <w:szCs w:val="18"/>
        </w:rPr>
        <w:t>Changes in U.S. patent law or the patent law of other countries or jurisdictions could diminish the value of patents in general, thereby impairing our ability to protect our current and any future drug candidates.</w:t>
      </w:r>
    </w:p>
    <w:p w:rsidR="00000000" w:rsidRDefault="00375AF8">
      <w:pPr>
        <w:ind w:firstLine="720"/>
        <w:jc w:val="both"/>
        <w:divId w:val="1013998707"/>
        <w:rPr>
          <w:rFonts w:eastAsia="Times New Roman"/>
        </w:rPr>
      </w:pPr>
      <w:r>
        <w:rPr>
          <w:rFonts w:eastAsia="Times New Roman"/>
          <w:color w:val="000000"/>
          <w:sz w:val="18"/>
          <w:szCs w:val="18"/>
        </w:rPr>
        <w:t>The United States has recently enacted and</w:t>
      </w:r>
      <w:r>
        <w:rPr>
          <w:rFonts w:eastAsia="Times New Roman"/>
          <w:color w:val="000000"/>
          <w:sz w:val="18"/>
          <w:szCs w:val="18"/>
        </w:rPr>
        <w:t xml:space="preserve"> implemented wide-ranging patent reform legislation. The U.S. Supreme Court has ruled on several patent cases in recent years, either narrowing the scope of patent protection available in certain circumstances or weakening the rights of patent owners in ce</w:t>
      </w:r>
      <w:r>
        <w:rPr>
          <w:rFonts w:eastAsia="Times New Roman"/>
          <w:color w:val="000000"/>
          <w:sz w:val="18"/>
          <w:szCs w:val="18"/>
        </w:rPr>
        <w:t>rtain situations. In addition to increasing uncertainty with regard to our ability to obtain patents in the future, this combination of events has created uncertainty with respect to the value of patents, once obtained. Depending on actions by the U.S. Con</w:t>
      </w:r>
      <w:r>
        <w:rPr>
          <w:rFonts w:eastAsia="Times New Roman"/>
          <w:color w:val="000000"/>
          <w:sz w:val="18"/>
          <w:szCs w:val="18"/>
        </w:rPr>
        <w:t>gress, the federal courts, and the USPTO, the laws and regulations governing patents could change in unpredictable ways that would weaken our ability to obtain new patents or to enforce patents that we have licensed or that we might obtain in the future. S</w:t>
      </w:r>
      <w:r>
        <w:rPr>
          <w:rFonts w:eastAsia="Times New Roman"/>
          <w:color w:val="000000"/>
          <w:sz w:val="18"/>
          <w:szCs w:val="18"/>
        </w:rPr>
        <w:t xml:space="preserve">imilarly, changes in patent law and regulations in other countries or jurisdictions or changes in the governmental bodies that enforce them or changes in how the relevant governmental authority enforces patent laws or regulations may weaken our ability to </w:t>
      </w:r>
      <w:r>
        <w:rPr>
          <w:rFonts w:eastAsia="Times New Roman"/>
          <w:color w:val="000000"/>
          <w:sz w:val="18"/>
          <w:szCs w:val="18"/>
        </w:rPr>
        <w:t xml:space="preserve">obtain new patents or to enforce patents that we have licensed or that we may obtain in the future. </w:t>
      </w:r>
    </w:p>
    <w:p w:rsidR="00000000" w:rsidRDefault="00375AF8">
      <w:pPr>
        <w:jc w:val="both"/>
        <w:divId w:val="1087075233"/>
        <w:rPr>
          <w:rFonts w:eastAsia="Times New Roman"/>
        </w:rPr>
      </w:pPr>
      <w:r>
        <w:rPr>
          <w:rFonts w:eastAsia="Times New Roman"/>
          <w:b/>
          <w:bCs/>
          <w:i/>
          <w:iCs/>
          <w:color w:val="000000"/>
          <w:sz w:val="18"/>
          <w:szCs w:val="18"/>
        </w:rPr>
        <w:t>We may not be able to protect our intellectual property rights throughout the world, which could negatively impact our business.</w:t>
      </w:r>
    </w:p>
    <w:p w:rsidR="00000000" w:rsidRDefault="00375AF8">
      <w:pPr>
        <w:ind w:firstLine="720"/>
        <w:jc w:val="both"/>
        <w:divId w:val="412119272"/>
        <w:rPr>
          <w:rFonts w:eastAsia="Times New Roman"/>
        </w:rPr>
      </w:pPr>
      <w:r>
        <w:rPr>
          <w:rFonts w:eastAsia="Times New Roman"/>
          <w:color w:val="000000"/>
          <w:sz w:val="18"/>
          <w:szCs w:val="18"/>
        </w:rPr>
        <w:t>Filing, prosecuting and de</w:t>
      </w:r>
      <w:r>
        <w:rPr>
          <w:rFonts w:eastAsia="Times New Roman"/>
          <w:color w:val="000000"/>
          <w:sz w:val="18"/>
          <w:szCs w:val="18"/>
        </w:rPr>
        <w:t>fending patents covering our current and any future drug candidates throughout the world would be prohibitively expensive. Competitors may use our technologies in jurisdictions where we have not obtained patent protection to develop their own drugs and, fu</w:t>
      </w:r>
      <w:r>
        <w:rPr>
          <w:rFonts w:eastAsia="Times New Roman"/>
          <w:color w:val="000000"/>
          <w:sz w:val="18"/>
          <w:szCs w:val="18"/>
        </w:rPr>
        <w:t xml:space="preserve">rther, may export otherwise infringing drugs to territories where we may obtain patent protection, but where patent enforcement is not as strong as that in the United States. These drugs may compete with our drugs in jurisdictions where we do not have any </w:t>
      </w:r>
      <w:r>
        <w:rPr>
          <w:rFonts w:eastAsia="Times New Roman"/>
          <w:color w:val="000000"/>
          <w:sz w:val="18"/>
          <w:szCs w:val="18"/>
        </w:rPr>
        <w:t>issued or licensed patents and any future patent claims or other intellectual property rights may not be effective or sufficient to prevent them from so competing.</w:t>
      </w:r>
    </w:p>
    <w:p w:rsidR="00000000" w:rsidRDefault="00375AF8">
      <w:pPr>
        <w:jc w:val="both"/>
        <w:divId w:val="271517716"/>
        <w:rPr>
          <w:rFonts w:eastAsia="Times New Roman"/>
        </w:rPr>
      </w:pPr>
      <w:r>
        <w:rPr>
          <w:rFonts w:eastAsia="Times New Roman"/>
          <w:b/>
          <w:bCs/>
          <w:i/>
          <w:iCs/>
          <w:color w:val="000000"/>
          <w:sz w:val="18"/>
          <w:szCs w:val="18"/>
        </w:rPr>
        <w:t>Reliance on third parties requires us to share our trade secrets, which increases the possib</w:t>
      </w:r>
      <w:r>
        <w:rPr>
          <w:rFonts w:eastAsia="Times New Roman"/>
          <w:b/>
          <w:bCs/>
          <w:i/>
          <w:iCs/>
          <w:color w:val="000000"/>
          <w:sz w:val="18"/>
          <w:szCs w:val="18"/>
        </w:rPr>
        <w:t>ility that a competitor will discover them or that our trade secrets will be misappropriated or disclosed.</w:t>
      </w:r>
    </w:p>
    <w:p w:rsidR="00000000" w:rsidRDefault="00375AF8">
      <w:pPr>
        <w:ind w:firstLine="720"/>
        <w:jc w:val="both"/>
        <w:divId w:val="1969895634"/>
        <w:rPr>
          <w:rFonts w:eastAsia="Times New Roman"/>
        </w:rPr>
      </w:pPr>
      <w:r>
        <w:rPr>
          <w:rFonts w:eastAsia="Times New Roman"/>
          <w:color w:val="000000"/>
          <w:sz w:val="18"/>
          <w:szCs w:val="18"/>
        </w:rPr>
        <w:t>If we rely on third parties to manufacture or commercialize our current or any future drug candidates, or if we collaborate with additional third par</w:t>
      </w:r>
      <w:r>
        <w:rPr>
          <w:rFonts w:eastAsia="Times New Roman"/>
          <w:color w:val="000000"/>
          <w:sz w:val="18"/>
          <w:szCs w:val="18"/>
        </w:rPr>
        <w:t xml:space="preserve">ties for the development of our current or any future drug candidates, we must, at times, share trade secrets with them. We may also conduct joint research and development programs that may require us to share trade secrets under the terms of our research </w:t>
      </w:r>
      <w:r>
        <w:rPr>
          <w:rFonts w:eastAsia="Times New Roman"/>
          <w:color w:val="000000"/>
          <w:sz w:val="18"/>
          <w:szCs w:val="18"/>
        </w:rPr>
        <w:t>and development partnerships or similar agreements. We seek to protect our proprietary technology in part by entering into confidentiality agreements and, if applicable, material transfer agreements, consulting agreements or other similar agreements with o</w:t>
      </w:r>
      <w:r>
        <w:rPr>
          <w:rFonts w:eastAsia="Times New Roman"/>
          <w:color w:val="000000"/>
          <w:sz w:val="18"/>
          <w:szCs w:val="18"/>
        </w:rPr>
        <w:t>ur advisors, employees, third-party contractors and consultants prior to beginning research or disclosing proprietary information. These agreements typically limit the rights of the third parties to use or disclose our confidential information, including o</w:t>
      </w:r>
      <w:r>
        <w:rPr>
          <w:rFonts w:eastAsia="Times New Roman"/>
          <w:color w:val="000000"/>
          <w:sz w:val="18"/>
          <w:szCs w:val="18"/>
        </w:rPr>
        <w:t xml:space="preserve">ur trade secrets. Despite the contractual provisions employed when working with third parties, the need to share trade secrets and other confidential information increases the risk that such trade secrets become known by our competitors, are inadvertently </w:t>
      </w:r>
      <w:r>
        <w:rPr>
          <w:rFonts w:eastAsia="Times New Roman"/>
          <w:color w:val="000000"/>
          <w:sz w:val="18"/>
          <w:szCs w:val="18"/>
        </w:rPr>
        <w:t>incorporated into the technology of others, or are disclosed or used in violation of these agreements. Given that our proprietary position is based, in part, on our know-how and trade secrets, a competitor’s discovery of our trade secrets or other unauthor</w:t>
      </w:r>
      <w:r>
        <w:rPr>
          <w:rFonts w:eastAsia="Times New Roman"/>
          <w:color w:val="000000"/>
          <w:sz w:val="18"/>
          <w:szCs w:val="18"/>
        </w:rPr>
        <w:t>ized use or disclosure could have an adverse effect on our business and results of operations.</w:t>
      </w:r>
    </w:p>
    <w:p w:rsidR="00000000" w:rsidRDefault="00375AF8">
      <w:pPr>
        <w:ind w:firstLine="720"/>
        <w:jc w:val="both"/>
        <w:divId w:val="1530022288"/>
        <w:rPr>
          <w:rFonts w:eastAsia="Times New Roman"/>
        </w:rPr>
      </w:pPr>
      <w:r>
        <w:rPr>
          <w:rFonts w:eastAsia="Times New Roman"/>
          <w:color w:val="000000"/>
          <w:sz w:val="18"/>
          <w:szCs w:val="18"/>
        </w:rPr>
        <w:t>In addition, these agreements typically restrict the ability of our advisors, employees, third-party contractors and consultants to publish data potentially rela</w:t>
      </w:r>
      <w:r>
        <w:rPr>
          <w:rFonts w:eastAsia="Times New Roman"/>
          <w:color w:val="000000"/>
          <w:sz w:val="18"/>
          <w:szCs w:val="18"/>
        </w:rPr>
        <w:t xml:space="preserve">ting to our trade secrets. Despite our efforts to protect our trade secrets, our competitors may discover our </w:t>
      </w:r>
    </w:p>
    <w:p w:rsidR="00000000" w:rsidRDefault="00375AF8">
      <w:pPr>
        <w:jc w:val="center"/>
        <w:divId w:val="814877742"/>
        <w:rPr>
          <w:rFonts w:eastAsia="Times New Roman"/>
        </w:rPr>
      </w:pPr>
      <w:r>
        <w:rPr>
          <w:rFonts w:eastAsia="Times New Roman"/>
          <w:color w:val="000000"/>
          <w:sz w:val="18"/>
          <w:szCs w:val="18"/>
        </w:rPr>
        <w:t>48</w:t>
      </w:r>
    </w:p>
    <w:p w:rsidR="00000000" w:rsidRDefault="00375AF8">
      <w:pPr>
        <w:rPr>
          <w:rFonts w:eastAsia="Times New Roman"/>
        </w:rPr>
      </w:pPr>
      <w:r>
        <w:rPr>
          <w:rFonts w:eastAsia="Times New Roman"/>
        </w:rPr>
        <w:pict>
          <v:rect id="_x0000_i1074" style="width:0;height:1.5pt" o:hralign="center" o:hrstd="t" o:hr="t" fillcolor="#a0a0a0" stroked="f"/>
        </w:pict>
      </w:r>
    </w:p>
    <w:p w:rsidR="00000000" w:rsidRDefault="00375AF8">
      <w:pPr>
        <w:divId w:val="157627712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690177410"/>
        <w:rPr>
          <w:rFonts w:eastAsia="Times New Roman"/>
        </w:rPr>
      </w:pPr>
      <w:r>
        <w:rPr>
          <w:rFonts w:eastAsia="Times New Roman"/>
          <w:color w:val="000000"/>
          <w:sz w:val="18"/>
          <w:szCs w:val="18"/>
        </w:rPr>
        <w:t xml:space="preserve">trade secrets, either through </w:t>
      </w:r>
      <w:r>
        <w:rPr>
          <w:rFonts w:eastAsia="Times New Roman"/>
          <w:color w:val="000000"/>
          <w:sz w:val="18"/>
          <w:szCs w:val="18"/>
        </w:rPr>
        <w:t>breach of our agreements with third parties, independent development or publication of information by any third-party collaborators. A competitor’s discovery of our trade secrets would harm our business.</w:t>
      </w:r>
    </w:p>
    <w:p w:rsidR="00000000" w:rsidRDefault="00375AF8">
      <w:pPr>
        <w:jc w:val="both"/>
        <w:divId w:val="65613121"/>
        <w:rPr>
          <w:rFonts w:eastAsia="Times New Roman"/>
        </w:rPr>
      </w:pPr>
      <w:r>
        <w:rPr>
          <w:rFonts w:eastAsia="Times New Roman"/>
          <w:b/>
          <w:bCs/>
          <w:color w:val="000000"/>
          <w:sz w:val="18"/>
          <w:szCs w:val="18"/>
        </w:rPr>
        <w:t>Risks Related to Our Dependence on Third Parties</w:t>
      </w:r>
    </w:p>
    <w:p w:rsidR="00000000" w:rsidRDefault="00375AF8">
      <w:pPr>
        <w:jc w:val="both"/>
        <w:divId w:val="518131125"/>
        <w:rPr>
          <w:rFonts w:eastAsia="Times New Roman"/>
        </w:rPr>
      </w:pPr>
      <w:r>
        <w:rPr>
          <w:rFonts w:eastAsia="Times New Roman"/>
          <w:b/>
          <w:bCs/>
          <w:i/>
          <w:iCs/>
          <w:color w:val="000000"/>
          <w:sz w:val="18"/>
          <w:szCs w:val="18"/>
        </w:rPr>
        <w:t xml:space="preserve">We </w:t>
      </w:r>
      <w:r>
        <w:rPr>
          <w:rFonts w:eastAsia="Times New Roman"/>
          <w:b/>
          <w:bCs/>
          <w:i/>
          <w:iCs/>
          <w:color w:val="000000"/>
          <w:sz w:val="18"/>
          <w:szCs w:val="18"/>
        </w:rPr>
        <w:t>do not have our own manufacturing capabilities and will rely on third parties to produce clinical and commercial supplies of our current and any future drug candidates.</w:t>
      </w:r>
    </w:p>
    <w:p w:rsidR="00000000" w:rsidRDefault="00375AF8">
      <w:pPr>
        <w:ind w:firstLine="720"/>
        <w:jc w:val="both"/>
        <w:divId w:val="1929191021"/>
        <w:rPr>
          <w:rFonts w:eastAsia="Times New Roman"/>
        </w:rPr>
      </w:pPr>
      <w:r>
        <w:rPr>
          <w:rFonts w:eastAsia="Times New Roman"/>
          <w:color w:val="000000"/>
          <w:sz w:val="18"/>
          <w:szCs w:val="18"/>
        </w:rPr>
        <w:t>We do not own or operate, and we do not expect to own or operate, facilities for drug m</w:t>
      </w:r>
      <w:r>
        <w:rPr>
          <w:rFonts w:eastAsia="Times New Roman"/>
          <w:color w:val="000000"/>
          <w:sz w:val="18"/>
          <w:szCs w:val="18"/>
        </w:rPr>
        <w:t xml:space="preserve">anufacturing, storage and distribution, or testing. We have been in the past, and will continue to be, dependent on third parties to manufacture the clinical supplies of our drug candidates. </w:t>
      </w:r>
    </w:p>
    <w:p w:rsidR="00000000" w:rsidRDefault="00375AF8">
      <w:pPr>
        <w:ind w:firstLine="720"/>
        <w:jc w:val="both"/>
        <w:divId w:val="1347752266"/>
        <w:rPr>
          <w:rFonts w:eastAsia="Times New Roman"/>
        </w:rPr>
      </w:pPr>
      <w:r>
        <w:rPr>
          <w:rFonts w:eastAsia="Times New Roman"/>
          <w:color w:val="000000"/>
          <w:sz w:val="18"/>
          <w:szCs w:val="18"/>
        </w:rPr>
        <w:t>Fur</w:t>
      </w:r>
      <w:r>
        <w:rPr>
          <w:rFonts w:eastAsia="Times New Roman"/>
          <w:color w:val="000000"/>
          <w:sz w:val="18"/>
          <w:szCs w:val="18"/>
        </w:rPr>
        <w:t>ther, we also will rely on third-party manufacturers to supply us with sufficient quantities of our drug candidates to be used, if approved, for commercialization. Any significant delay in the supply of a drug candidate, or the raw material components ther</w:t>
      </w:r>
      <w:r>
        <w:rPr>
          <w:rFonts w:eastAsia="Times New Roman"/>
          <w:color w:val="000000"/>
          <w:sz w:val="18"/>
          <w:szCs w:val="18"/>
        </w:rPr>
        <w:t>eof, for an ongoing clinical trial due to the need to replace a third-party manufacturer could considerably delay completion of our clinical trials, product testing and potential regulatory approval of our drug candidates.</w:t>
      </w:r>
    </w:p>
    <w:p w:rsidR="00000000" w:rsidRDefault="00375AF8">
      <w:pPr>
        <w:ind w:firstLine="720"/>
        <w:jc w:val="both"/>
        <w:divId w:val="1551838286"/>
        <w:rPr>
          <w:rFonts w:eastAsia="Times New Roman"/>
        </w:rPr>
      </w:pPr>
      <w:r>
        <w:rPr>
          <w:rFonts w:eastAsia="Times New Roman"/>
          <w:color w:val="000000"/>
          <w:sz w:val="18"/>
          <w:szCs w:val="18"/>
        </w:rPr>
        <w:t>Further, our reliance on third-pa</w:t>
      </w:r>
      <w:r>
        <w:rPr>
          <w:rFonts w:eastAsia="Times New Roman"/>
          <w:color w:val="000000"/>
          <w:sz w:val="18"/>
          <w:szCs w:val="18"/>
        </w:rPr>
        <w:t>rty manufacturers entails risks to which we would not be subject if we manufactured drug candidates ourselves including:</w:t>
      </w:r>
    </w:p>
    <w:p w:rsidR="00000000" w:rsidRDefault="00375AF8">
      <w:pPr>
        <w:ind w:hanging="720"/>
        <w:jc w:val="both"/>
        <w:divId w:val="1406104018"/>
        <w:rPr>
          <w:rFonts w:eastAsia="Times New Roman"/>
        </w:rPr>
      </w:pPr>
      <w:r>
        <w:rPr>
          <w:rFonts w:eastAsia="Times New Roman"/>
          <w:color w:val="000000"/>
          <w:sz w:val="18"/>
          <w:szCs w:val="18"/>
        </w:rPr>
        <w:t>•inability to meet our drug specifications and quality requirements consistently;</w:t>
      </w:r>
    </w:p>
    <w:p w:rsidR="00000000" w:rsidRDefault="00375AF8">
      <w:pPr>
        <w:ind w:hanging="720"/>
        <w:jc w:val="both"/>
        <w:divId w:val="1046100520"/>
        <w:rPr>
          <w:rFonts w:eastAsia="Times New Roman"/>
        </w:rPr>
      </w:pPr>
      <w:r>
        <w:rPr>
          <w:rFonts w:eastAsia="Times New Roman"/>
          <w:color w:val="000000"/>
          <w:sz w:val="18"/>
          <w:szCs w:val="18"/>
        </w:rPr>
        <w:t>•delay or inability to procure or expand sufficient m</w:t>
      </w:r>
      <w:r>
        <w:rPr>
          <w:rFonts w:eastAsia="Times New Roman"/>
          <w:color w:val="000000"/>
          <w:sz w:val="18"/>
          <w:szCs w:val="18"/>
        </w:rPr>
        <w:t>anufacturing capacity;</w:t>
      </w:r>
    </w:p>
    <w:p w:rsidR="00000000" w:rsidRDefault="00375AF8">
      <w:pPr>
        <w:ind w:hanging="720"/>
        <w:jc w:val="both"/>
        <w:divId w:val="739518126"/>
        <w:rPr>
          <w:rFonts w:eastAsia="Times New Roman"/>
        </w:rPr>
      </w:pPr>
      <w:r>
        <w:rPr>
          <w:rFonts w:eastAsia="Times New Roman"/>
          <w:color w:val="000000"/>
          <w:sz w:val="18"/>
          <w:szCs w:val="18"/>
        </w:rPr>
        <w:t>•issues related to scale-up of manufacturing;</w:t>
      </w:r>
    </w:p>
    <w:p w:rsidR="00000000" w:rsidRDefault="00375AF8">
      <w:pPr>
        <w:ind w:hanging="720"/>
        <w:jc w:val="both"/>
        <w:divId w:val="130486603"/>
        <w:rPr>
          <w:rFonts w:eastAsia="Times New Roman"/>
        </w:rPr>
      </w:pPr>
      <w:r>
        <w:rPr>
          <w:rFonts w:eastAsia="Times New Roman"/>
          <w:color w:val="000000"/>
          <w:sz w:val="18"/>
          <w:szCs w:val="18"/>
        </w:rPr>
        <w:t>•costs and validation of new equipment and facilities required for scale-up;</w:t>
      </w:r>
    </w:p>
    <w:p w:rsidR="00000000" w:rsidRDefault="00375AF8">
      <w:pPr>
        <w:ind w:hanging="720"/>
        <w:jc w:val="both"/>
        <w:divId w:val="1998923573"/>
        <w:rPr>
          <w:rFonts w:eastAsia="Times New Roman"/>
        </w:rPr>
      </w:pPr>
      <w:r>
        <w:rPr>
          <w:rFonts w:eastAsia="Times New Roman"/>
          <w:color w:val="000000"/>
          <w:sz w:val="18"/>
          <w:szCs w:val="18"/>
        </w:rPr>
        <w:t>•failure to comply with cGMP and similar foreign standards;</w:t>
      </w:r>
    </w:p>
    <w:p w:rsidR="00000000" w:rsidRDefault="00375AF8">
      <w:pPr>
        <w:ind w:hanging="720"/>
        <w:jc w:val="both"/>
        <w:divId w:val="852113801"/>
        <w:rPr>
          <w:rFonts w:eastAsia="Times New Roman"/>
        </w:rPr>
      </w:pPr>
      <w:r>
        <w:rPr>
          <w:rFonts w:eastAsia="Times New Roman"/>
          <w:color w:val="000000"/>
          <w:sz w:val="18"/>
          <w:szCs w:val="18"/>
        </w:rPr>
        <w:t>•inability to negotiate manufacturing agreements w</w:t>
      </w:r>
      <w:r>
        <w:rPr>
          <w:rFonts w:eastAsia="Times New Roman"/>
          <w:color w:val="000000"/>
          <w:sz w:val="18"/>
          <w:szCs w:val="18"/>
        </w:rPr>
        <w:t>ith third parties under commercially reasonable terms, if at all;</w:t>
      </w:r>
    </w:p>
    <w:p w:rsidR="00000000" w:rsidRDefault="00375AF8">
      <w:pPr>
        <w:ind w:hanging="720"/>
        <w:jc w:val="both"/>
        <w:divId w:val="1147936082"/>
        <w:rPr>
          <w:rFonts w:eastAsia="Times New Roman"/>
        </w:rPr>
      </w:pPr>
      <w:r>
        <w:rPr>
          <w:rFonts w:eastAsia="Times New Roman"/>
          <w:color w:val="000000"/>
          <w:sz w:val="18"/>
          <w:szCs w:val="18"/>
        </w:rPr>
        <w:t>•termination or nonrenewal of manufacturing agreements with third parties in a manner or at a time that is costly or damaging to us;</w:t>
      </w:r>
    </w:p>
    <w:p w:rsidR="00000000" w:rsidRDefault="00375AF8">
      <w:pPr>
        <w:ind w:hanging="720"/>
        <w:jc w:val="both"/>
        <w:divId w:val="1848715686"/>
        <w:rPr>
          <w:rFonts w:eastAsia="Times New Roman"/>
        </w:rPr>
      </w:pPr>
      <w:r>
        <w:rPr>
          <w:rFonts w:eastAsia="Times New Roman"/>
          <w:color w:val="000000"/>
          <w:sz w:val="18"/>
          <w:szCs w:val="18"/>
        </w:rPr>
        <w:t>•reliance on single sources for drug components;</w:t>
      </w:r>
    </w:p>
    <w:p w:rsidR="00000000" w:rsidRDefault="00375AF8">
      <w:pPr>
        <w:ind w:hanging="720"/>
        <w:jc w:val="both"/>
        <w:divId w:val="1364287339"/>
        <w:rPr>
          <w:rFonts w:eastAsia="Times New Roman"/>
        </w:rPr>
      </w:pPr>
      <w:r>
        <w:rPr>
          <w:rFonts w:eastAsia="Times New Roman"/>
          <w:color w:val="000000"/>
          <w:sz w:val="18"/>
          <w:szCs w:val="18"/>
        </w:rPr>
        <w:t>•lack of</w:t>
      </w:r>
      <w:r>
        <w:rPr>
          <w:rFonts w:eastAsia="Times New Roman"/>
          <w:color w:val="000000"/>
          <w:sz w:val="18"/>
          <w:szCs w:val="18"/>
        </w:rPr>
        <w:t xml:space="preserve"> qualified backup suppliers for those components that are currently purchased from a sole or single source supplier;</w:t>
      </w:r>
    </w:p>
    <w:p w:rsidR="00000000" w:rsidRDefault="00375AF8">
      <w:pPr>
        <w:ind w:hanging="720"/>
        <w:jc w:val="both"/>
        <w:divId w:val="883296266"/>
        <w:rPr>
          <w:rFonts w:eastAsia="Times New Roman"/>
        </w:rPr>
      </w:pPr>
      <w:r>
        <w:rPr>
          <w:rFonts w:eastAsia="Times New Roman"/>
          <w:color w:val="000000"/>
          <w:sz w:val="18"/>
          <w:szCs w:val="18"/>
        </w:rPr>
        <w:t>•operations of our third-party manufacturers or suppliers could be disrupted by conditions unrelated to our business or operations, includi</w:t>
      </w:r>
      <w:r>
        <w:rPr>
          <w:rFonts w:eastAsia="Times New Roman"/>
          <w:color w:val="000000"/>
          <w:sz w:val="18"/>
          <w:szCs w:val="18"/>
        </w:rPr>
        <w:t>ng the bankruptcy of the manufacturer or supplier; and</w:t>
      </w:r>
    </w:p>
    <w:p w:rsidR="00000000" w:rsidRDefault="00375AF8">
      <w:pPr>
        <w:ind w:hanging="720"/>
        <w:jc w:val="both"/>
        <w:divId w:val="1796606824"/>
        <w:rPr>
          <w:rFonts w:eastAsia="Times New Roman"/>
        </w:rPr>
      </w:pPr>
      <w:r>
        <w:rPr>
          <w:rFonts w:eastAsia="Times New Roman"/>
          <w:color w:val="000000"/>
          <w:sz w:val="18"/>
          <w:szCs w:val="18"/>
        </w:rPr>
        <w:t>•carrier disruptions or increased costs that are beyond our control.</w:t>
      </w:r>
    </w:p>
    <w:p w:rsidR="00000000" w:rsidRDefault="00375AF8">
      <w:pPr>
        <w:ind w:firstLine="720"/>
        <w:jc w:val="both"/>
        <w:divId w:val="628630201"/>
        <w:rPr>
          <w:rFonts w:eastAsia="Times New Roman"/>
        </w:rPr>
      </w:pPr>
      <w:r>
        <w:rPr>
          <w:rFonts w:eastAsia="Times New Roman"/>
          <w:color w:val="000000"/>
          <w:sz w:val="18"/>
          <w:szCs w:val="18"/>
        </w:rPr>
        <w:t>Any of these events could lead to clinical trial delays, failure to obtain regulatory approval or impact our ability to successfully</w:t>
      </w:r>
      <w:r>
        <w:rPr>
          <w:rFonts w:eastAsia="Times New Roman"/>
          <w:color w:val="000000"/>
          <w:sz w:val="18"/>
          <w:szCs w:val="18"/>
        </w:rPr>
        <w:t xml:space="preserve"> commercialize our current or any future drug candidates once approved. Some of these events could be the basis for FDA action, including injunction, request for recall, seizure, or total or partial suspension of production.</w:t>
      </w:r>
    </w:p>
    <w:p w:rsidR="00000000" w:rsidRDefault="00375AF8">
      <w:pPr>
        <w:jc w:val="both"/>
        <w:divId w:val="428697379"/>
        <w:rPr>
          <w:rFonts w:eastAsia="Times New Roman"/>
        </w:rPr>
      </w:pPr>
      <w:r>
        <w:rPr>
          <w:rFonts w:eastAsia="Times New Roman"/>
          <w:b/>
          <w:bCs/>
          <w:i/>
          <w:iCs/>
          <w:color w:val="000000"/>
          <w:sz w:val="18"/>
          <w:szCs w:val="18"/>
        </w:rPr>
        <w:t>We intend to rely on third part</w:t>
      </w:r>
      <w:r>
        <w:rPr>
          <w:rFonts w:eastAsia="Times New Roman"/>
          <w:b/>
          <w:bCs/>
          <w:i/>
          <w:iCs/>
          <w:color w:val="000000"/>
          <w:sz w:val="18"/>
          <w:szCs w:val="18"/>
        </w:rPr>
        <w:t>ies to conduct, supervise and monitor our preclinical studies and clinical trials, and if those third parties perform in an unsatisfactory manner, it may harm our business.</w:t>
      </w:r>
    </w:p>
    <w:p w:rsidR="00000000" w:rsidRDefault="00375AF8">
      <w:pPr>
        <w:ind w:firstLine="720"/>
        <w:jc w:val="both"/>
        <w:divId w:val="1076705288"/>
        <w:rPr>
          <w:rFonts w:eastAsia="Times New Roman"/>
        </w:rPr>
      </w:pPr>
      <w:r>
        <w:rPr>
          <w:rFonts w:eastAsia="Times New Roman"/>
          <w:color w:val="000000"/>
          <w:sz w:val="18"/>
          <w:szCs w:val="18"/>
        </w:rPr>
        <w:t>We do not currently have the ability to independently conduct any preclinical studi</w:t>
      </w:r>
      <w:r>
        <w:rPr>
          <w:rFonts w:eastAsia="Times New Roman"/>
          <w:color w:val="000000"/>
          <w:sz w:val="18"/>
          <w:szCs w:val="18"/>
        </w:rPr>
        <w:t xml:space="preserve">es or clinical trials. We intend to rely on CROs and clinical trial sites to ensure the proper and timely conduct of our preclinical studies and clinical trials, and we expect to have limited influence over their actual performance. We intend to rely upon </w:t>
      </w:r>
      <w:r>
        <w:rPr>
          <w:rFonts w:eastAsia="Times New Roman"/>
          <w:color w:val="000000"/>
          <w:sz w:val="18"/>
          <w:szCs w:val="18"/>
        </w:rPr>
        <w:t>CROs to monitor and manage data for our clinical programs, as well as the execution of future preclinical studies. We expect to control only certain aspects of our CROs’ activities. Nevertheless, we will be responsible for ensuring that each of our preclin</w:t>
      </w:r>
      <w:r>
        <w:rPr>
          <w:rFonts w:eastAsia="Times New Roman"/>
          <w:color w:val="000000"/>
          <w:sz w:val="18"/>
          <w:szCs w:val="18"/>
        </w:rPr>
        <w:t>ical studies or clinical trials are conducted in accordance with the applicable protocol, legal, regulatory and scientific standards and our reliance on the CROs does not relieve us of our regulatory responsibilities.</w:t>
      </w:r>
    </w:p>
    <w:p w:rsidR="00000000" w:rsidRDefault="00375AF8">
      <w:pPr>
        <w:ind w:firstLine="720"/>
        <w:jc w:val="both"/>
        <w:divId w:val="494688827"/>
        <w:rPr>
          <w:rFonts w:eastAsia="Times New Roman"/>
        </w:rPr>
      </w:pPr>
      <w:r>
        <w:rPr>
          <w:rFonts w:eastAsia="Times New Roman"/>
          <w:color w:val="000000"/>
          <w:sz w:val="18"/>
          <w:szCs w:val="18"/>
        </w:rPr>
        <w:t>We and our CROs will be required to co</w:t>
      </w:r>
      <w:r>
        <w:rPr>
          <w:rFonts w:eastAsia="Times New Roman"/>
          <w:color w:val="000000"/>
          <w:sz w:val="18"/>
          <w:szCs w:val="18"/>
        </w:rPr>
        <w:t>mply with good laboratory practices (“GLPs”) and GCPs, which are regulations and guidelines enforced by the FDA and are also required by the Competent Authorities of the Member States of the European Economic Area and comparable foreign regulatory authorit</w:t>
      </w:r>
      <w:r>
        <w:rPr>
          <w:rFonts w:eastAsia="Times New Roman"/>
          <w:color w:val="000000"/>
          <w:sz w:val="18"/>
          <w:szCs w:val="18"/>
        </w:rPr>
        <w:t>ies in the form of International Council for Harmonization guidelines for any of our drug candidates that are in preclinical and clinical development. The regulatory authorities enforce GCPs through periodic inspections of trial sponsors, principal investi</w:t>
      </w:r>
      <w:r>
        <w:rPr>
          <w:rFonts w:eastAsia="Times New Roman"/>
          <w:color w:val="000000"/>
          <w:sz w:val="18"/>
          <w:szCs w:val="18"/>
        </w:rPr>
        <w:t>gators and clinical trial sites. Although we will rely on CROs to conduct GCP-compliant clinical trials, we remain responsible for ensuring that each of our GLP preclinical studies and clinical trials is conducted in accordance with its investigational pla</w:t>
      </w:r>
      <w:r>
        <w:rPr>
          <w:rFonts w:eastAsia="Times New Roman"/>
          <w:color w:val="000000"/>
          <w:sz w:val="18"/>
          <w:szCs w:val="18"/>
        </w:rPr>
        <w:t>n and protocol and applicable laws and regulations, and our reliance on the CROs does not relieve us of our regulatory responsibilities. If we or our CROs fail to comply with GCPs, the clinical data generated in our clinical trials may be deemed unreliable</w:t>
      </w:r>
      <w:r>
        <w:rPr>
          <w:rFonts w:eastAsia="Times New Roman"/>
          <w:color w:val="000000"/>
          <w:sz w:val="18"/>
          <w:szCs w:val="18"/>
        </w:rPr>
        <w:t xml:space="preserve"> and the FDA or comparable foreign regulatory authorities may require us to perform additional clinical trials before approving our marketing applications. Accordingly, if our CROs fail to comply with these regulations or fail to recruit a sufficient numbe</w:t>
      </w:r>
      <w:r>
        <w:rPr>
          <w:rFonts w:eastAsia="Times New Roman"/>
          <w:color w:val="000000"/>
          <w:sz w:val="18"/>
          <w:szCs w:val="18"/>
        </w:rPr>
        <w:t>r of subjects, we may be required to repeat clinical trials, which would delay the regulatory approval process.</w:t>
      </w:r>
    </w:p>
    <w:p w:rsidR="00000000" w:rsidRDefault="00375AF8">
      <w:pPr>
        <w:ind w:firstLine="720"/>
        <w:jc w:val="both"/>
        <w:divId w:val="648168202"/>
        <w:rPr>
          <w:rFonts w:eastAsia="Times New Roman"/>
        </w:rPr>
      </w:pPr>
      <w:r>
        <w:rPr>
          <w:rFonts w:eastAsia="Times New Roman"/>
          <w:color w:val="000000"/>
          <w:sz w:val="18"/>
          <w:szCs w:val="18"/>
        </w:rPr>
        <w:t>While we will have agreements governing their activities, our CROs will not be our employees, and we will not control whether or not they devote sufficient time and resources to our future clinical and preclinical programs. These CROs may also have relatio</w:t>
      </w:r>
      <w:r>
        <w:rPr>
          <w:rFonts w:eastAsia="Times New Roman"/>
          <w:color w:val="000000"/>
          <w:sz w:val="18"/>
          <w:szCs w:val="18"/>
        </w:rPr>
        <w:t xml:space="preserve">nships with other commercial entities, including our competitors, for whom they may also be conducting clinical trials, or other </w:t>
      </w:r>
    </w:p>
    <w:p w:rsidR="00000000" w:rsidRDefault="00375AF8">
      <w:pPr>
        <w:jc w:val="center"/>
        <w:divId w:val="52242784"/>
        <w:rPr>
          <w:rFonts w:eastAsia="Times New Roman"/>
        </w:rPr>
      </w:pPr>
      <w:r>
        <w:rPr>
          <w:rFonts w:eastAsia="Times New Roman"/>
          <w:color w:val="000000"/>
          <w:sz w:val="18"/>
          <w:szCs w:val="18"/>
        </w:rPr>
        <w:t>49</w:t>
      </w:r>
    </w:p>
    <w:p w:rsidR="00000000" w:rsidRDefault="00375AF8">
      <w:pPr>
        <w:rPr>
          <w:rFonts w:eastAsia="Times New Roman"/>
        </w:rPr>
      </w:pPr>
      <w:r>
        <w:rPr>
          <w:rFonts w:eastAsia="Times New Roman"/>
        </w:rPr>
        <w:pict>
          <v:rect id="_x0000_i1075" style="width:0;height:1.5pt" o:hralign="center" o:hrstd="t" o:hr="t" fillcolor="#a0a0a0" stroked="f"/>
        </w:pict>
      </w:r>
    </w:p>
    <w:p w:rsidR="00000000" w:rsidRDefault="00375AF8">
      <w:pPr>
        <w:divId w:val="28928623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218052336"/>
        <w:rPr>
          <w:rFonts w:eastAsia="Times New Roman"/>
        </w:rPr>
      </w:pPr>
      <w:r>
        <w:rPr>
          <w:rFonts w:eastAsia="Times New Roman"/>
          <w:color w:val="000000"/>
          <w:sz w:val="18"/>
          <w:szCs w:val="18"/>
        </w:rPr>
        <w:t>drug devel</w:t>
      </w:r>
      <w:r>
        <w:rPr>
          <w:rFonts w:eastAsia="Times New Roman"/>
          <w:color w:val="000000"/>
          <w:sz w:val="18"/>
          <w:szCs w:val="18"/>
        </w:rPr>
        <w:t xml:space="preserve">opment activities which could harm our business. We face the risk of potential unauthorized disclosure or misappropriation of our intellectual property by CROs, which may reduce our trade secret protection and allow our potential competitors to access and </w:t>
      </w:r>
      <w:r>
        <w:rPr>
          <w:rFonts w:eastAsia="Times New Roman"/>
          <w:color w:val="000000"/>
          <w:sz w:val="18"/>
          <w:szCs w:val="18"/>
        </w:rPr>
        <w:t>exploit our proprietary technology. If our CROs do not successfully carry out their contractual duties or obligations, fail to meet expected deadlines, or if the quality or accuracy of the clinical data they obtain is compromised due to the failure to adhe</w:t>
      </w:r>
      <w:r>
        <w:rPr>
          <w:rFonts w:eastAsia="Times New Roman"/>
          <w:color w:val="000000"/>
          <w:sz w:val="18"/>
          <w:szCs w:val="18"/>
        </w:rPr>
        <w:t>re to our clinical protocols or regulatory requirements or for any other reasons, our clinical trials may be extended, delayed or terminated, and we may not be able to obtain regulatory approval for, or successfully commercialize any drug candidate that we</w:t>
      </w:r>
      <w:r>
        <w:rPr>
          <w:rFonts w:eastAsia="Times New Roman"/>
          <w:color w:val="000000"/>
          <w:sz w:val="18"/>
          <w:szCs w:val="18"/>
        </w:rPr>
        <w:t xml:space="preserve"> develop. As a result, our financial results and the commercial prospects for any drug candidate that we develop would be harmed, our costs could increase, and our ability to generate revenue could be delayed.</w:t>
      </w:r>
    </w:p>
    <w:p w:rsidR="00000000" w:rsidRDefault="00375AF8">
      <w:pPr>
        <w:ind w:firstLine="720"/>
        <w:jc w:val="both"/>
        <w:divId w:val="222451630"/>
        <w:rPr>
          <w:rFonts w:eastAsia="Times New Roman"/>
        </w:rPr>
      </w:pPr>
      <w:r>
        <w:rPr>
          <w:rFonts w:eastAsia="Times New Roman"/>
          <w:color w:val="000000"/>
          <w:sz w:val="18"/>
          <w:szCs w:val="18"/>
        </w:rPr>
        <w:t>In addition, principal investigators for our c</w:t>
      </w:r>
      <w:r>
        <w:rPr>
          <w:rFonts w:eastAsia="Times New Roman"/>
          <w:color w:val="000000"/>
          <w:sz w:val="18"/>
          <w:szCs w:val="18"/>
        </w:rPr>
        <w:t xml:space="preserve">linical trials may serve as scientific advisors or consultants to us from time to time and receive compensation in connection with such services. Under certain circumstances, we may be required to report some of these relationships to the FDA. The FDA may </w:t>
      </w:r>
      <w:r>
        <w:rPr>
          <w:rFonts w:eastAsia="Times New Roman"/>
          <w:color w:val="000000"/>
          <w:sz w:val="18"/>
          <w:szCs w:val="18"/>
        </w:rPr>
        <w:t>conclude that a financial relationship between us and a principal investigator has created a conflict of interest or otherwise affected interpretation of the trial. The FDA may therefore question the integrity of the data generated at the applicable clinic</w:t>
      </w:r>
      <w:r>
        <w:rPr>
          <w:rFonts w:eastAsia="Times New Roman"/>
          <w:color w:val="000000"/>
          <w:sz w:val="18"/>
          <w:szCs w:val="18"/>
        </w:rPr>
        <w:t>al trial site and the utility of the clinical trial itself may be jeopardized. This could result in a delay in approval, or rejection, of our marketing applications by the FDA and may ultimately lead to the denial of marketing approval of our current and f</w:t>
      </w:r>
      <w:r>
        <w:rPr>
          <w:rFonts w:eastAsia="Times New Roman"/>
          <w:color w:val="000000"/>
          <w:sz w:val="18"/>
          <w:szCs w:val="18"/>
        </w:rPr>
        <w:t>uture drug candidates.</w:t>
      </w:r>
    </w:p>
    <w:p w:rsidR="00000000" w:rsidRDefault="00375AF8">
      <w:pPr>
        <w:ind w:firstLine="720"/>
        <w:jc w:val="both"/>
        <w:divId w:val="1523738370"/>
        <w:rPr>
          <w:rFonts w:eastAsia="Times New Roman"/>
        </w:rPr>
      </w:pPr>
      <w:r>
        <w:rPr>
          <w:rFonts w:eastAsia="Times New Roman"/>
          <w:color w:val="000000"/>
          <w:sz w:val="18"/>
          <w:szCs w:val="18"/>
        </w:rPr>
        <w:t>If our relationship with these CROs terminates, we may not be able to enter into arrangements with alternative CROs or do so on commercially reasonable terms. Switching or adding additional CROs involves substantial cost and requires</w:t>
      </w:r>
      <w:r>
        <w:rPr>
          <w:rFonts w:eastAsia="Times New Roman"/>
          <w:color w:val="000000"/>
          <w:sz w:val="18"/>
          <w:szCs w:val="18"/>
        </w:rPr>
        <w:t xml:space="preserve"> management time and focus. In addition, there is a natural transition period when a new CRO commences work. As a result, delays occur, which can negatively impact our ability to meet our desired clinical development timelines. Though we intend to carefull</w:t>
      </w:r>
      <w:r>
        <w:rPr>
          <w:rFonts w:eastAsia="Times New Roman"/>
          <w:color w:val="000000"/>
          <w:sz w:val="18"/>
          <w:szCs w:val="18"/>
        </w:rPr>
        <w:t>y manage our relationships with our CROs, there can be no assurance that we will not encounter challenges or delays in the future or that these delays or challenges will not have a negative impact on our business, financial condition and prospects.</w:t>
      </w:r>
    </w:p>
    <w:p w:rsidR="00000000" w:rsidRDefault="00375AF8">
      <w:pPr>
        <w:jc w:val="both"/>
        <w:divId w:val="1669601426"/>
        <w:rPr>
          <w:rFonts w:eastAsia="Times New Roman"/>
        </w:rPr>
      </w:pPr>
      <w:r>
        <w:rPr>
          <w:rFonts w:eastAsia="Times New Roman"/>
          <w:b/>
          <w:bCs/>
          <w:color w:val="000000"/>
          <w:sz w:val="18"/>
          <w:szCs w:val="18"/>
        </w:rPr>
        <w:t>Risks R</w:t>
      </w:r>
      <w:r>
        <w:rPr>
          <w:rFonts w:eastAsia="Times New Roman"/>
          <w:b/>
          <w:bCs/>
          <w:color w:val="000000"/>
          <w:sz w:val="18"/>
          <w:szCs w:val="18"/>
        </w:rPr>
        <w:t>elated to Our Business Operations, Employee Matters and Managing Growth</w:t>
      </w:r>
    </w:p>
    <w:p w:rsidR="00000000" w:rsidRDefault="00375AF8">
      <w:pPr>
        <w:jc w:val="both"/>
        <w:divId w:val="975569723"/>
        <w:rPr>
          <w:rFonts w:eastAsia="Times New Roman"/>
        </w:rPr>
      </w:pPr>
      <w:r>
        <w:rPr>
          <w:rFonts w:eastAsia="Times New Roman"/>
          <w:b/>
          <w:bCs/>
          <w:i/>
          <w:iCs/>
          <w:color w:val="000000"/>
          <w:sz w:val="18"/>
          <w:szCs w:val="18"/>
        </w:rPr>
        <w:t>COVID-19 could adversely impact our business, including our preclinical studies, clinical trials and access to capital.</w:t>
      </w:r>
    </w:p>
    <w:p w:rsidR="00000000" w:rsidRDefault="00375AF8">
      <w:pPr>
        <w:ind w:firstLine="720"/>
        <w:jc w:val="both"/>
        <w:divId w:val="131799024"/>
        <w:rPr>
          <w:rFonts w:eastAsia="Times New Roman"/>
        </w:rPr>
      </w:pPr>
      <w:r>
        <w:rPr>
          <w:rFonts w:eastAsia="Times New Roman"/>
          <w:color w:val="000000"/>
          <w:sz w:val="18"/>
          <w:szCs w:val="18"/>
        </w:rPr>
        <w:t>The ongoing COVID-19 pandemic has resulted in travel and other restrictions in order to reduce the spread of the disease. In response to initial state and local orders across the country directing individuals to shelter at their places of residence, direct</w:t>
      </w:r>
      <w:r>
        <w:rPr>
          <w:rFonts w:eastAsia="Times New Roman"/>
          <w:color w:val="000000"/>
          <w:sz w:val="18"/>
          <w:szCs w:val="18"/>
        </w:rPr>
        <w:t>ing businesses and governmental agencies to cease non-essential operations at physical locations, prohibiting certain non-essential gatherings, and ordering cessation of non-essential travel, in March 2020 we implemented work-from-home policies for all emp</w:t>
      </w:r>
      <w:r>
        <w:rPr>
          <w:rFonts w:eastAsia="Times New Roman"/>
          <w:color w:val="000000"/>
          <w:sz w:val="18"/>
          <w:szCs w:val="18"/>
        </w:rPr>
        <w:t>loyees. In June 2022, we adopted a hybrid work model that incorporates a mixture of in-office and remote work in an employee's schedule. Our current plan is to continue with this hybrid work model and adapt the model as appropriate as the pandemic persists</w:t>
      </w:r>
      <w:r>
        <w:rPr>
          <w:rFonts w:eastAsia="Times New Roman"/>
          <w:color w:val="000000"/>
          <w:sz w:val="18"/>
          <w:szCs w:val="18"/>
        </w:rPr>
        <w:t xml:space="preserve"> and federal, state and local guidelines, rules and regulations regarding the conduct of in-person business operations continue to change and evolve. The effects of our work policies may negatively impact productivity, introduce cybersecurity risks, disrup</w:t>
      </w:r>
      <w:r>
        <w:rPr>
          <w:rFonts w:eastAsia="Times New Roman"/>
          <w:color w:val="000000"/>
          <w:sz w:val="18"/>
          <w:szCs w:val="18"/>
        </w:rPr>
        <w:t xml:space="preserve">t our business and delay our clinical programs and timelines, the magnitude of which will depend, in part, on the length and severity of any applicable restrictions and other limitations on our ability to conduct our business in the ordinary course. These </w:t>
      </w:r>
      <w:r>
        <w:rPr>
          <w:rFonts w:eastAsia="Times New Roman"/>
          <w:color w:val="000000"/>
          <w:sz w:val="18"/>
          <w:szCs w:val="18"/>
        </w:rPr>
        <w:t>and similar, and perhaps more severe, disruptions in our operations could negatively impact our business, operating results and financial condition.</w:t>
      </w:r>
    </w:p>
    <w:p w:rsidR="00000000" w:rsidRDefault="00375AF8">
      <w:pPr>
        <w:ind w:firstLine="720"/>
        <w:jc w:val="both"/>
        <w:divId w:val="1606424443"/>
        <w:rPr>
          <w:rFonts w:eastAsia="Times New Roman"/>
        </w:rPr>
      </w:pPr>
      <w:r>
        <w:rPr>
          <w:rFonts w:eastAsia="Times New Roman"/>
          <w:color w:val="000000"/>
          <w:sz w:val="18"/>
          <w:szCs w:val="18"/>
        </w:rPr>
        <w:t>Any new imposition of quarantines, shelter-in-place and similar government orders related to COVID-19 may a</w:t>
      </w:r>
      <w:r>
        <w:rPr>
          <w:rFonts w:eastAsia="Times New Roman"/>
          <w:color w:val="000000"/>
          <w:sz w:val="18"/>
          <w:szCs w:val="18"/>
        </w:rPr>
        <w:t>dversely impact our business operations and the business operations of our CROs conducting our preclinical studies and clinical trials and our third-party manufacturing facilities in the United States and other countries. In particular, some of our third-p</w:t>
      </w:r>
      <w:r>
        <w:rPr>
          <w:rFonts w:eastAsia="Times New Roman"/>
          <w:color w:val="000000"/>
          <w:sz w:val="18"/>
          <w:szCs w:val="18"/>
        </w:rPr>
        <w:t>arty manufacturers which we use for the supply of materials for drug candidates or other materials necessary to manufacture product to conduct preclinical studies and clinical trials are located in countries affected by COVID-19, and should they experience</w:t>
      </w:r>
      <w:r>
        <w:rPr>
          <w:rFonts w:eastAsia="Times New Roman"/>
          <w:color w:val="000000"/>
          <w:sz w:val="18"/>
          <w:szCs w:val="18"/>
        </w:rPr>
        <w:t xml:space="preserve"> disruptions, such as temporary closures or suspension of services, we would likely experience delays in advancing these tests and trials. Currently, we expect no material impact on the clinical supply of any of our drug candidates.</w:t>
      </w:r>
    </w:p>
    <w:p w:rsidR="00000000" w:rsidRDefault="00375AF8">
      <w:pPr>
        <w:ind w:firstLine="720"/>
        <w:jc w:val="both"/>
        <w:divId w:val="1635479088"/>
        <w:rPr>
          <w:rFonts w:eastAsia="Times New Roman"/>
        </w:rPr>
      </w:pPr>
      <w:r>
        <w:rPr>
          <w:rFonts w:eastAsia="Times New Roman"/>
          <w:color w:val="000000"/>
          <w:sz w:val="18"/>
          <w:szCs w:val="18"/>
        </w:rPr>
        <w:t>In addition, our previo</w:t>
      </w:r>
      <w:r>
        <w:rPr>
          <w:rFonts w:eastAsia="Times New Roman"/>
          <w:color w:val="000000"/>
          <w:sz w:val="18"/>
          <w:szCs w:val="18"/>
        </w:rPr>
        <w:t>us clinical trials were, and our future clinical trials may be, affected by the COVID-19 pandemic. Clinical site initiation and patient enrollment may be delayed due to prioritization of hospital resources toward the COVID-19 pandemic. Some patients may no</w:t>
      </w:r>
      <w:r>
        <w:rPr>
          <w:rFonts w:eastAsia="Times New Roman"/>
          <w:color w:val="000000"/>
          <w:sz w:val="18"/>
          <w:szCs w:val="18"/>
        </w:rPr>
        <w:t>t be willing or able to comply with clinical trial protocols if quarantines impede patient movement or interrupt healthcare services. Similarly, our ability to recruit and retain patients and principal investigators and site staff who, as healthcare provid</w:t>
      </w:r>
      <w:r>
        <w:rPr>
          <w:rFonts w:eastAsia="Times New Roman"/>
          <w:color w:val="000000"/>
          <w:sz w:val="18"/>
          <w:szCs w:val="18"/>
        </w:rPr>
        <w:t>ers, may have heightened exposure to COVID-19 and adversely impact our clinical trial operations. As a result of the COVID-19 pandemic, we have faced and may continue to face delays in meeting our anticipated timelines for our previous and planned clinical</w:t>
      </w:r>
      <w:r>
        <w:rPr>
          <w:rFonts w:eastAsia="Times New Roman"/>
          <w:color w:val="000000"/>
          <w:sz w:val="18"/>
          <w:szCs w:val="18"/>
        </w:rPr>
        <w:t xml:space="preserve"> trials.</w:t>
      </w:r>
    </w:p>
    <w:p w:rsidR="00000000" w:rsidRDefault="00375AF8">
      <w:pPr>
        <w:ind w:firstLine="720"/>
        <w:jc w:val="both"/>
        <w:divId w:val="1255019256"/>
        <w:rPr>
          <w:rFonts w:eastAsia="Times New Roman"/>
        </w:rPr>
      </w:pPr>
      <w:r>
        <w:rPr>
          <w:rFonts w:eastAsia="Times New Roman"/>
          <w:color w:val="000000"/>
          <w:sz w:val="18"/>
          <w:szCs w:val="18"/>
        </w:rPr>
        <w:t>The spread of COVID-19, which has caused a broad impact globally, may materially affect us economically. While the potential economic impact brought by, and the duration of, COVID-19 may be difficult to assess or predict, a sustained, widespread p</w:t>
      </w:r>
      <w:r>
        <w:rPr>
          <w:rFonts w:eastAsia="Times New Roman"/>
          <w:color w:val="000000"/>
          <w:sz w:val="18"/>
          <w:szCs w:val="18"/>
        </w:rPr>
        <w:t>andemic could result in significant disruption of global financial markets, reducing our ability to access capital, which could in the future negatively affect our liquidity. In addition, a recession or market correction resulting from the spread of COVID-</w:t>
      </w:r>
      <w:r>
        <w:rPr>
          <w:rFonts w:eastAsia="Times New Roman"/>
          <w:color w:val="000000"/>
          <w:sz w:val="18"/>
          <w:szCs w:val="18"/>
        </w:rPr>
        <w:t>19 could materially affect our business and the value of our common stock.</w:t>
      </w:r>
    </w:p>
    <w:p w:rsidR="00000000" w:rsidRDefault="00375AF8">
      <w:pPr>
        <w:ind w:firstLine="720"/>
        <w:jc w:val="both"/>
        <w:divId w:val="1241330579"/>
        <w:rPr>
          <w:rFonts w:eastAsia="Times New Roman"/>
        </w:rPr>
      </w:pPr>
      <w:r>
        <w:rPr>
          <w:rFonts w:eastAsia="Times New Roman"/>
          <w:color w:val="000000"/>
          <w:sz w:val="18"/>
          <w:szCs w:val="18"/>
        </w:rPr>
        <w:t>The COVID-19 pandemic continues to evolve. The extent to which the COVID-19 pandemic impacts our business, our clinical development and regulatory efforts will depend on future deve</w:t>
      </w:r>
      <w:r>
        <w:rPr>
          <w:rFonts w:eastAsia="Times New Roman"/>
          <w:color w:val="000000"/>
          <w:sz w:val="18"/>
          <w:szCs w:val="18"/>
        </w:rPr>
        <w:t>lopments that are highly uncertain and cannot be predicted with confidence, such as the ultimate duration of the outbreak, the extent of sustained or new travel restrictions, social distancing requirements and business closures in the United States, Europe</w:t>
      </w:r>
      <w:r>
        <w:rPr>
          <w:rFonts w:eastAsia="Times New Roman"/>
          <w:color w:val="000000"/>
          <w:sz w:val="18"/>
          <w:szCs w:val="18"/>
        </w:rPr>
        <w:t xml:space="preserve"> and other countries, and the effectiveness of actions taken in the United States, Europe and other countries to contain and treat the disease, including vaccination efforts. Accordingly, we do not yet know the full extent of potential delays or impacts on</w:t>
      </w:r>
      <w:r>
        <w:rPr>
          <w:rFonts w:eastAsia="Times New Roman"/>
          <w:color w:val="000000"/>
          <w:sz w:val="18"/>
          <w:szCs w:val="18"/>
        </w:rPr>
        <w:t xml:space="preserve"> our business, our clinical and regulatory activities, healthcare systems or the global economy as a whole. However, these impacts could adversely affect our business, financial condition, results of operations and growth prospects.</w:t>
      </w:r>
    </w:p>
    <w:p w:rsidR="00000000" w:rsidRDefault="00375AF8">
      <w:pPr>
        <w:jc w:val="center"/>
        <w:divId w:val="810943088"/>
        <w:rPr>
          <w:rFonts w:eastAsia="Times New Roman"/>
        </w:rPr>
      </w:pPr>
      <w:r>
        <w:rPr>
          <w:rFonts w:eastAsia="Times New Roman"/>
          <w:color w:val="000000"/>
          <w:sz w:val="18"/>
          <w:szCs w:val="18"/>
        </w:rPr>
        <w:t>50</w:t>
      </w:r>
    </w:p>
    <w:p w:rsidR="00000000" w:rsidRDefault="00375AF8">
      <w:pPr>
        <w:rPr>
          <w:rFonts w:eastAsia="Times New Roman"/>
        </w:rPr>
      </w:pPr>
      <w:r>
        <w:rPr>
          <w:rFonts w:eastAsia="Times New Roman"/>
        </w:rPr>
        <w:pict>
          <v:rect id="_x0000_i1076" style="width:0;height:1.5pt" o:hralign="center" o:hrstd="t" o:hr="t" fillcolor="#a0a0a0" stroked="f"/>
        </w:pict>
      </w:r>
    </w:p>
    <w:p w:rsidR="00000000" w:rsidRDefault="00375AF8">
      <w:pPr>
        <w:divId w:val="44685407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firstLine="720"/>
        <w:jc w:val="both"/>
        <w:divId w:val="2024895388"/>
        <w:rPr>
          <w:rFonts w:eastAsia="Times New Roman"/>
        </w:rPr>
      </w:pPr>
      <w:r>
        <w:rPr>
          <w:rFonts w:eastAsia="Times New Roman"/>
          <w:color w:val="000000"/>
          <w:sz w:val="18"/>
          <w:szCs w:val="18"/>
        </w:rPr>
        <w:t>In addition, to the extent the ongoing COVID-19 pandemic adversely affects our business and results of operations, it may also have the effect of heightening many o</w:t>
      </w:r>
      <w:r>
        <w:rPr>
          <w:rFonts w:eastAsia="Times New Roman"/>
          <w:color w:val="000000"/>
          <w:sz w:val="18"/>
          <w:szCs w:val="18"/>
        </w:rPr>
        <w:t>f the other risks and uncertainties described in this ‘‘Risk Factors’’ section.</w:t>
      </w:r>
    </w:p>
    <w:p w:rsidR="00000000" w:rsidRDefault="00375AF8">
      <w:pPr>
        <w:jc w:val="both"/>
        <w:divId w:val="1538541981"/>
        <w:rPr>
          <w:rFonts w:eastAsia="Times New Roman"/>
        </w:rPr>
      </w:pPr>
      <w:r>
        <w:rPr>
          <w:rFonts w:eastAsia="Times New Roman"/>
          <w:b/>
          <w:bCs/>
          <w:i/>
          <w:iCs/>
          <w:color w:val="000000"/>
          <w:sz w:val="18"/>
          <w:szCs w:val="18"/>
        </w:rPr>
        <w:t>We are highly dependent on the services of our senior management team, including our Chairman and Chief Executive Officer, Dr. Jeremy Levin, and if we are not able to retain th</w:t>
      </w:r>
      <w:r>
        <w:rPr>
          <w:rFonts w:eastAsia="Times New Roman"/>
          <w:b/>
          <w:bCs/>
          <w:i/>
          <w:iCs/>
          <w:color w:val="000000"/>
          <w:sz w:val="18"/>
          <w:szCs w:val="18"/>
        </w:rPr>
        <w:t>ese members of our management team or recruit and retain additional management, clinical and scientific personnel, our business will be harmed.</w:t>
      </w:r>
    </w:p>
    <w:p w:rsidR="00000000" w:rsidRDefault="00375AF8">
      <w:pPr>
        <w:ind w:firstLine="720"/>
        <w:jc w:val="both"/>
        <w:divId w:val="434177470"/>
        <w:rPr>
          <w:rFonts w:eastAsia="Times New Roman"/>
        </w:rPr>
      </w:pPr>
      <w:r>
        <w:rPr>
          <w:rFonts w:eastAsia="Times New Roman"/>
          <w:color w:val="000000"/>
          <w:sz w:val="18"/>
          <w:szCs w:val="18"/>
        </w:rPr>
        <w:t>We are highly dependent on our senior management team, including our Chairman and Chief Executive Officer, Dr. L</w:t>
      </w:r>
      <w:r>
        <w:rPr>
          <w:rFonts w:eastAsia="Times New Roman"/>
          <w:color w:val="000000"/>
          <w:sz w:val="18"/>
          <w:szCs w:val="18"/>
        </w:rPr>
        <w:t>evin. The employment agreements we have with these officers do not prevent such persons from terminating their employment with us at any time. The loss of the services of any of these persons could impede the achievement of our research, development, opera</w:t>
      </w:r>
      <w:r>
        <w:rPr>
          <w:rFonts w:eastAsia="Times New Roman"/>
          <w:color w:val="000000"/>
          <w:sz w:val="18"/>
          <w:szCs w:val="18"/>
        </w:rPr>
        <w:t>tional, financial and commercialization objectives.</w:t>
      </w:r>
    </w:p>
    <w:p w:rsidR="00000000" w:rsidRDefault="00375AF8">
      <w:pPr>
        <w:ind w:firstLine="720"/>
        <w:jc w:val="both"/>
        <w:divId w:val="1361321998"/>
        <w:rPr>
          <w:rFonts w:eastAsia="Times New Roman"/>
        </w:rPr>
      </w:pPr>
      <w:r>
        <w:rPr>
          <w:rFonts w:eastAsia="Times New Roman"/>
          <w:color w:val="000000"/>
          <w:sz w:val="18"/>
          <w:szCs w:val="18"/>
        </w:rPr>
        <w:t>In addition, we are dependent on our continued ability to attract, retain and motivate highly qualified additional management, clinical and scientific personnel. If we are not able to retain our managemen</w:t>
      </w:r>
      <w:r>
        <w:rPr>
          <w:rFonts w:eastAsia="Times New Roman"/>
          <w:color w:val="000000"/>
          <w:sz w:val="18"/>
          <w:szCs w:val="18"/>
        </w:rPr>
        <w:t>t and to attract, on acceptable terms, additional qualified personnel necessary for the continued development of our business, we may not be able to sustain our operations or grow. This risk may be further amplified given the particularly competitive hirin</w:t>
      </w:r>
      <w:r>
        <w:rPr>
          <w:rFonts w:eastAsia="Times New Roman"/>
          <w:color w:val="000000"/>
          <w:sz w:val="18"/>
          <w:szCs w:val="18"/>
        </w:rPr>
        <w:t>g market in New York City, the location of our corporate headquarters.</w:t>
      </w:r>
    </w:p>
    <w:p w:rsidR="00000000" w:rsidRDefault="00375AF8">
      <w:pPr>
        <w:ind w:firstLine="720"/>
        <w:jc w:val="both"/>
        <w:divId w:val="1058093710"/>
        <w:rPr>
          <w:rFonts w:eastAsia="Times New Roman"/>
        </w:rPr>
      </w:pPr>
      <w:r>
        <w:rPr>
          <w:rFonts w:eastAsia="Times New Roman"/>
          <w:color w:val="000000"/>
          <w:sz w:val="18"/>
          <w:szCs w:val="18"/>
        </w:rPr>
        <w:t>We may not be able to attract or retain qualified personnel in the future due to the intense competition for qualified personnel among biotechnology, pharmaceutical and other businesses</w:t>
      </w:r>
      <w:r>
        <w:rPr>
          <w:rFonts w:eastAsia="Times New Roman"/>
          <w:color w:val="000000"/>
          <w:sz w:val="18"/>
          <w:szCs w:val="18"/>
        </w:rPr>
        <w:t>. Many of the other pharmaceutical companies that we compete against for qualified personnel and consultants have greater financial and other resources, different risk profiles and a longer history in the industry than we do. They also may provide more div</w:t>
      </w:r>
      <w:r>
        <w:rPr>
          <w:rFonts w:eastAsia="Times New Roman"/>
          <w:color w:val="000000"/>
          <w:sz w:val="18"/>
          <w:szCs w:val="18"/>
        </w:rPr>
        <w:t>erse opportunities and better chances for career advancement. Some of these characteristics may be more appealing to high-quality candidates and consultants than what we have to offer. If we are unable to continue to attract, retain and motivate high-quali</w:t>
      </w:r>
      <w:r>
        <w:rPr>
          <w:rFonts w:eastAsia="Times New Roman"/>
          <w:color w:val="000000"/>
          <w:sz w:val="18"/>
          <w:szCs w:val="18"/>
        </w:rPr>
        <w:t>ty personnel and consultants to accomplish our business objectives, the rate and success at which we can discover and develop drug candidates and our business will be limited and we may experience constraints on our development objectives.</w:t>
      </w:r>
    </w:p>
    <w:p w:rsidR="00000000" w:rsidRDefault="00375AF8">
      <w:pPr>
        <w:ind w:firstLine="720"/>
        <w:jc w:val="both"/>
        <w:divId w:val="1687948273"/>
        <w:rPr>
          <w:rFonts w:eastAsia="Times New Roman"/>
        </w:rPr>
      </w:pPr>
      <w:r>
        <w:rPr>
          <w:rFonts w:eastAsia="Times New Roman"/>
          <w:color w:val="000000"/>
          <w:sz w:val="18"/>
          <w:szCs w:val="18"/>
        </w:rPr>
        <w:t>Our future perfo</w:t>
      </w:r>
      <w:r>
        <w:rPr>
          <w:rFonts w:eastAsia="Times New Roman"/>
          <w:color w:val="000000"/>
          <w:sz w:val="18"/>
          <w:szCs w:val="18"/>
        </w:rPr>
        <w:t>rmance will also depend, in part, on our ability to successfully integrate newly hired executive officers into our management team and our ability to develop an effective working relationship among senior management. Our failure to integrate these individu</w:t>
      </w:r>
      <w:r>
        <w:rPr>
          <w:rFonts w:eastAsia="Times New Roman"/>
          <w:color w:val="000000"/>
          <w:sz w:val="18"/>
          <w:szCs w:val="18"/>
        </w:rPr>
        <w:t xml:space="preserve">als and create effective working relationships among them and other members of management could result in inefficiencies in the development and commercialization of our drug candidates, harming future regulatory approvals, sales of our drug candidates and </w:t>
      </w:r>
      <w:r>
        <w:rPr>
          <w:rFonts w:eastAsia="Times New Roman"/>
          <w:color w:val="000000"/>
          <w:sz w:val="18"/>
          <w:szCs w:val="18"/>
        </w:rPr>
        <w:t>our results of operations. Additionally, we do not currently maintain “key person” life insurance on the lives of our executives or any of our employees.</w:t>
      </w:r>
    </w:p>
    <w:p w:rsidR="00000000" w:rsidRDefault="00375AF8">
      <w:pPr>
        <w:jc w:val="both"/>
        <w:divId w:val="635137930"/>
        <w:rPr>
          <w:rFonts w:eastAsia="Times New Roman"/>
        </w:rPr>
      </w:pPr>
      <w:r>
        <w:rPr>
          <w:rFonts w:eastAsia="Times New Roman"/>
          <w:b/>
          <w:bCs/>
          <w:i/>
          <w:iCs/>
          <w:color w:val="000000"/>
          <w:sz w:val="18"/>
          <w:szCs w:val="18"/>
        </w:rPr>
        <w:t>We may need to expand our organization, and we may experience difficulties in managing this growth, wh</w:t>
      </w:r>
      <w:r>
        <w:rPr>
          <w:rFonts w:eastAsia="Times New Roman"/>
          <w:b/>
          <w:bCs/>
          <w:i/>
          <w:iCs/>
          <w:color w:val="000000"/>
          <w:sz w:val="18"/>
          <w:szCs w:val="18"/>
        </w:rPr>
        <w:t>ich could disrupt our operations.</w:t>
      </w:r>
    </w:p>
    <w:p w:rsidR="00000000" w:rsidRDefault="00375AF8">
      <w:pPr>
        <w:ind w:firstLine="720"/>
        <w:jc w:val="both"/>
        <w:divId w:val="876893340"/>
        <w:rPr>
          <w:rFonts w:eastAsia="Times New Roman"/>
        </w:rPr>
      </w:pPr>
      <w:r>
        <w:rPr>
          <w:rFonts w:eastAsia="Times New Roman"/>
          <w:color w:val="000000"/>
          <w:sz w:val="18"/>
          <w:szCs w:val="18"/>
        </w:rPr>
        <w:t>As of June 30, 2022, we had 44 full-time employees. As our development and commercialization plans and strategies for our current pipeline of product candidates develop, we expect to need additional managerial, operational</w:t>
      </w:r>
      <w:r>
        <w:rPr>
          <w:rFonts w:eastAsia="Times New Roman"/>
          <w:color w:val="000000"/>
          <w:sz w:val="18"/>
          <w:szCs w:val="18"/>
        </w:rPr>
        <w:t>, sales, marketing, financial, legal and other resources. Our management may need to divert a disproportionate amount of its attention away from our day-to-day operations and devote a substantial amount of time to managing these growth activities. We may n</w:t>
      </w:r>
      <w:r>
        <w:rPr>
          <w:rFonts w:eastAsia="Times New Roman"/>
          <w:color w:val="000000"/>
          <w:sz w:val="18"/>
          <w:szCs w:val="18"/>
        </w:rPr>
        <w:t>ot be able to effectively manage the expansion of our operations, which may result in weaknesses in our infrastructure, operational inefficiencies, loss of business opportunities, loss of employees and reduced productivity among remaining employees. Our ex</w:t>
      </w:r>
      <w:r>
        <w:rPr>
          <w:rFonts w:eastAsia="Times New Roman"/>
          <w:color w:val="000000"/>
          <w:sz w:val="18"/>
          <w:szCs w:val="18"/>
        </w:rPr>
        <w:t xml:space="preserve">pected growth could require significant capital expenditures and may divert financial resources from other projects, such as the development of our current and potential future drug candidates. If our management is unable to effectively manage our growth, </w:t>
      </w:r>
      <w:r>
        <w:rPr>
          <w:rFonts w:eastAsia="Times New Roman"/>
          <w:color w:val="000000"/>
          <w:sz w:val="18"/>
          <w:szCs w:val="18"/>
        </w:rPr>
        <w:t>our expenses may increase more than expected, our ability to generate and grow revenue could be reduced and we may not be able to implement our business strategy. Our future financial performance, our ability to commercialize drug candidates, develop a sca</w:t>
      </w:r>
      <w:r>
        <w:rPr>
          <w:rFonts w:eastAsia="Times New Roman"/>
          <w:color w:val="000000"/>
          <w:sz w:val="18"/>
          <w:szCs w:val="18"/>
        </w:rPr>
        <w:t>lable infrastructure and compete effectively will depend, in part, on our ability to effectively manage any future growth.</w:t>
      </w:r>
    </w:p>
    <w:p w:rsidR="00000000" w:rsidRDefault="00375AF8">
      <w:pPr>
        <w:jc w:val="both"/>
        <w:divId w:val="361245566"/>
        <w:rPr>
          <w:rFonts w:eastAsia="Times New Roman"/>
        </w:rPr>
      </w:pPr>
      <w:r>
        <w:rPr>
          <w:rFonts w:eastAsia="Times New Roman"/>
          <w:b/>
          <w:bCs/>
          <w:i/>
          <w:iCs/>
          <w:color w:val="000000"/>
          <w:sz w:val="18"/>
          <w:szCs w:val="18"/>
        </w:rPr>
        <w:t>Our employees, principal investigators, consultants and commercial partners may engage in misconduct or other improper activities, in</w:t>
      </w:r>
      <w:r>
        <w:rPr>
          <w:rFonts w:eastAsia="Times New Roman"/>
          <w:b/>
          <w:bCs/>
          <w:i/>
          <w:iCs/>
          <w:color w:val="000000"/>
          <w:sz w:val="18"/>
          <w:szCs w:val="18"/>
        </w:rPr>
        <w:t>cluding non-compliance with regulatory standards and requirements and insider trading.</w:t>
      </w:r>
    </w:p>
    <w:p w:rsidR="00000000" w:rsidRDefault="00375AF8">
      <w:pPr>
        <w:ind w:firstLine="720"/>
        <w:jc w:val="both"/>
        <w:divId w:val="386105169"/>
        <w:rPr>
          <w:rFonts w:eastAsia="Times New Roman"/>
        </w:rPr>
      </w:pPr>
      <w:r>
        <w:rPr>
          <w:rFonts w:eastAsia="Times New Roman"/>
          <w:color w:val="000000"/>
          <w:sz w:val="18"/>
          <w:szCs w:val="18"/>
        </w:rPr>
        <w:t>We are exposed to the risk that our employees, consultants, distributors, and collaborators may engage in fraudulent or illegal activity. Misconduct by these parties cou</w:t>
      </w:r>
      <w:r>
        <w:rPr>
          <w:rFonts w:eastAsia="Times New Roman"/>
          <w:color w:val="000000"/>
          <w:sz w:val="18"/>
          <w:szCs w:val="18"/>
        </w:rPr>
        <w:t>ld include intentional, reckless or negligent conduct or disclosure of unauthorized activities to us that violates the regulations of the FDA and non-U.S. regulators, including those laws requiring the reporting of true, complete and accurate information t</w:t>
      </w:r>
      <w:r>
        <w:rPr>
          <w:rFonts w:eastAsia="Times New Roman"/>
          <w:color w:val="000000"/>
          <w:sz w:val="18"/>
          <w:szCs w:val="18"/>
        </w:rPr>
        <w:t>o such regulators, manufacturing standards, healthcare fraud and abuse laws and regulations in the United States and abroad or laws that require the true, complete and accurate reporting of financial information or data. In particular, sales, marketing and</w:t>
      </w:r>
      <w:r>
        <w:rPr>
          <w:rFonts w:eastAsia="Times New Roman"/>
          <w:color w:val="000000"/>
          <w:sz w:val="18"/>
          <w:szCs w:val="18"/>
        </w:rPr>
        <w:t xml:space="preserve"> business arrangements in the healthcare industry, including the sale of pharmaceuticals, are subject to extensive laws and regulations intended to prevent fraud, misconduct, kickbacks, self-dealing and other abusive practices. These laws and regulations m</w:t>
      </w:r>
      <w:r>
        <w:rPr>
          <w:rFonts w:eastAsia="Times New Roman"/>
          <w:color w:val="000000"/>
          <w:sz w:val="18"/>
          <w:szCs w:val="18"/>
        </w:rPr>
        <w:t>ay restrict or prohibit a wide range of pricing, discounting, marketing and promotion, sales commission, customer incentive programs and other business arrangements. It is not always possible to identify and deter misconduct by our employees and other thir</w:t>
      </w:r>
      <w:r>
        <w:rPr>
          <w:rFonts w:eastAsia="Times New Roman"/>
          <w:color w:val="000000"/>
          <w:sz w:val="18"/>
          <w:szCs w:val="18"/>
        </w:rPr>
        <w:t>d parties, and the precautions we take to detect and prevent this activity may not be effective in controlling unknown or unmanaged risks or losses or in protecting us from governmental investigations or other actions or lawsuits stemming from a failure to</w:t>
      </w:r>
      <w:r>
        <w:rPr>
          <w:rFonts w:eastAsia="Times New Roman"/>
          <w:color w:val="000000"/>
          <w:sz w:val="18"/>
          <w:szCs w:val="18"/>
        </w:rPr>
        <w:t xml:space="preserve"> comply with these laws or regulations. Further, because of the work from home policies we implemented due to COVID-19, information that is normally protected, including company confidential information, may be less secure. If actions are instituted agains</w:t>
      </w:r>
      <w:r>
        <w:rPr>
          <w:rFonts w:eastAsia="Times New Roman"/>
          <w:color w:val="000000"/>
          <w:sz w:val="18"/>
          <w:szCs w:val="18"/>
        </w:rPr>
        <w:t>t us and we are not successful in defending ourselves or asserting our rights, those actions could result in the imposition of significant fines or other sanctions, including the imposition of civil, criminal and administrative penalties, damages, monetary</w:t>
      </w:r>
      <w:r>
        <w:rPr>
          <w:rFonts w:eastAsia="Times New Roman"/>
          <w:color w:val="000000"/>
          <w:sz w:val="18"/>
          <w:szCs w:val="18"/>
        </w:rPr>
        <w:t xml:space="preserve"> fines, imprisonment, possible exclusion from participation in Medicare, Medicaid and other federal healthcare programs, additional reporting obligations and oversight if we become subject to a corporate integrity agreement or other agreement to resolve al</w:t>
      </w:r>
      <w:r>
        <w:rPr>
          <w:rFonts w:eastAsia="Times New Roman"/>
          <w:color w:val="000000"/>
          <w:sz w:val="18"/>
          <w:szCs w:val="18"/>
        </w:rPr>
        <w:t xml:space="preserve">legations of non-compliance with these laws, contractual damages, reputational harm, diminished profits and future earnings and curtailment of operations, any of which could adversely affect </w:t>
      </w:r>
    </w:p>
    <w:p w:rsidR="00000000" w:rsidRDefault="00375AF8">
      <w:pPr>
        <w:jc w:val="center"/>
        <w:divId w:val="77602434"/>
        <w:rPr>
          <w:rFonts w:eastAsia="Times New Roman"/>
        </w:rPr>
      </w:pPr>
      <w:r>
        <w:rPr>
          <w:rFonts w:eastAsia="Times New Roman"/>
          <w:color w:val="000000"/>
          <w:sz w:val="18"/>
          <w:szCs w:val="18"/>
        </w:rPr>
        <w:t>51</w:t>
      </w:r>
    </w:p>
    <w:p w:rsidR="00000000" w:rsidRDefault="00375AF8">
      <w:pPr>
        <w:rPr>
          <w:rFonts w:eastAsia="Times New Roman"/>
        </w:rPr>
      </w:pPr>
      <w:r>
        <w:rPr>
          <w:rFonts w:eastAsia="Times New Roman"/>
        </w:rPr>
        <w:pict>
          <v:rect id="_x0000_i1077" style="width:0;height:1.5pt" o:hralign="center" o:hrstd="t" o:hr="t" fillcolor="#a0a0a0" stroked="f"/>
        </w:pict>
      </w:r>
    </w:p>
    <w:p w:rsidR="00000000" w:rsidRDefault="00375AF8">
      <w:pPr>
        <w:divId w:val="71474381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662926108"/>
        <w:rPr>
          <w:rFonts w:eastAsia="Times New Roman"/>
        </w:rPr>
      </w:pPr>
      <w:r>
        <w:rPr>
          <w:rFonts w:eastAsia="Times New Roman"/>
          <w:color w:val="000000"/>
          <w:sz w:val="18"/>
          <w:szCs w:val="18"/>
        </w:rPr>
        <w:t>our ability to operate our business and our results of operations. Whether or not we are successful in defending against such actions or investi</w:t>
      </w:r>
      <w:r>
        <w:rPr>
          <w:rFonts w:eastAsia="Times New Roman"/>
          <w:color w:val="000000"/>
          <w:sz w:val="18"/>
          <w:szCs w:val="18"/>
        </w:rPr>
        <w:t>gations, we could incur substantial costs, including legal fees, and divert the attention of management in defending ourselves against any of these claims or investigations.</w:t>
      </w:r>
    </w:p>
    <w:p w:rsidR="00000000" w:rsidRDefault="00375AF8">
      <w:pPr>
        <w:divId w:val="2108578651"/>
        <w:rPr>
          <w:rFonts w:eastAsia="Times New Roman"/>
        </w:rPr>
      </w:pPr>
      <w:r>
        <w:rPr>
          <w:rFonts w:eastAsia="Times New Roman"/>
          <w:b/>
          <w:bCs/>
          <w:i/>
          <w:iCs/>
          <w:color w:val="000000"/>
          <w:sz w:val="18"/>
          <w:szCs w:val="18"/>
        </w:rPr>
        <w:t>Significant disruptions of our information technology systems or data security inc</w:t>
      </w:r>
      <w:r>
        <w:rPr>
          <w:rFonts w:eastAsia="Times New Roman"/>
          <w:b/>
          <w:bCs/>
          <w:i/>
          <w:iCs/>
          <w:color w:val="000000"/>
          <w:sz w:val="18"/>
          <w:szCs w:val="18"/>
        </w:rPr>
        <w:t>idents could result in significant financial, legal, regulatory, business and reputational harm to us.</w:t>
      </w:r>
    </w:p>
    <w:p w:rsidR="00000000" w:rsidRDefault="00375AF8">
      <w:pPr>
        <w:ind w:firstLine="720"/>
        <w:jc w:val="both"/>
        <w:divId w:val="1695307317"/>
        <w:rPr>
          <w:rFonts w:eastAsia="Times New Roman"/>
        </w:rPr>
      </w:pPr>
      <w:r>
        <w:rPr>
          <w:rFonts w:eastAsia="Times New Roman"/>
          <w:color w:val="000000"/>
          <w:sz w:val="18"/>
          <w:szCs w:val="18"/>
        </w:rPr>
        <w:t>We are increasingly dependent on information technology systems and infrastructure, including mobile technologies, to operate our business. In the ordina</w:t>
      </w:r>
      <w:r>
        <w:rPr>
          <w:rFonts w:eastAsia="Times New Roman"/>
          <w:color w:val="000000"/>
          <w:sz w:val="18"/>
          <w:szCs w:val="18"/>
        </w:rPr>
        <w:t>ry course of our business, we collect, store, process and transmit large amounts of sensitive information, including intellectual property, proprietary business information, personal information and other confidential information. It is critical that we do</w:t>
      </w:r>
      <w:r>
        <w:rPr>
          <w:rFonts w:eastAsia="Times New Roman"/>
          <w:color w:val="000000"/>
          <w:sz w:val="18"/>
          <w:szCs w:val="18"/>
        </w:rPr>
        <w:t xml:space="preserve"> so in a secure manner to maintain the confidentiality, integrity and availability of such sensitive information. We have also outsourced elements of our operations (including elements of our information technology infrastructure) to third parties, and as </w:t>
      </w:r>
      <w:r>
        <w:rPr>
          <w:rFonts w:eastAsia="Times New Roman"/>
          <w:color w:val="000000"/>
          <w:sz w:val="18"/>
          <w:szCs w:val="18"/>
        </w:rPr>
        <w:t>a result, we manage a number of third-party vendors who may or could have access to our computer networks or our confidential information. In addition, many of those third parties in turn subcontract or outsource some of their responsibilities to third par</w:t>
      </w:r>
      <w:r>
        <w:rPr>
          <w:rFonts w:eastAsia="Times New Roman"/>
          <w:color w:val="000000"/>
          <w:sz w:val="18"/>
          <w:szCs w:val="18"/>
        </w:rPr>
        <w:t>ties. While all information technology operations are inherently vulnerable to inadvertent or intentional security breaches, incidents, attacks and exposures, the accessibility and distributed nature of our information technology systems, and the sensitive</w:t>
      </w:r>
      <w:r>
        <w:rPr>
          <w:rFonts w:eastAsia="Times New Roman"/>
          <w:color w:val="000000"/>
          <w:sz w:val="18"/>
          <w:szCs w:val="18"/>
        </w:rPr>
        <w:t xml:space="preserve"> information stored on those systems, make such systems potentially vulnerable to unintentional or malicious, internal and external attacks on our technology environment. In addition, due to the ongoing COVID-19 pandemic, we have enabled all of our employe</w:t>
      </w:r>
      <w:r>
        <w:rPr>
          <w:rFonts w:eastAsia="Times New Roman"/>
          <w:color w:val="000000"/>
          <w:sz w:val="18"/>
          <w:szCs w:val="18"/>
        </w:rPr>
        <w:t>es to work remotely, which may make us more vulnerable to cyberattacks. Potential vulnerabilities can be exploited from inadvertent or intentional actions of our employees, third-party vendors, business partners, or by malicious third parties. Attacks of t</w:t>
      </w:r>
      <w:r>
        <w:rPr>
          <w:rFonts w:eastAsia="Times New Roman"/>
          <w:color w:val="000000"/>
          <w:sz w:val="18"/>
          <w:szCs w:val="18"/>
        </w:rPr>
        <w:t>his nature are increasing in their frequency, levels of persistence, sophistication and intensity, and are being conducted by sophisticated and organized groups and individuals with a wide range of motives (including, but not limited to, industrial espiona</w:t>
      </w:r>
      <w:r>
        <w:rPr>
          <w:rFonts w:eastAsia="Times New Roman"/>
          <w:color w:val="000000"/>
          <w:sz w:val="18"/>
          <w:szCs w:val="18"/>
        </w:rPr>
        <w:t>ge) and expertise, including organized criminal groups, “hacktivists,” nation states and others. In addition to the extraction of sensitive information, such attacks could include the deployment of harmful malware, ransomware, denial-of-service attacks, so</w:t>
      </w:r>
      <w:r>
        <w:rPr>
          <w:rFonts w:eastAsia="Times New Roman"/>
          <w:color w:val="000000"/>
          <w:sz w:val="18"/>
          <w:szCs w:val="18"/>
        </w:rPr>
        <w:t>cial engineering and other means to affect service reliability and threaten the confidentiality, integrity and availability of information. In addition, the prevalent use of mobile devices increases the risk of data security incidents.</w:t>
      </w:r>
    </w:p>
    <w:p w:rsidR="00000000" w:rsidRDefault="00375AF8">
      <w:pPr>
        <w:ind w:firstLine="720"/>
        <w:jc w:val="both"/>
        <w:divId w:val="1525434198"/>
        <w:rPr>
          <w:rFonts w:eastAsia="Times New Roman"/>
        </w:rPr>
      </w:pPr>
      <w:r>
        <w:rPr>
          <w:rFonts w:eastAsia="Times New Roman"/>
          <w:color w:val="000000"/>
          <w:sz w:val="18"/>
          <w:szCs w:val="18"/>
        </w:rPr>
        <w:t>Significant disrupti</w:t>
      </w:r>
      <w:r>
        <w:rPr>
          <w:rFonts w:eastAsia="Times New Roman"/>
          <w:color w:val="000000"/>
          <w:sz w:val="18"/>
          <w:szCs w:val="18"/>
        </w:rPr>
        <w:t>ons of our, our third-party vendors’ and/or business partners’ information technology systems or other similar data security incidents could adversely affect our business operations and/or result in the loss, misappropriation, and/or unauthorized access, u</w:t>
      </w:r>
      <w:r>
        <w:rPr>
          <w:rFonts w:eastAsia="Times New Roman"/>
          <w:color w:val="000000"/>
          <w:sz w:val="18"/>
          <w:szCs w:val="18"/>
        </w:rPr>
        <w:t>se or disclosure of, or the prevention of access to, sensitive information, which could result in financial, legal, regulatory, business and reputational harm to us. In addition, information technology system disruptions, whether from attacks on our techno</w:t>
      </w:r>
      <w:r>
        <w:rPr>
          <w:rFonts w:eastAsia="Times New Roman"/>
          <w:color w:val="000000"/>
          <w:sz w:val="18"/>
          <w:szCs w:val="18"/>
        </w:rPr>
        <w:t>logy environment or from computer viruses, natural disasters, terrorism, war and telecommunication and electrical failures, could result in a material disruption of our development programs and our business operations. For example, the loss of clinical tri</w:t>
      </w:r>
      <w:r>
        <w:rPr>
          <w:rFonts w:eastAsia="Times New Roman"/>
          <w:color w:val="000000"/>
          <w:sz w:val="18"/>
          <w:szCs w:val="18"/>
        </w:rPr>
        <w:t>al data from completed or future clinical trials could result in delays in our regulatory approval efforts and significantly increase our costs to recover or reproduce the data.</w:t>
      </w:r>
    </w:p>
    <w:p w:rsidR="00000000" w:rsidRDefault="00375AF8">
      <w:pPr>
        <w:ind w:firstLine="720"/>
        <w:jc w:val="both"/>
        <w:divId w:val="1354646731"/>
        <w:rPr>
          <w:rFonts w:eastAsia="Times New Roman"/>
        </w:rPr>
      </w:pPr>
      <w:r>
        <w:rPr>
          <w:rFonts w:eastAsia="Times New Roman"/>
          <w:color w:val="000000"/>
          <w:sz w:val="18"/>
          <w:szCs w:val="18"/>
        </w:rPr>
        <w:t>There is no way of knowing with certainty whether we have experienced any data</w:t>
      </w:r>
      <w:r>
        <w:rPr>
          <w:rFonts w:eastAsia="Times New Roman"/>
          <w:color w:val="000000"/>
          <w:sz w:val="18"/>
          <w:szCs w:val="18"/>
        </w:rPr>
        <w:t xml:space="preserve"> security incidents that have not been discovered. While we have no reason to believe this to be the case, attackers have become very sophisticated in the way they conceal access to systems, and many companies that have been attacked are not aware that the</w:t>
      </w:r>
      <w:r>
        <w:rPr>
          <w:rFonts w:eastAsia="Times New Roman"/>
          <w:color w:val="000000"/>
          <w:sz w:val="18"/>
          <w:szCs w:val="18"/>
        </w:rPr>
        <w:t xml:space="preserve">y have been attacked. Any event that leads to unauthorized access, use or disclosure of personal information, including but not limited to personal information regarding our patients or employees, could disrupt our business, harm our reputation, compel us </w:t>
      </w:r>
      <w:r>
        <w:rPr>
          <w:rFonts w:eastAsia="Times New Roman"/>
          <w:color w:val="000000"/>
          <w:sz w:val="18"/>
          <w:szCs w:val="18"/>
        </w:rPr>
        <w:t>to comply with applicable federal and/or state breach notification laws and foreign law equivalents, subject us to time consuming, distracting and expensive litigation, regulatory investigation and oversight, mandatory corrective action, require us to veri</w:t>
      </w:r>
      <w:r>
        <w:rPr>
          <w:rFonts w:eastAsia="Times New Roman"/>
          <w:color w:val="000000"/>
          <w:sz w:val="18"/>
          <w:szCs w:val="18"/>
        </w:rPr>
        <w:t>fy the correctness of database contents, or otherwise subject us to liability under laws, regulations and contractual obligations, including those that protect the privacy and security of personal information. This could result in increased costs to us, an</w:t>
      </w:r>
      <w:r>
        <w:rPr>
          <w:rFonts w:eastAsia="Times New Roman"/>
          <w:color w:val="000000"/>
          <w:sz w:val="18"/>
          <w:szCs w:val="18"/>
        </w:rPr>
        <w:t>d result in significant legal and financial exposure and/or reputational harm. In addition, any failure or perceived failure by us or our vendors or business partners to comply with our privacy, confidentiality or data security-related legal or other oblig</w:t>
      </w:r>
      <w:r>
        <w:rPr>
          <w:rFonts w:eastAsia="Times New Roman"/>
          <w:color w:val="000000"/>
          <w:sz w:val="18"/>
          <w:szCs w:val="18"/>
        </w:rPr>
        <w:t>ations to third parties, or any further security incidents or other inappropriate access events that result in the unauthorized access, release or transfer of sensitive information, which could include personally identifiable information, may result in gov</w:t>
      </w:r>
      <w:r>
        <w:rPr>
          <w:rFonts w:eastAsia="Times New Roman"/>
          <w:color w:val="000000"/>
          <w:sz w:val="18"/>
          <w:szCs w:val="18"/>
        </w:rPr>
        <w:t xml:space="preserve">ernmental investigations, enforcement actions, regulatory fines, litigation, or public statements against us by advocacy groups or others, and could cause third parties, including clinical sites, regulators or current and potential partners, to lose trust </w:t>
      </w:r>
      <w:r>
        <w:rPr>
          <w:rFonts w:eastAsia="Times New Roman"/>
          <w:color w:val="000000"/>
          <w:sz w:val="18"/>
          <w:szCs w:val="18"/>
        </w:rPr>
        <w:t>in us or we could be subject to claims by third parties that we have breached our privacy- or confidentiality-related obligations, which could materially and adversely affect our business and prospects. Moreover, data security incidents and other inappropr</w:t>
      </w:r>
      <w:r>
        <w:rPr>
          <w:rFonts w:eastAsia="Times New Roman"/>
          <w:color w:val="000000"/>
          <w:sz w:val="18"/>
          <w:szCs w:val="18"/>
        </w:rPr>
        <w:t>iate access can be difficult to detect, and any delay in identifying them may lead to increased harm of the type described above. While we have implemented security measures intended to protect our information technology systems and infrastructure, there c</w:t>
      </w:r>
      <w:r>
        <w:rPr>
          <w:rFonts w:eastAsia="Times New Roman"/>
          <w:color w:val="000000"/>
          <w:sz w:val="18"/>
          <w:szCs w:val="18"/>
        </w:rPr>
        <w:t>an be no assurance that such measures will successfully prevent service interruptions or security incidents.</w:t>
      </w:r>
    </w:p>
    <w:p w:rsidR="00000000" w:rsidRDefault="00375AF8">
      <w:pPr>
        <w:jc w:val="both"/>
        <w:divId w:val="772629841"/>
        <w:rPr>
          <w:rFonts w:eastAsia="Times New Roman"/>
        </w:rPr>
      </w:pPr>
      <w:r>
        <w:rPr>
          <w:rFonts w:eastAsia="Times New Roman"/>
          <w:b/>
          <w:bCs/>
          <w:i/>
          <w:iCs/>
          <w:color w:val="000000"/>
          <w:sz w:val="18"/>
          <w:szCs w:val="18"/>
        </w:rPr>
        <w:t>We may be subject to numerous and varying privacy and security laws, and our failure to comply could result in penalties and reputational damage.</w:t>
      </w:r>
    </w:p>
    <w:p w:rsidR="00000000" w:rsidRDefault="00375AF8">
      <w:pPr>
        <w:ind w:firstLine="720"/>
        <w:jc w:val="both"/>
        <w:divId w:val="222448694"/>
        <w:rPr>
          <w:rFonts w:eastAsia="Times New Roman"/>
        </w:rPr>
      </w:pPr>
      <w:r>
        <w:rPr>
          <w:rFonts w:eastAsia="Times New Roman"/>
          <w:color w:val="000000"/>
          <w:sz w:val="18"/>
          <w:szCs w:val="18"/>
        </w:rPr>
        <w:t>We are subject to laws and regulations covering data privacy and the protection of personal information including health information. The legislative and regulatory landscape for privacy and data protection continues to evolve, and there has been an increa</w:t>
      </w:r>
      <w:r>
        <w:rPr>
          <w:rFonts w:eastAsia="Times New Roman"/>
          <w:color w:val="000000"/>
          <w:sz w:val="18"/>
          <w:szCs w:val="18"/>
        </w:rPr>
        <w:t>sing focus on privacy and data protection issues which may affect our business. In the U.S., we may be subject to state security breach notification laws, state health information privacy laws and federal and state consumer protections laws which impose re</w:t>
      </w:r>
      <w:r>
        <w:rPr>
          <w:rFonts w:eastAsia="Times New Roman"/>
          <w:color w:val="000000"/>
          <w:sz w:val="18"/>
          <w:szCs w:val="18"/>
        </w:rPr>
        <w:t>quirements for the collection, use, disclosure and transmission of personal information. Each of these laws is subject to varying interpretations by courts and government agencies, creating complex compliance issues for us. If we fail to comply with applic</w:t>
      </w:r>
      <w:r>
        <w:rPr>
          <w:rFonts w:eastAsia="Times New Roman"/>
          <w:color w:val="000000"/>
          <w:sz w:val="18"/>
          <w:szCs w:val="18"/>
        </w:rPr>
        <w:t xml:space="preserve">able laws and regulations we could be subject to penalties or sanctions, including criminal penalties if we knowingly obtain individually </w:t>
      </w:r>
    </w:p>
    <w:p w:rsidR="00000000" w:rsidRDefault="00375AF8">
      <w:pPr>
        <w:jc w:val="center"/>
        <w:divId w:val="1459105568"/>
        <w:rPr>
          <w:rFonts w:eastAsia="Times New Roman"/>
        </w:rPr>
      </w:pPr>
      <w:r>
        <w:rPr>
          <w:rFonts w:eastAsia="Times New Roman"/>
          <w:color w:val="000000"/>
          <w:sz w:val="18"/>
          <w:szCs w:val="18"/>
        </w:rPr>
        <w:t>52</w:t>
      </w:r>
    </w:p>
    <w:p w:rsidR="00000000" w:rsidRDefault="00375AF8">
      <w:pPr>
        <w:rPr>
          <w:rFonts w:eastAsia="Times New Roman"/>
        </w:rPr>
      </w:pPr>
      <w:r>
        <w:rPr>
          <w:rFonts w:eastAsia="Times New Roman"/>
        </w:rPr>
        <w:pict>
          <v:rect id="_x0000_i1078" style="width:0;height:1.5pt" o:hralign="center" o:hrstd="t" o:hr="t" fillcolor="#a0a0a0" stroked="f"/>
        </w:pict>
      </w:r>
    </w:p>
    <w:p w:rsidR="00000000" w:rsidRDefault="00375AF8">
      <w:pPr>
        <w:divId w:val="84485605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926065714"/>
        <w:rPr>
          <w:rFonts w:eastAsia="Times New Roman"/>
        </w:rPr>
      </w:pPr>
      <w:r>
        <w:rPr>
          <w:rFonts w:eastAsia="Times New Roman"/>
          <w:color w:val="000000"/>
          <w:sz w:val="18"/>
          <w:szCs w:val="18"/>
        </w:rPr>
        <w:t>id</w:t>
      </w:r>
      <w:r>
        <w:rPr>
          <w:rFonts w:eastAsia="Times New Roman"/>
          <w:color w:val="000000"/>
          <w:sz w:val="18"/>
          <w:szCs w:val="18"/>
        </w:rPr>
        <w:t>entifiable health information from a covered entity in a manner that is not authorized or permitted by HIPAA or for aiding and abetting the violation of HIPAA.</w:t>
      </w:r>
    </w:p>
    <w:p w:rsidR="00000000" w:rsidRDefault="00375AF8">
      <w:pPr>
        <w:ind w:firstLine="720"/>
        <w:jc w:val="both"/>
        <w:divId w:val="752241281"/>
        <w:rPr>
          <w:rFonts w:eastAsia="Times New Roman"/>
        </w:rPr>
      </w:pPr>
      <w:r>
        <w:rPr>
          <w:rFonts w:eastAsia="Times New Roman"/>
          <w:color w:val="000000"/>
          <w:sz w:val="18"/>
          <w:szCs w:val="18"/>
        </w:rPr>
        <w:t>Numerous other countries have, or are developing, laws governing the collection, use and transmi</w:t>
      </w:r>
      <w:r>
        <w:rPr>
          <w:rFonts w:eastAsia="Times New Roman"/>
          <w:color w:val="000000"/>
          <w:sz w:val="18"/>
          <w:szCs w:val="18"/>
        </w:rPr>
        <w:t>ssion of personal information as well. EU member states and other jurisdictions have adopted data protection laws and regulations, which impose significant compliance obligations. For example, in May 2016, the EU formally adopted the General Data Protectio</w:t>
      </w:r>
      <w:r>
        <w:rPr>
          <w:rFonts w:eastAsia="Times New Roman"/>
          <w:color w:val="000000"/>
          <w:sz w:val="18"/>
          <w:szCs w:val="18"/>
        </w:rPr>
        <w:t>n Regulation, or GDPR, which applies to all EU member states as of May 25, 2018 and replaces the former EU Data Protection Directive. The regulation introduces new data protection requirements in the EU and imposes substantial fines for breaches of the dat</w:t>
      </w:r>
      <w:r>
        <w:rPr>
          <w:rFonts w:eastAsia="Times New Roman"/>
          <w:color w:val="000000"/>
          <w:sz w:val="18"/>
          <w:szCs w:val="18"/>
        </w:rPr>
        <w:t>a protection rules. The GDPR must be implemented into national laws by the EU member states imposes strict obligations and restrictions on the ability to collect, analyze, and transfer personal data, including health data from clinical trials and adverse e</w:t>
      </w:r>
      <w:r>
        <w:rPr>
          <w:rFonts w:eastAsia="Times New Roman"/>
          <w:color w:val="000000"/>
          <w:sz w:val="18"/>
          <w:szCs w:val="18"/>
        </w:rPr>
        <w:t>vent reporting. Data protection authorities from different EU member states have interpreted the privacy laws differently, which adds to the complexity of processing personal data in the EU, and guidance on implementation and compliance practices are often</w:t>
      </w:r>
      <w:r>
        <w:rPr>
          <w:rFonts w:eastAsia="Times New Roman"/>
          <w:color w:val="000000"/>
          <w:sz w:val="18"/>
          <w:szCs w:val="18"/>
        </w:rPr>
        <w:t xml:space="preserve"> updated or otherwise revised. Any failure to comply with the rules arising from the GDPR and related national laws of EU member states could lead to government enforcement actions and significant penalties against us, and adversely impact our operating re</w:t>
      </w:r>
      <w:r>
        <w:rPr>
          <w:rFonts w:eastAsia="Times New Roman"/>
          <w:color w:val="000000"/>
          <w:sz w:val="18"/>
          <w:szCs w:val="18"/>
        </w:rPr>
        <w:t>sults. The GDPR will increase our responsibility and liability in relation to personal data that we process and we may be required to put in place additional mechanisms ensuring compliance with EU data protection rules.</w:t>
      </w:r>
    </w:p>
    <w:p w:rsidR="00000000" w:rsidRDefault="00375AF8">
      <w:pPr>
        <w:ind w:firstLine="720"/>
        <w:jc w:val="both"/>
        <w:divId w:val="1293171027"/>
        <w:rPr>
          <w:rFonts w:eastAsia="Times New Roman"/>
        </w:rPr>
      </w:pPr>
      <w:r>
        <w:rPr>
          <w:rFonts w:eastAsia="Times New Roman"/>
          <w:color w:val="000000"/>
          <w:sz w:val="18"/>
          <w:szCs w:val="18"/>
        </w:rPr>
        <w:t>Additionally, California enacted the</w:t>
      </w:r>
      <w:r>
        <w:rPr>
          <w:rFonts w:eastAsia="Times New Roman"/>
          <w:color w:val="000000"/>
          <w:sz w:val="18"/>
          <w:szCs w:val="18"/>
        </w:rPr>
        <w:t xml:space="preserve"> California Consumer Privacy Act (the “CCPA”) legislation that has been dubbed the first “GDPR-like” law in the United States. The CCPA gives California residents expanded rights to access and delete their personal information, opt out of certain personal </w:t>
      </w:r>
      <w:r>
        <w:rPr>
          <w:rFonts w:eastAsia="Times New Roman"/>
          <w:color w:val="000000"/>
          <w:sz w:val="18"/>
          <w:szCs w:val="18"/>
        </w:rPr>
        <w:t>information sharing and receive detailed information about how their personal information is used by requiring covered companies to provide new disclosures to California consumers (as that term is broadly defined) and provide such consumers new ways to opt</w:t>
      </w:r>
      <w:r>
        <w:rPr>
          <w:rFonts w:eastAsia="Times New Roman"/>
          <w:color w:val="000000"/>
          <w:sz w:val="18"/>
          <w:szCs w:val="18"/>
        </w:rPr>
        <w:t xml:space="preserve">-out of certain sales of personal information. The CCPA provides for civil penalties for violations, as well as a private right of action for data breaches that is expected to increase data breach litigation. The CCPA may increase our compliance costs and </w:t>
      </w:r>
      <w:r>
        <w:rPr>
          <w:rFonts w:eastAsia="Times New Roman"/>
          <w:color w:val="000000"/>
          <w:sz w:val="18"/>
          <w:szCs w:val="18"/>
        </w:rPr>
        <w:t xml:space="preserve">potential liability. </w:t>
      </w:r>
    </w:p>
    <w:p w:rsidR="00000000" w:rsidRDefault="00375AF8">
      <w:pPr>
        <w:jc w:val="both"/>
        <w:divId w:val="954872896"/>
        <w:rPr>
          <w:rFonts w:eastAsia="Times New Roman"/>
        </w:rPr>
      </w:pPr>
      <w:r>
        <w:rPr>
          <w:rFonts w:eastAsia="Times New Roman"/>
          <w:b/>
          <w:bCs/>
          <w:color w:val="000000"/>
          <w:sz w:val="18"/>
          <w:szCs w:val="18"/>
        </w:rPr>
        <w:t>Risks Related to Being a Public Company</w:t>
      </w:r>
    </w:p>
    <w:p w:rsidR="00000000" w:rsidRDefault="00375AF8">
      <w:pPr>
        <w:jc w:val="both"/>
        <w:divId w:val="391469015"/>
        <w:rPr>
          <w:rFonts w:eastAsia="Times New Roman"/>
        </w:rPr>
      </w:pPr>
      <w:r>
        <w:rPr>
          <w:rFonts w:eastAsia="Times New Roman"/>
          <w:b/>
          <w:bCs/>
          <w:i/>
          <w:iCs/>
          <w:color w:val="000000"/>
          <w:sz w:val="18"/>
          <w:szCs w:val="18"/>
        </w:rPr>
        <w:t>We are an “emerging growth company” and a “smaller reporting company” and the reduced disclosure requirements applicable to such companies may make our common stock less attractive to investors.</w:t>
      </w:r>
    </w:p>
    <w:p w:rsidR="00000000" w:rsidRDefault="00375AF8">
      <w:pPr>
        <w:ind w:firstLine="720"/>
        <w:jc w:val="both"/>
        <w:divId w:val="1793017012"/>
        <w:rPr>
          <w:rFonts w:eastAsia="Times New Roman"/>
        </w:rPr>
      </w:pPr>
      <w:r>
        <w:rPr>
          <w:rFonts w:eastAsia="Times New Roman"/>
          <w:color w:val="000000"/>
          <w:sz w:val="18"/>
          <w:szCs w:val="18"/>
        </w:rPr>
        <w:t>We will remain an emerging growth company (“EGC”), as defined in the Jumpstart Our Business Startups Act of 2012 (the “JOBS Act”), until December 31, 2022. For so long as we remain an EGC, we are permitted and intend to rely on exemptions from certain dis</w:t>
      </w:r>
      <w:r>
        <w:rPr>
          <w:rFonts w:eastAsia="Times New Roman"/>
          <w:color w:val="000000"/>
          <w:sz w:val="18"/>
          <w:szCs w:val="18"/>
        </w:rPr>
        <w:t>closure requirements that are applicable to other public companies that are not emerging growth companies. We currently take advantage of some, but not all, of the reduced regulatory and reporting requirements that are available to us. We cannot predict if</w:t>
      </w:r>
      <w:r>
        <w:rPr>
          <w:rFonts w:eastAsia="Times New Roman"/>
          <w:color w:val="000000"/>
          <w:sz w:val="18"/>
          <w:szCs w:val="18"/>
        </w:rPr>
        <w:t xml:space="preserve"> investors will find our common stock less attractive because we may rely on these exemptions. If some investors find our common stock less attractive as a result, there may be a less active trading market for our common stock, and our stock price may be m</w:t>
      </w:r>
      <w:r>
        <w:rPr>
          <w:rFonts w:eastAsia="Times New Roman"/>
          <w:color w:val="000000"/>
          <w:sz w:val="18"/>
          <w:szCs w:val="18"/>
        </w:rPr>
        <w:t>ore volatile and may decline.</w:t>
      </w:r>
    </w:p>
    <w:p w:rsidR="00000000" w:rsidRDefault="00375AF8">
      <w:pPr>
        <w:ind w:firstLine="720"/>
        <w:jc w:val="both"/>
        <w:divId w:val="1100566187"/>
        <w:rPr>
          <w:rFonts w:eastAsia="Times New Roman"/>
        </w:rPr>
      </w:pPr>
      <w:r>
        <w:rPr>
          <w:rFonts w:eastAsia="Times New Roman"/>
          <w:color w:val="000000"/>
          <w:sz w:val="18"/>
          <w:szCs w:val="18"/>
        </w:rPr>
        <w:t>In addition, the JOBS Act provides that an EGC may take advantage of an extended transition period for complying with new or revised accounting standards. This allows an EGC to delay the adoption of certain accounting standard</w:t>
      </w:r>
      <w:r>
        <w:rPr>
          <w:rFonts w:eastAsia="Times New Roman"/>
          <w:color w:val="000000"/>
          <w:sz w:val="18"/>
          <w:szCs w:val="18"/>
        </w:rPr>
        <w:t>s until those standards would otherwise apply to private companies. We have irrevocably elected not to avail ourselves of this exemption from new or revised accounting standards and, therefore, we will be subject to the same new or revised accounting stand</w:t>
      </w:r>
      <w:r>
        <w:rPr>
          <w:rFonts w:eastAsia="Times New Roman"/>
          <w:color w:val="000000"/>
          <w:sz w:val="18"/>
          <w:szCs w:val="18"/>
        </w:rPr>
        <w:t xml:space="preserve">ards as other public companies that are not an EGC. </w:t>
      </w:r>
    </w:p>
    <w:p w:rsidR="00000000" w:rsidRDefault="00375AF8">
      <w:pPr>
        <w:ind w:firstLine="720"/>
        <w:jc w:val="both"/>
        <w:divId w:val="101800765"/>
        <w:rPr>
          <w:rFonts w:eastAsia="Times New Roman"/>
        </w:rPr>
      </w:pPr>
      <w:r>
        <w:rPr>
          <w:rFonts w:eastAsia="Times New Roman"/>
          <w:color w:val="000000"/>
          <w:sz w:val="18"/>
          <w:szCs w:val="18"/>
        </w:rPr>
        <w:t>In addition, we will continue to qualify as a smaller reporting company as defined in the Exchange Act even after we are no longer an emerging growth company. We may take advantage of certain of the scal</w:t>
      </w:r>
      <w:r>
        <w:rPr>
          <w:rFonts w:eastAsia="Times New Roman"/>
          <w:color w:val="000000"/>
          <w:sz w:val="18"/>
          <w:szCs w:val="18"/>
        </w:rPr>
        <w:t xml:space="preserve">ed disclosures available to smaller reporting companies, including but not limited to: </w:t>
      </w:r>
    </w:p>
    <w:p w:rsidR="00000000" w:rsidRDefault="00375AF8">
      <w:pPr>
        <w:ind w:hanging="720"/>
        <w:jc w:val="both"/>
        <w:divId w:val="1374579859"/>
        <w:rPr>
          <w:rFonts w:eastAsia="Times New Roman"/>
        </w:rPr>
      </w:pPr>
      <w:r>
        <w:rPr>
          <w:rFonts w:eastAsia="Times New Roman"/>
          <w:color w:val="000000"/>
          <w:sz w:val="18"/>
          <w:szCs w:val="18"/>
        </w:rPr>
        <w:t>•reduced disclosure obligations regarding executive compensation arrangements; and</w:t>
      </w:r>
    </w:p>
    <w:p w:rsidR="00000000" w:rsidRDefault="00375AF8">
      <w:pPr>
        <w:ind w:hanging="720"/>
        <w:jc w:val="both"/>
        <w:divId w:val="1811820074"/>
        <w:rPr>
          <w:rFonts w:eastAsia="Times New Roman"/>
        </w:rPr>
      </w:pPr>
      <w:r>
        <w:rPr>
          <w:rFonts w:eastAsia="Times New Roman"/>
          <w:color w:val="000000"/>
          <w:sz w:val="18"/>
          <w:szCs w:val="18"/>
        </w:rPr>
        <w:t>•being permitted to provide only two years of audited financial statements, in additi</w:t>
      </w:r>
      <w:r>
        <w:rPr>
          <w:rFonts w:eastAsia="Times New Roman"/>
          <w:color w:val="000000"/>
          <w:sz w:val="18"/>
          <w:szCs w:val="18"/>
        </w:rPr>
        <w:t>on to any required unaudited interim financial statements, with correspondingly reduced “Management’s Discussion and Analysis of Financial Condition and Results of Operations” disclosure.</w:t>
      </w:r>
    </w:p>
    <w:p w:rsidR="00000000" w:rsidRDefault="00375AF8">
      <w:pPr>
        <w:ind w:firstLine="720"/>
        <w:jc w:val="both"/>
        <w:divId w:val="443380623"/>
        <w:rPr>
          <w:rFonts w:eastAsia="Times New Roman"/>
        </w:rPr>
      </w:pPr>
      <w:r>
        <w:rPr>
          <w:rFonts w:eastAsia="Times New Roman"/>
          <w:color w:val="000000"/>
          <w:sz w:val="18"/>
          <w:szCs w:val="18"/>
        </w:rPr>
        <w:t>However, as of June 30, 2022, in addition to being classified as a “</w:t>
      </w:r>
      <w:r>
        <w:rPr>
          <w:rFonts w:eastAsia="Times New Roman"/>
          <w:color w:val="000000"/>
          <w:sz w:val="18"/>
          <w:szCs w:val="18"/>
        </w:rPr>
        <w:t xml:space="preserve">smaller reporting company,” we will be classified as an “accelerated filer” pursuant to SEC rules and will be required to provide, among other items, an auditor’s attestation of management’s assessment of internal control over financial reporting required </w:t>
      </w:r>
      <w:r>
        <w:rPr>
          <w:rFonts w:eastAsia="Times New Roman"/>
          <w:color w:val="000000"/>
          <w:sz w:val="18"/>
          <w:szCs w:val="18"/>
        </w:rPr>
        <w:t xml:space="preserve">under Sarbanes-Oxley Act Section 404(b) beginning with our annual report for the year ending December 31, 2022. </w:t>
      </w:r>
    </w:p>
    <w:p w:rsidR="00000000" w:rsidRDefault="00375AF8">
      <w:pPr>
        <w:jc w:val="both"/>
        <w:divId w:val="1362559843"/>
        <w:rPr>
          <w:rFonts w:eastAsia="Times New Roman"/>
        </w:rPr>
      </w:pPr>
      <w:r>
        <w:rPr>
          <w:rFonts w:eastAsia="Times New Roman"/>
          <w:b/>
          <w:bCs/>
          <w:i/>
          <w:iCs/>
          <w:color w:val="000000"/>
          <w:sz w:val="18"/>
          <w:szCs w:val="18"/>
        </w:rPr>
        <w:t>Effective as of December 31, 2022, we will no longer be an EGC, which will increase our costs and demands on management.</w:t>
      </w:r>
    </w:p>
    <w:p w:rsidR="00000000" w:rsidRDefault="00375AF8">
      <w:pPr>
        <w:ind w:firstLine="720"/>
        <w:jc w:val="both"/>
        <w:divId w:val="1682243620"/>
        <w:rPr>
          <w:rFonts w:eastAsia="Times New Roman"/>
        </w:rPr>
      </w:pPr>
      <w:r>
        <w:rPr>
          <w:rFonts w:eastAsia="Times New Roman"/>
          <w:color w:val="000000"/>
          <w:sz w:val="18"/>
          <w:szCs w:val="18"/>
        </w:rPr>
        <w:t>We will cease to be an</w:t>
      </w:r>
      <w:r>
        <w:rPr>
          <w:rFonts w:eastAsia="Times New Roman"/>
          <w:color w:val="000000"/>
          <w:sz w:val="18"/>
          <w:szCs w:val="18"/>
        </w:rPr>
        <w:t xml:space="preserve"> EGC on December 31, 2022. In addition, as a result of the market value of our common stock held by non-affiliates as of June 30, 2022, we will also qualify as a smaller reporting company and an accelerated filer as of December 31, 2022. We are not require</w:t>
      </w:r>
      <w:r>
        <w:rPr>
          <w:rFonts w:eastAsia="Times New Roman"/>
          <w:color w:val="000000"/>
          <w:sz w:val="18"/>
          <w:szCs w:val="18"/>
        </w:rPr>
        <w:t>d to reflect the change in our reporting status and comply with the associated increased disclosure obligations until our annual report for the year ending December 31, 2022.</w:t>
      </w:r>
    </w:p>
    <w:p w:rsidR="00000000" w:rsidRDefault="00375AF8">
      <w:pPr>
        <w:ind w:firstLine="720"/>
        <w:jc w:val="both"/>
        <w:divId w:val="1963266727"/>
        <w:rPr>
          <w:rFonts w:eastAsia="Times New Roman"/>
        </w:rPr>
      </w:pPr>
      <w:r>
        <w:rPr>
          <w:rFonts w:eastAsia="Times New Roman"/>
          <w:color w:val="000000"/>
          <w:sz w:val="18"/>
          <w:szCs w:val="18"/>
        </w:rPr>
        <w:t>Due to our exit from EGC status and our qualification as a smaller reporting comp</w:t>
      </w:r>
      <w:r>
        <w:rPr>
          <w:rFonts w:eastAsia="Times New Roman"/>
          <w:color w:val="000000"/>
          <w:sz w:val="18"/>
          <w:szCs w:val="18"/>
        </w:rPr>
        <w:t xml:space="preserve">any that is also classified as an accelerated filer, we will be subject to certain disclosure and compliance requirements that apply to other public companies that did not previously apply to us due to our status as an EGC. These requirements include, but </w:t>
      </w:r>
      <w:r>
        <w:rPr>
          <w:rFonts w:eastAsia="Times New Roman"/>
          <w:color w:val="000000"/>
          <w:sz w:val="18"/>
          <w:szCs w:val="18"/>
        </w:rPr>
        <w:t>are not limited to:</w:t>
      </w:r>
    </w:p>
    <w:p w:rsidR="00000000" w:rsidRDefault="00375AF8">
      <w:pPr>
        <w:jc w:val="center"/>
        <w:divId w:val="574976733"/>
        <w:rPr>
          <w:rFonts w:eastAsia="Times New Roman"/>
        </w:rPr>
      </w:pPr>
      <w:r>
        <w:rPr>
          <w:rFonts w:eastAsia="Times New Roman"/>
          <w:color w:val="000000"/>
          <w:sz w:val="18"/>
          <w:szCs w:val="18"/>
        </w:rPr>
        <w:t>53</w:t>
      </w:r>
    </w:p>
    <w:p w:rsidR="00000000" w:rsidRDefault="00375AF8">
      <w:pPr>
        <w:rPr>
          <w:rFonts w:eastAsia="Times New Roman"/>
        </w:rPr>
      </w:pPr>
      <w:r>
        <w:rPr>
          <w:rFonts w:eastAsia="Times New Roman"/>
        </w:rPr>
        <w:pict>
          <v:rect id="_x0000_i1079" style="width:0;height:1.5pt" o:hralign="center" o:hrstd="t" o:hr="t" fillcolor="#a0a0a0" stroked="f"/>
        </w:pict>
      </w:r>
    </w:p>
    <w:p w:rsidR="00000000" w:rsidRDefault="00375AF8">
      <w:pPr>
        <w:divId w:val="801115009"/>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075249383"/>
        <w:rPr>
          <w:rFonts w:eastAsia="Times New Roman"/>
        </w:rPr>
      </w:pPr>
      <w:r>
        <w:rPr>
          <w:rFonts w:eastAsia="Times New Roman"/>
          <w:color w:val="000000"/>
          <w:sz w:val="18"/>
          <w:szCs w:val="18"/>
        </w:rPr>
        <w:t>•the requirement that our independent registered public accounting firm attest to the effectiveness of our internal control over financial repor</w:t>
      </w:r>
      <w:r>
        <w:rPr>
          <w:rFonts w:eastAsia="Times New Roman"/>
          <w:color w:val="000000"/>
          <w:sz w:val="18"/>
          <w:szCs w:val="18"/>
        </w:rPr>
        <w:t>ting under Section 404(b) of the Sarbanes-Oxley Act of 2002 (“Section 404”); and</w:t>
      </w:r>
    </w:p>
    <w:p w:rsidR="00000000" w:rsidRDefault="00375AF8">
      <w:pPr>
        <w:ind w:hanging="720"/>
        <w:jc w:val="both"/>
        <w:divId w:val="568465142"/>
        <w:rPr>
          <w:rFonts w:eastAsia="Times New Roman"/>
        </w:rPr>
      </w:pPr>
      <w:r>
        <w:rPr>
          <w:rFonts w:eastAsia="Times New Roman"/>
          <w:color w:val="000000"/>
          <w:sz w:val="18"/>
          <w:szCs w:val="18"/>
        </w:rPr>
        <w:t>•the requirement that we hold a non-binding advisory vote on executive compensation and obtain stockholder approval of any golden parachute payments not previously approved.</w:t>
      </w:r>
    </w:p>
    <w:p w:rsidR="00000000" w:rsidRDefault="00375AF8">
      <w:pPr>
        <w:ind w:firstLine="720"/>
        <w:jc w:val="both"/>
        <w:divId w:val="1596816334"/>
        <w:rPr>
          <w:rFonts w:eastAsia="Times New Roman"/>
        </w:rPr>
      </w:pPr>
      <w:r>
        <w:rPr>
          <w:rFonts w:eastAsia="Times New Roman"/>
          <w:color w:val="000000"/>
          <w:sz w:val="18"/>
          <w:szCs w:val="18"/>
        </w:rPr>
        <w:t>W</w:t>
      </w:r>
      <w:r>
        <w:rPr>
          <w:rFonts w:eastAsia="Times New Roman"/>
          <w:color w:val="000000"/>
          <w:sz w:val="18"/>
          <w:szCs w:val="18"/>
        </w:rPr>
        <w:t>e expect that compliance with the additional requirements will increase our legal and financial compliance costs and may cause management and other personnel to divert attention from operational and other business matters to devote increased time to public</w:t>
      </w:r>
      <w:r>
        <w:rPr>
          <w:rFonts w:eastAsia="Times New Roman"/>
          <w:color w:val="000000"/>
          <w:sz w:val="18"/>
          <w:szCs w:val="18"/>
        </w:rPr>
        <w:t xml:space="preserve"> company reporting requirements. In addition, if we are not able to comply with changing requirements in a timely manner, the market price of our common stock could decline, and we could be subject to sanctions or investigations by The Nasdaq Stock Market </w:t>
      </w:r>
      <w:r>
        <w:rPr>
          <w:rFonts w:eastAsia="Times New Roman"/>
          <w:color w:val="000000"/>
          <w:sz w:val="18"/>
          <w:szCs w:val="18"/>
        </w:rPr>
        <w:t xml:space="preserve">LLC, the SEC or other regulatory authorities, which would require additional financial and management resources. </w:t>
      </w:r>
    </w:p>
    <w:p w:rsidR="00000000" w:rsidRDefault="00375AF8">
      <w:pPr>
        <w:jc w:val="both"/>
        <w:divId w:val="1045987161"/>
        <w:rPr>
          <w:rFonts w:eastAsia="Times New Roman"/>
        </w:rPr>
      </w:pPr>
      <w:r>
        <w:rPr>
          <w:rFonts w:eastAsia="Times New Roman"/>
          <w:b/>
          <w:bCs/>
          <w:i/>
          <w:iCs/>
          <w:color w:val="000000"/>
          <w:sz w:val="18"/>
          <w:szCs w:val="18"/>
        </w:rPr>
        <w:t>We will continue to incur increased costs as a result of operating as a public company, and our management will devote substantial time to new</w:t>
      </w:r>
      <w:r>
        <w:rPr>
          <w:rFonts w:eastAsia="Times New Roman"/>
          <w:b/>
          <w:bCs/>
          <w:i/>
          <w:iCs/>
          <w:color w:val="000000"/>
          <w:sz w:val="18"/>
          <w:szCs w:val="18"/>
        </w:rPr>
        <w:t xml:space="preserve"> compliance initiatives.</w:t>
      </w:r>
    </w:p>
    <w:p w:rsidR="00000000" w:rsidRDefault="00375AF8">
      <w:pPr>
        <w:ind w:firstLine="720"/>
        <w:jc w:val="both"/>
        <w:divId w:val="349186274"/>
        <w:rPr>
          <w:rFonts w:eastAsia="Times New Roman"/>
        </w:rPr>
      </w:pPr>
      <w:r>
        <w:rPr>
          <w:rFonts w:eastAsia="Times New Roman"/>
          <w:color w:val="000000"/>
          <w:sz w:val="18"/>
          <w:szCs w:val="18"/>
        </w:rPr>
        <w:t>As a public company, and particularly after we are no longer an EGC, we will incur significant legal, accounting and other expenses that we did not incur as a private company. In addition, the Sarbanes-Oxley Act of 2002 and rules s</w:t>
      </w:r>
      <w:r>
        <w:rPr>
          <w:rFonts w:eastAsia="Times New Roman"/>
          <w:color w:val="000000"/>
          <w:sz w:val="18"/>
          <w:szCs w:val="18"/>
        </w:rPr>
        <w:t>ubsequently implemented by the SEC and The Nasdaq Stock Market LLC have imposed various requirements on public companies, including establishment and maintenance of effective disclosure and financial controls and corporate governance practices. Our managem</w:t>
      </w:r>
      <w:r>
        <w:rPr>
          <w:rFonts w:eastAsia="Times New Roman"/>
          <w:color w:val="000000"/>
          <w:sz w:val="18"/>
          <w:szCs w:val="18"/>
        </w:rPr>
        <w:t>ent and other personnel devote a substantial amount of time to these and other compliance initiatives. Moreover, these rules and regulations will continue to increase our legal and financial compliance costs and will make some activities more time-consumin</w:t>
      </w:r>
      <w:r>
        <w:rPr>
          <w:rFonts w:eastAsia="Times New Roman"/>
          <w:color w:val="000000"/>
          <w:sz w:val="18"/>
          <w:szCs w:val="18"/>
        </w:rPr>
        <w:t>g and costly.</w:t>
      </w:r>
    </w:p>
    <w:p w:rsidR="00000000" w:rsidRDefault="00375AF8">
      <w:pPr>
        <w:jc w:val="both"/>
        <w:divId w:val="1855999160"/>
        <w:rPr>
          <w:rFonts w:eastAsia="Times New Roman"/>
        </w:rPr>
      </w:pPr>
      <w:r>
        <w:rPr>
          <w:rFonts w:eastAsia="Times New Roman"/>
          <w:b/>
          <w:bCs/>
          <w:i/>
          <w:iCs/>
          <w:color w:val="000000"/>
          <w:sz w:val="18"/>
          <w:szCs w:val="18"/>
        </w:rPr>
        <w:t>If we fail to maintain an effective system of internal control over financial reporting in the future, we may not be able to accurately report our financial condition, results of operations or cash flows, which may adversely affect investor confidence in u</w:t>
      </w:r>
      <w:r>
        <w:rPr>
          <w:rFonts w:eastAsia="Times New Roman"/>
          <w:b/>
          <w:bCs/>
          <w:i/>
          <w:iCs/>
          <w:color w:val="000000"/>
          <w:sz w:val="18"/>
          <w:szCs w:val="18"/>
        </w:rPr>
        <w:t>s and, as a result, the value of our common stock.</w:t>
      </w:r>
    </w:p>
    <w:p w:rsidR="00000000" w:rsidRDefault="00375AF8">
      <w:pPr>
        <w:ind w:firstLine="720"/>
        <w:jc w:val="both"/>
        <w:divId w:val="1036858226"/>
        <w:rPr>
          <w:rFonts w:eastAsia="Times New Roman"/>
        </w:rPr>
      </w:pPr>
      <w:r>
        <w:rPr>
          <w:rFonts w:eastAsia="Times New Roman"/>
          <w:color w:val="000000"/>
          <w:sz w:val="18"/>
          <w:szCs w:val="18"/>
        </w:rPr>
        <w:t>The Sarbanes-Oxley Act requires, among other things, that we maintain effective internal controls for financial reporting and disclosure controls and procedures. We are required, under Section 404 of the S</w:t>
      </w:r>
      <w:r>
        <w:rPr>
          <w:rFonts w:eastAsia="Times New Roman"/>
          <w:color w:val="000000"/>
          <w:sz w:val="18"/>
          <w:szCs w:val="18"/>
        </w:rPr>
        <w:t>arbanes-Oxley Act (“Section 404”), to furnish a report by management on, among other things, the effectiveness of our internal control over financial reporting. This assessment will need to include disclosure of any material weaknesses identified by our ma</w:t>
      </w:r>
      <w:r>
        <w:rPr>
          <w:rFonts w:eastAsia="Times New Roman"/>
          <w:color w:val="000000"/>
          <w:sz w:val="18"/>
          <w:szCs w:val="18"/>
        </w:rPr>
        <w:t xml:space="preserve">nagement in our internal control over financial reporting. Section 404 also generally requires an attestation from our independent registered public accounting firm on the effectiveness of our internal control over financial reporting. </w:t>
      </w:r>
    </w:p>
    <w:p w:rsidR="00000000" w:rsidRDefault="00375AF8">
      <w:pPr>
        <w:ind w:firstLine="720"/>
        <w:jc w:val="both"/>
        <w:divId w:val="977760795"/>
        <w:rPr>
          <w:rFonts w:eastAsia="Times New Roman"/>
        </w:rPr>
      </w:pPr>
      <w:r>
        <w:rPr>
          <w:rFonts w:eastAsia="Times New Roman"/>
          <w:color w:val="000000"/>
          <w:sz w:val="18"/>
          <w:szCs w:val="18"/>
        </w:rPr>
        <w:t xml:space="preserve">While we have been </w:t>
      </w:r>
      <w:r>
        <w:rPr>
          <w:rFonts w:eastAsia="Times New Roman"/>
          <w:color w:val="000000"/>
          <w:sz w:val="18"/>
          <w:szCs w:val="18"/>
        </w:rPr>
        <w:t>EGC, our independent registered public accounting firm has not been required to attest to the effectiveness of our internal controls over financial reporting pursuant to Section 404. This exemption will no longer apply to us as of December 31, 2022. Accord</w:t>
      </w:r>
      <w:r>
        <w:rPr>
          <w:rFonts w:eastAsia="Times New Roman"/>
          <w:color w:val="000000"/>
          <w:sz w:val="18"/>
          <w:szCs w:val="18"/>
        </w:rPr>
        <w:t>ingly, beginning with our annual report for the year ending December 31, 2022, we will be required to include an attestation from our independent registered public accounting firm on the effectiveness of our internal control over financial reporting. Our c</w:t>
      </w:r>
      <w:r>
        <w:rPr>
          <w:rFonts w:eastAsia="Times New Roman"/>
          <w:color w:val="000000"/>
          <w:sz w:val="18"/>
          <w:szCs w:val="18"/>
        </w:rPr>
        <w:t>ompliance with Section 404 will require that we incur substantial expense and expend significant management efforts. We currently do not have an internal audit group, and we will need to hire additional accounting and financial staff with appropriate publi</w:t>
      </w:r>
      <w:r>
        <w:rPr>
          <w:rFonts w:eastAsia="Times New Roman"/>
          <w:color w:val="000000"/>
          <w:sz w:val="18"/>
          <w:szCs w:val="18"/>
        </w:rPr>
        <w:t>c company experience and technical accounting knowledge and compile the system and process documentation necessary to perform the evaluation needed to comply with Section 404. We may not be able to complete our evaluation, testing and any required remediat</w:t>
      </w:r>
      <w:r>
        <w:rPr>
          <w:rFonts w:eastAsia="Times New Roman"/>
          <w:color w:val="000000"/>
          <w:sz w:val="18"/>
          <w:szCs w:val="18"/>
        </w:rPr>
        <w:t>ion in a timely fashion. During the evaluation and testing process, if we identify one or more material weaknesses in our internal control over financial reporting, we will be unable to assert that our internal control over financial reporting is effective</w:t>
      </w:r>
      <w:r>
        <w:rPr>
          <w:rFonts w:eastAsia="Times New Roman"/>
          <w:color w:val="000000"/>
          <w:sz w:val="18"/>
          <w:szCs w:val="18"/>
        </w:rPr>
        <w:t>. We cannot assure you that there will not be material weaknesses or significant deficiencies in our internal control over financial reporting in the future. Any failure to maintain internal control over financial reporting could severely inhibit our abili</w:t>
      </w:r>
      <w:r>
        <w:rPr>
          <w:rFonts w:eastAsia="Times New Roman"/>
          <w:color w:val="000000"/>
          <w:sz w:val="18"/>
          <w:szCs w:val="18"/>
        </w:rPr>
        <w:t>ty to accurately report our financial condition, results of operations or cash flows. If we are unable to conclude that our internal control over financial reporting is effective, or if our independent registered public accounting firm determines we have a</w:t>
      </w:r>
      <w:r>
        <w:rPr>
          <w:rFonts w:eastAsia="Times New Roman"/>
          <w:color w:val="000000"/>
          <w:sz w:val="18"/>
          <w:szCs w:val="18"/>
        </w:rPr>
        <w:t xml:space="preserve"> material weakness or significant deficiency in our internal control over financial reporting once that firm begins its Section 404 reviews, we could lose investor confidence in the accuracy and completeness of our financial reports, the market price of ou</w:t>
      </w:r>
      <w:r>
        <w:rPr>
          <w:rFonts w:eastAsia="Times New Roman"/>
          <w:color w:val="000000"/>
          <w:sz w:val="18"/>
          <w:szCs w:val="18"/>
        </w:rPr>
        <w:t>r common stock could decline, and we could be subject to sanctions or investigations by The Nasdaq Stock Market LLC, the SEC or other regulatory authorities. Failure to remedy any material weakness in our internal control over financial reporting, or to im</w:t>
      </w:r>
      <w:r>
        <w:rPr>
          <w:rFonts w:eastAsia="Times New Roman"/>
          <w:color w:val="000000"/>
          <w:sz w:val="18"/>
          <w:szCs w:val="18"/>
        </w:rPr>
        <w:t>plement or maintain other effective control systems required of public companies, could also restrict our future access to the capital markets.</w:t>
      </w:r>
    </w:p>
    <w:p w:rsidR="00000000" w:rsidRDefault="00375AF8">
      <w:pPr>
        <w:jc w:val="both"/>
        <w:divId w:val="540093856"/>
        <w:rPr>
          <w:rFonts w:eastAsia="Times New Roman"/>
        </w:rPr>
      </w:pPr>
      <w:r>
        <w:rPr>
          <w:rFonts w:eastAsia="Times New Roman"/>
          <w:b/>
          <w:bCs/>
          <w:color w:val="000000"/>
          <w:sz w:val="18"/>
          <w:szCs w:val="18"/>
        </w:rPr>
        <w:t>Risks Related to the Ownership of Our Common Stock and Other General Matters</w:t>
      </w:r>
    </w:p>
    <w:p w:rsidR="00000000" w:rsidRDefault="00375AF8">
      <w:pPr>
        <w:jc w:val="both"/>
        <w:divId w:val="1608349493"/>
        <w:rPr>
          <w:rFonts w:eastAsia="Times New Roman"/>
        </w:rPr>
      </w:pPr>
      <w:r>
        <w:rPr>
          <w:rFonts w:eastAsia="Times New Roman"/>
          <w:b/>
          <w:bCs/>
          <w:i/>
          <w:iCs/>
          <w:color w:val="000000"/>
          <w:sz w:val="18"/>
          <w:szCs w:val="18"/>
        </w:rPr>
        <w:t>The market price of our common stoc</w:t>
      </w:r>
      <w:r>
        <w:rPr>
          <w:rFonts w:eastAsia="Times New Roman"/>
          <w:b/>
          <w:bCs/>
          <w:i/>
          <w:iCs/>
          <w:color w:val="000000"/>
          <w:sz w:val="18"/>
          <w:szCs w:val="18"/>
        </w:rPr>
        <w:t>k may be volatile and fluctuate substantially, which could result in substantial losses for our common stock</w:t>
      </w:r>
      <w:r>
        <w:rPr>
          <w:rFonts w:eastAsia="Times New Roman"/>
          <w:color w:val="000000"/>
          <w:sz w:val="18"/>
          <w:szCs w:val="18"/>
        </w:rPr>
        <w:t>.</w:t>
      </w:r>
    </w:p>
    <w:p w:rsidR="00000000" w:rsidRDefault="00375AF8">
      <w:pPr>
        <w:ind w:firstLine="720"/>
        <w:jc w:val="both"/>
        <w:divId w:val="1766420038"/>
        <w:rPr>
          <w:rFonts w:eastAsia="Times New Roman"/>
        </w:rPr>
      </w:pPr>
      <w:r>
        <w:rPr>
          <w:rFonts w:eastAsia="Times New Roman"/>
          <w:color w:val="000000"/>
          <w:sz w:val="18"/>
          <w:szCs w:val="18"/>
        </w:rPr>
        <w:t>The market price of our common stock has been and likely will remain volatile. The stock market in general and the market for biopharmaceutical or</w:t>
      </w:r>
      <w:r>
        <w:rPr>
          <w:rFonts w:eastAsia="Times New Roman"/>
          <w:color w:val="000000"/>
          <w:sz w:val="18"/>
          <w:szCs w:val="18"/>
        </w:rPr>
        <w:t xml:space="preserve"> pharmaceutical companies in particular, has experienced extreme volatility that has often been unrelated to the operating performance of particular companies, including very recently in connection with the ongoing COVID-19 pandemic, which has resulted in </w:t>
      </w:r>
      <w:r>
        <w:rPr>
          <w:rFonts w:eastAsia="Times New Roman"/>
          <w:color w:val="000000"/>
          <w:sz w:val="18"/>
          <w:szCs w:val="18"/>
        </w:rPr>
        <w:t>decreased stock prices for many companies notwithstanding the lack of a fundamental change in their underlying business models or prospects. Broad market and industry factors, including potentially worsening economic conditions and other adverse effects or</w:t>
      </w:r>
      <w:r>
        <w:rPr>
          <w:rFonts w:eastAsia="Times New Roman"/>
          <w:color w:val="000000"/>
          <w:sz w:val="18"/>
          <w:szCs w:val="18"/>
        </w:rPr>
        <w:t xml:space="preserve"> developments relating to the ongoing COVID-19 pandemic, may negatively affect the market price of our common stock, regardless of our actual operating performance. As a result of this volatility, you may lose all or part of your investment in our common s</w:t>
      </w:r>
      <w:r>
        <w:rPr>
          <w:rFonts w:eastAsia="Times New Roman"/>
          <w:color w:val="000000"/>
          <w:sz w:val="18"/>
          <w:szCs w:val="18"/>
        </w:rPr>
        <w:t>tock since you might be unable to sell your shares at or above the price you paid for the shares. The market price for our common stock may be influenced by many factors, including:</w:t>
      </w:r>
    </w:p>
    <w:p w:rsidR="00000000" w:rsidRDefault="00375AF8">
      <w:pPr>
        <w:ind w:hanging="720"/>
        <w:jc w:val="both"/>
        <w:divId w:val="261686493"/>
        <w:rPr>
          <w:rFonts w:eastAsia="Times New Roman"/>
        </w:rPr>
      </w:pPr>
      <w:r>
        <w:rPr>
          <w:rFonts w:eastAsia="Times New Roman"/>
          <w:color w:val="000000"/>
          <w:sz w:val="18"/>
          <w:szCs w:val="18"/>
        </w:rPr>
        <w:t xml:space="preserve">•results of clinical trials of our current and any future drug candidates </w:t>
      </w:r>
      <w:r>
        <w:rPr>
          <w:rFonts w:eastAsia="Times New Roman"/>
          <w:color w:val="000000"/>
          <w:sz w:val="18"/>
          <w:szCs w:val="18"/>
        </w:rPr>
        <w:t>or those of our competitors;</w:t>
      </w:r>
    </w:p>
    <w:p w:rsidR="00000000" w:rsidRDefault="00375AF8">
      <w:pPr>
        <w:jc w:val="center"/>
        <w:divId w:val="560137711"/>
        <w:rPr>
          <w:rFonts w:eastAsia="Times New Roman"/>
        </w:rPr>
      </w:pPr>
      <w:r>
        <w:rPr>
          <w:rFonts w:eastAsia="Times New Roman"/>
          <w:color w:val="000000"/>
          <w:sz w:val="18"/>
          <w:szCs w:val="18"/>
        </w:rPr>
        <w:t>54</w:t>
      </w:r>
    </w:p>
    <w:p w:rsidR="00000000" w:rsidRDefault="00375AF8">
      <w:pPr>
        <w:rPr>
          <w:rFonts w:eastAsia="Times New Roman"/>
        </w:rPr>
      </w:pPr>
      <w:r>
        <w:rPr>
          <w:rFonts w:eastAsia="Times New Roman"/>
        </w:rPr>
        <w:pict>
          <v:rect id="_x0000_i1080" style="width:0;height:1.5pt" o:hralign="center" o:hrstd="t" o:hr="t" fillcolor="#a0a0a0" stroked="f"/>
        </w:pict>
      </w:r>
    </w:p>
    <w:p w:rsidR="00000000" w:rsidRDefault="00375AF8">
      <w:pPr>
        <w:divId w:val="157581810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24810217"/>
        <w:rPr>
          <w:rFonts w:eastAsia="Times New Roman"/>
        </w:rPr>
      </w:pPr>
      <w:r>
        <w:rPr>
          <w:rFonts w:eastAsia="Times New Roman"/>
          <w:color w:val="000000"/>
          <w:sz w:val="18"/>
          <w:szCs w:val="18"/>
        </w:rPr>
        <w:t>•the success of competitive drugs or therapies;</w:t>
      </w:r>
    </w:p>
    <w:p w:rsidR="00000000" w:rsidRDefault="00375AF8">
      <w:pPr>
        <w:ind w:hanging="720"/>
        <w:jc w:val="both"/>
        <w:divId w:val="1723481181"/>
        <w:rPr>
          <w:rFonts w:eastAsia="Times New Roman"/>
        </w:rPr>
      </w:pPr>
      <w:r>
        <w:rPr>
          <w:rFonts w:eastAsia="Times New Roman"/>
          <w:color w:val="000000"/>
          <w:sz w:val="18"/>
          <w:szCs w:val="18"/>
        </w:rPr>
        <w:t>•regulatory or legal developments in the United States and other</w:t>
      </w:r>
      <w:r>
        <w:rPr>
          <w:rFonts w:eastAsia="Times New Roman"/>
          <w:color w:val="000000"/>
          <w:sz w:val="18"/>
          <w:szCs w:val="18"/>
        </w:rPr>
        <w:t xml:space="preserve"> countries;</w:t>
      </w:r>
    </w:p>
    <w:p w:rsidR="00000000" w:rsidRDefault="00375AF8">
      <w:pPr>
        <w:ind w:hanging="720"/>
        <w:jc w:val="both"/>
        <w:divId w:val="1136677421"/>
        <w:rPr>
          <w:rFonts w:eastAsia="Times New Roman"/>
        </w:rPr>
      </w:pPr>
      <w:r>
        <w:rPr>
          <w:rFonts w:eastAsia="Times New Roman"/>
          <w:color w:val="000000"/>
          <w:sz w:val="18"/>
          <w:szCs w:val="18"/>
        </w:rPr>
        <w:t>•developments or disputes concerning patent applications, issued patents or other proprietary rights;</w:t>
      </w:r>
    </w:p>
    <w:p w:rsidR="00000000" w:rsidRDefault="00375AF8">
      <w:pPr>
        <w:ind w:hanging="720"/>
        <w:jc w:val="both"/>
        <w:divId w:val="603079363"/>
        <w:rPr>
          <w:rFonts w:eastAsia="Times New Roman"/>
        </w:rPr>
      </w:pPr>
      <w:r>
        <w:rPr>
          <w:rFonts w:eastAsia="Times New Roman"/>
          <w:color w:val="000000"/>
          <w:sz w:val="18"/>
          <w:szCs w:val="18"/>
        </w:rPr>
        <w:t>•the recruitment or departure of key personnel;</w:t>
      </w:r>
    </w:p>
    <w:p w:rsidR="00000000" w:rsidRDefault="00375AF8">
      <w:pPr>
        <w:ind w:hanging="720"/>
        <w:jc w:val="both"/>
        <w:divId w:val="1360201605"/>
        <w:rPr>
          <w:rFonts w:eastAsia="Times New Roman"/>
        </w:rPr>
      </w:pPr>
      <w:r>
        <w:rPr>
          <w:rFonts w:eastAsia="Times New Roman"/>
          <w:color w:val="000000"/>
          <w:sz w:val="18"/>
          <w:szCs w:val="18"/>
        </w:rPr>
        <w:t>•the level of expenses related to our current and any future drug candidates or clinical devel</w:t>
      </w:r>
      <w:r>
        <w:rPr>
          <w:rFonts w:eastAsia="Times New Roman"/>
          <w:color w:val="000000"/>
          <w:sz w:val="18"/>
          <w:szCs w:val="18"/>
        </w:rPr>
        <w:t>opment programs;</w:t>
      </w:r>
    </w:p>
    <w:p w:rsidR="00000000" w:rsidRDefault="00375AF8">
      <w:pPr>
        <w:ind w:hanging="720"/>
        <w:jc w:val="both"/>
        <w:divId w:val="1888448888"/>
        <w:rPr>
          <w:rFonts w:eastAsia="Times New Roman"/>
        </w:rPr>
      </w:pPr>
      <w:r>
        <w:rPr>
          <w:rFonts w:eastAsia="Times New Roman"/>
          <w:color w:val="000000"/>
          <w:sz w:val="18"/>
          <w:szCs w:val="18"/>
        </w:rPr>
        <w:t>•the results of our efforts to discover, develop, acquire or in-license additional drug candidates;</w:t>
      </w:r>
    </w:p>
    <w:p w:rsidR="00000000" w:rsidRDefault="00375AF8">
      <w:pPr>
        <w:ind w:hanging="720"/>
        <w:jc w:val="both"/>
        <w:divId w:val="531305322"/>
        <w:rPr>
          <w:rFonts w:eastAsia="Times New Roman"/>
        </w:rPr>
      </w:pPr>
      <w:r>
        <w:rPr>
          <w:rFonts w:eastAsia="Times New Roman"/>
          <w:color w:val="000000"/>
          <w:sz w:val="18"/>
          <w:szCs w:val="18"/>
        </w:rPr>
        <w:t>•actual or anticipated changes in estimates as to financial results, development timelines or recommendations by securities analysts;</w:t>
      </w:r>
    </w:p>
    <w:p w:rsidR="00000000" w:rsidRDefault="00375AF8">
      <w:pPr>
        <w:ind w:hanging="720"/>
        <w:jc w:val="both"/>
        <w:divId w:val="1668171180"/>
        <w:rPr>
          <w:rFonts w:eastAsia="Times New Roman"/>
        </w:rPr>
      </w:pPr>
      <w:r>
        <w:rPr>
          <w:rFonts w:eastAsia="Times New Roman"/>
          <w:color w:val="000000"/>
          <w:sz w:val="18"/>
          <w:szCs w:val="18"/>
        </w:rPr>
        <w:t xml:space="preserve">•our </w:t>
      </w:r>
      <w:r>
        <w:rPr>
          <w:rFonts w:eastAsia="Times New Roman"/>
          <w:color w:val="000000"/>
          <w:sz w:val="18"/>
          <w:szCs w:val="18"/>
        </w:rPr>
        <w:t>inability to obtain or delays in obtaining adequate drug supply for any approved drug or inability to do so at acceptable prices;</w:t>
      </w:r>
    </w:p>
    <w:p w:rsidR="00000000" w:rsidRDefault="00375AF8">
      <w:pPr>
        <w:ind w:hanging="720"/>
        <w:jc w:val="both"/>
        <w:divId w:val="2112167402"/>
        <w:rPr>
          <w:rFonts w:eastAsia="Times New Roman"/>
        </w:rPr>
      </w:pPr>
      <w:r>
        <w:rPr>
          <w:rFonts w:eastAsia="Times New Roman"/>
          <w:color w:val="000000"/>
          <w:sz w:val="18"/>
          <w:szCs w:val="18"/>
        </w:rPr>
        <w:t>•</w:t>
      </w:r>
      <w:r>
        <w:rPr>
          <w:rFonts w:eastAsia="Times New Roman"/>
          <w:color w:val="000000"/>
          <w:sz w:val="18"/>
          <w:szCs w:val="18"/>
        </w:rPr>
        <w:t>disputes or other developments relating to proprietary rights, including patents, litigation matters and our ability to obtain patent protection for our technologies;</w:t>
      </w:r>
    </w:p>
    <w:p w:rsidR="00000000" w:rsidRDefault="00375AF8">
      <w:pPr>
        <w:ind w:hanging="720"/>
        <w:jc w:val="both"/>
        <w:divId w:val="422919202"/>
        <w:rPr>
          <w:rFonts w:eastAsia="Times New Roman"/>
        </w:rPr>
      </w:pPr>
      <w:r>
        <w:rPr>
          <w:rFonts w:eastAsia="Times New Roman"/>
          <w:color w:val="000000"/>
          <w:sz w:val="18"/>
          <w:szCs w:val="18"/>
        </w:rPr>
        <w:t>•significant lawsuits, including patent or stockholder litigation;</w:t>
      </w:r>
    </w:p>
    <w:p w:rsidR="00000000" w:rsidRDefault="00375AF8">
      <w:pPr>
        <w:ind w:hanging="720"/>
        <w:jc w:val="both"/>
        <w:divId w:val="1817187773"/>
        <w:rPr>
          <w:rFonts w:eastAsia="Times New Roman"/>
        </w:rPr>
      </w:pPr>
      <w:r>
        <w:rPr>
          <w:rFonts w:eastAsia="Times New Roman"/>
          <w:color w:val="000000"/>
          <w:sz w:val="18"/>
          <w:szCs w:val="18"/>
        </w:rPr>
        <w:t>•variations in our fin</w:t>
      </w:r>
      <w:r>
        <w:rPr>
          <w:rFonts w:eastAsia="Times New Roman"/>
          <w:color w:val="000000"/>
          <w:sz w:val="18"/>
          <w:szCs w:val="18"/>
        </w:rPr>
        <w:t>ancial results or those of companies that are perceived to be similar to us;</w:t>
      </w:r>
    </w:p>
    <w:p w:rsidR="00000000" w:rsidRDefault="00375AF8">
      <w:pPr>
        <w:ind w:hanging="720"/>
        <w:jc w:val="both"/>
        <w:divId w:val="310794794"/>
        <w:rPr>
          <w:rFonts w:eastAsia="Times New Roman"/>
        </w:rPr>
      </w:pPr>
      <w:r>
        <w:rPr>
          <w:rFonts w:eastAsia="Times New Roman"/>
          <w:color w:val="000000"/>
          <w:sz w:val="18"/>
          <w:szCs w:val="18"/>
        </w:rPr>
        <w:t>•changes in the structure of healthcare payment systems;</w:t>
      </w:r>
    </w:p>
    <w:p w:rsidR="00000000" w:rsidRDefault="00375AF8">
      <w:pPr>
        <w:ind w:hanging="720"/>
        <w:jc w:val="both"/>
        <w:divId w:val="782462952"/>
        <w:rPr>
          <w:rFonts w:eastAsia="Times New Roman"/>
        </w:rPr>
      </w:pPr>
      <w:r>
        <w:rPr>
          <w:rFonts w:eastAsia="Times New Roman"/>
          <w:color w:val="000000"/>
          <w:sz w:val="18"/>
          <w:szCs w:val="18"/>
        </w:rPr>
        <w:t>•market conditions in the pharmaceutical and biotechnology sectors;</w:t>
      </w:r>
    </w:p>
    <w:p w:rsidR="00000000" w:rsidRDefault="00375AF8">
      <w:pPr>
        <w:ind w:hanging="720"/>
        <w:jc w:val="both"/>
        <w:divId w:val="1063337728"/>
        <w:rPr>
          <w:rFonts w:eastAsia="Times New Roman"/>
        </w:rPr>
      </w:pPr>
      <w:r>
        <w:rPr>
          <w:rFonts w:eastAsia="Times New Roman"/>
          <w:color w:val="000000"/>
          <w:sz w:val="18"/>
          <w:szCs w:val="18"/>
        </w:rPr>
        <w:t>•general economic, industry and market conditions; and</w:t>
      </w:r>
    </w:p>
    <w:p w:rsidR="00000000" w:rsidRDefault="00375AF8">
      <w:pPr>
        <w:ind w:hanging="720"/>
        <w:jc w:val="both"/>
        <w:divId w:val="1974603630"/>
        <w:rPr>
          <w:rFonts w:eastAsia="Times New Roman"/>
        </w:rPr>
      </w:pPr>
      <w:r>
        <w:rPr>
          <w:rFonts w:eastAsia="Times New Roman"/>
          <w:color w:val="000000"/>
          <w:sz w:val="18"/>
          <w:szCs w:val="18"/>
        </w:rPr>
        <w:t>•the other factors described in this “Risk Factors” section.</w:t>
      </w:r>
    </w:p>
    <w:p w:rsidR="00000000" w:rsidRDefault="00375AF8">
      <w:pPr>
        <w:ind w:firstLine="720"/>
        <w:jc w:val="both"/>
        <w:divId w:val="142432970"/>
        <w:rPr>
          <w:rFonts w:eastAsia="Times New Roman"/>
        </w:rPr>
      </w:pPr>
      <w:r>
        <w:rPr>
          <w:rFonts w:eastAsia="Times New Roman"/>
          <w:color w:val="000000"/>
          <w:sz w:val="18"/>
          <w:szCs w:val="18"/>
        </w:rPr>
        <w:t xml:space="preserve">In addition, in the past, stockholders have initiated class action lawsuits against companies following periods of volatility in the market prices of these companies’ stock. Such litigation, if </w:t>
      </w:r>
      <w:r>
        <w:rPr>
          <w:rFonts w:eastAsia="Times New Roman"/>
          <w:color w:val="000000"/>
          <w:sz w:val="18"/>
          <w:szCs w:val="18"/>
        </w:rPr>
        <w:t>instituted against us, could cause us to incur substantial costs and divert management’s attention and resources.</w:t>
      </w:r>
    </w:p>
    <w:p w:rsidR="00000000" w:rsidRDefault="00375AF8">
      <w:pPr>
        <w:divId w:val="133262224"/>
        <w:rPr>
          <w:rFonts w:eastAsia="Times New Roman"/>
        </w:rPr>
      </w:pPr>
      <w:r>
        <w:rPr>
          <w:rFonts w:eastAsia="Times New Roman"/>
          <w:b/>
          <w:bCs/>
          <w:i/>
          <w:iCs/>
          <w:color w:val="000000"/>
          <w:sz w:val="18"/>
          <w:szCs w:val="18"/>
        </w:rPr>
        <w:t>Unstable market and economic conditions may have serious adverse consequences on our business, financial condition and share price.</w:t>
      </w:r>
    </w:p>
    <w:p w:rsidR="00000000" w:rsidRDefault="00375AF8">
      <w:pPr>
        <w:ind w:firstLine="720"/>
        <w:jc w:val="both"/>
        <w:divId w:val="780492881"/>
        <w:rPr>
          <w:rFonts w:eastAsia="Times New Roman"/>
        </w:rPr>
      </w:pPr>
      <w:r>
        <w:rPr>
          <w:rFonts w:eastAsia="Times New Roman"/>
          <w:color w:val="000000"/>
          <w:sz w:val="18"/>
          <w:szCs w:val="18"/>
        </w:rPr>
        <w:t>The global economy, including credit and financial markets, has experienced extreme volatility and disruptions, including se</w:t>
      </w:r>
      <w:r>
        <w:rPr>
          <w:rFonts w:eastAsia="Times New Roman"/>
          <w:color w:val="000000"/>
          <w:sz w:val="18"/>
          <w:szCs w:val="18"/>
        </w:rPr>
        <w:t>verely diminished liquidity and credit availability, declines in consumer confidence, declines in economic growth, increases in unemployment rates, increases in inflation rates and uncertainty about economic stability. For example, the COVID-19 pandemic re</w:t>
      </w:r>
      <w:r>
        <w:rPr>
          <w:rFonts w:eastAsia="Times New Roman"/>
          <w:color w:val="000000"/>
          <w:sz w:val="18"/>
          <w:szCs w:val="18"/>
        </w:rPr>
        <w:t>sulted in widespread unemployment, economic slowdown and extreme volatility in the capital markets. Similarly, the Russia-Ukraine war has created extreme volatility in the global capital markets and is expected to have further global economic consequences,</w:t>
      </w:r>
      <w:r>
        <w:rPr>
          <w:rFonts w:eastAsia="Times New Roman"/>
          <w:color w:val="000000"/>
          <w:sz w:val="18"/>
          <w:szCs w:val="18"/>
        </w:rPr>
        <w:t xml:space="preserve"> including disruptions of the global supply chain and energy markets. Any such volatility and disruptions may have adverse consequences on us or the third parties on whom we rely. If the equity and credit markets deteriorate, including as a result of polit</w:t>
      </w:r>
      <w:r>
        <w:rPr>
          <w:rFonts w:eastAsia="Times New Roman"/>
          <w:color w:val="000000"/>
          <w:sz w:val="18"/>
          <w:szCs w:val="18"/>
        </w:rPr>
        <w:t>ical unrest or war, it may make any necessary debt or equity financing more difficult to obtain in a timely manner or on favorable terms, more costly or more dilutive.</w:t>
      </w:r>
    </w:p>
    <w:p w:rsidR="00000000" w:rsidRDefault="00375AF8">
      <w:pPr>
        <w:jc w:val="both"/>
        <w:divId w:val="824861521"/>
        <w:rPr>
          <w:rFonts w:eastAsia="Times New Roman"/>
        </w:rPr>
      </w:pPr>
      <w:r>
        <w:rPr>
          <w:rFonts w:eastAsia="Times New Roman"/>
          <w:b/>
          <w:bCs/>
          <w:i/>
          <w:iCs/>
          <w:color w:val="000000"/>
          <w:sz w:val="18"/>
          <w:szCs w:val="18"/>
        </w:rPr>
        <w:t>There is no public market for our Series A convertible preferred stock</w:t>
      </w:r>
      <w:r>
        <w:rPr>
          <w:rFonts w:eastAsia="Times New Roman"/>
          <w:color w:val="000000"/>
          <w:sz w:val="18"/>
          <w:szCs w:val="18"/>
        </w:rPr>
        <w:t>.</w:t>
      </w:r>
    </w:p>
    <w:p w:rsidR="00000000" w:rsidRDefault="00375AF8">
      <w:pPr>
        <w:ind w:firstLine="720"/>
        <w:jc w:val="both"/>
        <w:divId w:val="1004239862"/>
        <w:rPr>
          <w:rFonts w:eastAsia="Times New Roman"/>
        </w:rPr>
      </w:pPr>
      <w:r>
        <w:rPr>
          <w:rFonts w:eastAsia="Times New Roman"/>
          <w:color w:val="000000"/>
          <w:sz w:val="18"/>
          <w:szCs w:val="18"/>
        </w:rPr>
        <w:t>There is no esta</w:t>
      </w:r>
      <w:r>
        <w:rPr>
          <w:rFonts w:eastAsia="Times New Roman"/>
          <w:color w:val="000000"/>
          <w:sz w:val="18"/>
          <w:szCs w:val="18"/>
        </w:rPr>
        <w:t>blished public trading market for our Series A convertible preferred stock, and we do not expect a market to develop. In addition, we do not intend to apply for listing of the Series A convertible preferred stock on any national securities exchange or othe</w:t>
      </w:r>
      <w:r>
        <w:rPr>
          <w:rFonts w:eastAsia="Times New Roman"/>
          <w:color w:val="000000"/>
          <w:sz w:val="18"/>
          <w:szCs w:val="18"/>
        </w:rPr>
        <w:t>r nationally recognized trading system. Without an active market, the liquidity of the Series A convertible preferred stock will be limited.</w:t>
      </w:r>
    </w:p>
    <w:p w:rsidR="00000000" w:rsidRDefault="00375AF8">
      <w:pPr>
        <w:jc w:val="both"/>
        <w:divId w:val="810563791"/>
        <w:rPr>
          <w:rFonts w:eastAsia="Times New Roman"/>
        </w:rPr>
      </w:pPr>
      <w:r>
        <w:rPr>
          <w:rFonts w:eastAsia="Times New Roman"/>
          <w:b/>
          <w:bCs/>
          <w:i/>
          <w:iCs/>
          <w:color w:val="000000"/>
          <w:sz w:val="18"/>
          <w:szCs w:val="18"/>
        </w:rPr>
        <w:t>We may sell additional equity or debt securities or enter into other arrangements to fund our operations, which may</w:t>
      </w:r>
      <w:r>
        <w:rPr>
          <w:rFonts w:eastAsia="Times New Roman"/>
          <w:b/>
          <w:bCs/>
          <w:i/>
          <w:iCs/>
          <w:color w:val="000000"/>
          <w:sz w:val="18"/>
          <w:szCs w:val="18"/>
        </w:rPr>
        <w:t xml:space="preserve"> result in dilution to our stockholders and impose restrictions or limitations on our business.</w:t>
      </w:r>
    </w:p>
    <w:p w:rsidR="00000000" w:rsidRDefault="00375AF8">
      <w:pPr>
        <w:ind w:firstLine="720"/>
        <w:jc w:val="both"/>
        <w:divId w:val="1828012633"/>
        <w:rPr>
          <w:rFonts w:eastAsia="Times New Roman"/>
        </w:rPr>
      </w:pPr>
      <w:r>
        <w:rPr>
          <w:rFonts w:eastAsia="Times New Roman"/>
          <w:color w:val="000000"/>
          <w:sz w:val="18"/>
          <w:szCs w:val="18"/>
        </w:rPr>
        <w:t>Until we can generate a sufficient amount of revenue from our products, if ever, we expect to finance future cash needs through public or private equity or debt</w:t>
      </w:r>
      <w:r>
        <w:rPr>
          <w:rFonts w:eastAsia="Times New Roman"/>
          <w:color w:val="000000"/>
          <w:sz w:val="18"/>
          <w:szCs w:val="18"/>
        </w:rPr>
        <w:t xml:space="preserve"> offerings. In November 2020, we filed a shelf registration statement on Form S-3 (Registration No. 333-250054) that allows us to sell up to an aggregate of $250.0 million of our common stock, preferred stock, debt securities and/or warrants (the “S-3 Regi</w:t>
      </w:r>
      <w:r>
        <w:rPr>
          <w:rFonts w:eastAsia="Times New Roman"/>
          <w:color w:val="000000"/>
          <w:sz w:val="18"/>
          <w:szCs w:val="18"/>
        </w:rPr>
        <w:t xml:space="preserve">stration Statement”), which includes a prospectus covering the issuance and sale of up to $75.0 million of common stock pursuant to an at-the-market (“ATM”) offering program. As of March 31, 2022, we had $250.0 million available under our S-3 Registration </w:t>
      </w:r>
      <w:r>
        <w:rPr>
          <w:rFonts w:eastAsia="Times New Roman"/>
          <w:color w:val="000000"/>
          <w:sz w:val="18"/>
          <w:szCs w:val="18"/>
        </w:rPr>
        <w:t xml:space="preserve">Statement, including $75.0 million available pursuant to our ATM program. Financing activities may have an adverse impact on our stockholders’ rights as well as on our operations, and such additional funding may not be available on reasonable terms, if at </w:t>
      </w:r>
      <w:r>
        <w:rPr>
          <w:rFonts w:eastAsia="Times New Roman"/>
          <w:color w:val="000000"/>
          <w:sz w:val="18"/>
          <w:szCs w:val="18"/>
        </w:rPr>
        <w:t>all. If we raise additional funds through the issuance of additional debt or equity securities, it may result in dilution to our existing stockholders and/or increased fixed payment obligations. Furthermore, these securities may have rights senior to those</w:t>
      </w:r>
      <w:r>
        <w:rPr>
          <w:rFonts w:eastAsia="Times New Roman"/>
          <w:color w:val="000000"/>
          <w:sz w:val="18"/>
          <w:szCs w:val="18"/>
        </w:rPr>
        <w:t xml:space="preserve"> of our common stock and could contain covenants that would restrict our operations and potentially impair our competitiveness, such as redeeming our shares, making investments, issuing additional equity, limitations on our ability to incur additional debt</w:t>
      </w:r>
      <w:r>
        <w:rPr>
          <w:rFonts w:eastAsia="Times New Roman"/>
          <w:color w:val="000000"/>
          <w:sz w:val="18"/>
          <w:szCs w:val="18"/>
        </w:rPr>
        <w:t>, limitations on our ability to acquire, sell or license intellectual property rights and other operating restrictions that could adversely impact our ability to conduct our business. Additionally, if we seek funds through arrangements with collaborative p</w:t>
      </w:r>
      <w:r>
        <w:rPr>
          <w:rFonts w:eastAsia="Times New Roman"/>
          <w:color w:val="000000"/>
          <w:sz w:val="18"/>
          <w:szCs w:val="18"/>
        </w:rPr>
        <w:t xml:space="preserve">artners, these arrangements may require </w:t>
      </w:r>
    </w:p>
    <w:p w:rsidR="00000000" w:rsidRDefault="00375AF8">
      <w:pPr>
        <w:jc w:val="center"/>
        <w:divId w:val="1954438254"/>
        <w:rPr>
          <w:rFonts w:eastAsia="Times New Roman"/>
        </w:rPr>
      </w:pPr>
      <w:r>
        <w:rPr>
          <w:rFonts w:eastAsia="Times New Roman"/>
          <w:color w:val="000000"/>
          <w:sz w:val="18"/>
          <w:szCs w:val="18"/>
        </w:rPr>
        <w:t>55</w:t>
      </w:r>
    </w:p>
    <w:p w:rsidR="00000000" w:rsidRDefault="00375AF8">
      <w:pPr>
        <w:rPr>
          <w:rFonts w:eastAsia="Times New Roman"/>
        </w:rPr>
      </w:pPr>
      <w:r>
        <w:rPr>
          <w:rFonts w:eastAsia="Times New Roman"/>
        </w:rPr>
        <w:pict>
          <v:rect id="_x0000_i1081" style="width:0;height:1.5pt" o:hralign="center" o:hrstd="t" o:hr="t" fillcolor="#a0a0a0" stroked="f"/>
        </w:pict>
      </w:r>
    </w:p>
    <w:p w:rsidR="00000000" w:rsidRDefault="00375AF8">
      <w:pPr>
        <w:divId w:val="1644122058"/>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004405548"/>
        <w:rPr>
          <w:rFonts w:eastAsia="Times New Roman"/>
        </w:rPr>
      </w:pPr>
      <w:r>
        <w:rPr>
          <w:rFonts w:eastAsia="Times New Roman"/>
          <w:color w:val="000000"/>
          <w:sz w:val="18"/>
          <w:szCs w:val="18"/>
        </w:rPr>
        <w:t>us to relinquish rights to some of our technologies or drug candidates or otherwise agree to terms u</w:t>
      </w:r>
      <w:r>
        <w:rPr>
          <w:rFonts w:eastAsia="Times New Roman"/>
          <w:color w:val="000000"/>
          <w:sz w:val="18"/>
          <w:szCs w:val="18"/>
        </w:rPr>
        <w:t>nfavorable to us. Any of these events could significantly harm our business, financial condition and prospects.</w:t>
      </w:r>
    </w:p>
    <w:p w:rsidR="00000000" w:rsidRDefault="00375AF8">
      <w:pPr>
        <w:jc w:val="both"/>
        <w:divId w:val="976840915"/>
        <w:rPr>
          <w:rFonts w:eastAsia="Times New Roman"/>
        </w:rPr>
      </w:pPr>
      <w:r>
        <w:rPr>
          <w:rFonts w:eastAsia="Times New Roman"/>
          <w:b/>
          <w:bCs/>
          <w:i/>
          <w:iCs/>
          <w:color w:val="000000"/>
          <w:sz w:val="18"/>
          <w:szCs w:val="18"/>
        </w:rPr>
        <w:t>You will be diluted by any conversions of outstanding Series A convertible preferred stock and exercises of outstanding options.</w:t>
      </w:r>
    </w:p>
    <w:p w:rsidR="00000000" w:rsidRDefault="00375AF8">
      <w:pPr>
        <w:ind w:firstLine="720"/>
        <w:jc w:val="both"/>
        <w:divId w:val="98987675"/>
        <w:rPr>
          <w:rFonts w:eastAsia="Times New Roman"/>
        </w:rPr>
      </w:pPr>
      <w:r>
        <w:rPr>
          <w:rFonts w:eastAsia="Times New Roman"/>
          <w:color w:val="000000"/>
          <w:sz w:val="18"/>
          <w:szCs w:val="18"/>
        </w:rPr>
        <w:t xml:space="preserve">As of June 30, </w:t>
      </w:r>
      <w:r>
        <w:rPr>
          <w:rFonts w:eastAsia="Times New Roman"/>
          <w:color w:val="000000"/>
          <w:sz w:val="18"/>
          <w:szCs w:val="18"/>
        </w:rPr>
        <w:t>2022, we had outstanding options to purchase an aggregate of 13,451,517 shares of our common stock at a weighted average exercise price of $4.21 per share and 1,250,000 shares of common stock issuable upon conversion of outstanding Series A convertible pre</w:t>
      </w:r>
      <w:r>
        <w:rPr>
          <w:rFonts w:eastAsia="Times New Roman"/>
          <w:color w:val="000000"/>
          <w:sz w:val="18"/>
          <w:szCs w:val="18"/>
        </w:rPr>
        <w:t>ferred stock for no additional consideration. Such Series A convertible preferred stock is convertible any time at the option of the holder thereof subject to the beneficial ownership limitations described in Note 7 to the financial statements contained in</w:t>
      </w:r>
      <w:r>
        <w:rPr>
          <w:rFonts w:eastAsia="Times New Roman"/>
          <w:color w:val="000000"/>
          <w:sz w:val="18"/>
          <w:szCs w:val="18"/>
        </w:rPr>
        <w:t xml:space="preserve"> this Quarterly Report on Form 10-Q. The exercise of such options and conversion of the Series A convertible preferred stock for shares of our common stock will result in further dilution of your investment and could negatively affect the market price of o</w:t>
      </w:r>
      <w:r>
        <w:rPr>
          <w:rFonts w:eastAsia="Times New Roman"/>
          <w:color w:val="000000"/>
          <w:sz w:val="18"/>
          <w:szCs w:val="18"/>
        </w:rPr>
        <w:t>ur common stock. In addition, you may experience further dilution if we issue common stock, or securities convertible into common stock, in the future. As a result of this dilution, you may receive significantly less than the full purchase price you paid f</w:t>
      </w:r>
      <w:r>
        <w:rPr>
          <w:rFonts w:eastAsia="Times New Roman"/>
          <w:color w:val="000000"/>
          <w:sz w:val="18"/>
          <w:szCs w:val="18"/>
        </w:rPr>
        <w:t>or the shares in the event of liquidation.</w:t>
      </w:r>
    </w:p>
    <w:p w:rsidR="00000000" w:rsidRDefault="00375AF8">
      <w:pPr>
        <w:jc w:val="both"/>
        <w:divId w:val="1681926995"/>
        <w:rPr>
          <w:rFonts w:eastAsia="Times New Roman"/>
        </w:rPr>
      </w:pPr>
      <w:r>
        <w:rPr>
          <w:rFonts w:eastAsia="Times New Roman"/>
          <w:b/>
          <w:bCs/>
          <w:i/>
          <w:iCs/>
          <w:color w:val="000000"/>
          <w:sz w:val="18"/>
          <w:szCs w:val="18"/>
        </w:rPr>
        <w:t>Concentration of ownership of our common stock among our executive officers, directors and principal stockholders may prevent new investors from influencing significant corporate decisions.</w:t>
      </w:r>
    </w:p>
    <w:p w:rsidR="00000000" w:rsidRDefault="00375AF8">
      <w:pPr>
        <w:ind w:firstLine="720"/>
        <w:jc w:val="both"/>
        <w:divId w:val="647058769"/>
        <w:rPr>
          <w:rFonts w:eastAsia="Times New Roman"/>
        </w:rPr>
      </w:pPr>
      <w:r>
        <w:rPr>
          <w:rFonts w:eastAsia="Times New Roman"/>
          <w:color w:val="000000"/>
          <w:sz w:val="18"/>
          <w:szCs w:val="18"/>
        </w:rPr>
        <w:t>Based upon our shares o</w:t>
      </w:r>
      <w:r>
        <w:rPr>
          <w:rFonts w:eastAsia="Times New Roman"/>
          <w:color w:val="000000"/>
          <w:sz w:val="18"/>
          <w:szCs w:val="18"/>
        </w:rPr>
        <w:t>f our common stock outstanding as of June 30, 2022, our executive officers, directors and stockholders who owned more than 5% of our outstanding common stock, in the aggregate, beneficially own shares representing approximately 45% of our outstanding commo</w:t>
      </w:r>
      <w:r>
        <w:rPr>
          <w:rFonts w:eastAsia="Times New Roman"/>
          <w:color w:val="000000"/>
          <w:sz w:val="18"/>
          <w:szCs w:val="18"/>
        </w:rPr>
        <w:t>n stock.</w:t>
      </w:r>
    </w:p>
    <w:p w:rsidR="00000000" w:rsidRDefault="00375AF8">
      <w:pPr>
        <w:ind w:firstLine="720"/>
        <w:jc w:val="both"/>
        <w:divId w:val="790899704"/>
        <w:rPr>
          <w:rFonts w:eastAsia="Times New Roman"/>
        </w:rPr>
      </w:pPr>
      <w:r>
        <w:rPr>
          <w:rFonts w:eastAsia="Times New Roman"/>
          <w:color w:val="000000"/>
          <w:sz w:val="18"/>
          <w:szCs w:val="18"/>
        </w:rPr>
        <w:t>Takeda, a greater than 5% holder, has agreed to, among other things, (i) a standstill provision, (ii) restrictions on its ability to sell or otherwise transfer it shares of our stock, (iii) vote its shares on certain matters in accordance with the</w:t>
      </w:r>
      <w:r>
        <w:rPr>
          <w:rFonts w:eastAsia="Times New Roman"/>
          <w:color w:val="000000"/>
          <w:sz w:val="18"/>
          <w:szCs w:val="18"/>
        </w:rPr>
        <w:t xml:space="preserve"> holders of a majority of shares of our common stock and (iv) restrictions on the percentage of our outstanding common stock it may own, in accordance with the terms of the Takeda License and Termination Agreement.</w:t>
      </w:r>
    </w:p>
    <w:p w:rsidR="00000000" w:rsidRDefault="00375AF8">
      <w:pPr>
        <w:ind w:firstLine="720"/>
        <w:jc w:val="both"/>
        <w:divId w:val="1763145451"/>
        <w:rPr>
          <w:rFonts w:eastAsia="Times New Roman"/>
        </w:rPr>
      </w:pPr>
      <w:r>
        <w:rPr>
          <w:rFonts w:eastAsia="Times New Roman"/>
          <w:color w:val="000000"/>
          <w:sz w:val="18"/>
          <w:szCs w:val="18"/>
        </w:rPr>
        <w:t xml:space="preserve">If our executive officers, directors and </w:t>
      </w:r>
      <w:r>
        <w:rPr>
          <w:rFonts w:eastAsia="Times New Roman"/>
          <w:color w:val="000000"/>
          <w:sz w:val="18"/>
          <w:szCs w:val="18"/>
        </w:rPr>
        <w:t>stockholders who owned more than 5% of our outstanding common stock acted together, they may be able to significantly influence all matters requiring stockholder approval, including the election and removal of directors and approval of any merger, consolid</w:t>
      </w:r>
      <w:r>
        <w:rPr>
          <w:rFonts w:eastAsia="Times New Roman"/>
          <w:color w:val="000000"/>
          <w:sz w:val="18"/>
          <w:szCs w:val="18"/>
        </w:rPr>
        <w:t>ation or sale of all or substantially all of our assets. The concentration of voting power, Takeda standstill provisions, voting obligations and transfer restrictions could delay or prevent an acquisition of our company on terms that other stockholders may</w:t>
      </w:r>
      <w:r>
        <w:rPr>
          <w:rFonts w:eastAsia="Times New Roman"/>
          <w:color w:val="000000"/>
          <w:sz w:val="18"/>
          <w:szCs w:val="18"/>
        </w:rPr>
        <w:t xml:space="preserve"> desire or result in the management of our company in ways with which other stockholders disagree.</w:t>
      </w:r>
    </w:p>
    <w:p w:rsidR="00000000" w:rsidRDefault="00375AF8">
      <w:pPr>
        <w:jc w:val="both"/>
        <w:divId w:val="841552468"/>
        <w:rPr>
          <w:rFonts w:eastAsia="Times New Roman"/>
        </w:rPr>
      </w:pPr>
      <w:r>
        <w:rPr>
          <w:rFonts w:eastAsia="Times New Roman"/>
          <w:b/>
          <w:bCs/>
          <w:i/>
          <w:iCs/>
          <w:color w:val="000000"/>
          <w:sz w:val="18"/>
          <w:szCs w:val="18"/>
        </w:rPr>
        <w:t>If securities analysts do not publish research or reports about our business or if they publish negative evaluations of our stock, the price of our stock cou</w:t>
      </w:r>
      <w:r>
        <w:rPr>
          <w:rFonts w:eastAsia="Times New Roman"/>
          <w:b/>
          <w:bCs/>
          <w:i/>
          <w:iCs/>
          <w:color w:val="000000"/>
          <w:sz w:val="18"/>
          <w:szCs w:val="18"/>
        </w:rPr>
        <w:t>ld decline.</w:t>
      </w:r>
    </w:p>
    <w:p w:rsidR="00000000" w:rsidRDefault="00375AF8">
      <w:pPr>
        <w:ind w:firstLine="720"/>
        <w:jc w:val="both"/>
        <w:divId w:val="1065681717"/>
        <w:rPr>
          <w:rFonts w:eastAsia="Times New Roman"/>
        </w:rPr>
      </w:pPr>
      <w:r>
        <w:rPr>
          <w:rFonts w:eastAsia="Times New Roman"/>
          <w:color w:val="000000"/>
          <w:sz w:val="18"/>
          <w:szCs w:val="18"/>
        </w:rPr>
        <w:t>The trading market for our common stock relies, in part, on the research and reports that industry or financial analysts publish about us or our business. We do currently have research coverage offered by four industry or financial analysts, al</w:t>
      </w:r>
      <w:r>
        <w:rPr>
          <w:rFonts w:eastAsia="Times New Roman"/>
          <w:color w:val="000000"/>
          <w:sz w:val="18"/>
          <w:szCs w:val="18"/>
        </w:rPr>
        <w:t xml:space="preserve">though two analysts have withdrawn research coverage in the last twelve months. We do not have any control over these analysts. If additional analysts covering our business downgrade their evaluations of our stock, the price of our stock could decline. If </w:t>
      </w:r>
      <w:r>
        <w:rPr>
          <w:rFonts w:eastAsia="Times New Roman"/>
          <w:color w:val="000000"/>
          <w:sz w:val="18"/>
          <w:szCs w:val="18"/>
        </w:rPr>
        <w:t>additional analysts cease to cover our stock or fail to regularly publish reports, we could lose visibility in the market for our stock, which in turn could cause our stock price to decline.</w:t>
      </w:r>
    </w:p>
    <w:p w:rsidR="00000000" w:rsidRDefault="00375AF8">
      <w:pPr>
        <w:jc w:val="both"/>
        <w:divId w:val="594247645"/>
        <w:rPr>
          <w:rFonts w:eastAsia="Times New Roman"/>
        </w:rPr>
      </w:pPr>
      <w:r>
        <w:rPr>
          <w:rFonts w:eastAsia="Times New Roman"/>
          <w:b/>
          <w:bCs/>
          <w:i/>
          <w:iCs/>
          <w:color w:val="000000"/>
          <w:sz w:val="18"/>
          <w:szCs w:val="18"/>
        </w:rPr>
        <w:t>Because we do not anticipate paying any cash dividends on our cap</w:t>
      </w:r>
      <w:r>
        <w:rPr>
          <w:rFonts w:eastAsia="Times New Roman"/>
          <w:b/>
          <w:bCs/>
          <w:i/>
          <w:iCs/>
          <w:color w:val="000000"/>
          <w:sz w:val="18"/>
          <w:szCs w:val="18"/>
        </w:rPr>
        <w:t>ital stock in the foreseeable future, capital appreciation, if any, will be your sole source of gain.</w:t>
      </w:r>
    </w:p>
    <w:p w:rsidR="00000000" w:rsidRDefault="00375AF8">
      <w:pPr>
        <w:ind w:firstLine="720"/>
        <w:jc w:val="both"/>
        <w:divId w:val="2045865021"/>
        <w:rPr>
          <w:rFonts w:eastAsia="Times New Roman"/>
        </w:rPr>
      </w:pPr>
      <w:r>
        <w:rPr>
          <w:rFonts w:eastAsia="Times New Roman"/>
          <w:color w:val="000000"/>
          <w:sz w:val="18"/>
          <w:szCs w:val="18"/>
        </w:rPr>
        <w:t>We have never declared or paid cash dividends on our capital stock. We currently intend to retain all of our future earnings, if any, to finance the growt</w:t>
      </w:r>
      <w:r>
        <w:rPr>
          <w:rFonts w:eastAsia="Times New Roman"/>
          <w:color w:val="000000"/>
          <w:sz w:val="18"/>
          <w:szCs w:val="18"/>
        </w:rPr>
        <w:t>h and development of our business. In addition, the terms of any future debt agreements may preclude us from paying dividends. As a result, capital appreciation, if any, of our common stock will be your sole source of gain for the foreseeable future.</w:t>
      </w:r>
    </w:p>
    <w:p w:rsidR="00000000" w:rsidRDefault="00375AF8">
      <w:pPr>
        <w:jc w:val="both"/>
        <w:divId w:val="387191559"/>
        <w:rPr>
          <w:rFonts w:eastAsia="Times New Roman"/>
        </w:rPr>
      </w:pPr>
      <w:r>
        <w:rPr>
          <w:rFonts w:eastAsia="Times New Roman"/>
          <w:b/>
          <w:bCs/>
          <w:i/>
          <w:iCs/>
          <w:color w:val="000000"/>
          <w:sz w:val="18"/>
          <w:szCs w:val="18"/>
        </w:rPr>
        <w:t>Provi</w:t>
      </w:r>
      <w:r>
        <w:rPr>
          <w:rFonts w:eastAsia="Times New Roman"/>
          <w:b/>
          <w:bCs/>
          <w:i/>
          <w:iCs/>
          <w:color w:val="000000"/>
          <w:sz w:val="18"/>
          <w:szCs w:val="18"/>
        </w:rPr>
        <w:t>sions in our corporate charter documents and under Delaware law could make an acquisition of us, which may be beneficial to our stockholders, more difficult and may prevent attempts by our stockholders to replace or remove our current management.</w:t>
      </w:r>
    </w:p>
    <w:p w:rsidR="00000000" w:rsidRDefault="00375AF8">
      <w:pPr>
        <w:ind w:firstLine="720"/>
        <w:jc w:val="both"/>
        <w:divId w:val="1926263175"/>
        <w:rPr>
          <w:rFonts w:eastAsia="Times New Roman"/>
        </w:rPr>
      </w:pPr>
      <w:r>
        <w:rPr>
          <w:rFonts w:eastAsia="Times New Roman"/>
          <w:color w:val="000000"/>
          <w:sz w:val="18"/>
          <w:szCs w:val="18"/>
        </w:rPr>
        <w:t>Provision</w:t>
      </w:r>
      <w:r>
        <w:rPr>
          <w:rFonts w:eastAsia="Times New Roman"/>
          <w:color w:val="000000"/>
          <w:sz w:val="18"/>
          <w:szCs w:val="18"/>
        </w:rPr>
        <w:t>s in our corporate charter and our bylaws may discourage, delay or prevent a merger, acquisition or other change in control of us that stockholders may consider favorable, including transactions in which you might otherwise receive a premium for your share</w:t>
      </w:r>
      <w:r>
        <w:rPr>
          <w:rFonts w:eastAsia="Times New Roman"/>
          <w:color w:val="000000"/>
          <w:sz w:val="18"/>
          <w:szCs w:val="18"/>
        </w:rPr>
        <w:t>s. These provisions also could limit the price that investors might be willing to pay in the future for shares of our common stock, thereby depressing the market price of our common stock. In addition, because our board of directors is responsible for appo</w:t>
      </w:r>
      <w:r>
        <w:rPr>
          <w:rFonts w:eastAsia="Times New Roman"/>
          <w:color w:val="000000"/>
          <w:sz w:val="18"/>
          <w:szCs w:val="18"/>
        </w:rPr>
        <w:t>inting the members of our management team, these provisions may frustrate or prevent any attempts by our stockholders to replace or remove our current management by making it more difficult for stockholders to replace members of our board of directors. Amo</w:t>
      </w:r>
      <w:r>
        <w:rPr>
          <w:rFonts w:eastAsia="Times New Roman"/>
          <w:color w:val="000000"/>
          <w:sz w:val="18"/>
          <w:szCs w:val="18"/>
        </w:rPr>
        <w:t>ng other things, these provisions:</w:t>
      </w:r>
    </w:p>
    <w:p w:rsidR="00000000" w:rsidRDefault="00375AF8">
      <w:pPr>
        <w:ind w:hanging="720"/>
        <w:jc w:val="both"/>
        <w:divId w:val="1885167195"/>
        <w:rPr>
          <w:rFonts w:eastAsia="Times New Roman"/>
        </w:rPr>
      </w:pPr>
      <w:r>
        <w:rPr>
          <w:rFonts w:eastAsia="Times New Roman"/>
          <w:color w:val="000000"/>
          <w:sz w:val="18"/>
          <w:szCs w:val="18"/>
        </w:rPr>
        <w:t>•establish a classified board of directors such that not all members of the board are elected at one time;</w:t>
      </w:r>
    </w:p>
    <w:p w:rsidR="00000000" w:rsidRDefault="00375AF8">
      <w:pPr>
        <w:ind w:hanging="720"/>
        <w:jc w:val="both"/>
        <w:divId w:val="1556620497"/>
        <w:rPr>
          <w:rFonts w:eastAsia="Times New Roman"/>
        </w:rPr>
      </w:pPr>
      <w:r>
        <w:rPr>
          <w:rFonts w:eastAsia="Times New Roman"/>
          <w:color w:val="000000"/>
          <w:sz w:val="18"/>
          <w:szCs w:val="18"/>
        </w:rPr>
        <w:t>•allow the authorized number of our directors to be changed only by resolution of our board of directors;</w:t>
      </w:r>
    </w:p>
    <w:p w:rsidR="00000000" w:rsidRDefault="00375AF8">
      <w:pPr>
        <w:ind w:hanging="720"/>
        <w:jc w:val="both"/>
        <w:divId w:val="2106222925"/>
        <w:rPr>
          <w:rFonts w:eastAsia="Times New Roman"/>
        </w:rPr>
      </w:pPr>
      <w:r>
        <w:rPr>
          <w:rFonts w:eastAsia="Times New Roman"/>
          <w:color w:val="000000"/>
          <w:sz w:val="18"/>
          <w:szCs w:val="18"/>
        </w:rPr>
        <w:t>•limit t</w:t>
      </w:r>
      <w:r>
        <w:rPr>
          <w:rFonts w:eastAsia="Times New Roman"/>
          <w:color w:val="000000"/>
          <w:sz w:val="18"/>
          <w:szCs w:val="18"/>
        </w:rPr>
        <w:t>he manner in which stockholders can remove directors from the board;</w:t>
      </w:r>
    </w:p>
    <w:p w:rsidR="00000000" w:rsidRDefault="00375AF8">
      <w:pPr>
        <w:ind w:hanging="720"/>
        <w:jc w:val="both"/>
        <w:divId w:val="1730297938"/>
        <w:rPr>
          <w:rFonts w:eastAsia="Times New Roman"/>
        </w:rPr>
      </w:pPr>
      <w:r>
        <w:rPr>
          <w:rFonts w:eastAsia="Times New Roman"/>
          <w:color w:val="000000"/>
          <w:sz w:val="18"/>
          <w:szCs w:val="18"/>
        </w:rPr>
        <w:t>•</w:t>
      </w:r>
      <w:r>
        <w:rPr>
          <w:rFonts w:eastAsia="Times New Roman"/>
          <w:color w:val="000000"/>
          <w:sz w:val="18"/>
          <w:szCs w:val="18"/>
        </w:rPr>
        <w:t>establish advance notice requirements for stockholder proposals that can be acted on at stockholder meetings and nominations to our board of directors;</w:t>
      </w:r>
    </w:p>
    <w:p w:rsidR="00000000" w:rsidRDefault="00375AF8">
      <w:pPr>
        <w:jc w:val="center"/>
        <w:divId w:val="920335664"/>
        <w:rPr>
          <w:rFonts w:eastAsia="Times New Roman"/>
        </w:rPr>
      </w:pPr>
      <w:r>
        <w:rPr>
          <w:rFonts w:eastAsia="Times New Roman"/>
          <w:color w:val="000000"/>
          <w:sz w:val="18"/>
          <w:szCs w:val="18"/>
        </w:rPr>
        <w:t>56</w:t>
      </w:r>
    </w:p>
    <w:p w:rsidR="00000000" w:rsidRDefault="00375AF8">
      <w:pPr>
        <w:rPr>
          <w:rFonts w:eastAsia="Times New Roman"/>
        </w:rPr>
      </w:pPr>
      <w:r>
        <w:rPr>
          <w:rFonts w:eastAsia="Times New Roman"/>
        </w:rPr>
        <w:pict>
          <v:rect id="_x0000_i1082" style="width:0;height:1.5pt" o:hralign="center" o:hrstd="t" o:hr="t" fillcolor="#a0a0a0" stroked="f"/>
        </w:pict>
      </w:r>
    </w:p>
    <w:p w:rsidR="00000000" w:rsidRDefault="00375AF8">
      <w:pPr>
        <w:divId w:val="1536432086"/>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763264493"/>
        <w:rPr>
          <w:rFonts w:eastAsia="Times New Roman"/>
        </w:rPr>
      </w:pPr>
      <w:r>
        <w:rPr>
          <w:rFonts w:eastAsia="Times New Roman"/>
          <w:color w:val="000000"/>
          <w:sz w:val="18"/>
          <w:szCs w:val="18"/>
        </w:rPr>
        <w:t>•require that stockholder actions must be effected at a duly called stockholder meeting and prohibit actions by our stockholders by written cons</w:t>
      </w:r>
      <w:r>
        <w:rPr>
          <w:rFonts w:eastAsia="Times New Roman"/>
          <w:color w:val="000000"/>
          <w:sz w:val="18"/>
          <w:szCs w:val="18"/>
        </w:rPr>
        <w:t>ent;</w:t>
      </w:r>
    </w:p>
    <w:p w:rsidR="00000000" w:rsidRDefault="00375AF8">
      <w:pPr>
        <w:ind w:hanging="720"/>
        <w:jc w:val="both"/>
        <w:divId w:val="509376352"/>
        <w:rPr>
          <w:rFonts w:eastAsia="Times New Roman"/>
        </w:rPr>
      </w:pPr>
      <w:r>
        <w:rPr>
          <w:rFonts w:eastAsia="Times New Roman"/>
          <w:color w:val="000000"/>
          <w:sz w:val="18"/>
          <w:szCs w:val="18"/>
        </w:rPr>
        <w:t>•limit who may call stockholder meetings;</w:t>
      </w:r>
    </w:p>
    <w:p w:rsidR="00000000" w:rsidRDefault="00375AF8">
      <w:pPr>
        <w:ind w:hanging="720"/>
        <w:jc w:val="both"/>
        <w:divId w:val="1169712165"/>
        <w:rPr>
          <w:rFonts w:eastAsia="Times New Roman"/>
        </w:rPr>
      </w:pPr>
      <w:r>
        <w:rPr>
          <w:rFonts w:eastAsia="Times New Roman"/>
          <w:color w:val="000000"/>
          <w:sz w:val="18"/>
          <w:szCs w:val="18"/>
        </w:rPr>
        <w:t>•authorize our board of directors to issue preferred stock without stockholder approval, which could be used to institute a stockholder rights plan, or so-called “poison pill,” that would work to dilute the st</w:t>
      </w:r>
      <w:r>
        <w:rPr>
          <w:rFonts w:eastAsia="Times New Roman"/>
          <w:color w:val="000000"/>
          <w:sz w:val="18"/>
          <w:szCs w:val="18"/>
        </w:rPr>
        <w:t>ock ownership of a potential hostile acquirer, effectively preventing acquisitions that have not been approved by our board of directors; and</w:t>
      </w:r>
    </w:p>
    <w:p w:rsidR="00000000" w:rsidRDefault="00375AF8">
      <w:pPr>
        <w:ind w:hanging="720"/>
        <w:jc w:val="both"/>
        <w:divId w:val="21708177"/>
        <w:rPr>
          <w:rFonts w:eastAsia="Times New Roman"/>
        </w:rPr>
      </w:pPr>
      <w:r>
        <w:rPr>
          <w:rFonts w:eastAsia="Times New Roman"/>
          <w:color w:val="000000"/>
          <w:sz w:val="18"/>
          <w:szCs w:val="18"/>
        </w:rPr>
        <w:t xml:space="preserve">•require the approval of the holders of at least 66 2/3% of the votes that all our stockholders would be entitled </w:t>
      </w:r>
      <w:r>
        <w:rPr>
          <w:rFonts w:eastAsia="Times New Roman"/>
          <w:color w:val="000000"/>
          <w:sz w:val="18"/>
          <w:szCs w:val="18"/>
        </w:rPr>
        <w:t>to cast to amend or repeal certain provisions of our charter or bylaws.</w:t>
      </w:r>
    </w:p>
    <w:p w:rsidR="00000000" w:rsidRDefault="00375AF8">
      <w:pPr>
        <w:ind w:firstLine="720"/>
        <w:jc w:val="both"/>
        <w:divId w:val="2066833109"/>
        <w:rPr>
          <w:rFonts w:eastAsia="Times New Roman"/>
        </w:rPr>
      </w:pPr>
      <w:r>
        <w:rPr>
          <w:rFonts w:eastAsia="Times New Roman"/>
          <w:color w:val="000000"/>
          <w:sz w:val="18"/>
          <w:szCs w:val="18"/>
        </w:rPr>
        <w:t>Moreover, because we are incorporated in Delaware, we are governed by the provisions of Section 203 of the Delaware General Corporation Law, which prohibits a person who owns in excess</w:t>
      </w:r>
      <w:r>
        <w:rPr>
          <w:rFonts w:eastAsia="Times New Roman"/>
          <w:color w:val="000000"/>
          <w:sz w:val="18"/>
          <w:szCs w:val="18"/>
        </w:rPr>
        <w:t xml:space="preserve"> of 15% of our outstanding voting stock from merging or combining with us for a period of three years after the date of the transaction in which the person acquired in excess of 15% of our outstanding voting stock, unless the merger or combination is appro</w:t>
      </w:r>
      <w:r>
        <w:rPr>
          <w:rFonts w:eastAsia="Times New Roman"/>
          <w:color w:val="000000"/>
          <w:sz w:val="18"/>
          <w:szCs w:val="18"/>
        </w:rPr>
        <w:t>ved in a prescribed manner.</w:t>
      </w:r>
    </w:p>
    <w:p w:rsidR="00000000" w:rsidRDefault="00375AF8">
      <w:pPr>
        <w:ind w:firstLine="720"/>
        <w:jc w:val="both"/>
        <w:divId w:val="948005799"/>
        <w:rPr>
          <w:rFonts w:eastAsia="Times New Roman"/>
        </w:rPr>
      </w:pPr>
      <w:r>
        <w:rPr>
          <w:rFonts w:eastAsia="Times New Roman"/>
          <w:color w:val="000000"/>
          <w:sz w:val="18"/>
          <w:szCs w:val="18"/>
        </w:rPr>
        <w:t xml:space="preserve">Additionally, the Takeda standstill provisions and transfer restrictions in the Takeda License and Termination Agreement may delay or prevent a merger, acquisition or other change in control of us that stockholders may consider </w:t>
      </w:r>
      <w:r>
        <w:rPr>
          <w:rFonts w:eastAsia="Times New Roman"/>
          <w:color w:val="000000"/>
          <w:sz w:val="18"/>
          <w:szCs w:val="18"/>
        </w:rPr>
        <w:t>favorable, including transactions in which you might otherwise receive a premium for your shares.</w:t>
      </w:r>
    </w:p>
    <w:p w:rsidR="00000000" w:rsidRDefault="00375AF8">
      <w:pPr>
        <w:jc w:val="both"/>
        <w:divId w:val="303855319"/>
        <w:rPr>
          <w:rFonts w:eastAsia="Times New Roman"/>
        </w:rPr>
      </w:pPr>
      <w:r>
        <w:rPr>
          <w:rFonts w:eastAsia="Times New Roman"/>
          <w:b/>
          <w:bCs/>
          <w:i/>
          <w:iCs/>
          <w:color w:val="000000"/>
          <w:sz w:val="18"/>
          <w:szCs w:val="18"/>
        </w:rPr>
        <w:t>We may be subject to securities litigation, which is expensive and could divert management attention.</w:t>
      </w:r>
    </w:p>
    <w:p w:rsidR="00000000" w:rsidRDefault="00375AF8">
      <w:pPr>
        <w:ind w:firstLine="720"/>
        <w:jc w:val="both"/>
        <w:divId w:val="1023895674"/>
        <w:rPr>
          <w:rFonts w:eastAsia="Times New Roman"/>
        </w:rPr>
      </w:pPr>
      <w:r>
        <w:rPr>
          <w:rFonts w:eastAsia="Times New Roman"/>
          <w:color w:val="000000"/>
          <w:sz w:val="18"/>
          <w:szCs w:val="18"/>
        </w:rPr>
        <w:t>The market price of our common stock may be volatile. In</w:t>
      </w:r>
      <w:r>
        <w:rPr>
          <w:rFonts w:eastAsia="Times New Roman"/>
          <w:color w:val="000000"/>
          <w:sz w:val="18"/>
          <w:szCs w:val="18"/>
        </w:rPr>
        <w:t xml:space="preserve"> the past, companies that have experienced volatility in the market price of their stock have been subject to securities class action litigation. We may be the target of this type of litigation in the future. Securities litigation against us could result i</w:t>
      </w:r>
      <w:r>
        <w:rPr>
          <w:rFonts w:eastAsia="Times New Roman"/>
          <w:color w:val="000000"/>
          <w:sz w:val="18"/>
          <w:szCs w:val="18"/>
        </w:rPr>
        <w:t>n substantial costs and divert our management’s attention from other business concerns, which could seriously harm our business.</w:t>
      </w:r>
    </w:p>
    <w:p w:rsidR="00000000" w:rsidRDefault="00375AF8">
      <w:pPr>
        <w:jc w:val="both"/>
        <w:divId w:val="1122461070"/>
        <w:rPr>
          <w:rFonts w:eastAsia="Times New Roman"/>
        </w:rPr>
      </w:pPr>
      <w:r>
        <w:rPr>
          <w:rFonts w:eastAsia="Times New Roman"/>
          <w:b/>
          <w:bCs/>
          <w:i/>
          <w:iCs/>
          <w:color w:val="000000"/>
          <w:sz w:val="18"/>
          <w:szCs w:val="18"/>
        </w:rPr>
        <w:t>Some provisions of our charter documents and Delaware law may have anti-takeover effects that could discourage an acquisition o</w:t>
      </w:r>
      <w:r>
        <w:rPr>
          <w:rFonts w:eastAsia="Times New Roman"/>
          <w:b/>
          <w:bCs/>
          <w:i/>
          <w:iCs/>
          <w:color w:val="000000"/>
          <w:sz w:val="18"/>
          <w:szCs w:val="18"/>
        </w:rPr>
        <w:t>f us by others, even if an acquisition would benefit our stockholders and may prevent attempts by our stockholders to replace or remove our current management.</w:t>
      </w:r>
    </w:p>
    <w:p w:rsidR="00000000" w:rsidRDefault="00375AF8">
      <w:pPr>
        <w:ind w:firstLine="720"/>
        <w:jc w:val="both"/>
        <w:divId w:val="372005783"/>
        <w:rPr>
          <w:rFonts w:eastAsia="Times New Roman"/>
        </w:rPr>
      </w:pPr>
      <w:r>
        <w:rPr>
          <w:rFonts w:eastAsia="Times New Roman"/>
          <w:color w:val="000000"/>
          <w:sz w:val="18"/>
          <w:szCs w:val="18"/>
        </w:rPr>
        <w:t>Provisions in our amended and restated certificate of incorporation and amended and restated byl</w:t>
      </w:r>
      <w:r>
        <w:rPr>
          <w:rFonts w:eastAsia="Times New Roman"/>
          <w:color w:val="000000"/>
          <w:sz w:val="18"/>
          <w:szCs w:val="18"/>
        </w:rPr>
        <w:t>aws, as well as provisions of Delaware law, could make it more difficult for a third party to acquire us or increase the cost of acquiring us, even if doing so would benefit our stockholders, or remove our current management. These provisions include:</w:t>
      </w:r>
    </w:p>
    <w:p w:rsidR="00000000" w:rsidRDefault="00375AF8">
      <w:pPr>
        <w:ind w:hanging="720"/>
        <w:jc w:val="both"/>
        <w:divId w:val="1515606989"/>
        <w:rPr>
          <w:rFonts w:eastAsia="Times New Roman"/>
        </w:rPr>
      </w:pPr>
      <w:r>
        <w:rPr>
          <w:rFonts w:eastAsia="Times New Roman"/>
          <w:color w:val="000000"/>
          <w:sz w:val="18"/>
          <w:szCs w:val="18"/>
        </w:rPr>
        <w:t>•aut</w:t>
      </w:r>
      <w:r>
        <w:rPr>
          <w:rFonts w:eastAsia="Times New Roman"/>
          <w:color w:val="000000"/>
          <w:sz w:val="18"/>
          <w:szCs w:val="18"/>
        </w:rPr>
        <w:t>horizing the issuance of “blank check” preferred stock, the terms of which we may establish and shares of which we may issue without stockholder approval;</w:t>
      </w:r>
    </w:p>
    <w:p w:rsidR="00000000" w:rsidRDefault="00375AF8">
      <w:pPr>
        <w:ind w:hanging="720"/>
        <w:jc w:val="both"/>
        <w:divId w:val="2029091891"/>
        <w:rPr>
          <w:rFonts w:eastAsia="Times New Roman"/>
        </w:rPr>
      </w:pPr>
      <w:r>
        <w:rPr>
          <w:rFonts w:eastAsia="Times New Roman"/>
          <w:color w:val="000000"/>
          <w:sz w:val="18"/>
          <w:szCs w:val="18"/>
        </w:rPr>
        <w:t>•prohibiting cumulative voting in the election of directors, which would otherwise allow for less tha</w:t>
      </w:r>
      <w:r>
        <w:rPr>
          <w:rFonts w:eastAsia="Times New Roman"/>
          <w:color w:val="000000"/>
          <w:sz w:val="18"/>
          <w:szCs w:val="18"/>
        </w:rPr>
        <w:t>n a majority of stockholders to elect director candidates;</w:t>
      </w:r>
    </w:p>
    <w:p w:rsidR="00000000" w:rsidRDefault="00375AF8">
      <w:pPr>
        <w:ind w:hanging="720"/>
        <w:jc w:val="both"/>
        <w:divId w:val="1303001929"/>
        <w:rPr>
          <w:rFonts w:eastAsia="Times New Roman"/>
        </w:rPr>
      </w:pPr>
      <w:r>
        <w:rPr>
          <w:rFonts w:eastAsia="Times New Roman"/>
          <w:color w:val="000000"/>
          <w:sz w:val="18"/>
          <w:szCs w:val="18"/>
        </w:rPr>
        <w:t>•prohibiting stockholder action by written consent, thereby requiring all stockholder actions to be taken at a meeting of our stockholders;</w:t>
      </w:r>
    </w:p>
    <w:p w:rsidR="00000000" w:rsidRDefault="00375AF8">
      <w:pPr>
        <w:ind w:hanging="720"/>
        <w:jc w:val="both"/>
        <w:divId w:val="1982729879"/>
        <w:rPr>
          <w:rFonts w:eastAsia="Times New Roman"/>
        </w:rPr>
      </w:pPr>
      <w:r>
        <w:rPr>
          <w:rFonts w:eastAsia="Times New Roman"/>
          <w:color w:val="000000"/>
          <w:sz w:val="18"/>
          <w:szCs w:val="18"/>
        </w:rPr>
        <w:t>•eliminating the ability of stockholders to call a specia</w:t>
      </w:r>
      <w:r>
        <w:rPr>
          <w:rFonts w:eastAsia="Times New Roman"/>
          <w:color w:val="000000"/>
          <w:sz w:val="18"/>
          <w:szCs w:val="18"/>
        </w:rPr>
        <w:t>l meeting of stockholders; and</w:t>
      </w:r>
    </w:p>
    <w:p w:rsidR="00000000" w:rsidRDefault="00375AF8">
      <w:pPr>
        <w:ind w:hanging="720"/>
        <w:jc w:val="both"/>
        <w:divId w:val="1090851330"/>
        <w:rPr>
          <w:rFonts w:eastAsia="Times New Roman"/>
        </w:rPr>
      </w:pPr>
      <w:r>
        <w:rPr>
          <w:rFonts w:eastAsia="Times New Roman"/>
          <w:color w:val="000000"/>
          <w:sz w:val="18"/>
          <w:szCs w:val="18"/>
        </w:rPr>
        <w:t>•establishing advance notice requirements for nominations for election to the board of directors or for proposing matters that can be acted upon at stockholder meetings.</w:t>
      </w:r>
    </w:p>
    <w:p w:rsidR="00000000" w:rsidRDefault="00375AF8">
      <w:pPr>
        <w:ind w:firstLine="720"/>
        <w:jc w:val="both"/>
        <w:divId w:val="1692950938"/>
        <w:rPr>
          <w:rFonts w:eastAsia="Times New Roman"/>
        </w:rPr>
      </w:pPr>
      <w:r>
        <w:rPr>
          <w:rFonts w:eastAsia="Times New Roman"/>
          <w:color w:val="000000"/>
          <w:sz w:val="18"/>
          <w:szCs w:val="18"/>
        </w:rPr>
        <w:t xml:space="preserve">These provisions may frustrate or prevent any attempts </w:t>
      </w:r>
      <w:r>
        <w:rPr>
          <w:rFonts w:eastAsia="Times New Roman"/>
          <w:color w:val="000000"/>
          <w:sz w:val="18"/>
          <w:szCs w:val="18"/>
        </w:rPr>
        <w:t>by our stockholders to replace or remove our current management by making it more difficult for stockholders to replace members of our board of directors, who are responsible for appointing the members of our management. Because we are incorporated in Dela</w:t>
      </w:r>
      <w:r>
        <w:rPr>
          <w:rFonts w:eastAsia="Times New Roman"/>
          <w:color w:val="000000"/>
          <w:sz w:val="18"/>
          <w:szCs w:val="18"/>
        </w:rPr>
        <w:t>ware, we are governed by the provisions of Section 203 of the Delaware General Corporation Law (the “DGCL”), which may discourage, delay or prevent someone from acquiring us or merging with us whether or not it is desired by or beneficial to our stockholde</w:t>
      </w:r>
      <w:r>
        <w:rPr>
          <w:rFonts w:eastAsia="Times New Roman"/>
          <w:color w:val="000000"/>
          <w:sz w:val="18"/>
          <w:szCs w:val="18"/>
        </w:rPr>
        <w:t>rs. Under the DGCL, a corporation may not, in general, engage in a business combination with any holder of 15% or more of its capital stock unless the holder has held the stock for three years or, among other things, the board of directors has approved the</w:t>
      </w:r>
      <w:r>
        <w:rPr>
          <w:rFonts w:eastAsia="Times New Roman"/>
          <w:color w:val="000000"/>
          <w:sz w:val="18"/>
          <w:szCs w:val="18"/>
        </w:rPr>
        <w:t xml:space="preserve"> transaction. Any provision of our amended and restated certificate of incorporation or amended and restated bylaws or Delaware law that has the effect of delaying or deterring a change of control could limit the opportunity for our stockholders to receive</w:t>
      </w:r>
      <w:r>
        <w:rPr>
          <w:rFonts w:eastAsia="Times New Roman"/>
          <w:color w:val="000000"/>
          <w:sz w:val="18"/>
          <w:szCs w:val="18"/>
        </w:rPr>
        <w:t xml:space="preserve"> a premium for their shares of our common stock and could also affect the price that some investors are willing to pay for our common stock.</w:t>
      </w:r>
    </w:p>
    <w:p w:rsidR="00000000" w:rsidRDefault="00375AF8">
      <w:pPr>
        <w:jc w:val="both"/>
        <w:divId w:val="1931347820"/>
        <w:rPr>
          <w:rFonts w:eastAsia="Times New Roman"/>
        </w:rPr>
      </w:pPr>
      <w:r>
        <w:rPr>
          <w:rFonts w:eastAsia="Times New Roman"/>
          <w:b/>
          <w:bCs/>
          <w:i/>
          <w:iCs/>
          <w:color w:val="000000"/>
          <w:sz w:val="18"/>
          <w:szCs w:val="18"/>
        </w:rPr>
        <w:t>If we engage in future acquisitions or strategic partnerships, this may increase our capital requirements, dilute o</w:t>
      </w:r>
      <w:r>
        <w:rPr>
          <w:rFonts w:eastAsia="Times New Roman"/>
          <w:b/>
          <w:bCs/>
          <w:i/>
          <w:iCs/>
          <w:color w:val="000000"/>
          <w:sz w:val="18"/>
          <w:szCs w:val="18"/>
        </w:rPr>
        <w:t>ur stockholders, cause us to incur debt or assume contingent liabilities and subject us to other risks.</w:t>
      </w:r>
    </w:p>
    <w:p w:rsidR="00000000" w:rsidRDefault="00375AF8">
      <w:pPr>
        <w:ind w:firstLine="720"/>
        <w:jc w:val="both"/>
        <w:divId w:val="1200776421"/>
        <w:rPr>
          <w:rFonts w:eastAsia="Times New Roman"/>
        </w:rPr>
      </w:pPr>
      <w:r>
        <w:rPr>
          <w:rFonts w:eastAsia="Times New Roman"/>
          <w:color w:val="000000"/>
          <w:sz w:val="18"/>
          <w:szCs w:val="18"/>
        </w:rPr>
        <w:t>Our business plan is to continue to evaluate various acquisitions and strategic partnerships, including licensing or acquiring complementary drugs, inte</w:t>
      </w:r>
      <w:r>
        <w:rPr>
          <w:rFonts w:eastAsia="Times New Roman"/>
          <w:color w:val="000000"/>
          <w:sz w:val="18"/>
          <w:szCs w:val="18"/>
        </w:rPr>
        <w:t>llectual property rights, technologies, or businesses. Any potential acquisition or strategic partnership may entail numerous risks, including:</w:t>
      </w:r>
    </w:p>
    <w:p w:rsidR="00000000" w:rsidRDefault="00375AF8">
      <w:pPr>
        <w:ind w:hanging="720"/>
        <w:jc w:val="both"/>
        <w:divId w:val="1233127222"/>
        <w:rPr>
          <w:rFonts w:eastAsia="Times New Roman"/>
        </w:rPr>
      </w:pPr>
      <w:r>
        <w:rPr>
          <w:rFonts w:eastAsia="Times New Roman"/>
          <w:color w:val="000000"/>
          <w:sz w:val="18"/>
          <w:szCs w:val="18"/>
        </w:rPr>
        <w:t>•increased operating expenses and cash requirements;</w:t>
      </w:r>
    </w:p>
    <w:p w:rsidR="00000000" w:rsidRDefault="00375AF8">
      <w:pPr>
        <w:ind w:hanging="720"/>
        <w:jc w:val="both"/>
        <w:divId w:val="522864621"/>
        <w:rPr>
          <w:rFonts w:eastAsia="Times New Roman"/>
        </w:rPr>
      </w:pPr>
      <w:r>
        <w:rPr>
          <w:rFonts w:eastAsia="Times New Roman"/>
          <w:color w:val="000000"/>
          <w:sz w:val="18"/>
          <w:szCs w:val="18"/>
        </w:rPr>
        <w:t>•the assumption of additional indebtedness or contingent li</w:t>
      </w:r>
      <w:r>
        <w:rPr>
          <w:rFonts w:eastAsia="Times New Roman"/>
          <w:color w:val="000000"/>
          <w:sz w:val="18"/>
          <w:szCs w:val="18"/>
        </w:rPr>
        <w:t>abilities;</w:t>
      </w:r>
    </w:p>
    <w:p w:rsidR="00000000" w:rsidRDefault="00375AF8">
      <w:pPr>
        <w:jc w:val="center"/>
        <w:divId w:val="1801919614"/>
        <w:rPr>
          <w:rFonts w:eastAsia="Times New Roman"/>
        </w:rPr>
      </w:pPr>
      <w:r>
        <w:rPr>
          <w:rFonts w:eastAsia="Times New Roman"/>
          <w:color w:val="000000"/>
          <w:sz w:val="18"/>
          <w:szCs w:val="18"/>
        </w:rPr>
        <w:t>57</w:t>
      </w:r>
    </w:p>
    <w:p w:rsidR="00000000" w:rsidRDefault="00375AF8">
      <w:pPr>
        <w:rPr>
          <w:rFonts w:eastAsia="Times New Roman"/>
        </w:rPr>
      </w:pPr>
      <w:r>
        <w:rPr>
          <w:rFonts w:eastAsia="Times New Roman"/>
        </w:rPr>
        <w:pict>
          <v:rect id="_x0000_i1083" style="width:0;height:1.5pt" o:hralign="center" o:hrstd="t" o:hr="t" fillcolor="#a0a0a0" stroked="f"/>
        </w:pict>
      </w:r>
    </w:p>
    <w:p w:rsidR="00000000" w:rsidRDefault="00375AF8">
      <w:pPr>
        <w:divId w:val="1623226776"/>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ind w:hanging="720"/>
        <w:jc w:val="both"/>
        <w:divId w:val="1017315943"/>
        <w:rPr>
          <w:rFonts w:eastAsia="Times New Roman"/>
        </w:rPr>
      </w:pPr>
      <w:r>
        <w:rPr>
          <w:rFonts w:eastAsia="Times New Roman"/>
          <w:color w:val="000000"/>
          <w:sz w:val="18"/>
          <w:szCs w:val="18"/>
        </w:rPr>
        <w:t>•</w:t>
      </w:r>
      <w:r>
        <w:rPr>
          <w:rFonts w:eastAsia="Times New Roman"/>
          <w:color w:val="000000"/>
          <w:sz w:val="18"/>
          <w:szCs w:val="18"/>
        </w:rPr>
        <w:t>assimilation of operations, intellectual property and drugs of an acquired company, including difficulties associated with integrating new personnel;</w:t>
      </w:r>
    </w:p>
    <w:p w:rsidR="00000000" w:rsidRDefault="00375AF8">
      <w:pPr>
        <w:ind w:hanging="720"/>
        <w:jc w:val="both"/>
        <w:divId w:val="673731256"/>
        <w:rPr>
          <w:rFonts w:eastAsia="Times New Roman"/>
        </w:rPr>
      </w:pPr>
      <w:r>
        <w:rPr>
          <w:rFonts w:eastAsia="Times New Roman"/>
          <w:color w:val="000000"/>
          <w:sz w:val="18"/>
          <w:szCs w:val="18"/>
        </w:rPr>
        <w:t>•the diversion of our management’s attention from our existing drug programs and initiatives in pursuing s</w:t>
      </w:r>
      <w:r>
        <w:rPr>
          <w:rFonts w:eastAsia="Times New Roman"/>
          <w:color w:val="000000"/>
          <w:sz w:val="18"/>
          <w:szCs w:val="18"/>
        </w:rPr>
        <w:t>uch a strategic partnership, merger or acquisition;</w:t>
      </w:r>
    </w:p>
    <w:p w:rsidR="00000000" w:rsidRDefault="00375AF8">
      <w:pPr>
        <w:ind w:hanging="720"/>
        <w:jc w:val="both"/>
        <w:divId w:val="1796672857"/>
        <w:rPr>
          <w:rFonts w:eastAsia="Times New Roman"/>
        </w:rPr>
      </w:pPr>
      <w:r>
        <w:rPr>
          <w:rFonts w:eastAsia="Times New Roman"/>
          <w:color w:val="000000"/>
          <w:sz w:val="18"/>
          <w:szCs w:val="18"/>
        </w:rPr>
        <w:t>•</w:t>
      </w:r>
      <w:r>
        <w:rPr>
          <w:rFonts w:eastAsia="Times New Roman"/>
          <w:color w:val="000000"/>
          <w:sz w:val="18"/>
          <w:szCs w:val="18"/>
        </w:rPr>
        <w:t>retention of key employees, the loss of key personnel, and uncertainties in our ability to maintain key business relationships;</w:t>
      </w:r>
    </w:p>
    <w:p w:rsidR="00000000" w:rsidRDefault="00375AF8">
      <w:pPr>
        <w:ind w:hanging="720"/>
        <w:jc w:val="both"/>
        <w:divId w:val="433328986"/>
        <w:rPr>
          <w:rFonts w:eastAsia="Times New Roman"/>
        </w:rPr>
      </w:pPr>
      <w:r>
        <w:rPr>
          <w:rFonts w:eastAsia="Times New Roman"/>
          <w:color w:val="000000"/>
          <w:sz w:val="18"/>
          <w:szCs w:val="18"/>
        </w:rPr>
        <w:t xml:space="preserve">•risks and uncertainties associated with the other party to such a transaction, including the prospects of that party and their </w:t>
      </w:r>
      <w:r>
        <w:rPr>
          <w:rFonts w:eastAsia="Times New Roman"/>
          <w:color w:val="000000"/>
          <w:sz w:val="18"/>
          <w:szCs w:val="18"/>
        </w:rPr>
        <w:t>existing drugs or drug candidates and regulatory approvals;</w:t>
      </w:r>
    </w:p>
    <w:p w:rsidR="00000000" w:rsidRDefault="00375AF8">
      <w:pPr>
        <w:ind w:hanging="720"/>
        <w:jc w:val="both"/>
        <w:divId w:val="1655642408"/>
        <w:rPr>
          <w:rFonts w:eastAsia="Times New Roman"/>
        </w:rPr>
      </w:pPr>
      <w:r>
        <w:rPr>
          <w:rFonts w:eastAsia="Times New Roman"/>
          <w:color w:val="000000"/>
          <w:sz w:val="18"/>
          <w:szCs w:val="18"/>
        </w:rPr>
        <w:t>•our inability to generate revenue from acquired technology and/or drugs sufficient to meet our objectives in undertaking the acquisition or even to offset the associated acquisition and maintenan</w:t>
      </w:r>
      <w:r>
        <w:rPr>
          <w:rFonts w:eastAsia="Times New Roman"/>
          <w:color w:val="000000"/>
          <w:sz w:val="18"/>
          <w:szCs w:val="18"/>
        </w:rPr>
        <w:t>ce costs;</w:t>
      </w:r>
    </w:p>
    <w:p w:rsidR="00000000" w:rsidRDefault="00375AF8">
      <w:pPr>
        <w:ind w:hanging="720"/>
        <w:jc w:val="both"/>
        <w:divId w:val="298656482"/>
        <w:rPr>
          <w:rFonts w:eastAsia="Times New Roman"/>
        </w:rPr>
      </w:pPr>
      <w:r>
        <w:rPr>
          <w:rFonts w:eastAsia="Times New Roman"/>
          <w:color w:val="000000"/>
          <w:sz w:val="18"/>
          <w:szCs w:val="18"/>
        </w:rPr>
        <w:t>•challenges related to integrating acquired businesses or entering into or realizing the benefits of strategic transactions generally; and</w:t>
      </w:r>
    </w:p>
    <w:p w:rsidR="00000000" w:rsidRDefault="00375AF8">
      <w:pPr>
        <w:ind w:hanging="720"/>
        <w:jc w:val="both"/>
        <w:divId w:val="1363168779"/>
        <w:rPr>
          <w:rFonts w:eastAsia="Times New Roman"/>
        </w:rPr>
      </w:pPr>
      <w:r>
        <w:rPr>
          <w:rFonts w:eastAsia="Times New Roman"/>
          <w:color w:val="000000"/>
          <w:sz w:val="18"/>
          <w:szCs w:val="18"/>
        </w:rPr>
        <w:t>•risks associated with potential international acquisition transactions, including in countries where we do</w:t>
      </w:r>
      <w:r>
        <w:rPr>
          <w:rFonts w:eastAsia="Times New Roman"/>
          <w:color w:val="000000"/>
          <w:sz w:val="18"/>
          <w:szCs w:val="18"/>
        </w:rPr>
        <w:t xml:space="preserve"> not currently have a material presence.</w:t>
      </w:r>
    </w:p>
    <w:p w:rsidR="00000000" w:rsidRDefault="00375AF8">
      <w:pPr>
        <w:ind w:firstLine="720"/>
        <w:jc w:val="both"/>
        <w:divId w:val="753236794"/>
        <w:rPr>
          <w:rFonts w:eastAsia="Times New Roman"/>
        </w:rPr>
      </w:pPr>
      <w:r>
        <w:rPr>
          <w:rFonts w:eastAsia="Times New Roman"/>
          <w:color w:val="000000"/>
          <w:sz w:val="18"/>
          <w:szCs w:val="18"/>
        </w:rPr>
        <w:t xml:space="preserve">In addition, if we engage in future acquisitions or strategic partnerships, we may issue dilutive securities, assume or incur debt obligations, incur large one-time expenses and acquire intangible assets that could </w:t>
      </w:r>
      <w:r>
        <w:rPr>
          <w:rFonts w:eastAsia="Times New Roman"/>
          <w:color w:val="000000"/>
          <w:sz w:val="18"/>
          <w:szCs w:val="18"/>
        </w:rPr>
        <w:t>result in significant future amortization expense. Moreover, we may not be able to locate suitable acquisition opportunities and this inability could impair our ability to grow or obtain access to technology or drugs that may be important to the developmen</w:t>
      </w:r>
      <w:r>
        <w:rPr>
          <w:rFonts w:eastAsia="Times New Roman"/>
          <w:color w:val="000000"/>
          <w:sz w:val="18"/>
          <w:szCs w:val="18"/>
        </w:rPr>
        <w:t>t of our business.</w:t>
      </w:r>
    </w:p>
    <w:p w:rsidR="00000000" w:rsidRDefault="00375AF8">
      <w:pPr>
        <w:jc w:val="both"/>
        <w:divId w:val="250815807"/>
        <w:rPr>
          <w:rFonts w:eastAsia="Times New Roman"/>
        </w:rPr>
      </w:pPr>
      <w:r>
        <w:rPr>
          <w:rFonts w:eastAsia="Times New Roman"/>
          <w:b/>
          <w:bCs/>
          <w:i/>
          <w:iCs/>
          <w:color w:val="000000"/>
          <w:sz w:val="18"/>
          <w:szCs w:val="18"/>
        </w:rPr>
        <w:t>Sales of a substantial number of shares of our common stock in the public market could cause the market price of our common stock to drop significantly.</w:t>
      </w:r>
    </w:p>
    <w:p w:rsidR="00000000" w:rsidRDefault="00375AF8">
      <w:pPr>
        <w:ind w:firstLine="720"/>
        <w:jc w:val="both"/>
        <w:divId w:val="2105495726"/>
        <w:rPr>
          <w:rFonts w:eastAsia="Times New Roman"/>
        </w:rPr>
      </w:pPr>
      <w:r>
        <w:rPr>
          <w:rFonts w:eastAsia="Times New Roman"/>
          <w:color w:val="000000"/>
          <w:sz w:val="18"/>
          <w:szCs w:val="18"/>
        </w:rPr>
        <w:t>Sales of a substantial number of shares of our common stock in the public market cou</w:t>
      </w:r>
      <w:r>
        <w:rPr>
          <w:rFonts w:eastAsia="Times New Roman"/>
          <w:color w:val="000000"/>
          <w:sz w:val="18"/>
          <w:szCs w:val="18"/>
        </w:rPr>
        <w:t xml:space="preserve">ld occur at any time. These sales, or the perception in the market that the holders of a large number of shares intend to sell shares, could reduce the market price of our common stock. Some of the holders of our securities have rights, subject to certain </w:t>
      </w:r>
      <w:r>
        <w:rPr>
          <w:rFonts w:eastAsia="Times New Roman"/>
          <w:color w:val="000000"/>
          <w:sz w:val="18"/>
          <w:szCs w:val="18"/>
        </w:rPr>
        <w:t>conditions, to require us to file registration statements covering their shares or to include their shares in registration statements that we may file for ourselves or other stockholders. Registration of these shares would result in the shares becoming fre</w:t>
      </w:r>
      <w:r>
        <w:rPr>
          <w:rFonts w:eastAsia="Times New Roman"/>
          <w:color w:val="000000"/>
          <w:sz w:val="18"/>
          <w:szCs w:val="18"/>
        </w:rPr>
        <w:t>ely tradable without restriction under the Securities Act except for shares held by our affiliates. Any sales of securities by these stockholders could have a material adverse effect on the trading price of our common stock.</w:t>
      </w:r>
    </w:p>
    <w:p w:rsidR="00000000" w:rsidRDefault="00375AF8">
      <w:pPr>
        <w:jc w:val="center"/>
        <w:divId w:val="940987321"/>
        <w:rPr>
          <w:rFonts w:eastAsia="Times New Roman"/>
        </w:rPr>
      </w:pPr>
      <w:r>
        <w:rPr>
          <w:rFonts w:eastAsia="Times New Roman"/>
          <w:color w:val="000000"/>
          <w:sz w:val="18"/>
          <w:szCs w:val="18"/>
        </w:rPr>
        <w:t>58</w:t>
      </w:r>
    </w:p>
    <w:p w:rsidR="00000000" w:rsidRDefault="00375AF8">
      <w:pPr>
        <w:rPr>
          <w:rFonts w:eastAsia="Times New Roman"/>
        </w:rPr>
      </w:pPr>
      <w:r>
        <w:rPr>
          <w:rFonts w:eastAsia="Times New Roman"/>
        </w:rPr>
        <w:pict>
          <v:rect id="_x0000_i1084" style="width:0;height:1.5pt" o:hralign="center" o:hrstd="t" o:hr="t" fillcolor="#a0a0a0" stroked="f"/>
        </w:pict>
      </w:r>
    </w:p>
    <w:p w:rsidR="00000000" w:rsidRDefault="00375AF8">
      <w:pPr>
        <w:divId w:val="111367924"/>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both"/>
        <w:divId w:val="1796287302"/>
        <w:rPr>
          <w:rFonts w:eastAsia="Times New Roman"/>
        </w:rPr>
      </w:pPr>
      <w:r>
        <w:rPr>
          <w:rFonts w:eastAsia="Times New Roman"/>
          <w:b/>
          <w:bCs/>
          <w:color w:val="000000"/>
          <w:sz w:val="18"/>
          <w:szCs w:val="18"/>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05"/>
        <w:gridCol w:w="36"/>
        <w:gridCol w:w="36"/>
        <w:gridCol w:w="36"/>
        <w:gridCol w:w="36"/>
        <w:gridCol w:w="55"/>
        <w:gridCol w:w="7295"/>
        <w:gridCol w:w="36"/>
      </w:tblGrid>
      <w:tr w:rsidR="00000000">
        <w:trPr>
          <w:divId w:val="637564130"/>
        </w:trPr>
        <w:tc>
          <w:tcPr>
            <w:tcW w:w="50" w:type="pct"/>
            <w:vAlign w:val="center"/>
            <w:hideMark/>
          </w:tcPr>
          <w:p w:rsidR="00000000" w:rsidRDefault="00375AF8">
            <w:pPr>
              <w:jc w:val="both"/>
              <w:rPr>
                <w:rFonts w:eastAsia="Times New Roman"/>
              </w:rPr>
            </w:pPr>
          </w:p>
        </w:tc>
        <w:tc>
          <w:tcPr>
            <w:tcW w:w="452"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4407"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Exhibit</w:t>
            </w:r>
            <w:r>
              <w:rPr>
                <w:rFonts w:eastAsia="Times New Roman"/>
                <w:b/>
                <w:bCs/>
                <w:color w:val="000000"/>
                <w:sz w:val="18"/>
                <w:szCs w:val="18"/>
              </w:rPr>
              <w:br/>
              <w:t>Number</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b/>
                <w:bCs/>
                <w:color w:val="000000"/>
                <w:sz w:val="18"/>
                <w:szCs w:val="18"/>
              </w:rPr>
              <w:t>Description</w:t>
            </w:r>
          </w:p>
        </w:tc>
      </w:tr>
      <w:tr w:rsidR="00000000">
        <w:trPr>
          <w:divId w:val="637564130"/>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3.1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813985362"/>
              <w:rPr>
                <w:rFonts w:eastAsia="Times New Roman"/>
              </w:rPr>
            </w:pPr>
            <w:hyperlink r:id="rId5" w:history="1">
              <w:r>
                <w:rPr>
                  <w:rStyle w:val="a3"/>
                  <w:rFonts w:eastAsia="Times New Roman"/>
                  <w:sz w:val="18"/>
                  <w:szCs w:val="18"/>
                </w:rPr>
                <w:t>Amended and Restated Certificate of Incorporation (incorporated herein by reference to Exhibit 3.1 to the Company’s Current Report on Form 8-K (File No. 001</w:t>
              </w:r>
              <w:r>
                <w:rPr>
                  <w:rStyle w:val="a3"/>
                  <w:rFonts w:eastAsia="Times New Roman"/>
                  <w:sz w:val="18"/>
                  <w:szCs w:val="18"/>
                </w:rPr>
                <w:t>-38085), filed with the Commission on May 10, 2017).</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3.2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2060326227"/>
              <w:rPr>
                <w:rFonts w:eastAsia="Times New Roman"/>
              </w:rPr>
            </w:pPr>
            <w:hyperlink r:id="rId6" w:history="1">
              <w:r>
                <w:rPr>
                  <w:rStyle w:val="a3"/>
                  <w:rFonts w:eastAsia="Times New Roman"/>
                  <w:sz w:val="18"/>
                  <w:szCs w:val="18"/>
                </w:rPr>
                <w:t>Corrected Amended and Restated Certificate of Designation of Series A Convertible Preferred Stock (incorporated herein by reference to Exhibit 3.1 to the Com</w:t>
              </w:r>
              <w:r>
                <w:rPr>
                  <w:rStyle w:val="a3"/>
                  <w:rFonts w:eastAsia="Times New Roman"/>
                  <w:sz w:val="18"/>
                  <w:szCs w:val="18"/>
                </w:rPr>
                <w:t>pany’s Current Report on Form 8-K (File No. 001-38085), filed with the Commission on September 24, 2019).</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3.3</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252203710"/>
              <w:rPr>
                <w:rFonts w:eastAsia="Times New Roman"/>
              </w:rPr>
            </w:pPr>
            <w:hyperlink r:id="rId7" w:history="1">
              <w:r>
                <w:rPr>
                  <w:rStyle w:val="a3"/>
                  <w:rFonts w:eastAsia="Times New Roman"/>
                  <w:sz w:val="18"/>
                  <w:szCs w:val="18"/>
                </w:rPr>
                <w:t>Amended and Restated Bylaws (incorporated herein by reference to Exhibit 3.2 to the Company’s Current Report on Form 8-K (File No. 001-38085), filed with the Commission on May 10, 2017).</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4.1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1768573369"/>
              <w:rPr>
                <w:rFonts w:eastAsia="Times New Roman"/>
              </w:rPr>
            </w:pPr>
            <w:hyperlink r:id="rId8" w:history="1">
              <w:r>
                <w:rPr>
                  <w:rStyle w:val="a3"/>
                  <w:rFonts w:eastAsia="Times New Roman"/>
                  <w:sz w:val="18"/>
                  <w:szCs w:val="18"/>
                </w:rPr>
                <w:t>Form of Common Stock Certificate of the Company (incorporated herein by reference to Exhibit 4.1 to the Company’s Registration Statement on Form S-1/A (File</w:t>
              </w:r>
              <w:r>
                <w:rPr>
                  <w:rStyle w:val="a3"/>
                  <w:rFonts w:eastAsia="Times New Roman"/>
                  <w:sz w:val="18"/>
                  <w:szCs w:val="18"/>
                </w:rPr>
                <w:t xml:space="preserve"> No. 333-217245), filed with the Commission on April 25, 2017).</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4.2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1360010974"/>
              <w:rPr>
                <w:rFonts w:eastAsia="Times New Roman"/>
              </w:rPr>
            </w:pPr>
            <w:hyperlink r:id="rId9" w:history="1">
              <w:r>
                <w:rPr>
                  <w:rStyle w:val="a3"/>
                  <w:rFonts w:eastAsia="Times New Roman"/>
                  <w:sz w:val="18"/>
                  <w:szCs w:val="18"/>
                </w:rPr>
                <w:t>Form of Series A Preferred Stock Certificate (incorporated herein by reference to Exhibit 4.1 to the Company’s Current Report on Form 8-K (File No. 001-3808</w:t>
              </w:r>
              <w:r>
                <w:rPr>
                  <w:rStyle w:val="a3"/>
                  <w:rFonts w:eastAsia="Times New Roman"/>
                  <w:sz w:val="18"/>
                  <w:szCs w:val="18"/>
                </w:rPr>
                <w:t>5), filed with the Commission on February 21, 2019).</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1038242116"/>
              <w:rPr>
                <w:rFonts w:eastAsia="Times New Roman"/>
              </w:rPr>
            </w:pPr>
            <w:hyperlink r:id="rId10" w:history="1">
              <w:r>
                <w:rPr>
                  <w:rStyle w:val="a3"/>
                  <w:rFonts w:eastAsia="Times New Roman"/>
                  <w:sz w:val="18"/>
                  <w:szCs w:val="18"/>
                </w:rPr>
                <w:t>Second Amended and Restated Investors’ Rights Agreement, by and among the Company and certain of its stockholders, dated January 6, 2017 (incorporated herei</w:t>
              </w:r>
              <w:r>
                <w:rPr>
                  <w:rStyle w:val="a3"/>
                  <w:rFonts w:eastAsia="Times New Roman"/>
                  <w:sz w:val="18"/>
                  <w:szCs w:val="18"/>
                </w:rPr>
                <w:t>n by reference to Exhibit 4.2 to the Company’s Registration Statement on Form S-1 (File No. 333-217245), filed with the Commission on April 10, 2017).</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31.1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1087188049"/>
              <w:rPr>
                <w:rFonts w:eastAsia="Times New Roman"/>
              </w:rPr>
            </w:pPr>
            <w:hyperlink r:id="rId11" w:history="1">
              <w:r>
                <w:rPr>
                  <w:rStyle w:val="a3"/>
                  <w:rFonts w:eastAsia="Times New Roman"/>
                  <w:sz w:val="18"/>
                  <w:szCs w:val="18"/>
                </w:rPr>
                <w:t>Certification of Principal Executive Officer Pursuant to Rules 13a-14(a) and 15d-14(a) under the Securities Exchange Act of 1934, as Adopted Pursuant to Section 302 of the Sarbanes-Oxley Act of 2002.</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31.2</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786119253"/>
              <w:rPr>
                <w:rFonts w:eastAsia="Times New Roman"/>
              </w:rPr>
            </w:pPr>
            <w:hyperlink r:id="rId12" w:history="1">
              <w:r>
                <w:rPr>
                  <w:rStyle w:val="a3"/>
                  <w:rFonts w:eastAsia="Times New Roman"/>
                  <w:sz w:val="18"/>
                  <w:szCs w:val="18"/>
                </w:rPr>
                <w:t>Certification of Principal Financial Officer Pursuant to Rules 13a-14(a) and 15d-14(a) under the Securities Exchange Act of 1934, as Adopted Pursuant to Section 302 of the Sarbanes-Oxley Act of 2002.</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32</w:t>
            </w:r>
            <w:r>
              <w:rPr>
                <w:rFonts w:eastAsia="Times New Roman"/>
                <w:color w:val="000000"/>
                <w:sz w:val="18"/>
                <w:szCs w:val="18"/>
              </w:rPr>
              <w:t>.1*</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divId w:val="1701005139"/>
              <w:rPr>
                <w:rFonts w:eastAsia="Times New Roman"/>
              </w:rPr>
            </w:pPr>
            <w:hyperlink r:id="rId13" w:history="1">
              <w:r>
                <w:rPr>
                  <w:rStyle w:val="a3"/>
                  <w:rFonts w:eastAsia="Times New Roman"/>
                  <w:sz w:val="18"/>
                  <w:szCs w:val="18"/>
                </w:rPr>
                <w:t>Certification of Principal Executive Officer and Principal Financial Officer Pursuant to 18 U.S.C. Section 1350, as Adopted Pursuant to Section 906 of the Sarbanes-Oxley Act of 2002.</w:t>
              </w:r>
            </w:hyperlink>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101.INS</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Inline XBRL Instance Document</w:t>
            </w:r>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101.SCH</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Inline XBRL Taxonomy Extension Schema Document</w:t>
            </w:r>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101.CAL</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Inline XBRL Taxonomy Extension Calculation Linkbase Document</w:t>
            </w:r>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101.DEF</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Inline XBRL Taxonomy Extension Definition Linkbase Document</w:t>
            </w:r>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101.LAB</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Inline XBRL Taxonomy Extension Label Linkbase Document</w:t>
            </w:r>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101.PRE</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Inline XBRL Taxonomy Extension Presentation Linkbase Document</w:t>
            </w:r>
          </w:p>
        </w:tc>
      </w:tr>
      <w:tr w:rsidR="00000000">
        <w:trPr>
          <w:divId w:val="637564130"/>
          <w:trHeight w:val="10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637564130"/>
        </w:trPr>
        <w:tc>
          <w:tcPr>
            <w:tcW w:w="0" w:type="auto"/>
            <w:gridSpan w:val="3"/>
            <w:tcMar>
              <w:top w:w="30" w:type="dxa"/>
              <w:left w:w="20" w:type="dxa"/>
              <w:bottom w:w="30" w:type="dxa"/>
              <w:right w:w="20" w:type="dxa"/>
            </w:tcMar>
            <w:vAlign w:val="bottom"/>
            <w:hideMark/>
          </w:tcPr>
          <w:p w:rsidR="00000000" w:rsidRDefault="00375AF8">
            <w:pPr>
              <w:spacing w:after="100"/>
              <w:jc w:val="center"/>
              <w:rPr>
                <w:rFonts w:eastAsia="Times New Roman"/>
              </w:rPr>
            </w:pPr>
            <w:r>
              <w:rPr>
                <w:rFonts w:eastAsia="Times New Roman"/>
                <w:color w:val="000000"/>
                <w:sz w:val="18"/>
                <w:szCs w:val="18"/>
              </w:rPr>
              <w:t>104</w:t>
            </w:r>
          </w:p>
        </w:tc>
        <w:tc>
          <w:tcPr>
            <w:tcW w:w="0" w:type="auto"/>
            <w:gridSpan w:val="3"/>
            <w:tcMar>
              <w:top w:w="0" w:type="dxa"/>
              <w:left w:w="20" w:type="dxa"/>
              <w:bottom w:w="0" w:type="dxa"/>
              <w:right w:w="20" w:type="dxa"/>
            </w:tcMar>
            <w:vAlign w:val="center"/>
            <w:hideMark/>
          </w:tcPr>
          <w:p w:rsidR="00000000" w:rsidRDefault="00375AF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Cover Page Interactive Data File (formatted as Inline XBRL and contained within Exhibit 101)</w:t>
            </w:r>
          </w:p>
        </w:tc>
      </w:tr>
    </w:tbl>
    <w:p w:rsidR="00000000" w:rsidRDefault="00375AF8">
      <w:pPr>
        <w:divId w:val="804591850"/>
        <w:rPr>
          <w:rFonts w:eastAsia="Times New Roman"/>
        </w:rPr>
      </w:pPr>
      <w:r>
        <w:rPr>
          <w:rFonts w:eastAsia="Times New Roman"/>
          <w:color w:val="000000"/>
          <w:sz w:val="20"/>
          <w:szCs w:val="20"/>
        </w:rPr>
        <w:t>__________________________</w:t>
      </w:r>
    </w:p>
    <w:p w:rsidR="00000000" w:rsidRDefault="00375AF8">
      <w:pPr>
        <w:ind w:hanging="720"/>
        <w:jc w:val="both"/>
        <w:divId w:val="1735620452"/>
        <w:rPr>
          <w:rFonts w:eastAsia="Times New Roman"/>
        </w:rPr>
      </w:pPr>
      <w:r>
        <w:rPr>
          <w:rFonts w:eastAsia="Times New Roman"/>
          <w:color w:val="000000"/>
          <w:sz w:val="18"/>
          <w:szCs w:val="18"/>
        </w:rPr>
        <w:t xml:space="preserve">*    Furnished herewith and not deemed to be “filed” </w:t>
      </w:r>
      <w:r>
        <w:rPr>
          <w:rFonts w:eastAsia="Times New Roman"/>
          <w:color w:val="000000"/>
          <w:sz w:val="18"/>
          <w:szCs w:val="18"/>
        </w:rPr>
        <w:t>for purposes of Section 18 of the Securities Exchange Act of 1934, as amended (the “Exchange Act”), and shall not be deemed to be incorporated by reference into any filing under the Securities Act of 1933, as amended, or the Exchange Act (whether made befo</w:t>
      </w:r>
      <w:r>
        <w:rPr>
          <w:rFonts w:eastAsia="Times New Roman"/>
          <w:color w:val="000000"/>
          <w:sz w:val="18"/>
          <w:szCs w:val="18"/>
        </w:rPr>
        <w:t>re or after the date of the Form 10-Q), irrespective of any general incorporation language contained in such filing.</w:t>
      </w:r>
    </w:p>
    <w:p w:rsidR="00000000" w:rsidRDefault="00375AF8">
      <w:pPr>
        <w:jc w:val="center"/>
        <w:divId w:val="1970278989"/>
        <w:rPr>
          <w:rFonts w:eastAsia="Times New Roman"/>
        </w:rPr>
      </w:pPr>
      <w:r>
        <w:rPr>
          <w:rFonts w:eastAsia="Times New Roman"/>
          <w:color w:val="000000"/>
          <w:sz w:val="18"/>
          <w:szCs w:val="18"/>
        </w:rPr>
        <w:t>59</w:t>
      </w:r>
    </w:p>
    <w:p w:rsidR="00000000" w:rsidRDefault="00375AF8">
      <w:pPr>
        <w:rPr>
          <w:rFonts w:eastAsia="Times New Roman"/>
        </w:rPr>
      </w:pPr>
      <w:r>
        <w:rPr>
          <w:rFonts w:eastAsia="Times New Roman"/>
        </w:rPr>
        <w:pict>
          <v:rect id="_x0000_i1085" style="width:0;height:1.5pt" o:hralign="center" o:hrstd="t" o:hr="t" fillcolor="#a0a0a0" stroked="f"/>
        </w:pict>
      </w:r>
    </w:p>
    <w:p w:rsidR="00000000" w:rsidRDefault="00375AF8">
      <w:pPr>
        <w:divId w:val="1985039601"/>
        <w:rPr>
          <w:rFonts w:eastAsia="Times New Roman"/>
        </w:rPr>
      </w:pPr>
      <w:hyperlink w:anchor="iffb89c91b68044fe89584fa1aa2f8679_7" w:history="1">
        <w:r>
          <w:rPr>
            <w:rStyle w:val="a3"/>
            <w:rFonts w:eastAsia="Times New Roman"/>
            <w:sz w:val="18"/>
            <w:szCs w:val="18"/>
          </w:rPr>
          <w:t>Table of Contents</w:t>
        </w:r>
      </w:hyperlink>
    </w:p>
    <w:p w:rsidR="00000000" w:rsidRDefault="00375AF8">
      <w:pPr>
        <w:jc w:val="center"/>
        <w:divId w:val="738140103"/>
        <w:rPr>
          <w:rFonts w:eastAsia="Times New Roman"/>
        </w:rPr>
      </w:pPr>
      <w:r>
        <w:rPr>
          <w:rFonts w:eastAsia="Times New Roman"/>
          <w:b/>
          <w:bCs/>
          <w:color w:val="000000"/>
          <w:sz w:val="18"/>
          <w:szCs w:val="18"/>
        </w:rPr>
        <w:t>SIGNATURES</w:t>
      </w:r>
    </w:p>
    <w:p w:rsidR="00000000" w:rsidRDefault="00375AF8">
      <w:pPr>
        <w:ind w:firstLine="720"/>
        <w:jc w:val="both"/>
        <w:divId w:val="366180781"/>
        <w:rPr>
          <w:rFonts w:eastAsia="Times New Roman"/>
        </w:rPr>
      </w:pPr>
      <w:r>
        <w:rPr>
          <w:rFonts w:eastAsia="Times New Roman"/>
          <w:color w:val="000000"/>
          <w:sz w:val="18"/>
          <w:szCs w:val="18"/>
        </w:rPr>
        <w:t>Pursuant to the requirements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58"/>
        <w:gridCol w:w="3849"/>
        <w:gridCol w:w="36"/>
        <w:gridCol w:w="74"/>
        <w:gridCol w:w="220"/>
        <w:gridCol w:w="37"/>
        <w:gridCol w:w="37"/>
        <w:gridCol w:w="37"/>
        <w:gridCol w:w="37"/>
        <w:gridCol w:w="48"/>
        <w:gridCol w:w="3837"/>
        <w:gridCol w:w="36"/>
      </w:tblGrid>
      <w:tr w:rsidR="00000000">
        <w:trPr>
          <w:divId w:val="1971858603"/>
        </w:trPr>
        <w:tc>
          <w:tcPr>
            <w:tcW w:w="50" w:type="pct"/>
            <w:vAlign w:val="center"/>
            <w:hideMark/>
          </w:tcPr>
          <w:p w:rsidR="00000000" w:rsidRDefault="00375AF8">
            <w:pPr>
              <w:ind w:firstLine="720"/>
              <w:jc w:val="both"/>
              <w:rPr>
                <w:rFonts w:eastAsia="Times New Roman"/>
              </w:rPr>
            </w:pPr>
          </w:p>
        </w:tc>
        <w:tc>
          <w:tcPr>
            <w:tcW w:w="2331"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149"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20"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c>
          <w:tcPr>
            <w:tcW w:w="50" w:type="pct"/>
            <w:vAlign w:val="center"/>
            <w:hideMark/>
          </w:tcPr>
          <w:p w:rsidR="00000000" w:rsidRDefault="00375AF8">
            <w:pPr>
              <w:spacing w:after="100"/>
              <w:rPr>
                <w:rFonts w:eastAsia="Times New Roman"/>
                <w:sz w:val="20"/>
                <w:szCs w:val="20"/>
              </w:rPr>
            </w:pPr>
          </w:p>
        </w:tc>
        <w:tc>
          <w:tcPr>
            <w:tcW w:w="2323" w:type="pct"/>
            <w:vAlign w:val="center"/>
            <w:hideMark/>
          </w:tcPr>
          <w:p w:rsidR="00000000" w:rsidRDefault="00375AF8">
            <w:pPr>
              <w:spacing w:after="100"/>
              <w:rPr>
                <w:rFonts w:eastAsia="Times New Roman"/>
                <w:sz w:val="20"/>
                <w:szCs w:val="20"/>
              </w:rPr>
            </w:pPr>
          </w:p>
        </w:tc>
        <w:tc>
          <w:tcPr>
            <w:tcW w:w="5" w:type="pct"/>
            <w:vAlign w:val="center"/>
            <w:hideMark/>
          </w:tcPr>
          <w:p w:rsidR="00000000" w:rsidRDefault="00375AF8">
            <w:pPr>
              <w:spacing w:after="100"/>
              <w:rPr>
                <w:rFonts w:eastAsia="Times New Roman"/>
                <w:sz w:val="20"/>
                <w:szCs w:val="20"/>
              </w:rPr>
            </w:pPr>
          </w:p>
        </w:tc>
      </w:tr>
      <w:tr w:rsidR="00000000">
        <w:trPr>
          <w:divId w:val="1971858603"/>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b/>
                <w:bCs/>
                <w:color w:val="000000"/>
                <w:sz w:val="18"/>
                <w:szCs w:val="18"/>
              </w:rPr>
              <w:t>OVID THERAPEUTICS INC.</w:t>
            </w:r>
          </w:p>
        </w:tc>
      </w:tr>
      <w:tr w:rsidR="00000000">
        <w:trPr>
          <w:divId w:val="1971858603"/>
          <w:trHeight w:val="28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971858603"/>
        </w:trPr>
        <w:tc>
          <w:tcPr>
            <w:tcW w:w="0" w:type="auto"/>
            <w:gridSpan w:val="3"/>
            <w:tcMar>
              <w:top w:w="30" w:type="dxa"/>
              <w:left w:w="20" w:type="dxa"/>
              <w:bottom w:w="30" w:type="dxa"/>
              <w:right w:w="20" w:type="dxa"/>
            </w:tcMar>
            <w:vAlign w:val="bottom"/>
            <w:hideMark/>
          </w:tcPr>
          <w:p w:rsidR="00000000" w:rsidRDefault="00375AF8">
            <w:pPr>
              <w:spacing w:after="100"/>
              <w:divId w:val="2096397682"/>
              <w:rPr>
                <w:rFonts w:eastAsia="Times New Roman"/>
              </w:rPr>
            </w:pPr>
            <w:r>
              <w:rPr>
                <w:rFonts w:eastAsia="Times New Roman"/>
                <w:color w:val="000000"/>
                <w:sz w:val="18"/>
                <w:szCs w:val="18"/>
              </w:rPr>
              <w:t>Date: August 9, 2022</w:t>
            </w:r>
          </w:p>
        </w:tc>
        <w:tc>
          <w:tcPr>
            <w:tcW w:w="0" w:type="auto"/>
            <w:gridSpan w:val="3"/>
            <w:tcMar>
              <w:top w:w="30" w:type="dxa"/>
              <w:left w:w="2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 Jeremy M. Levin</w:t>
            </w:r>
          </w:p>
        </w:tc>
      </w:tr>
      <w:tr w:rsidR="00000000">
        <w:trPr>
          <w:divId w:val="1971858603"/>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Jeremy M. Levin</w:t>
            </w:r>
          </w:p>
        </w:tc>
      </w:tr>
      <w:tr w:rsidR="00000000">
        <w:trPr>
          <w:divId w:val="1971858603"/>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Chief Executive Officer</w:t>
            </w:r>
            <w:r>
              <w:rPr>
                <w:rFonts w:eastAsia="Times New Roman"/>
                <w:color w:val="000000"/>
                <w:sz w:val="18"/>
                <w:szCs w:val="18"/>
              </w:rPr>
              <w:br/>
              <w:t>(Principal Executive Officer)</w:t>
            </w:r>
          </w:p>
        </w:tc>
      </w:tr>
      <w:tr w:rsidR="00000000">
        <w:trPr>
          <w:divId w:val="1971858603"/>
          <w:trHeight w:val="280"/>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r>
      <w:tr w:rsidR="00000000">
        <w:trPr>
          <w:divId w:val="1971858603"/>
        </w:trPr>
        <w:tc>
          <w:tcPr>
            <w:tcW w:w="0" w:type="auto"/>
            <w:gridSpan w:val="3"/>
            <w:tcMar>
              <w:top w:w="30" w:type="dxa"/>
              <w:left w:w="20" w:type="dxa"/>
              <w:bottom w:w="30" w:type="dxa"/>
              <w:right w:w="20" w:type="dxa"/>
            </w:tcMar>
            <w:vAlign w:val="bottom"/>
            <w:hideMark/>
          </w:tcPr>
          <w:p w:rsidR="00000000" w:rsidRDefault="00375AF8">
            <w:pPr>
              <w:spacing w:after="100"/>
              <w:divId w:val="466435028"/>
              <w:rPr>
                <w:rFonts w:eastAsia="Times New Roman"/>
              </w:rPr>
            </w:pPr>
            <w:r>
              <w:rPr>
                <w:rFonts w:eastAsia="Times New Roman"/>
                <w:color w:val="000000"/>
                <w:sz w:val="18"/>
                <w:szCs w:val="18"/>
              </w:rPr>
              <w:t>Date: August 9, 2022</w:t>
            </w:r>
          </w:p>
        </w:tc>
        <w:tc>
          <w:tcPr>
            <w:tcW w:w="0" w:type="auto"/>
            <w:gridSpan w:val="3"/>
            <w:tcMar>
              <w:top w:w="30" w:type="dxa"/>
              <w:left w:w="20" w:type="dxa"/>
              <w:bottom w:w="30" w:type="dxa"/>
              <w:right w:w="20" w:type="dxa"/>
            </w:tcMar>
            <w:vAlign w:val="bottom"/>
            <w:hideMark/>
          </w:tcPr>
          <w:p w:rsidR="00000000" w:rsidRDefault="00375AF8">
            <w:pPr>
              <w:spacing w:after="100"/>
              <w:jc w:val="right"/>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375AF8">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/s/ Jeffrey Rona</w:t>
            </w:r>
          </w:p>
        </w:tc>
      </w:tr>
      <w:tr w:rsidR="00000000">
        <w:trPr>
          <w:divId w:val="1971858603"/>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Jeffrey Rona</w:t>
            </w:r>
          </w:p>
        </w:tc>
      </w:tr>
      <w:tr w:rsidR="00000000">
        <w:trPr>
          <w:divId w:val="1971858603"/>
        </w:trPr>
        <w:tc>
          <w:tcPr>
            <w:tcW w:w="0" w:type="auto"/>
            <w:gridSpan w:val="3"/>
            <w:tcMar>
              <w:top w:w="0" w:type="dxa"/>
              <w:left w:w="20" w:type="dxa"/>
              <w:bottom w:w="0" w:type="dxa"/>
              <w:right w:w="20" w:type="dxa"/>
            </w:tcMar>
            <w:vAlign w:val="center"/>
            <w:hideMark/>
          </w:tcPr>
          <w:p w:rsidR="00000000" w:rsidRDefault="00375AF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75AF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75AF8">
            <w:pPr>
              <w:spacing w:after="100"/>
              <w:rPr>
                <w:rFonts w:eastAsia="Times New Roman"/>
              </w:rPr>
            </w:pPr>
            <w:r>
              <w:rPr>
                <w:rFonts w:eastAsia="Times New Roman"/>
                <w:color w:val="000000"/>
                <w:sz w:val="18"/>
                <w:szCs w:val="18"/>
              </w:rPr>
              <w:t>Chief Business and Financial Officer</w:t>
            </w:r>
            <w:r>
              <w:rPr>
                <w:rFonts w:eastAsia="Times New Roman"/>
                <w:color w:val="000000"/>
                <w:sz w:val="18"/>
                <w:szCs w:val="18"/>
              </w:rPr>
              <w:br/>
              <w:t>(Principal Financial and Accounting Officer)</w:t>
            </w:r>
          </w:p>
        </w:tc>
      </w:tr>
    </w:tbl>
    <w:p w:rsidR="00375AF8" w:rsidRDefault="00375AF8">
      <w:pPr>
        <w:jc w:val="center"/>
        <w:divId w:val="957953620"/>
        <w:rPr>
          <w:rFonts w:eastAsia="Times New Roman"/>
        </w:rPr>
      </w:pPr>
    </w:p>
    <w:sectPr w:rsidR="00375AF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5AF8"/>
    <w:rsid w:val="00375AF8"/>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9/utr"/>
  <w:attachedSchema w:val="http://fasb.org/srt/2022"/>
  <w:attachedSchema w:val="http://www.w3.org/1999/xlink"/>
  <w:attachedSchema w:val="http://www.xbrl.org/2003/linkbase"/>
  <w:attachedSchema w:val="http://www.xbrl.org/2013/inlineXBRL"/>
  <w:attachedSchema w:val="http://www.xbrl.org/inlineXBRL/transformation/2020-02-12"/>
  <w:attachedSchema w:val="http://www.xbrl.org/2003/instance"/>
  <w:attachedSchema w:val="http://www.ovidrx.com/20220630"/>
  <w:attachedSchema w:val="http://xbrl.sec.gov/dei/2022"/>
  <w:attachedSchema w:val="http://www.xbrl.org/2003/iso4217"/>
  <w:attachedSchema w:val="http://xbrl.org/2006/xbrldi"/>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30">
      <w:marLeft w:val="0"/>
      <w:marRight w:val="0"/>
      <w:marTop w:val="120"/>
      <w:marBottom w:val="0"/>
      <w:divBdr>
        <w:top w:val="none" w:sz="0" w:space="0" w:color="auto"/>
        <w:left w:val="none" w:sz="0" w:space="0" w:color="auto"/>
        <w:bottom w:val="none" w:sz="0" w:space="0" w:color="auto"/>
        <w:right w:val="none" w:sz="0" w:space="0" w:color="auto"/>
      </w:divBdr>
    </w:div>
    <w:div w:id="3826177">
      <w:marLeft w:val="0"/>
      <w:marRight w:val="0"/>
      <w:marTop w:val="120"/>
      <w:marBottom w:val="0"/>
      <w:divBdr>
        <w:top w:val="none" w:sz="0" w:space="0" w:color="auto"/>
        <w:left w:val="none" w:sz="0" w:space="0" w:color="auto"/>
        <w:bottom w:val="none" w:sz="0" w:space="0" w:color="auto"/>
        <w:right w:val="none" w:sz="0" w:space="0" w:color="auto"/>
      </w:divBdr>
    </w:div>
    <w:div w:id="4286288">
      <w:marLeft w:val="0"/>
      <w:marRight w:val="0"/>
      <w:marTop w:val="120"/>
      <w:marBottom w:val="0"/>
      <w:divBdr>
        <w:top w:val="none" w:sz="0" w:space="0" w:color="auto"/>
        <w:left w:val="none" w:sz="0" w:space="0" w:color="auto"/>
        <w:bottom w:val="none" w:sz="0" w:space="0" w:color="auto"/>
        <w:right w:val="none" w:sz="0" w:space="0" w:color="auto"/>
      </w:divBdr>
    </w:div>
    <w:div w:id="5449536">
      <w:marLeft w:val="0"/>
      <w:marRight w:val="0"/>
      <w:marTop w:val="0"/>
      <w:marBottom w:val="0"/>
      <w:divBdr>
        <w:top w:val="none" w:sz="0" w:space="0" w:color="auto"/>
        <w:left w:val="none" w:sz="0" w:space="0" w:color="auto"/>
        <w:bottom w:val="none" w:sz="0" w:space="0" w:color="auto"/>
        <w:right w:val="none" w:sz="0" w:space="0" w:color="auto"/>
      </w:divBdr>
      <w:divsChild>
        <w:div w:id="920335664">
          <w:marLeft w:val="0"/>
          <w:marRight w:val="0"/>
          <w:marTop w:val="0"/>
          <w:marBottom w:val="0"/>
          <w:divBdr>
            <w:top w:val="none" w:sz="0" w:space="0" w:color="auto"/>
            <w:left w:val="none" w:sz="0" w:space="0" w:color="auto"/>
            <w:bottom w:val="none" w:sz="0" w:space="0" w:color="auto"/>
            <w:right w:val="none" w:sz="0" w:space="0" w:color="auto"/>
          </w:divBdr>
        </w:div>
      </w:divsChild>
    </w:div>
    <w:div w:id="5712660">
      <w:marLeft w:val="0"/>
      <w:marRight w:val="0"/>
      <w:marTop w:val="0"/>
      <w:marBottom w:val="0"/>
      <w:divBdr>
        <w:top w:val="none" w:sz="0" w:space="0" w:color="auto"/>
        <w:left w:val="none" w:sz="0" w:space="0" w:color="auto"/>
        <w:bottom w:val="none" w:sz="0" w:space="0" w:color="auto"/>
        <w:right w:val="none" w:sz="0" w:space="0" w:color="auto"/>
      </w:divBdr>
      <w:divsChild>
        <w:div w:id="1911498695">
          <w:marLeft w:val="0"/>
          <w:marRight w:val="0"/>
          <w:marTop w:val="360"/>
          <w:marBottom w:val="0"/>
          <w:divBdr>
            <w:top w:val="none" w:sz="0" w:space="0" w:color="auto"/>
            <w:left w:val="none" w:sz="0" w:space="0" w:color="auto"/>
            <w:bottom w:val="none" w:sz="0" w:space="0" w:color="auto"/>
            <w:right w:val="none" w:sz="0" w:space="0" w:color="auto"/>
          </w:divBdr>
        </w:div>
      </w:divsChild>
    </w:div>
    <w:div w:id="7369691">
      <w:marLeft w:val="0"/>
      <w:marRight w:val="0"/>
      <w:marTop w:val="120"/>
      <w:marBottom w:val="0"/>
      <w:divBdr>
        <w:top w:val="none" w:sz="0" w:space="0" w:color="auto"/>
        <w:left w:val="none" w:sz="0" w:space="0" w:color="auto"/>
        <w:bottom w:val="none" w:sz="0" w:space="0" w:color="auto"/>
        <w:right w:val="none" w:sz="0" w:space="0" w:color="auto"/>
      </w:divBdr>
    </w:div>
    <w:div w:id="11954609">
      <w:marLeft w:val="0"/>
      <w:marRight w:val="0"/>
      <w:marTop w:val="140"/>
      <w:marBottom w:val="0"/>
      <w:divBdr>
        <w:top w:val="none" w:sz="0" w:space="0" w:color="auto"/>
        <w:left w:val="none" w:sz="0" w:space="0" w:color="auto"/>
        <w:bottom w:val="none" w:sz="0" w:space="0" w:color="auto"/>
        <w:right w:val="none" w:sz="0" w:space="0" w:color="auto"/>
      </w:divBdr>
    </w:div>
    <w:div w:id="19169145">
      <w:marLeft w:val="0"/>
      <w:marRight w:val="0"/>
      <w:marTop w:val="120"/>
      <w:marBottom w:val="0"/>
      <w:divBdr>
        <w:top w:val="none" w:sz="0" w:space="0" w:color="auto"/>
        <w:left w:val="none" w:sz="0" w:space="0" w:color="auto"/>
        <w:bottom w:val="none" w:sz="0" w:space="0" w:color="auto"/>
        <w:right w:val="none" w:sz="0" w:space="0" w:color="auto"/>
      </w:divBdr>
    </w:div>
    <w:div w:id="21708177">
      <w:marLeft w:val="0"/>
      <w:marRight w:val="0"/>
      <w:marTop w:val="120"/>
      <w:marBottom w:val="0"/>
      <w:divBdr>
        <w:top w:val="none" w:sz="0" w:space="0" w:color="auto"/>
        <w:left w:val="none" w:sz="0" w:space="0" w:color="auto"/>
        <w:bottom w:val="none" w:sz="0" w:space="0" w:color="auto"/>
        <w:right w:val="none" w:sz="0" w:space="0" w:color="auto"/>
      </w:divBdr>
    </w:div>
    <w:div w:id="21825800">
      <w:marLeft w:val="0"/>
      <w:marRight w:val="0"/>
      <w:marTop w:val="0"/>
      <w:marBottom w:val="0"/>
      <w:divBdr>
        <w:top w:val="none" w:sz="0" w:space="0" w:color="auto"/>
        <w:left w:val="none" w:sz="0" w:space="0" w:color="auto"/>
        <w:bottom w:val="none" w:sz="0" w:space="0" w:color="auto"/>
        <w:right w:val="none" w:sz="0" w:space="0" w:color="auto"/>
      </w:divBdr>
      <w:divsChild>
        <w:div w:id="1681006964">
          <w:marLeft w:val="0"/>
          <w:marRight w:val="0"/>
          <w:marTop w:val="360"/>
          <w:marBottom w:val="0"/>
          <w:divBdr>
            <w:top w:val="none" w:sz="0" w:space="0" w:color="auto"/>
            <w:left w:val="none" w:sz="0" w:space="0" w:color="auto"/>
            <w:bottom w:val="none" w:sz="0" w:space="0" w:color="auto"/>
            <w:right w:val="none" w:sz="0" w:space="0" w:color="auto"/>
          </w:divBdr>
        </w:div>
      </w:divsChild>
    </w:div>
    <w:div w:id="22363274">
      <w:marLeft w:val="0"/>
      <w:marRight w:val="0"/>
      <w:marTop w:val="120"/>
      <w:marBottom w:val="0"/>
      <w:divBdr>
        <w:top w:val="none" w:sz="0" w:space="0" w:color="auto"/>
        <w:left w:val="none" w:sz="0" w:space="0" w:color="auto"/>
        <w:bottom w:val="none" w:sz="0" w:space="0" w:color="auto"/>
        <w:right w:val="none" w:sz="0" w:space="0" w:color="auto"/>
      </w:divBdr>
    </w:div>
    <w:div w:id="34428355">
      <w:marLeft w:val="0"/>
      <w:marRight w:val="0"/>
      <w:marTop w:val="120"/>
      <w:marBottom w:val="0"/>
      <w:divBdr>
        <w:top w:val="none" w:sz="0" w:space="0" w:color="auto"/>
        <w:left w:val="none" w:sz="0" w:space="0" w:color="auto"/>
        <w:bottom w:val="none" w:sz="0" w:space="0" w:color="auto"/>
        <w:right w:val="none" w:sz="0" w:space="0" w:color="auto"/>
      </w:divBdr>
    </w:div>
    <w:div w:id="37290702">
      <w:marLeft w:val="0"/>
      <w:marRight w:val="0"/>
      <w:marTop w:val="120"/>
      <w:marBottom w:val="0"/>
      <w:divBdr>
        <w:top w:val="none" w:sz="0" w:space="0" w:color="auto"/>
        <w:left w:val="none" w:sz="0" w:space="0" w:color="auto"/>
        <w:bottom w:val="none" w:sz="0" w:space="0" w:color="auto"/>
        <w:right w:val="none" w:sz="0" w:space="0" w:color="auto"/>
      </w:divBdr>
    </w:div>
    <w:div w:id="45614916">
      <w:marLeft w:val="0"/>
      <w:marRight w:val="0"/>
      <w:marTop w:val="120"/>
      <w:marBottom w:val="0"/>
      <w:divBdr>
        <w:top w:val="none" w:sz="0" w:space="0" w:color="auto"/>
        <w:left w:val="none" w:sz="0" w:space="0" w:color="auto"/>
        <w:bottom w:val="none" w:sz="0" w:space="0" w:color="auto"/>
        <w:right w:val="none" w:sz="0" w:space="0" w:color="auto"/>
      </w:divBdr>
    </w:div>
    <w:div w:id="46539407">
      <w:marLeft w:val="0"/>
      <w:marRight w:val="0"/>
      <w:marTop w:val="120"/>
      <w:marBottom w:val="0"/>
      <w:divBdr>
        <w:top w:val="none" w:sz="0" w:space="0" w:color="auto"/>
        <w:left w:val="none" w:sz="0" w:space="0" w:color="auto"/>
        <w:bottom w:val="none" w:sz="0" w:space="0" w:color="auto"/>
        <w:right w:val="none" w:sz="0" w:space="0" w:color="auto"/>
      </w:divBdr>
    </w:div>
    <w:div w:id="46609724">
      <w:marLeft w:val="0"/>
      <w:marRight w:val="0"/>
      <w:marTop w:val="120"/>
      <w:marBottom w:val="0"/>
      <w:divBdr>
        <w:top w:val="none" w:sz="0" w:space="0" w:color="auto"/>
        <w:left w:val="none" w:sz="0" w:space="0" w:color="auto"/>
        <w:bottom w:val="none" w:sz="0" w:space="0" w:color="auto"/>
        <w:right w:val="none" w:sz="0" w:space="0" w:color="auto"/>
      </w:divBdr>
    </w:div>
    <w:div w:id="47338310">
      <w:marLeft w:val="0"/>
      <w:marRight w:val="0"/>
      <w:marTop w:val="120"/>
      <w:marBottom w:val="0"/>
      <w:divBdr>
        <w:top w:val="none" w:sz="0" w:space="0" w:color="auto"/>
        <w:left w:val="none" w:sz="0" w:space="0" w:color="auto"/>
        <w:bottom w:val="none" w:sz="0" w:space="0" w:color="auto"/>
        <w:right w:val="none" w:sz="0" w:space="0" w:color="auto"/>
      </w:divBdr>
    </w:div>
    <w:div w:id="48040959">
      <w:marLeft w:val="0"/>
      <w:marRight w:val="0"/>
      <w:marTop w:val="120"/>
      <w:marBottom w:val="0"/>
      <w:divBdr>
        <w:top w:val="none" w:sz="0" w:space="0" w:color="auto"/>
        <w:left w:val="none" w:sz="0" w:space="0" w:color="auto"/>
        <w:bottom w:val="none" w:sz="0" w:space="0" w:color="auto"/>
        <w:right w:val="none" w:sz="0" w:space="0" w:color="auto"/>
      </w:divBdr>
    </w:div>
    <w:div w:id="48310722">
      <w:marLeft w:val="0"/>
      <w:marRight w:val="0"/>
      <w:marTop w:val="0"/>
      <w:marBottom w:val="0"/>
      <w:divBdr>
        <w:top w:val="none" w:sz="0" w:space="0" w:color="auto"/>
        <w:left w:val="none" w:sz="0" w:space="0" w:color="auto"/>
        <w:bottom w:val="none" w:sz="0" w:space="0" w:color="auto"/>
        <w:right w:val="none" w:sz="0" w:space="0" w:color="auto"/>
      </w:divBdr>
      <w:divsChild>
        <w:div w:id="1700617102">
          <w:marLeft w:val="0"/>
          <w:marRight w:val="0"/>
          <w:marTop w:val="0"/>
          <w:marBottom w:val="0"/>
          <w:divBdr>
            <w:top w:val="none" w:sz="0" w:space="0" w:color="auto"/>
            <w:left w:val="none" w:sz="0" w:space="0" w:color="auto"/>
            <w:bottom w:val="none" w:sz="0" w:space="0" w:color="auto"/>
            <w:right w:val="none" w:sz="0" w:space="0" w:color="auto"/>
          </w:divBdr>
        </w:div>
      </w:divsChild>
    </w:div>
    <w:div w:id="56587631">
      <w:marLeft w:val="0"/>
      <w:marRight w:val="0"/>
      <w:marTop w:val="120"/>
      <w:marBottom w:val="0"/>
      <w:divBdr>
        <w:top w:val="none" w:sz="0" w:space="0" w:color="auto"/>
        <w:left w:val="none" w:sz="0" w:space="0" w:color="auto"/>
        <w:bottom w:val="none" w:sz="0" w:space="0" w:color="auto"/>
        <w:right w:val="none" w:sz="0" w:space="0" w:color="auto"/>
      </w:divBdr>
    </w:div>
    <w:div w:id="56822694">
      <w:marLeft w:val="0"/>
      <w:marRight w:val="0"/>
      <w:marTop w:val="120"/>
      <w:marBottom w:val="0"/>
      <w:divBdr>
        <w:top w:val="none" w:sz="0" w:space="0" w:color="auto"/>
        <w:left w:val="none" w:sz="0" w:space="0" w:color="auto"/>
        <w:bottom w:val="none" w:sz="0" w:space="0" w:color="auto"/>
        <w:right w:val="none" w:sz="0" w:space="0" w:color="auto"/>
      </w:divBdr>
    </w:div>
    <w:div w:id="60448696">
      <w:marLeft w:val="0"/>
      <w:marRight w:val="0"/>
      <w:marTop w:val="120"/>
      <w:marBottom w:val="0"/>
      <w:divBdr>
        <w:top w:val="none" w:sz="0" w:space="0" w:color="auto"/>
        <w:left w:val="none" w:sz="0" w:space="0" w:color="auto"/>
        <w:bottom w:val="none" w:sz="0" w:space="0" w:color="auto"/>
        <w:right w:val="none" w:sz="0" w:space="0" w:color="auto"/>
      </w:divBdr>
    </w:div>
    <w:div w:id="65613121">
      <w:marLeft w:val="0"/>
      <w:marRight w:val="0"/>
      <w:marTop w:val="120"/>
      <w:marBottom w:val="0"/>
      <w:divBdr>
        <w:top w:val="none" w:sz="0" w:space="0" w:color="auto"/>
        <w:left w:val="none" w:sz="0" w:space="0" w:color="auto"/>
        <w:bottom w:val="none" w:sz="0" w:space="0" w:color="auto"/>
        <w:right w:val="none" w:sz="0" w:space="0" w:color="auto"/>
      </w:divBdr>
    </w:div>
    <w:div w:id="66615029">
      <w:marLeft w:val="0"/>
      <w:marRight w:val="0"/>
      <w:marTop w:val="120"/>
      <w:marBottom w:val="0"/>
      <w:divBdr>
        <w:top w:val="none" w:sz="0" w:space="0" w:color="auto"/>
        <w:left w:val="none" w:sz="0" w:space="0" w:color="auto"/>
        <w:bottom w:val="none" w:sz="0" w:space="0" w:color="auto"/>
        <w:right w:val="none" w:sz="0" w:space="0" w:color="auto"/>
      </w:divBdr>
    </w:div>
    <w:div w:id="69155541">
      <w:marLeft w:val="0"/>
      <w:marRight w:val="0"/>
      <w:marTop w:val="0"/>
      <w:marBottom w:val="0"/>
      <w:divBdr>
        <w:top w:val="none" w:sz="0" w:space="0" w:color="auto"/>
        <w:left w:val="none" w:sz="0" w:space="0" w:color="auto"/>
        <w:bottom w:val="none" w:sz="0" w:space="0" w:color="auto"/>
        <w:right w:val="none" w:sz="0" w:space="0" w:color="auto"/>
      </w:divBdr>
      <w:divsChild>
        <w:div w:id="940987321">
          <w:marLeft w:val="0"/>
          <w:marRight w:val="0"/>
          <w:marTop w:val="0"/>
          <w:marBottom w:val="0"/>
          <w:divBdr>
            <w:top w:val="none" w:sz="0" w:space="0" w:color="auto"/>
            <w:left w:val="none" w:sz="0" w:space="0" w:color="auto"/>
            <w:bottom w:val="none" w:sz="0" w:space="0" w:color="auto"/>
            <w:right w:val="none" w:sz="0" w:space="0" w:color="auto"/>
          </w:divBdr>
        </w:div>
      </w:divsChild>
    </w:div>
    <w:div w:id="71244680">
      <w:marLeft w:val="0"/>
      <w:marRight w:val="0"/>
      <w:marTop w:val="120"/>
      <w:marBottom w:val="0"/>
      <w:divBdr>
        <w:top w:val="none" w:sz="0" w:space="0" w:color="auto"/>
        <w:left w:val="none" w:sz="0" w:space="0" w:color="auto"/>
        <w:bottom w:val="none" w:sz="0" w:space="0" w:color="auto"/>
        <w:right w:val="none" w:sz="0" w:space="0" w:color="auto"/>
      </w:divBdr>
    </w:div>
    <w:div w:id="78528380">
      <w:marLeft w:val="0"/>
      <w:marRight w:val="0"/>
      <w:marTop w:val="120"/>
      <w:marBottom w:val="0"/>
      <w:divBdr>
        <w:top w:val="none" w:sz="0" w:space="0" w:color="auto"/>
        <w:left w:val="none" w:sz="0" w:space="0" w:color="auto"/>
        <w:bottom w:val="none" w:sz="0" w:space="0" w:color="auto"/>
        <w:right w:val="none" w:sz="0" w:space="0" w:color="auto"/>
      </w:divBdr>
    </w:div>
    <w:div w:id="78986807">
      <w:marLeft w:val="0"/>
      <w:marRight w:val="0"/>
      <w:marTop w:val="120"/>
      <w:marBottom w:val="0"/>
      <w:divBdr>
        <w:top w:val="none" w:sz="0" w:space="0" w:color="auto"/>
        <w:left w:val="none" w:sz="0" w:space="0" w:color="auto"/>
        <w:bottom w:val="none" w:sz="0" w:space="0" w:color="auto"/>
        <w:right w:val="none" w:sz="0" w:space="0" w:color="auto"/>
      </w:divBdr>
    </w:div>
    <w:div w:id="78991551">
      <w:marLeft w:val="0"/>
      <w:marRight w:val="0"/>
      <w:marTop w:val="120"/>
      <w:marBottom w:val="0"/>
      <w:divBdr>
        <w:top w:val="none" w:sz="0" w:space="0" w:color="auto"/>
        <w:left w:val="none" w:sz="0" w:space="0" w:color="auto"/>
        <w:bottom w:val="none" w:sz="0" w:space="0" w:color="auto"/>
        <w:right w:val="none" w:sz="0" w:space="0" w:color="auto"/>
      </w:divBdr>
    </w:div>
    <w:div w:id="79109840">
      <w:marLeft w:val="0"/>
      <w:marRight w:val="0"/>
      <w:marTop w:val="120"/>
      <w:marBottom w:val="0"/>
      <w:divBdr>
        <w:top w:val="none" w:sz="0" w:space="0" w:color="auto"/>
        <w:left w:val="none" w:sz="0" w:space="0" w:color="auto"/>
        <w:bottom w:val="none" w:sz="0" w:space="0" w:color="auto"/>
        <w:right w:val="none" w:sz="0" w:space="0" w:color="auto"/>
      </w:divBdr>
    </w:div>
    <w:div w:id="80764584">
      <w:marLeft w:val="0"/>
      <w:marRight w:val="0"/>
      <w:marTop w:val="120"/>
      <w:marBottom w:val="0"/>
      <w:divBdr>
        <w:top w:val="none" w:sz="0" w:space="0" w:color="auto"/>
        <w:left w:val="none" w:sz="0" w:space="0" w:color="auto"/>
        <w:bottom w:val="none" w:sz="0" w:space="0" w:color="auto"/>
        <w:right w:val="none" w:sz="0" w:space="0" w:color="auto"/>
      </w:divBdr>
    </w:div>
    <w:div w:id="83845317">
      <w:marLeft w:val="0"/>
      <w:marRight w:val="0"/>
      <w:marTop w:val="120"/>
      <w:marBottom w:val="0"/>
      <w:divBdr>
        <w:top w:val="none" w:sz="0" w:space="0" w:color="auto"/>
        <w:left w:val="none" w:sz="0" w:space="0" w:color="auto"/>
        <w:bottom w:val="none" w:sz="0" w:space="0" w:color="auto"/>
        <w:right w:val="none" w:sz="0" w:space="0" w:color="auto"/>
      </w:divBdr>
    </w:div>
    <w:div w:id="88356632">
      <w:marLeft w:val="0"/>
      <w:marRight w:val="0"/>
      <w:marTop w:val="120"/>
      <w:marBottom w:val="0"/>
      <w:divBdr>
        <w:top w:val="none" w:sz="0" w:space="0" w:color="auto"/>
        <w:left w:val="none" w:sz="0" w:space="0" w:color="auto"/>
        <w:bottom w:val="none" w:sz="0" w:space="0" w:color="auto"/>
        <w:right w:val="none" w:sz="0" w:space="0" w:color="auto"/>
      </w:divBdr>
    </w:div>
    <w:div w:id="89859410">
      <w:marLeft w:val="0"/>
      <w:marRight w:val="0"/>
      <w:marTop w:val="120"/>
      <w:marBottom w:val="0"/>
      <w:divBdr>
        <w:top w:val="none" w:sz="0" w:space="0" w:color="auto"/>
        <w:left w:val="none" w:sz="0" w:space="0" w:color="auto"/>
        <w:bottom w:val="none" w:sz="0" w:space="0" w:color="auto"/>
        <w:right w:val="none" w:sz="0" w:space="0" w:color="auto"/>
      </w:divBdr>
    </w:div>
    <w:div w:id="91977427">
      <w:marLeft w:val="0"/>
      <w:marRight w:val="0"/>
      <w:marTop w:val="120"/>
      <w:marBottom w:val="0"/>
      <w:divBdr>
        <w:top w:val="none" w:sz="0" w:space="0" w:color="auto"/>
        <w:left w:val="none" w:sz="0" w:space="0" w:color="auto"/>
        <w:bottom w:val="none" w:sz="0" w:space="0" w:color="auto"/>
        <w:right w:val="none" w:sz="0" w:space="0" w:color="auto"/>
      </w:divBdr>
    </w:div>
    <w:div w:id="98530052">
      <w:marLeft w:val="0"/>
      <w:marRight w:val="0"/>
      <w:marTop w:val="0"/>
      <w:marBottom w:val="0"/>
      <w:divBdr>
        <w:top w:val="none" w:sz="0" w:space="0" w:color="auto"/>
        <w:left w:val="none" w:sz="0" w:space="0" w:color="auto"/>
        <w:bottom w:val="none" w:sz="0" w:space="0" w:color="auto"/>
        <w:right w:val="none" w:sz="0" w:space="0" w:color="auto"/>
      </w:divBdr>
      <w:divsChild>
        <w:div w:id="810943088">
          <w:marLeft w:val="0"/>
          <w:marRight w:val="0"/>
          <w:marTop w:val="0"/>
          <w:marBottom w:val="0"/>
          <w:divBdr>
            <w:top w:val="none" w:sz="0" w:space="0" w:color="auto"/>
            <w:left w:val="none" w:sz="0" w:space="0" w:color="auto"/>
            <w:bottom w:val="none" w:sz="0" w:space="0" w:color="auto"/>
            <w:right w:val="none" w:sz="0" w:space="0" w:color="auto"/>
          </w:divBdr>
        </w:div>
      </w:divsChild>
    </w:div>
    <w:div w:id="98987675">
      <w:marLeft w:val="0"/>
      <w:marRight w:val="0"/>
      <w:marTop w:val="120"/>
      <w:marBottom w:val="0"/>
      <w:divBdr>
        <w:top w:val="none" w:sz="0" w:space="0" w:color="auto"/>
        <w:left w:val="none" w:sz="0" w:space="0" w:color="auto"/>
        <w:bottom w:val="none" w:sz="0" w:space="0" w:color="auto"/>
        <w:right w:val="none" w:sz="0" w:space="0" w:color="auto"/>
      </w:divBdr>
    </w:div>
    <w:div w:id="100607820">
      <w:marLeft w:val="0"/>
      <w:marRight w:val="0"/>
      <w:marTop w:val="0"/>
      <w:marBottom w:val="15"/>
      <w:divBdr>
        <w:top w:val="none" w:sz="0" w:space="0" w:color="auto"/>
        <w:left w:val="none" w:sz="0" w:space="0" w:color="auto"/>
        <w:bottom w:val="none" w:sz="0" w:space="0" w:color="auto"/>
        <w:right w:val="none" w:sz="0" w:space="0" w:color="auto"/>
      </w:divBdr>
    </w:div>
    <w:div w:id="101800765">
      <w:marLeft w:val="0"/>
      <w:marRight w:val="0"/>
      <w:marTop w:val="120"/>
      <w:marBottom w:val="0"/>
      <w:divBdr>
        <w:top w:val="none" w:sz="0" w:space="0" w:color="auto"/>
        <w:left w:val="none" w:sz="0" w:space="0" w:color="auto"/>
        <w:bottom w:val="none" w:sz="0" w:space="0" w:color="auto"/>
        <w:right w:val="none" w:sz="0" w:space="0" w:color="auto"/>
      </w:divBdr>
    </w:div>
    <w:div w:id="107431882">
      <w:marLeft w:val="0"/>
      <w:marRight w:val="0"/>
      <w:marTop w:val="240"/>
      <w:marBottom w:val="0"/>
      <w:divBdr>
        <w:top w:val="none" w:sz="0" w:space="0" w:color="auto"/>
        <w:left w:val="none" w:sz="0" w:space="0" w:color="auto"/>
        <w:bottom w:val="none" w:sz="0" w:space="0" w:color="auto"/>
        <w:right w:val="none" w:sz="0" w:space="0" w:color="auto"/>
      </w:divBdr>
    </w:div>
    <w:div w:id="109279458">
      <w:marLeft w:val="0"/>
      <w:marRight w:val="0"/>
      <w:marTop w:val="0"/>
      <w:marBottom w:val="0"/>
      <w:divBdr>
        <w:top w:val="none" w:sz="0" w:space="0" w:color="auto"/>
        <w:left w:val="none" w:sz="0" w:space="0" w:color="auto"/>
        <w:bottom w:val="none" w:sz="0" w:space="0" w:color="auto"/>
        <w:right w:val="none" w:sz="0" w:space="0" w:color="auto"/>
      </w:divBdr>
      <w:divsChild>
        <w:div w:id="2063599343">
          <w:marLeft w:val="0"/>
          <w:marRight w:val="0"/>
          <w:marTop w:val="360"/>
          <w:marBottom w:val="0"/>
          <w:divBdr>
            <w:top w:val="none" w:sz="0" w:space="0" w:color="auto"/>
            <w:left w:val="none" w:sz="0" w:space="0" w:color="auto"/>
            <w:bottom w:val="none" w:sz="0" w:space="0" w:color="auto"/>
            <w:right w:val="none" w:sz="0" w:space="0" w:color="auto"/>
          </w:divBdr>
        </w:div>
      </w:divsChild>
    </w:div>
    <w:div w:id="115292086">
      <w:marLeft w:val="0"/>
      <w:marRight w:val="0"/>
      <w:marTop w:val="120"/>
      <w:marBottom w:val="0"/>
      <w:divBdr>
        <w:top w:val="none" w:sz="0" w:space="0" w:color="auto"/>
        <w:left w:val="none" w:sz="0" w:space="0" w:color="auto"/>
        <w:bottom w:val="none" w:sz="0" w:space="0" w:color="auto"/>
        <w:right w:val="none" w:sz="0" w:space="0" w:color="auto"/>
      </w:divBdr>
    </w:div>
    <w:div w:id="115494437">
      <w:marLeft w:val="0"/>
      <w:marRight w:val="0"/>
      <w:marTop w:val="120"/>
      <w:marBottom w:val="0"/>
      <w:divBdr>
        <w:top w:val="none" w:sz="0" w:space="0" w:color="auto"/>
        <w:left w:val="none" w:sz="0" w:space="0" w:color="auto"/>
        <w:bottom w:val="none" w:sz="0" w:space="0" w:color="auto"/>
        <w:right w:val="none" w:sz="0" w:space="0" w:color="auto"/>
      </w:divBdr>
    </w:div>
    <w:div w:id="115567164">
      <w:marLeft w:val="0"/>
      <w:marRight w:val="0"/>
      <w:marTop w:val="120"/>
      <w:marBottom w:val="0"/>
      <w:divBdr>
        <w:top w:val="none" w:sz="0" w:space="0" w:color="auto"/>
        <w:left w:val="none" w:sz="0" w:space="0" w:color="auto"/>
        <w:bottom w:val="none" w:sz="0" w:space="0" w:color="auto"/>
        <w:right w:val="none" w:sz="0" w:space="0" w:color="auto"/>
      </w:divBdr>
    </w:div>
    <w:div w:id="120420601">
      <w:marLeft w:val="0"/>
      <w:marRight w:val="0"/>
      <w:marTop w:val="120"/>
      <w:marBottom w:val="0"/>
      <w:divBdr>
        <w:top w:val="none" w:sz="0" w:space="0" w:color="auto"/>
        <w:left w:val="none" w:sz="0" w:space="0" w:color="auto"/>
        <w:bottom w:val="none" w:sz="0" w:space="0" w:color="auto"/>
        <w:right w:val="none" w:sz="0" w:space="0" w:color="auto"/>
      </w:divBdr>
    </w:div>
    <w:div w:id="124810217">
      <w:marLeft w:val="0"/>
      <w:marRight w:val="0"/>
      <w:marTop w:val="120"/>
      <w:marBottom w:val="0"/>
      <w:divBdr>
        <w:top w:val="none" w:sz="0" w:space="0" w:color="auto"/>
        <w:left w:val="none" w:sz="0" w:space="0" w:color="auto"/>
        <w:bottom w:val="none" w:sz="0" w:space="0" w:color="auto"/>
        <w:right w:val="none" w:sz="0" w:space="0" w:color="auto"/>
      </w:divBdr>
    </w:div>
    <w:div w:id="127938652">
      <w:marLeft w:val="0"/>
      <w:marRight w:val="0"/>
      <w:marTop w:val="0"/>
      <w:marBottom w:val="0"/>
      <w:divBdr>
        <w:top w:val="none" w:sz="0" w:space="0" w:color="auto"/>
        <w:left w:val="none" w:sz="0" w:space="0" w:color="auto"/>
        <w:bottom w:val="none" w:sz="0" w:space="0" w:color="auto"/>
        <w:right w:val="none" w:sz="0" w:space="0" w:color="auto"/>
      </w:divBdr>
      <w:divsChild>
        <w:div w:id="1190799416">
          <w:marLeft w:val="0"/>
          <w:marRight w:val="0"/>
          <w:marTop w:val="0"/>
          <w:marBottom w:val="0"/>
          <w:divBdr>
            <w:top w:val="none" w:sz="0" w:space="0" w:color="auto"/>
            <w:left w:val="none" w:sz="0" w:space="0" w:color="auto"/>
            <w:bottom w:val="none" w:sz="0" w:space="0" w:color="auto"/>
            <w:right w:val="none" w:sz="0" w:space="0" w:color="auto"/>
          </w:divBdr>
        </w:div>
      </w:divsChild>
    </w:div>
    <w:div w:id="128399805">
      <w:marLeft w:val="0"/>
      <w:marRight w:val="0"/>
      <w:marTop w:val="120"/>
      <w:marBottom w:val="0"/>
      <w:divBdr>
        <w:top w:val="none" w:sz="0" w:space="0" w:color="auto"/>
        <w:left w:val="none" w:sz="0" w:space="0" w:color="auto"/>
        <w:bottom w:val="none" w:sz="0" w:space="0" w:color="auto"/>
        <w:right w:val="none" w:sz="0" w:space="0" w:color="auto"/>
      </w:divBdr>
    </w:div>
    <w:div w:id="130486603">
      <w:marLeft w:val="0"/>
      <w:marRight w:val="0"/>
      <w:marTop w:val="120"/>
      <w:marBottom w:val="0"/>
      <w:divBdr>
        <w:top w:val="none" w:sz="0" w:space="0" w:color="auto"/>
        <w:left w:val="none" w:sz="0" w:space="0" w:color="auto"/>
        <w:bottom w:val="none" w:sz="0" w:space="0" w:color="auto"/>
        <w:right w:val="none" w:sz="0" w:space="0" w:color="auto"/>
      </w:divBdr>
    </w:div>
    <w:div w:id="131756333">
      <w:marLeft w:val="0"/>
      <w:marRight w:val="0"/>
      <w:marTop w:val="120"/>
      <w:marBottom w:val="0"/>
      <w:divBdr>
        <w:top w:val="none" w:sz="0" w:space="0" w:color="auto"/>
        <w:left w:val="none" w:sz="0" w:space="0" w:color="auto"/>
        <w:bottom w:val="none" w:sz="0" w:space="0" w:color="auto"/>
        <w:right w:val="none" w:sz="0" w:space="0" w:color="auto"/>
      </w:divBdr>
    </w:div>
    <w:div w:id="131799024">
      <w:marLeft w:val="0"/>
      <w:marRight w:val="0"/>
      <w:marTop w:val="120"/>
      <w:marBottom w:val="0"/>
      <w:divBdr>
        <w:top w:val="none" w:sz="0" w:space="0" w:color="auto"/>
        <w:left w:val="none" w:sz="0" w:space="0" w:color="auto"/>
        <w:bottom w:val="none" w:sz="0" w:space="0" w:color="auto"/>
        <w:right w:val="none" w:sz="0" w:space="0" w:color="auto"/>
      </w:divBdr>
    </w:div>
    <w:div w:id="132529184">
      <w:marLeft w:val="0"/>
      <w:marRight w:val="0"/>
      <w:marTop w:val="120"/>
      <w:marBottom w:val="0"/>
      <w:divBdr>
        <w:top w:val="none" w:sz="0" w:space="0" w:color="auto"/>
        <w:left w:val="none" w:sz="0" w:space="0" w:color="auto"/>
        <w:bottom w:val="none" w:sz="0" w:space="0" w:color="auto"/>
        <w:right w:val="none" w:sz="0" w:space="0" w:color="auto"/>
      </w:divBdr>
    </w:div>
    <w:div w:id="133262224">
      <w:marLeft w:val="0"/>
      <w:marRight w:val="0"/>
      <w:marTop w:val="120"/>
      <w:marBottom w:val="0"/>
      <w:divBdr>
        <w:top w:val="none" w:sz="0" w:space="0" w:color="auto"/>
        <w:left w:val="none" w:sz="0" w:space="0" w:color="auto"/>
        <w:bottom w:val="none" w:sz="0" w:space="0" w:color="auto"/>
        <w:right w:val="none" w:sz="0" w:space="0" w:color="auto"/>
      </w:divBdr>
    </w:div>
    <w:div w:id="135297830">
      <w:marLeft w:val="0"/>
      <w:marRight w:val="0"/>
      <w:marTop w:val="120"/>
      <w:marBottom w:val="0"/>
      <w:divBdr>
        <w:top w:val="none" w:sz="0" w:space="0" w:color="auto"/>
        <w:left w:val="none" w:sz="0" w:space="0" w:color="auto"/>
        <w:bottom w:val="none" w:sz="0" w:space="0" w:color="auto"/>
        <w:right w:val="none" w:sz="0" w:space="0" w:color="auto"/>
      </w:divBdr>
    </w:div>
    <w:div w:id="138427035">
      <w:marLeft w:val="0"/>
      <w:marRight w:val="0"/>
      <w:marTop w:val="120"/>
      <w:marBottom w:val="0"/>
      <w:divBdr>
        <w:top w:val="none" w:sz="0" w:space="0" w:color="auto"/>
        <w:left w:val="none" w:sz="0" w:space="0" w:color="auto"/>
        <w:bottom w:val="none" w:sz="0" w:space="0" w:color="auto"/>
        <w:right w:val="none" w:sz="0" w:space="0" w:color="auto"/>
      </w:divBdr>
    </w:div>
    <w:div w:id="141048636">
      <w:marLeft w:val="0"/>
      <w:marRight w:val="0"/>
      <w:marTop w:val="120"/>
      <w:marBottom w:val="0"/>
      <w:divBdr>
        <w:top w:val="none" w:sz="0" w:space="0" w:color="auto"/>
        <w:left w:val="none" w:sz="0" w:space="0" w:color="auto"/>
        <w:bottom w:val="none" w:sz="0" w:space="0" w:color="auto"/>
        <w:right w:val="none" w:sz="0" w:space="0" w:color="auto"/>
      </w:divBdr>
    </w:div>
    <w:div w:id="142432970">
      <w:marLeft w:val="0"/>
      <w:marRight w:val="0"/>
      <w:marTop w:val="120"/>
      <w:marBottom w:val="0"/>
      <w:divBdr>
        <w:top w:val="none" w:sz="0" w:space="0" w:color="auto"/>
        <w:left w:val="none" w:sz="0" w:space="0" w:color="auto"/>
        <w:bottom w:val="none" w:sz="0" w:space="0" w:color="auto"/>
        <w:right w:val="none" w:sz="0" w:space="0" w:color="auto"/>
      </w:divBdr>
    </w:div>
    <w:div w:id="148182295">
      <w:marLeft w:val="0"/>
      <w:marRight w:val="0"/>
      <w:marTop w:val="360"/>
      <w:marBottom w:val="0"/>
      <w:divBdr>
        <w:top w:val="none" w:sz="0" w:space="0" w:color="auto"/>
        <w:left w:val="none" w:sz="0" w:space="0" w:color="auto"/>
        <w:bottom w:val="none" w:sz="0" w:space="0" w:color="auto"/>
        <w:right w:val="none" w:sz="0" w:space="0" w:color="auto"/>
      </w:divBdr>
    </w:div>
    <w:div w:id="152572370">
      <w:marLeft w:val="0"/>
      <w:marRight w:val="0"/>
      <w:marTop w:val="120"/>
      <w:marBottom w:val="0"/>
      <w:divBdr>
        <w:top w:val="none" w:sz="0" w:space="0" w:color="auto"/>
        <w:left w:val="none" w:sz="0" w:space="0" w:color="auto"/>
        <w:bottom w:val="none" w:sz="0" w:space="0" w:color="auto"/>
        <w:right w:val="none" w:sz="0" w:space="0" w:color="auto"/>
      </w:divBdr>
    </w:div>
    <w:div w:id="157618606">
      <w:marLeft w:val="0"/>
      <w:marRight w:val="0"/>
      <w:marTop w:val="120"/>
      <w:marBottom w:val="0"/>
      <w:divBdr>
        <w:top w:val="none" w:sz="0" w:space="0" w:color="auto"/>
        <w:left w:val="none" w:sz="0" w:space="0" w:color="auto"/>
        <w:bottom w:val="none" w:sz="0" w:space="0" w:color="auto"/>
        <w:right w:val="none" w:sz="0" w:space="0" w:color="auto"/>
      </w:divBdr>
    </w:div>
    <w:div w:id="157810958">
      <w:marLeft w:val="0"/>
      <w:marRight w:val="0"/>
      <w:marTop w:val="120"/>
      <w:marBottom w:val="0"/>
      <w:divBdr>
        <w:top w:val="none" w:sz="0" w:space="0" w:color="auto"/>
        <w:left w:val="none" w:sz="0" w:space="0" w:color="auto"/>
        <w:bottom w:val="none" w:sz="0" w:space="0" w:color="auto"/>
        <w:right w:val="none" w:sz="0" w:space="0" w:color="auto"/>
      </w:divBdr>
    </w:div>
    <w:div w:id="160584953">
      <w:marLeft w:val="0"/>
      <w:marRight w:val="0"/>
      <w:marTop w:val="120"/>
      <w:marBottom w:val="0"/>
      <w:divBdr>
        <w:top w:val="none" w:sz="0" w:space="0" w:color="auto"/>
        <w:left w:val="none" w:sz="0" w:space="0" w:color="auto"/>
        <w:bottom w:val="none" w:sz="0" w:space="0" w:color="auto"/>
        <w:right w:val="none" w:sz="0" w:space="0" w:color="auto"/>
      </w:divBdr>
    </w:div>
    <w:div w:id="161822203">
      <w:marLeft w:val="0"/>
      <w:marRight w:val="0"/>
      <w:marTop w:val="0"/>
      <w:marBottom w:val="0"/>
      <w:divBdr>
        <w:top w:val="none" w:sz="0" w:space="0" w:color="auto"/>
        <w:left w:val="none" w:sz="0" w:space="0" w:color="auto"/>
        <w:bottom w:val="none" w:sz="0" w:space="0" w:color="auto"/>
        <w:right w:val="none" w:sz="0" w:space="0" w:color="auto"/>
      </w:divBdr>
      <w:divsChild>
        <w:div w:id="2094008381">
          <w:marLeft w:val="0"/>
          <w:marRight w:val="0"/>
          <w:marTop w:val="360"/>
          <w:marBottom w:val="0"/>
          <w:divBdr>
            <w:top w:val="none" w:sz="0" w:space="0" w:color="auto"/>
            <w:left w:val="none" w:sz="0" w:space="0" w:color="auto"/>
            <w:bottom w:val="none" w:sz="0" w:space="0" w:color="auto"/>
            <w:right w:val="none" w:sz="0" w:space="0" w:color="auto"/>
          </w:divBdr>
        </w:div>
      </w:divsChild>
    </w:div>
    <w:div w:id="162821997">
      <w:marLeft w:val="0"/>
      <w:marRight w:val="0"/>
      <w:marTop w:val="120"/>
      <w:marBottom w:val="0"/>
      <w:divBdr>
        <w:top w:val="none" w:sz="0" w:space="0" w:color="auto"/>
        <w:left w:val="none" w:sz="0" w:space="0" w:color="auto"/>
        <w:bottom w:val="none" w:sz="0" w:space="0" w:color="auto"/>
        <w:right w:val="none" w:sz="0" w:space="0" w:color="auto"/>
      </w:divBdr>
    </w:div>
    <w:div w:id="165904265">
      <w:marLeft w:val="0"/>
      <w:marRight w:val="0"/>
      <w:marTop w:val="0"/>
      <w:marBottom w:val="0"/>
      <w:divBdr>
        <w:top w:val="none" w:sz="0" w:space="0" w:color="auto"/>
        <w:left w:val="none" w:sz="0" w:space="0" w:color="auto"/>
        <w:bottom w:val="none" w:sz="0" w:space="0" w:color="auto"/>
        <w:right w:val="none" w:sz="0" w:space="0" w:color="auto"/>
      </w:divBdr>
      <w:divsChild>
        <w:div w:id="773133327">
          <w:marLeft w:val="0"/>
          <w:marRight w:val="0"/>
          <w:marTop w:val="0"/>
          <w:marBottom w:val="0"/>
          <w:divBdr>
            <w:top w:val="none" w:sz="0" w:space="0" w:color="auto"/>
            <w:left w:val="none" w:sz="0" w:space="0" w:color="auto"/>
            <w:bottom w:val="none" w:sz="0" w:space="0" w:color="auto"/>
            <w:right w:val="none" w:sz="0" w:space="0" w:color="auto"/>
          </w:divBdr>
        </w:div>
      </w:divsChild>
    </w:div>
    <w:div w:id="166676202">
      <w:marLeft w:val="0"/>
      <w:marRight w:val="0"/>
      <w:marTop w:val="120"/>
      <w:marBottom w:val="0"/>
      <w:divBdr>
        <w:top w:val="none" w:sz="0" w:space="0" w:color="auto"/>
        <w:left w:val="none" w:sz="0" w:space="0" w:color="auto"/>
        <w:bottom w:val="none" w:sz="0" w:space="0" w:color="auto"/>
        <w:right w:val="none" w:sz="0" w:space="0" w:color="auto"/>
      </w:divBdr>
    </w:div>
    <w:div w:id="168178951">
      <w:marLeft w:val="0"/>
      <w:marRight w:val="0"/>
      <w:marTop w:val="0"/>
      <w:marBottom w:val="0"/>
      <w:divBdr>
        <w:top w:val="none" w:sz="0" w:space="0" w:color="auto"/>
        <w:left w:val="none" w:sz="0" w:space="0" w:color="auto"/>
        <w:bottom w:val="none" w:sz="0" w:space="0" w:color="auto"/>
        <w:right w:val="none" w:sz="0" w:space="0" w:color="auto"/>
      </w:divBdr>
      <w:divsChild>
        <w:div w:id="844856059">
          <w:marLeft w:val="0"/>
          <w:marRight w:val="0"/>
          <w:marTop w:val="360"/>
          <w:marBottom w:val="0"/>
          <w:divBdr>
            <w:top w:val="none" w:sz="0" w:space="0" w:color="auto"/>
            <w:left w:val="none" w:sz="0" w:space="0" w:color="auto"/>
            <w:bottom w:val="none" w:sz="0" w:space="0" w:color="auto"/>
            <w:right w:val="none" w:sz="0" w:space="0" w:color="auto"/>
          </w:divBdr>
        </w:div>
      </w:divsChild>
    </w:div>
    <w:div w:id="178394558">
      <w:marLeft w:val="0"/>
      <w:marRight w:val="0"/>
      <w:marTop w:val="0"/>
      <w:marBottom w:val="0"/>
      <w:divBdr>
        <w:top w:val="none" w:sz="0" w:space="0" w:color="auto"/>
        <w:left w:val="none" w:sz="0" w:space="0" w:color="auto"/>
        <w:bottom w:val="none" w:sz="0" w:space="0" w:color="auto"/>
        <w:right w:val="none" w:sz="0" w:space="0" w:color="auto"/>
      </w:divBdr>
      <w:divsChild>
        <w:div w:id="941645297">
          <w:marLeft w:val="0"/>
          <w:marRight w:val="0"/>
          <w:marTop w:val="360"/>
          <w:marBottom w:val="0"/>
          <w:divBdr>
            <w:top w:val="none" w:sz="0" w:space="0" w:color="auto"/>
            <w:left w:val="none" w:sz="0" w:space="0" w:color="auto"/>
            <w:bottom w:val="none" w:sz="0" w:space="0" w:color="auto"/>
            <w:right w:val="none" w:sz="0" w:space="0" w:color="auto"/>
          </w:divBdr>
        </w:div>
      </w:divsChild>
    </w:div>
    <w:div w:id="178852811">
      <w:marLeft w:val="0"/>
      <w:marRight w:val="0"/>
      <w:marTop w:val="120"/>
      <w:marBottom w:val="0"/>
      <w:divBdr>
        <w:top w:val="none" w:sz="0" w:space="0" w:color="auto"/>
        <w:left w:val="none" w:sz="0" w:space="0" w:color="auto"/>
        <w:bottom w:val="none" w:sz="0" w:space="0" w:color="auto"/>
        <w:right w:val="none" w:sz="0" w:space="0" w:color="auto"/>
      </w:divBdr>
    </w:div>
    <w:div w:id="184095267">
      <w:marLeft w:val="0"/>
      <w:marRight w:val="0"/>
      <w:marTop w:val="360"/>
      <w:marBottom w:val="0"/>
      <w:divBdr>
        <w:top w:val="none" w:sz="0" w:space="0" w:color="auto"/>
        <w:left w:val="none" w:sz="0" w:space="0" w:color="auto"/>
        <w:bottom w:val="none" w:sz="0" w:space="0" w:color="auto"/>
        <w:right w:val="none" w:sz="0" w:space="0" w:color="auto"/>
      </w:divBdr>
    </w:div>
    <w:div w:id="190920109">
      <w:marLeft w:val="0"/>
      <w:marRight w:val="0"/>
      <w:marTop w:val="120"/>
      <w:marBottom w:val="0"/>
      <w:divBdr>
        <w:top w:val="none" w:sz="0" w:space="0" w:color="auto"/>
        <w:left w:val="none" w:sz="0" w:space="0" w:color="auto"/>
        <w:bottom w:val="none" w:sz="0" w:space="0" w:color="auto"/>
        <w:right w:val="none" w:sz="0" w:space="0" w:color="auto"/>
      </w:divBdr>
    </w:div>
    <w:div w:id="190922239">
      <w:marLeft w:val="0"/>
      <w:marRight w:val="0"/>
      <w:marTop w:val="0"/>
      <w:marBottom w:val="0"/>
      <w:divBdr>
        <w:top w:val="none" w:sz="0" w:space="0" w:color="auto"/>
        <w:left w:val="none" w:sz="0" w:space="0" w:color="auto"/>
        <w:bottom w:val="none" w:sz="0" w:space="0" w:color="auto"/>
        <w:right w:val="none" w:sz="0" w:space="0" w:color="auto"/>
      </w:divBdr>
      <w:divsChild>
        <w:div w:id="189800654">
          <w:marLeft w:val="0"/>
          <w:marRight w:val="0"/>
          <w:marTop w:val="360"/>
          <w:marBottom w:val="0"/>
          <w:divBdr>
            <w:top w:val="none" w:sz="0" w:space="0" w:color="auto"/>
            <w:left w:val="none" w:sz="0" w:space="0" w:color="auto"/>
            <w:bottom w:val="none" w:sz="0" w:space="0" w:color="auto"/>
            <w:right w:val="none" w:sz="0" w:space="0" w:color="auto"/>
          </w:divBdr>
        </w:div>
      </w:divsChild>
    </w:div>
    <w:div w:id="192545735">
      <w:marLeft w:val="0"/>
      <w:marRight w:val="0"/>
      <w:marTop w:val="120"/>
      <w:marBottom w:val="0"/>
      <w:divBdr>
        <w:top w:val="none" w:sz="0" w:space="0" w:color="auto"/>
        <w:left w:val="none" w:sz="0" w:space="0" w:color="auto"/>
        <w:bottom w:val="none" w:sz="0" w:space="0" w:color="auto"/>
        <w:right w:val="none" w:sz="0" w:space="0" w:color="auto"/>
      </w:divBdr>
    </w:div>
    <w:div w:id="194848421">
      <w:marLeft w:val="0"/>
      <w:marRight w:val="0"/>
      <w:marTop w:val="120"/>
      <w:marBottom w:val="0"/>
      <w:divBdr>
        <w:top w:val="none" w:sz="0" w:space="0" w:color="auto"/>
        <w:left w:val="none" w:sz="0" w:space="0" w:color="auto"/>
        <w:bottom w:val="none" w:sz="0" w:space="0" w:color="auto"/>
        <w:right w:val="none" w:sz="0" w:space="0" w:color="auto"/>
      </w:divBdr>
    </w:div>
    <w:div w:id="195703272">
      <w:marLeft w:val="0"/>
      <w:marRight w:val="0"/>
      <w:marTop w:val="120"/>
      <w:marBottom w:val="0"/>
      <w:divBdr>
        <w:top w:val="none" w:sz="0" w:space="0" w:color="auto"/>
        <w:left w:val="none" w:sz="0" w:space="0" w:color="auto"/>
        <w:bottom w:val="none" w:sz="0" w:space="0" w:color="auto"/>
        <w:right w:val="none" w:sz="0" w:space="0" w:color="auto"/>
      </w:divBdr>
    </w:div>
    <w:div w:id="198668724">
      <w:marLeft w:val="0"/>
      <w:marRight w:val="0"/>
      <w:marTop w:val="0"/>
      <w:marBottom w:val="0"/>
      <w:divBdr>
        <w:top w:val="none" w:sz="0" w:space="0" w:color="auto"/>
        <w:left w:val="none" w:sz="0" w:space="0" w:color="auto"/>
        <w:bottom w:val="none" w:sz="0" w:space="0" w:color="auto"/>
        <w:right w:val="none" w:sz="0" w:space="0" w:color="auto"/>
      </w:divBdr>
      <w:divsChild>
        <w:div w:id="1695111518">
          <w:marLeft w:val="0"/>
          <w:marRight w:val="0"/>
          <w:marTop w:val="360"/>
          <w:marBottom w:val="0"/>
          <w:divBdr>
            <w:top w:val="none" w:sz="0" w:space="0" w:color="auto"/>
            <w:left w:val="none" w:sz="0" w:space="0" w:color="auto"/>
            <w:bottom w:val="none" w:sz="0" w:space="0" w:color="auto"/>
            <w:right w:val="none" w:sz="0" w:space="0" w:color="auto"/>
          </w:divBdr>
        </w:div>
      </w:divsChild>
    </w:div>
    <w:div w:id="200554909">
      <w:marLeft w:val="0"/>
      <w:marRight w:val="0"/>
      <w:marTop w:val="120"/>
      <w:marBottom w:val="0"/>
      <w:divBdr>
        <w:top w:val="none" w:sz="0" w:space="0" w:color="auto"/>
        <w:left w:val="none" w:sz="0" w:space="0" w:color="auto"/>
        <w:bottom w:val="none" w:sz="0" w:space="0" w:color="auto"/>
        <w:right w:val="none" w:sz="0" w:space="0" w:color="auto"/>
      </w:divBdr>
    </w:div>
    <w:div w:id="204025837">
      <w:marLeft w:val="0"/>
      <w:marRight w:val="0"/>
      <w:marTop w:val="120"/>
      <w:marBottom w:val="0"/>
      <w:divBdr>
        <w:top w:val="none" w:sz="0" w:space="0" w:color="auto"/>
        <w:left w:val="none" w:sz="0" w:space="0" w:color="auto"/>
        <w:bottom w:val="none" w:sz="0" w:space="0" w:color="auto"/>
        <w:right w:val="none" w:sz="0" w:space="0" w:color="auto"/>
      </w:divBdr>
    </w:div>
    <w:div w:id="206332739">
      <w:marLeft w:val="0"/>
      <w:marRight w:val="0"/>
      <w:marTop w:val="0"/>
      <w:marBottom w:val="0"/>
      <w:divBdr>
        <w:top w:val="none" w:sz="0" w:space="0" w:color="auto"/>
        <w:left w:val="none" w:sz="0" w:space="0" w:color="auto"/>
        <w:bottom w:val="none" w:sz="0" w:space="0" w:color="auto"/>
        <w:right w:val="none" w:sz="0" w:space="0" w:color="auto"/>
      </w:divBdr>
      <w:divsChild>
        <w:div w:id="1726678450">
          <w:marLeft w:val="0"/>
          <w:marRight w:val="0"/>
          <w:marTop w:val="360"/>
          <w:marBottom w:val="0"/>
          <w:divBdr>
            <w:top w:val="none" w:sz="0" w:space="0" w:color="auto"/>
            <w:left w:val="none" w:sz="0" w:space="0" w:color="auto"/>
            <w:bottom w:val="none" w:sz="0" w:space="0" w:color="auto"/>
            <w:right w:val="none" w:sz="0" w:space="0" w:color="auto"/>
          </w:divBdr>
        </w:div>
      </w:divsChild>
    </w:div>
    <w:div w:id="207765833">
      <w:marLeft w:val="0"/>
      <w:marRight w:val="0"/>
      <w:marTop w:val="120"/>
      <w:marBottom w:val="0"/>
      <w:divBdr>
        <w:top w:val="none" w:sz="0" w:space="0" w:color="auto"/>
        <w:left w:val="none" w:sz="0" w:space="0" w:color="auto"/>
        <w:bottom w:val="none" w:sz="0" w:space="0" w:color="auto"/>
        <w:right w:val="none" w:sz="0" w:space="0" w:color="auto"/>
      </w:divBdr>
    </w:div>
    <w:div w:id="209418125">
      <w:marLeft w:val="0"/>
      <w:marRight w:val="0"/>
      <w:marTop w:val="0"/>
      <w:marBottom w:val="0"/>
      <w:divBdr>
        <w:top w:val="none" w:sz="0" w:space="0" w:color="auto"/>
        <w:left w:val="none" w:sz="0" w:space="0" w:color="auto"/>
        <w:bottom w:val="none" w:sz="0" w:space="0" w:color="auto"/>
        <w:right w:val="none" w:sz="0" w:space="0" w:color="auto"/>
      </w:divBdr>
      <w:divsChild>
        <w:div w:id="1339771753">
          <w:marLeft w:val="0"/>
          <w:marRight w:val="0"/>
          <w:marTop w:val="360"/>
          <w:marBottom w:val="0"/>
          <w:divBdr>
            <w:top w:val="none" w:sz="0" w:space="0" w:color="auto"/>
            <w:left w:val="none" w:sz="0" w:space="0" w:color="auto"/>
            <w:bottom w:val="none" w:sz="0" w:space="0" w:color="auto"/>
            <w:right w:val="none" w:sz="0" w:space="0" w:color="auto"/>
          </w:divBdr>
        </w:div>
      </w:divsChild>
    </w:div>
    <w:div w:id="210461764">
      <w:marLeft w:val="0"/>
      <w:marRight w:val="0"/>
      <w:marTop w:val="360"/>
      <w:marBottom w:val="0"/>
      <w:divBdr>
        <w:top w:val="none" w:sz="0" w:space="0" w:color="auto"/>
        <w:left w:val="none" w:sz="0" w:space="0" w:color="auto"/>
        <w:bottom w:val="none" w:sz="0" w:space="0" w:color="auto"/>
        <w:right w:val="none" w:sz="0" w:space="0" w:color="auto"/>
      </w:divBdr>
    </w:div>
    <w:div w:id="211423369">
      <w:marLeft w:val="0"/>
      <w:marRight w:val="0"/>
      <w:marTop w:val="120"/>
      <w:marBottom w:val="0"/>
      <w:divBdr>
        <w:top w:val="none" w:sz="0" w:space="0" w:color="auto"/>
        <w:left w:val="none" w:sz="0" w:space="0" w:color="auto"/>
        <w:bottom w:val="none" w:sz="0" w:space="0" w:color="auto"/>
        <w:right w:val="none" w:sz="0" w:space="0" w:color="auto"/>
      </w:divBdr>
    </w:div>
    <w:div w:id="211501088">
      <w:marLeft w:val="0"/>
      <w:marRight w:val="0"/>
      <w:marTop w:val="120"/>
      <w:marBottom w:val="0"/>
      <w:divBdr>
        <w:top w:val="none" w:sz="0" w:space="0" w:color="auto"/>
        <w:left w:val="none" w:sz="0" w:space="0" w:color="auto"/>
        <w:bottom w:val="none" w:sz="0" w:space="0" w:color="auto"/>
        <w:right w:val="none" w:sz="0" w:space="0" w:color="auto"/>
      </w:divBdr>
    </w:div>
    <w:div w:id="211817758">
      <w:marLeft w:val="0"/>
      <w:marRight w:val="0"/>
      <w:marTop w:val="120"/>
      <w:marBottom w:val="0"/>
      <w:divBdr>
        <w:top w:val="none" w:sz="0" w:space="0" w:color="auto"/>
        <w:left w:val="none" w:sz="0" w:space="0" w:color="auto"/>
        <w:bottom w:val="none" w:sz="0" w:space="0" w:color="auto"/>
        <w:right w:val="none" w:sz="0" w:space="0" w:color="auto"/>
      </w:divBdr>
    </w:div>
    <w:div w:id="214204346">
      <w:marLeft w:val="0"/>
      <w:marRight w:val="0"/>
      <w:marTop w:val="360"/>
      <w:marBottom w:val="0"/>
      <w:divBdr>
        <w:top w:val="none" w:sz="0" w:space="0" w:color="auto"/>
        <w:left w:val="none" w:sz="0" w:space="0" w:color="auto"/>
        <w:bottom w:val="none" w:sz="0" w:space="0" w:color="auto"/>
        <w:right w:val="none" w:sz="0" w:space="0" w:color="auto"/>
      </w:divBdr>
    </w:div>
    <w:div w:id="216475090">
      <w:marLeft w:val="0"/>
      <w:marRight w:val="0"/>
      <w:marTop w:val="120"/>
      <w:marBottom w:val="0"/>
      <w:divBdr>
        <w:top w:val="none" w:sz="0" w:space="0" w:color="auto"/>
        <w:left w:val="none" w:sz="0" w:space="0" w:color="auto"/>
        <w:bottom w:val="none" w:sz="0" w:space="0" w:color="auto"/>
        <w:right w:val="none" w:sz="0" w:space="0" w:color="auto"/>
      </w:divBdr>
    </w:div>
    <w:div w:id="216598860">
      <w:marLeft w:val="0"/>
      <w:marRight w:val="0"/>
      <w:marTop w:val="80"/>
      <w:marBottom w:val="0"/>
      <w:divBdr>
        <w:top w:val="none" w:sz="0" w:space="0" w:color="auto"/>
        <w:left w:val="none" w:sz="0" w:space="0" w:color="auto"/>
        <w:bottom w:val="none" w:sz="0" w:space="0" w:color="auto"/>
        <w:right w:val="none" w:sz="0" w:space="0" w:color="auto"/>
      </w:divBdr>
    </w:div>
    <w:div w:id="217590920">
      <w:marLeft w:val="0"/>
      <w:marRight w:val="0"/>
      <w:marTop w:val="120"/>
      <w:marBottom w:val="0"/>
      <w:divBdr>
        <w:top w:val="none" w:sz="0" w:space="0" w:color="auto"/>
        <w:left w:val="none" w:sz="0" w:space="0" w:color="auto"/>
        <w:bottom w:val="none" w:sz="0" w:space="0" w:color="auto"/>
        <w:right w:val="none" w:sz="0" w:space="0" w:color="auto"/>
      </w:divBdr>
    </w:div>
    <w:div w:id="217742822">
      <w:marLeft w:val="0"/>
      <w:marRight w:val="0"/>
      <w:marTop w:val="120"/>
      <w:marBottom w:val="0"/>
      <w:divBdr>
        <w:top w:val="none" w:sz="0" w:space="0" w:color="auto"/>
        <w:left w:val="none" w:sz="0" w:space="0" w:color="auto"/>
        <w:bottom w:val="none" w:sz="0" w:space="0" w:color="auto"/>
        <w:right w:val="none" w:sz="0" w:space="0" w:color="auto"/>
      </w:divBdr>
    </w:div>
    <w:div w:id="221253479">
      <w:marLeft w:val="0"/>
      <w:marRight w:val="0"/>
      <w:marTop w:val="60"/>
      <w:marBottom w:val="0"/>
      <w:divBdr>
        <w:top w:val="none" w:sz="0" w:space="0" w:color="auto"/>
        <w:left w:val="none" w:sz="0" w:space="0" w:color="auto"/>
        <w:bottom w:val="none" w:sz="0" w:space="0" w:color="auto"/>
        <w:right w:val="none" w:sz="0" w:space="0" w:color="auto"/>
      </w:divBdr>
    </w:div>
    <w:div w:id="222448694">
      <w:marLeft w:val="0"/>
      <w:marRight w:val="0"/>
      <w:marTop w:val="120"/>
      <w:marBottom w:val="0"/>
      <w:divBdr>
        <w:top w:val="none" w:sz="0" w:space="0" w:color="auto"/>
        <w:left w:val="none" w:sz="0" w:space="0" w:color="auto"/>
        <w:bottom w:val="none" w:sz="0" w:space="0" w:color="auto"/>
        <w:right w:val="none" w:sz="0" w:space="0" w:color="auto"/>
      </w:divBdr>
    </w:div>
    <w:div w:id="222451630">
      <w:marLeft w:val="0"/>
      <w:marRight w:val="0"/>
      <w:marTop w:val="120"/>
      <w:marBottom w:val="0"/>
      <w:divBdr>
        <w:top w:val="none" w:sz="0" w:space="0" w:color="auto"/>
        <w:left w:val="none" w:sz="0" w:space="0" w:color="auto"/>
        <w:bottom w:val="none" w:sz="0" w:space="0" w:color="auto"/>
        <w:right w:val="none" w:sz="0" w:space="0" w:color="auto"/>
      </w:divBdr>
    </w:div>
    <w:div w:id="226577472">
      <w:marLeft w:val="0"/>
      <w:marRight w:val="0"/>
      <w:marTop w:val="120"/>
      <w:marBottom w:val="0"/>
      <w:divBdr>
        <w:top w:val="none" w:sz="0" w:space="0" w:color="auto"/>
        <w:left w:val="none" w:sz="0" w:space="0" w:color="auto"/>
        <w:bottom w:val="none" w:sz="0" w:space="0" w:color="auto"/>
        <w:right w:val="none" w:sz="0" w:space="0" w:color="auto"/>
      </w:divBdr>
    </w:div>
    <w:div w:id="231476413">
      <w:marLeft w:val="0"/>
      <w:marRight w:val="0"/>
      <w:marTop w:val="120"/>
      <w:marBottom w:val="0"/>
      <w:divBdr>
        <w:top w:val="none" w:sz="0" w:space="0" w:color="auto"/>
        <w:left w:val="none" w:sz="0" w:space="0" w:color="auto"/>
        <w:bottom w:val="none" w:sz="0" w:space="0" w:color="auto"/>
        <w:right w:val="none" w:sz="0" w:space="0" w:color="auto"/>
      </w:divBdr>
    </w:div>
    <w:div w:id="231817666">
      <w:marLeft w:val="0"/>
      <w:marRight w:val="0"/>
      <w:marTop w:val="120"/>
      <w:marBottom w:val="0"/>
      <w:divBdr>
        <w:top w:val="none" w:sz="0" w:space="0" w:color="auto"/>
        <w:left w:val="none" w:sz="0" w:space="0" w:color="auto"/>
        <w:bottom w:val="none" w:sz="0" w:space="0" w:color="auto"/>
        <w:right w:val="none" w:sz="0" w:space="0" w:color="auto"/>
      </w:divBdr>
    </w:div>
    <w:div w:id="232587856">
      <w:marLeft w:val="0"/>
      <w:marRight w:val="0"/>
      <w:marTop w:val="120"/>
      <w:marBottom w:val="0"/>
      <w:divBdr>
        <w:top w:val="none" w:sz="0" w:space="0" w:color="auto"/>
        <w:left w:val="none" w:sz="0" w:space="0" w:color="auto"/>
        <w:bottom w:val="none" w:sz="0" w:space="0" w:color="auto"/>
        <w:right w:val="none" w:sz="0" w:space="0" w:color="auto"/>
      </w:divBdr>
    </w:div>
    <w:div w:id="236939430">
      <w:marLeft w:val="0"/>
      <w:marRight w:val="0"/>
      <w:marTop w:val="120"/>
      <w:marBottom w:val="0"/>
      <w:divBdr>
        <w:top w:val="none" w:sz="0" w:space="0" w:color="auto"/>
        <w:left w:val="none" w:sz="0" w:space="0" w:color="auto"/>
        <w:bottom w:val="none" w:sz="0" w:space="0" w:color="auto"/>
        <w:right w:val="none" w:sz="0" w:space="0" w:color="auto"/>
      </w:divBdr>
    </w:div>
    <w:div w:id="237446943">
      <w:marLeft w:val="0"/>
      <w:marRight w:val="0"/>
      <w:marTop w:val="120"/>
      <w:marBottom w:val="0"/>
      <w:divBdr>
        <w:top w:val="none" w:sz="0" w:space="0" w:color="auto"/>
        <w:left w:val="none" w:sz="0" w:space="0" w:color="auto"/>
        <w:bottom w:val="none" w:sz="0" w:space="0" w:color="auto"/>
        <w:right w:val="none" w:sz="0" w:space="0" w:color="auto"/>
      </w:divBdr>
    </w:div>
    <w:div w:id="238373548">
      <w:marLeft w:val="0"/>
      <w:marRight w:val="0"/>
      <w:marTop w:val="120"/>
      <w:marBottom w:val="0"/>
      <w:divBdr>
        <w:top w:val="none" w:sz="0" w:space="0" w:color="auto"/>
        <w:left w:val="none" w:sz="0" w:space="0" w:color="auto"/>
        <w:bottom w:val="none" w:sz="0" w:space="0" w:color="auto"/>
        <w:right w:val="none" w:sz="0" w:space="0" w:color="auto"/>
      </w:divBdr>
    </w:div>
    <w:div w:id="238636231">
      <w:marLeft w:val="0"/>
      <w:marRight w:val="0"/>
      <w:marTop w:val="120"/>
      <w:marBottom w:val="0"/>
      <w:divBdr>
        <w:top w:val="none" w:sz="0" w:space="0" w:color="auto"/>
        <w:left w:val="none" w:sz="0" w:space="0" w:color="auto"/>
        <w:bottom w:val="none" w:sz="0" w:space="0" w:color="auto"/>
        <w:right w:val="none" w:sz="0" w:space="0" w:color="auto"/>
      </w:divBdr>
    </w:div>
    <w:div w:id="239295716">
      <w:marLeft w:val="0"/>
      <w:marRight w:val="0"/>
      <w:marTop w:val="120"/>
      <w:marBottom w:val="0"/>
      <w:divBdr>
        <w:top w:val="none" w:sz="0" w:space="0" w:color="auto"/>
        <w:left w:val="none" w:sz="0" w:space="0" w:color="auto"/>
        <w:bottom w:val="none" w:sz="0" w:space="0" w:color="auto"/>
        <w:right w:val="none" w:sz="0" w:space="0" w:color="auto"/>
      </w:divBdr>
    </w:div>
    <w:div w:id="241453648">
      <w:marLeft w:val="0"/>
      <w:marRight w:val="0"/>
      <w:marTop w:val="120"/>
      <w:marBottom w:val="0"/>
      <w:divBdr>
        <w:top w:val="none" w:sz="0" w:space="0" w:color="auto"/>
        <w:left w:val="none" w:sz="0" w:space="0" w:color="auto"/>
        <w:bottom w:val="none" w:sz="0" w:space="0" w:color="auto"/>
        <w:right w:val="none" w:sz="0" w:space="0" w:color="auto"/>
      </w:divBdr>
    </w:div>
    <w:div w:id="242569678">
      <w:marLeft w:val="0"/>
      <w:marRight w:val="0"/>
      <w:marTop w:val="60"/>
      <w:marBottom w:val="60"/>
      <w:divBdr>
        <w:top w:val="none" w:sz="0" w:space="0" w:color="auto"/>
        <w:left w:val="none" w:sz="0" w:space="0" w:color="auto"/>
        <w:bottom w:val="none" w:sz="0" w:space="0" w:color="auto"/>
        <w:right w:val="none" w:sz="0" w:space="0" w:color="auto"/>
      </w:divBdr>
    </w:div>
    <w:div w:id="243418406">
      <w:marLeft w:val="0"/>
      <w:marRight w:val="0"/>
      <w:marTop w:val="120"/>
      <w:marBottom w:val="0"/>
      <w:divBdr>
        <w:top w:val="none" w:sz="0" w:space="0" w:color="auto"/>
        <w:left w:val="none" w:sz="0" w:space="0" w:color="auto"/>
        <w:bottom w:val="none" w:sz="0" w:space="0" w:color="auto"/>
        <w:right w:val="none" w:sz="0" w:space="0" w:color="auto"/>
      </w:divBdr>
    </w:div>
    <w:div w:id="244582245">
      <w:marLeft w:val="0"/>
      <w:marRight w:val="0"/>
      <w:marTop w:val="0"/>
      <w:marBottom w:val="0"/>
      <w:divBdr>
        <w:top w:val="none" w:sz="0" w:space="0" w:color="auto"/>
        <w:left w:val="none" w:sz="0" w:space="0" w:color="auto"/>
        <w:bottom w:val="none" w:sz="0" w:space="0" w:color="auto"/>
        <w:right w:val="none" w:sz="0" w:space="0" w:color="auto"/>
      </w:divBdr>
      <w:divsChild>
        <w:div w:id="669138942">
          <w:marLeft w:val="0"/>
          <w:marRight w:val="0"/>
          <w:marTop w:val="360"/>
          <w:marBottom w:val="0"/>
          <w:divBdr>
            <w:top w:val="none" w:sz="0" w:space="0" w:color="auto"/>
            <w:left w:val="none" w:sz="0" w:space="0" w:color="auto"/>
            <w:bottom w:val="none" w:sz="0" w:space="0" w:color="auto"/>
            <w:right w:val="none" w:sz="0" w:space="0" w:color="auto"/>
          </w:divBdr>
        </w:div>
      </w:divsChild>
    </w:div>
    <w:div w:id="246043242">
      <w:marLeft w:val="0"/>
      <w:marRight w:val="0"/>
      <w:marTop w:val="120"/>
      <w:marBottom w:val="0"/>
      <w:divBdr>
        <w:top w:val="none" w:sz="0" w:space="0" w:color="auto"/>
        <w:left w:val="none" w:sz="0" w:space="0" w:color="auto"/>
        <w:bottom w:val="none" w:sz="0" w:space="0" w:color="auto"/>
        <w:right w:val="none" w:sz="0" w:space="0" w:color="auto"/>
      </w:divBdr>
    </w:div>
    <w:div w:id="247924954">
      <w:marLeft w:val="0"/>
      <w:marRight w:val="0"/>
      <w:marTop w:val="120"/>
      <w:marBottom w:val="0"/>
      <w:divBdr>
        <w:top w:val="none" w:sz="0" w:space="0" w:color="auto"/>
        <w:left w:val="none" w:sz="0" w:space="0" w:color="auto"/>
        <w:bottom w:val="none" w:sz="0" w:space="0" w:color="auto"/>
        <w:right w:val="none" w:sz="0" w:space="0" w:color="auto"/>
      </w:divBdr>
    </w:div>
    <w:div w:id="250506807">
      <w:marLeft w:val="0"/>
      <w:marRight w:val="0"/>
      <w:marTop w:val="120"/>
      <w:marBottom w:val="0"/>
      <w:divBdr>
        <w:top w:val="none" w:sz="0" w:space="0" w:color="auto"/>
        <w:left w:val="none" w:sz="0" w:space="0" w:color="auto"/>
        <w:bottom w:val="none" w:sz="0" w:space="0" w:color="auto"/>
        <w:right w:val="none" w:sz="0" w:space="0" w:color="auto"/>
      </w:divBdr>
    </w:div>
    <w:div w:id="250815807">
      <w:marLeft w:val="0"/>
      <w:marRight w:val="0"/>
      <w:marTop w:val="120"/>
      <w:marBottom w:val="0"/>
      <w:divBdr>
        <w:top w:val="none" w:sz="0" w:space="0" w:color="auto"/>
        <w:left w:val="none" w:sz="0" w:space="0" w:color="auto"/>
        <w:bottom w:val="none" w:sz="0" w:space="0" w:color="auto"/>
        <w:right w:val="none" w:sz="0" w:space="0" w:color="auto"/>
      </w:divBdr>
    </w:div>
    <w:div w:id="254629509">
      <w:marLeft w:val="0"/>
      <w:marRight w:val="0"/>
      <w:marTop w:val="120"/>
      <w:marBottom w:val="0"/>
      <w:divBdr>
        <w:top w:val="none" w:sz="0" w:space="0" w:color="auto"/>
        <w:left w:val="none" w:sz="0" w:space="0" w:color="auto"/>
        <w:bottom w:val="none" w:sz="0" w:space="0" w:color="auto"/>
        <w:right w:val="none" w:sz="0" w:space="0" w:color="auto"/>
      </w:divBdr>
    </w:div>
    <w:div w:id="256137697">
      <w:marLeft w:val="0"/>
      <w:marRight w:val="0"/>
      <w:marTop w:val="0"/>
      <w:marBottom w:val="0"/>
      <w:divBdr>
        <w:top w:val="none" w:sz="0" w:space="0" w:color="auto"/>
        <w:left w:val="none" w:sz="0" w:space="0" w:color="auto"/>
        <w:bottom w:val="none" w:sz="0" w:space="0" w:color="auto"/>
        <w:right w:val="none" w:sz="0" w:space="0" w:color="auto"/>
      </w:divBdr>
      <w:divsChild>
        <w:div w:id="1568415720">
          <w:marLeft w:val="0"/>
          <w:marRight w:val="0"/>
          <w:marTop w:val="0"/>
          <w:marBottom w:val="0"/>
          <w:divBdr>
            <w:top w:val="none" w:sz="0" w:space="0" w:color="auto"/>
            <w:left w:val="none" w:sz="0" w:space="0" w:color="auto"/>
            <w:bottom w:val="none" w:sz="0" w:space="0" w:color="auto"/>
            <w:right w:val="none" w:sz="0" w:space="0" w:color="auto"/>
          </w:divBdr>
        </w:div>
      </w:divsChild>
    </w:div>
    <w:div w:id="256989038">
      <w:marLeft w:val="0"/>
      <w:marRight w:val="0"/>
      <w:marTop w:val="120"/>
      <w:marBottom w:val="0"/>
      <w:divBdr>
        <w:top w:val="none" w:sz="0" w:space="0" w:color="auto"/>
        <w:left w:val="none" w:sz="0" w:space="0" w:color="auto"/>
        <w:bottom w:val="none" w:sz="0" w:space="0" w:color="auto"/>
        <w:right w:val="none" w:sz="0" w:space="0" w:color="auto"/>
      </w:divBdr>
    </w:div>
    <w:div w:id="261686493">
      <w:marLeft w:val="0"/>
      <w:marRight w:val="0"/>
      <w:marTop w:val="120"/>
      <w:marBottom w:val="0"/>
      <w:divBdr>
        <w:top w:val="none" w:sz="0" w:space="0" w:color="auto"/>
        <w:left w:val="none" w:sz="0" w:space="0" w:color="auto"/>
        <w:bottom w:val="none" w:sz="0" w:space="0" w:color="auto"/>
        <w:right w:val="none" w:sz="0" w:space="0" w:color="auto"/>
      </w:divBdr>
    </w:div>
    <w:div w:id="262685948">
      <w:marLeft w:val="0"/>
      <w:marRight w:val="0"/>
      <w:marTop w:val="360"/>
      <w:marBottom w:val="0"/>
      <w:divBdr>
        <w:top w:val="none" w:sz="0" w:space="0" w:color="auto"/>
        <w:left w:val="none" w:sz="0" w:space="0" w:color="auto"/>
        <w:bottom w:val="none" w:sz="0" w:space="0" w:color="auto"/>
        <w:right w:val="none" w:sz="0" w:space="0" w:color="auto"/>
      </w:divBdr>
    </w:div>
    <w:div w:id="267812767">
      <w:marLeft w:val="0"/>
      <w:marRight w:val="0"/>
      <w:marTop w:val="120"/>
      <w:marBottom w:val="0"/>
      <w:divBdr>
        <w:top w:val="none" w:sz="0" w:space="0" w:color="auto"/>
        <w:left w:val="none" w:sz="0" w:space="0" w:color="auto"/>
        <w:bottom w:val="none" w:sz="0" w:space="0" w:color="auto"/>
        <w:right w:val="none" w:sz="0" w:space="0" w:color="auto"/>
      </w:divBdr>
    </w:div>
    <w:div w:id="271517716">
      <w:marLeft w:val="0"/>
      <w:marRight w:val="0"/>
      <w:marTop w:val="120"/>
      <w:marBottom w:val="0"/>
      <w:divBdr>
        <w:top w:val="none" w:sz="0" w:space="0" w:color="auto"/>
        <w:left w:val="none" w:sz="0" w:space="0" w:color="auto"/>
        <w:bottom w:val="none" w:sz="0" w:space="0" w:color="auto"/>
        <w:right w:val="none" w:sz="0" w:space="0" w:color="auto"/>
      </w:divBdr>
    </w:div>
    <w:div w:id="273481802">
      <w:marLeft w:val="0"/>
      <w:marRight w:val="0"/>
      <w:marTop w:val="120"/>
      <w:marBottom w:val="0"/>
      <w:divBdr>
        <w:top w:val="none" w:sz="0" w:space="0" w:color="auto"/>
        <w:left w:val="none" w:sz="0" w:space="0" w:color="auto"/>
        <w:bottom w:val="none" w:sz="0" w:space="0" w:color="auto"/>
        <w:right w:val="none" w:sz="0" w:space="0" w:color="auto"/>
      </w:divBdr>
    </w:div>
    <w:div w:id="276375398">
      <w:marLeft w:val="0"/>
      <w:marRight w:val="0"/>
      <w:marTop w:val="120"/>
      <w:marBottom w:val="0"/>
      <w:divBdr>
        <w:top w:val="none" w:sz="0" w:space="0" w:color="auto"/>
        <w:left w:val="none" w:sz="0" w:space="0" w:color="auto"/>
        <w:bottom w:val="none" w:sz="0" w:space="0" w:color="auto"/>
        <w:right w:val="none" w:sz="0" w:space="0" w:color="auto"/>
      </w:divBdr>
    </w:div>
    <w:div w:id="276959251">
      <w:marLeft w:val="0"/>
      <w:marRight w:val="0"/>
      <w:marTop w:val="120"/>
      <w:marBottom w:val="0"/>
      <w:divBdr>
        <w:top w:val="none" w:sz="0" w:space="0" w:color="auto"/>
        <w:left w:val="none" w:sz="0" w:space="0" w:color="auto"/>
        <w:bottom w:val="none" w:sz="0" w:space="0" w:color="auto"/>
        <w:right w:val="none" w:sz="0" w:space="0" w:color="auto"/>
      </w:divBdr>
    </w:div>
    <w:div w:id="277028781">
      <w:marLeft w:val="0"/>
      <w:marRight w:val="0"/>
      <w:marTop w:val="0"/>
      <w:marBottom w:val="0"/>
      <w:divBdr>
        <w:top w:val="none" w:sz="0" w:space="0" w:color="auto"/>
        <w:left w:val="none" w:sz="0" w:space="0" w:color="auto"/>
        <w:bottom w:val="none" w:sz="0" w:space="0" w:color="auto"/>
        <w:right w:val="none" w:sz="0" w:space="0" w:color="auto"/>
      </w:divBdr>
      <w:divsChild>
        <w:div w:id="1611737315">
          <w:marLeft w:val="0"/>
          <w:marRight w:val="0"/>
          <w:marTop w:val="0"/>
          <w:marBottom w:val="0"/>
          <w:divBdr>
            <w:top w:val="none" w:sz="0" w:space="0" w:color="auto"/>
            <w:left w:val="none" w:sz="0" w:space="0" w:color="auto"/>
            <w:bottom w:val="none" w:sz="0" w:space="0" w:color="auto"/>
            <w:right w:val="none" w:sz="0" w:space="0" w:color="auto"/>
          </w:divBdr>
        </w:div>
      </w:divsChild>
    </w:div>
    <w:div w:id="277756996">
      <w:marLeft w:val="0"/>
      <w:marRight w:val="0"/>
      <w:marTop w:val="120"/>
      <w:marBottom w:val="0"/>
      <w:divBdr>
        <w:top w:val="none" w:sz="0" w:space="0" w:color="auto"/>
        <w:left w:val="none" w:sz="0" w:space="0" w:color="auto"/>
        <w:bottom w:val="none" w:sz="0" w:space="0" w:color="auto"/>
        <w:right w:val="none" w:sz="0" w:space="0" w:color="auto"/>
      </w:divBdr>
    </w:div>
    <w:div w:id="280696311">
      <w:marLeft w:val="0"/>
      <w:marRight w:val="0"/>
      <w:marTop w:val="120"/>
      <w:marBottom w:val="0"/>
      <w:divBdr>
        <w:top w:val="none" w:sz="0" w:space="0" w:color="auto"/>
        <w:left w:val="none" w:sz="0" w:space="0" w:color="auto"/>
        <w:bottom w:val="none" w:sz="0" w:space="0" w:color="auto"/>
        <w:right w:val="none" w:sz="0" w:space="0" w:color="auto"/>
      </w:divBdr>
    </w:div>
    <w:div w:id="281304034">
      <w:marLeft w:val="0"/>
      <w:marRight w:val="0"/>
      <w:marTop w:val="120"/>
      <w:marBottom w:val="0"/>
      <w:divBdr>
        <w:top w:val="none" w:sz="0" w:space="0" w:color="auto"/>
        <w:left w:val="none" w:sz="0" w:space="0" w:color="auto"/>
        <w:bottom w:val="none" w:sz="0" w:space="0" w:color="auto"/>
        <w:right w:val="none" w:sz="0" w:space="0" w:color="auto"/>
      </w:divBdr>
    </w:div>
    <w:div w:id="290286776">
      <w:marLeft w:val="0"/>
      <w:marRight w:val="0"/>
      <w:marTop w:val="120"/>
      <w:marBottom w:val="0"/>
      <w:divBdr>
        <w:top w:val="none" w:sz="0" w:space="0" w:color="auto"/>
        <w:left w:val="none" w:sz="0" w:space="0" w:color="auto"/>
        <w:bottom w:val="none" w:sz="0" w:space="0" w:color="auto"/>
        <w:right w:val="none" w:sz="0" w:space="0" w:color="auto"/>
      </w:divBdr>
    </w:div>
    <w:div w:id="295792281">
      <w:marLeft w:val="0"/>
      <w:marRight w:val="0"/>
      <w:marTop w:val="60"/>
      <w:marBottom w:val="0"/>
      <w:divBdr>
        <w:top w:val="none" w:sz="0" w:space="0" w:color="auto"/>
        <w:left w:val="none" w:sz="0" w:space="0" w:color="auto"/>
        <w:bottom w:val="none" w:sz="0" w:space="0" w:color="auto"/>
        <w:right w:val="none" w:sz="0" w:space="0" w:color="auto"/>
      </w:divBdr>
    </w:div>
    <w:div w:id="296180144">
      <w:marLeft w:val="0"/>
      <w:marRight w:val="0"/>
      <w:marTop w:val="0"/>
      <w:marBottom w:val="0"/>
      <w:divBdr>
        <w:top w:val="none" w:sz="0" w:space="0" w:color="auto"/>
        <w:left w:val="none" w:sz="0" w:space="0" w:color="auto"/>
        <w:bottom w:val="none" w:sz="0" w:space="0" w:color="auto"/>
        <w:right w:val="none" w:sz="0" w:space="0" w:color="auto"/>
      </w:divBdr>
      <w:divsChild>
        <w:div w:id="966277531">
          <w:marLeft w:val="0"/>
          <w:marRight w:val="0"/>
          <w:marTop w:val="0"/>
          <w:marBottom w:val="0"/>
          <w:divBdr>
            <w:top w:val="none" w:sz="0" w:space="0" w:color="auto"/>
            <w:left w:val="none" w:sz="0" w:space="0" w:color="auto"/>
            <w:bottom w:val="none" w:sz="0" w:space="0" w:color="auto"/>
            <w:right w:val="none" w:sz="0" w:space="0" w:color="auto"/>
          </w:divBdr>
        </w:div>
      </w:divsChild>
    </w:div>
    <w:div w:id="296493439">
      <w:marLeft w:val="0"/>
      <w:marRight w:val="0"/>
      <w:marTop w:val="0"/>
      <w:marBottom w:val="0"/>
      <w:divBdr>
        <w:top w:val="none" w:sz="0" w:space="0" w:color="auto"/>
        <w:left w:val="none" w:sz="0" w:space="0" w:color="auto"/>
        <w:bottom w:val="none" w:sz="0" w:space="0" w:color="auto"/>
        <w:right w:val="none" w:sz="0" w:space="0" w:color="auto"/>
      </w:divBdr>
      <w:divsChild>
        <w:div w:id="615253943">
          <w:marLeft w:val="0"/>
          <w:marRight w:val="0"/>
          <w:marTop w:val="360"/>
          <w:marBottom w:val="0"/>
          <w:divBdr>
            <w:top w:val="none" w:sz="0" w:space="0" w:color="auto"/>
            <w:left w:val="none" w:sz="0" w:space="0" w:color="auto"/>
            <w:bottom w:val="none" w:sz="0" w:space="0" w:color="auto"/>
            <w:right w:val="none" w:sz="0" w:space="0" w:color="auto"/>
          </w:divBdr>
        </w:div>
      </w:divsChild>
    </w:div>
    <w:div w:id="296496963">
      <w:marLeft w:val="0"/>
      <w:marRight w:val="0"/>
      <w:marTop w:val="120"/>
      <w:marBottom w:val="0"/>
      <w:divBdr>
        <w:top w:val="none" w:sz="0" w:space="0" w:color="auto"/>
        <w:left w:val="none" w:sz="0" w:space="0" w:color="auto"/>
        <w:bottom w:val="none" w:sz="0" w:space="0" w:color="auto"/>
        <w:right w:val="none" w:sz="0" w:space="0" w:color="auto"/>
      </w:divBdr>
    </w:div>
    <w:div w:id="298656482">
      <w:marLeft w:val="0"/>
      <w:marRight w:val="0"/>
      <w:marTop w:val="120"/>
      <w:marBottom w:val="0"/>
      <w:divBdr>
        <w:top w:val="none" w:sz="0" w:space="0" w:color="auto"/>
        <w:left w:val="none" w:sz="0" w:space="0" w:color="auto"/>
        <w:bottom w:val="none" w:sz="0" w:space="0" w:color="auto"/>
        <w:right w:val="none" w:sz="0" w:space="0" w:color="auto"/>
      </w:divBdr>
    </w:div>
    <w:div w:id="300427301">
      <w:marLeft w:val="0"/>
      <w:marRight w:val="0"/>
      <w:marTop w:val="120"/>
      <w:marBottom w:val="0"/>
      <w:divBdr>
        <w:top w:val="none" w:sz="0" w:space="0" w:color="auto"/>
        <w:left w:val="none" w:sz="0" w:space="0" w:color="auto"/>
        <w:bottom w:val="none" w:sz="0" w:space="0" w:color="auto"/>
        <w:right w:val="none" w:sz="0" w:space="0" w:color="auto"/>
      </w:divBdr>
    </w:div>
    <w:div w:id="300883932">
      <w:marLeft w:val="0"/>
      <w:marRight w:val="0"/>
      <w:marTop w:val="0"/>
      <w:marBottom w:val="0"/>
      <w:divBdr>
        <w:top w:val="none" w:sz="0" w:space="0" w:color="auto"/>
        <w:left w:val="none" w:sz="0" w:space="0" w:color="auto"/>
        <w:bottom w:val="none" w:sz="0" w:space="0" w:color="auto"/>
        <w:right w:val="none" w:sz="0" w:space="0" w:color="auto"/>
      </w:divBdr>
      <w:divsChild>
        <w:div w:id="103622389">
          <w:marLeft w:val="0"/>
          <w:marRight w:val="0"/>
          <w:marTop w:val="360"/>
          <w:marBottom w:val="0"/>
          <w:divBdr>
            <w:top w:val="none" w:sz="0" w:space="0" w:color="auto"/>
            <w:left w:val="none" w:sz="0" w:space="0" w:color="auto"/>
            <w:bottom w:val="none" w:sz="0" w:space="0" w:color="auto"/>
            <w:right w:val="none" w:sz="0" w:space="0" w:color="auto"/>
          </w:divBdr>
        </w:div>
      </w:divsChild>
    </w:div>
    <w:div w:id="302392364">
      <w:marLeft w:val="0"/>
      <w:marRight w:val="0"/>
      <w:marTop w:val="120"/>
      <w:marBottom w:val="0"/>
      <w:divBdr>
        <w:top w:val="none" w:sz="0" w:space="0" w:color="auto"/>
        <w:left w:val="none" w:sz="0" w:space="0" w:color="auto"/>
        <w:bottom w:val="none" w:sz="0" w:space="0" w:color="auto"/>
        <w:right w:val="none" w:sz="0" w:space="0" w:color="auto"/>
      </w:divBdr>
    </w:div>
    <w:div w:id="303855319">
      <w:marLeft w:val="0"/>
      <w:marRight w:val="0"/>
      <w:marTop w:val="120"/>
      <w:marBottom w:val="0"/>
      <w:divBdr>
        <w:top w:val="none" w:sz="0" w:space="0" w:color="auto"/>
        <w:left w:val="none" w:sz="0" w:space="0" w:color="auto"/>
        <w:bottom w:val="none" w:sz="0" w:space="0" w:color="auto"/>
        <w:right w:val="none" w:sz="0" w:space="0" w:color="auto"/>
      </w:divBdr>
    </w:div>
    <w:div w:id="305283344">
      <w:marLeft w:val="0"/>
      <w:marRight w:val="0"/>
      <w:marTop w:val="120"/>
      <w:marBottom w:val="0"/>
      <w:divBdr>
        <w:top w:val="none" w:sz="0" w:space="0" w:color="auto"/>
        <w:left w:val="none" w:sz="0" w:space="0" w:color="auto"/>
        <w:bottom w:val="none" w:sz="0" w:space="0" w:color="auto"/>
        <w:right w:val="none" w:sz="0" w:space="0" w:color="auto"/>
      </w:divBdr>
    </w:div>
    <w:div w:id="305818304">
      <w:marLeft w:val="0"/>
      <w:marRight w:val="0"/>
      <w:marTop w:val="60"/>
      <w:marBottom w:val="0"/>
      <w:divBdr>
        <w:top w:val="none" w:sz="0" w:space="0" w:color="auto"/>
        <w:left w:val="none" w:sz="0" w:space="0" w:color="auto"/>
        <w:bottom w:val="none" w:sz="0" w:space="0" w:color="auto"/>
        <w:right w:val="none" w:sz="0" w:space="0" w:color="auto"/>
      </w:divBdr>
    </w:div>
    <w:div w:id="308362230">
      <w:marLeft w:val="0"/>
      <w:marRight w:val="0"/>
      <w:marTop w:val="120"/>
      <w:marBottom w:val="0"/>
      <w:divBdr>
        <w:top w:val="none" w:sz="0" w:space="0" w:color="auto"/>
        <w:left w:val="none" w:sz="0" w:space="0" w:color="auto"/>
        <w:bottom w:val="none" w:sz="0" w:space="0" w:color="auto"/>
        <w:right w:val="none" w:sz="0" w:space="0" w:color="auto"/>
      </w:divBdr>
    </w:div>
    <w:div w:id="309790440">
      <w:marLeft w:val="0"/>
      <w:marRight w:val="0"/>
      <w:marTop w:val="120"/>
      <w:marBottom w:val="0"/>
      <w:divBdr>
        <w:top w:val="none" w:sz="0" w:space="0" w:color="auto"/>
        <w:left w:val="none" w:sz="0" w:space="0" w:color="auto"/>
        <w:bottom w:val="none" w:sz="0" w:space="0" w:color="auto"/>
        <w:right w:val="none" w:sz="0" w:space="0" w:color="auto"/>
      </w:divBdr>
    </w:div>
    <w:div w:id="310794794">
      <w:marLeft w:val="0"/>
      <w:marRight w:val="0"/>
      <w:marTop w:val="120"/>
      <w:marBottom w:val="0"/>
      <w:divBdr>
        <w:top w:val="none" w:sz="0" w:space="0" w:color="auto"/>
        <w:left w:val="none" w:sz="0" w:space="0" w:color="auto"/>
        <w:bottom w:val="none" w:sz="0" w:space="0" w:color="auto"/>
        <w:right w:val="none" w:sz="0" w:space="0" w:color="auto"/>
      </w:divBdr>
    </w:div>
    <w:div w:id="311252235">
      <w:marLeft w:val="0"/>
      <w:marRight w:val="0"/>
      <w:marTop w:val="120"/>
      <w:marBottom w:val="0"/>
      <w:divBdr>
        <w:top w:val="none" w:sz="0" w:space="0" w:color="auto"/>
        <w:left w:val="none" w:sz="0" w:space="0" w:color="auto"/>
        <w:bottom w:val="none" w:sz="0" w:space="0" w:color="auto"/>
        <w:right w:val="none" w:sz="0" w:space="0" w:color="auto"/>
      </w:divBdr>
    </w:div>
    <w:div w:id="313534274">
      <w:marLeft w:val="0"/>
      <w:marRight w:val="0"/>
      <w:marTop w:val="120"/>
      <w:marBottom w:val="0"/>
      <w:divBdr>
        <w:top w:val="none" w:sz="0" w:space="0" w:color="auto"/>
        <w:left w:val="none" w:sz="0" w:space="0" w:color="auto"/>
        <w:bottom w:val="none" w:sz="0" w:space="0" w:color="auto"/>
        <w:right w:val="none" w:sz="0" w:space="0" w:color="auto"/>
      </w:divBdr>
    </w:div>
    <w:div w:id="317266912">
      <w:marLeft w:val="0"/>
      <w:marRight w:val="0"/>
      <w:marTop w:val="120"/>
      <w:marBottom w:val="0"/>
      <w:divBdr>
        <w:top w:val="none" w:sz="0" w:space="0" w:color="auto"/>
        <w:left w:val="none" w:sz="0" w:space="0" w:color="auto"/>
        <w:bottom w:val="none" w:sz="0" w:space="0" w:color="auto"/>
        <w:right w:val="none" w:sz="0" w:space="0" w:color="auto"/>
      </w:divBdr>
    </w:div>
    <w:div w:id="318769241">
      <w:marLeft w:val="0"/>
      <w:marRight w:val="0"/>
      <w:marTop w:val="360"/>
      <w:marBottom w:val="0"/>
      <w:divBdr>
        <w:top w:val="none" w:sz="0" w:space="0" w:color="auto"/>
        <w:left w:val="none" w:sz="0" w:space="0" w:color="auto"/>
        <w:bottom w:val="none" w:sz="0" w:space="0" w:color="auto"/>
        <w:right w:val="none" w:sz="0" w:space="0" w:color="auto"/>
      </w:divBdr>
    </w:div>
    <w:div w:id="318926469">
      <w:marLeft w:val="0"/>
      <w:marRight w:val="0"/>
      <w:marTop w:val="120"/>
      <w:marBottom w:val="0"/>
      <w:divBdr>
        <w:top w:val="none" w:sz="0" w:space="0" w:color="auto"/>
        <w:left w:val="none" w:sz="0" w:space="0" w:color="auto"/>
        <w:bottom w:val="none" w:sz="0" w:space="0" w:color="auto"/>
        <w:right w:val="none" w:sz="0" w:space="0" w:color="auto"/>
      </w:divBdr>
    </w:div>
    <w:div w:id="324935281">
      <w:marLeft w:val="0"/>
      <w:marRight w:val="0"/>
      <w:marTop w:val="120"/>
      <w:marBottom w:val="0"/>
      <w:divBdr>
        <w:top w:val="none" w:sz="0" w:space="0" w:color="auto"/>
        <w:left w:val="none" w:sz="0" w:space="0" w:color="auto"/>
        <w:bottom w:val="none" w:sz="0" w:space="0" w:color="auto"/>
        <w:right w:val="none" w:sz="0" w:space="0" w:color="auto"/>
      </w:divBdr>
    </w:div>
    <w:div w:id="325283320">
      <w:marLeft w:val="0"/>
      <w:marRight w:val="0"/>
      <w:marTop w:val="120"/>
      <w:marBottom w:val="0"/>
      <w:divBdr>
        <w:top w:val="none" w:sz="0" w:space="0" w:color="auto"/>
        <w:left w:val="none" w:sz="0" w:space="0" w:color="auto"/>
        <w:bottom w:val="none" w:sz="0" w:space="0" w:color="auto"/>
        <w:right w:val="none" w:sz="0" w:space="0" w:color="auto"/>
      </w:divBdr>
    </w:div>
    <w:div w:id="327758334">
      <w:marLeft w:val="0"/>
      <w:marRight w:val="0"/>
      <w:marTop w:val="120"/>
      <w:marBottom w:val="0"/>
      <w:divBdr>
        <w:top w:val="none" w:sz="0" w:space="0" w:color="auto"/>
        <w:left w:val="none" w:sz="0" w:space="0" w:color="auto"/>
        <w:bottom w:val="none" w:sz="0" w:space="0" w:color="auto"/>
        <w:right w:val="none" w:sz="0" w:space="0" w:color="auto"/>
      </w:divBdr>
    </w:div>
    <w:div w:id="329069401">
      <w:marLeft w:val="0"/>
      <w:marRight w:val="0"/>
      <w:marTop w:val="0"/>
      <w:marBottom w:val="0"/>
      <w:divBdr>
        <w:top w:val="none" w:sz="0" w:space="0" w:color="auto"/>
        <w:left w:val="none" w:sz="0" w:space="0" w:color="auto"/>
        <w:bottom w:val="none" w:sz="0" w:space="0" w:color="auto"/>
        <w:right w:val="none" w:sz="0" w:space="0" w:color="auto"/>
      </w:divBdr>
      <w:divsChild>
        <w:div w:id="714743811">
          <w:marLeft w:val="0"/>
          <w:marRight w:val="0"/>
          <w:marTop w:val="360"/>
          <w:marBottom w:val="0"/>
          <w:divBdr>
            <w:top w:val="none" w:sz="0" w:space="0" w:color="auto"/>
            <w:left w:val="none" w:sz="0" w:space="0" w:color="auto"/>
            <w:bottom w:val="none" w:sz="0" w:space="0" w:color="auto"/>
            <w:right w:val="none" w:sz="0" w:space="0" w:color="auto"/>
          </w:divBdr>
        </w:div>
      </w:divsChild>
    </w:div>
    <w:div w:id="330136607">
      <w:marLeft w:val="0"/>
      <w:marRight w:val="0"/>
      <w:marTop w:val="120"/>
      <w:marBottom w:val="0"/>
      <w:divBdr>
        <w:top w:val="none" w:sz="0" w:space="0" w:color="auto"/>
        <w:left w:val="none" w:sz="0" w:space="0" w:color="auto"/>
        <w:bottom w:val="none" w:sz="0" w:space="0" w:color="auto"/>
        <w:right w:val="none" w:sz="0" w:space="0" w:color="auto"/>
      </w:divBdr>
    </w:div>
    <w:div w:id="331299364">
      <w:marLeft w:val="0"/>
      <w:marRight w:val="0"/>
      <w:marTop w:val="120"/>
      <w:marBottom w:val="0"/>
      <w:divBdr>
        <w:top w:val="none" w:sz="0" w:space="0" w:color="auto"/>
        <w:left w:val="none" w:sz="0" w:space="0" w:color="auto"/>
        <w:bottom w:val="none" w:sz="0" w:space="0" w:color="auto"/>
        <w:right w:val="none" w:sz="0" w:space="0" w:color="auto"/>
      </w:divBdr>
    </w:div>
    <w:div w:id="333605451">
      <w:marLeft w:val="0"/>
      <w:marRight w:val="0"/>
      <w:marTop w:val="0"/>
      <w:marBottom w:val="0"/>
      <w:divBdr>
        <w:top w:val="none" w:sz="0" w:space="0" w:color="auto"/>
        <w:left w:val="none" w:sz="0" w:space="0" w:color="auto"/>
        <w:bottom w:val="none" w:sz="0" w:space="0" w:color="auto"/>
        <w:right w:val="none" w:sz="0" w:space="0" w:color="auto"/>
      </w:divBdr>
      <w:divsChild>
        <w:div w:id="1117068410">
          <w:marLeft w:val="0"/>
          <w:marRight w:val="0"/>
          <w:marTop w:val="360"/>
          <w:marBottom w:val="0"/>
          <w:divBdr>
            <w:top w:val="none" w:sz="0" w:space="0" w:color="auto"/>
            <w:left w:val="none" w:sz="0" w:space="0" w:color="auto"/>
            <w:bottom w:val="none" w:sz="0" w:space="0" w:color="auto"/>
            <w:right w:val="none" w:sz="0" w:space="0" w:color="auto"/>
          </w:divBdr>
        </w:div>
      </w:divsChild>
    </w:div>
    <w:div w:id="333924505">
      <w:marLeft w:val="0"/>
      <w:marRight w:val="0"/>
      <w:marTop w:val="120"/>
      <w:marBottom w:val="0"/>
      <w:divBdr>
        <w:top w:val="none" w:sz="0" w:space="0" w:color="auto"/>
        <w:left w:val="none" w:sz="0" w:space="0" w:color="auto"/>
        <w:bottom w:val="none" w:sz="0" w:space="0" w:color="auto"/>
        <w:right w:val="none" w:sz="0" w:space="0" w:color="auto"/>
      </w:divBdr>
    </w:div>
    <w:div w:id="336735251">
      <w:marLeft w:val="0"/>
      <w:marRight w:val="0"/>
      <w:marTop w:val="360"/>
      <w:marBottom w:val="0"/>
      <w:divBdr>
        <w:top w:val="none" w:sz="0" w:space="0" w:color="auto"/>
        <w:left w:val="none" w:sz="0" w:space="0" w:color="auto"/>
        <w:bottom w:val="none" w:sz="0" w:space="0" w:color="auto"/>
        <w:right w:val="none" w:sz="0" w:space="0" w:color="auto"/>
      </w:divBdr>
    </w:div>
    <w:div w:id="343477051">
      <w:marLeft w:val="0"/>
      <w:marRight w:val="0"/>
      <w:marTop w:val="120"/>
      <w:marBottom w:val="0"/>
      <w:divBdr>
        <w:top w:val="none" w:sz="0" w:space="0" w:color="auto"/>
        <w:left w:val="none" w:sz="0" w:space="0" w:color="auto"/>
        <w:bottom w:val="none" w:sz="0" w:space="0" w:color="auto"/>
        <w:right w:val="none" w:sz="0" w:space="0" w:color="auto"/>
      </w:divBdr>
    </w:div>
    <w:div w:id="347953808">
      <w:marLeft w:val="0"/>
      <w:marRight w:val="0"/>
      <w:marTop w:val="120"/>
      <w:marBottom w:val="0"/>
      <w:divBdr>
        <w:top w:val="none" w:sz="0" w:space="0" w:color="auto"/>
        <w:left w:val="none" w:sz="0" w:space="0" w:color="auto"/>
        <w:bottom w:val="none" w:sz="0" w:space="0" w:color="auto"/>
        <w:right w:val="none" w:sz="0" w:space="0" w:color="auto"/>
      </w:divBdr>
    </w:div>
    <w:div w:id="349186274">
      <w:marLeft w:val="0"/>
      <w:marRight w:val="0"/>
      <w:marTop w:val="120"/>
      <w:marBottom w:val="0"/>
      <w:divBdr>
        <w:top w:val="none" w:sz="0" w:space="0" w:color="auto"/>
        <w:left w:val="none" w:sz="0" w:space="0" w:color="auto"/>
        <w:bottom w:val="none" w:sz="0" w:space="0" w:color="auto"/>
        <w:right w:val="none" w:sz="0" w:space="0" w:color="auto"/>
      </w:divBdr>
    </w:div>
    <w:div w:id="349529839">
      <w:marLeft w:val="0"/>
      <w:marRight w:val="0"/>
      <w:marTop w:val="120"/>
      <w:marBottom w:val="0"/>
      <w:divBdr>
        <w:top w:val="none" w:sz="0" w:space="0" w:color="auto"/>
        <w:left w:val="none" w:sz="0" w:space="0" w:color="auto"/>
        <w:bottom w:val="none" w:sz="0" w:space="0" w:color="auto"/>
        <w:right w:val="none" w:sz="0" w:space="0" w:color="auto"/>
      </w:divBdr>
    </w:div>
    <w:div w:id="349575914">
      <w:marLeft w:val="0"/>
      <w:marRight w:val="0"/>
      <w:marTop w:val="120"/>
      <w:marBottom w:val="0"/>
      <w:divBdr>
        <w:top w:val="none" w:sz="0" w:space="0" w:color="auto"/>
        <w:left w:val="none" w:sz="0" w:space="0" w:color="auto"/>
        <w:bottom w:val="none" w:sz="0" w:space="0" w:color="auto"/>
        <w:right w:val="none" w:sz="0" w:space="0" w:color="auto"/>
      </w:divBdr>
    </w:div>
    <w:div w:id="353189234">
      <w:marLeft w:val="0"/>
      <w:marRight w:val="0"/>
      <w:marTop w:val="120"/>
      <w:marBottom w:val="0"/>
      <w:divBdr>
        <w:top w:val="none" w:sz="0" w:space="0" w:color="auto"/>
        <w:left w:val="none" w:sz="0" w:space="0" w:color="auto"/>
        <w:bottom w:val="none" w:sz="0" w:space="0" w:color="auto"/>
        <w:right w:val="none" w:sz="0" w:space="0" w:color="auto"/>
      </w:divBdr>
    </w:div>
    <w:div w:id="356078695">
      <w:marLeft w:val="0"/>
      <w:marRight w:val="0"/>
      <w:marTop w:val="120"/>
      <w:marBottom w:val="0"/>
      <w:divBdr>
        <w:top w:val="none" w:sz="0" w:space="0" w:color="auto"/>
        <w:left w:val="none" w:sz="0" w:space="0" w:color="auto"/>
        <w:bottom w:val="none" w:sz="0" w:space="0" w:color="auto"/>
        <w:right w:val="none" w:sz="0" w:space="0" w:color="auto"/>
      </w:divBdr>
    </w:div>
    <w:div w:id="356733686">
      <w:marLeft w:val="0"/>
      <w:marRight w:val="0"/>
      <w:marTop w:val="0"/>
      <w:marBottom w:val="0"/>
      <w:divBdr>
        <w:top w:val="none" w:sz="0" w:space="0" w:color="auto"/>
        <w:left w:val="none" w:sz="0" w:space="0" w:color="auto"/>
        <w:bottom w:val="none" w:sz="0" w:space="0" w:color="auto"/>
        <w:right w:val="none" w:sz="0" w:space="0" w:color="auto"/>
      </w:divBdr>
      <w:divsChild>
        <w:div w:id="996416281">
          <w:marLeft w:val="0"/>
          <w:marRight w:val="0"/>
          <w:marTop w:val="360"/>
          <w:marBottom w:val="0"/>
          <w:divBdr>
            <w:top w:val="none" w:sz="0" w:space="0" w:color="auto"/>
            <w:left w:val="none" w:sz="0" w:space="0" w:color="auto"/>
            <w:bottom w:val="none" w:sz="0" w:space="0" w:color="auto"/>
            <w:right w:val="none" w:sz="0" w:space="0" w:color="auto"/>
          </w:divBdr>
        </w:div>
      </w:divsChild>
    </w:div>
    <w:div w:id="358747111">
      <w:marLeft w:val="0"/>
      <w:marRight w:val="0"/>
      <w:marTop w:val="120"/>
      <w:marBottom w:val="0"/>
      <w:divBdr>
        <w:top w:val="none" w:sz="0" w:space="0" w:color="auto"/>
        <w:left w:val="none" w:sz="0" w:space="0" w:color="auto"/>
        <w:bottom w:val="none" w:sz="0" w:space="0" w:color="auto"/>
        <w:right w:val="none" w:sz="0" w:space="0" w:color="auto"/>
      </w:divBdr>
    </w:div>
    <w:div w:id="360666574">
      <w:marLeft w:val="0"/>
      <w:marRight w:val="0"/>
      <w:marTop w:val="120"/>
      <w:marBottom w:val="0"/>
      <w:divBdr>
        <w:top w:val="none" w:sz="0" w:space="0" w:color="auto"/>
        <w:left w:val="none" w:sz="0" w:space="0" w:color="auto"/>
        <w:bottom w:val="none" w:sz="0" w:space="0" w:color="auto"/>
        <w:right w:val="none" w:sz="0" w:space="0" w:color="auto"/>
      </w:divBdr>
    </w:div>
    <w:div w:id="361245566">
      <w:marLeft w:val="0"/>
      <w:marRight w:val="0"/>
      <w:marTop w:val="120"/>
      <w:marBottom w:val="0"/>
      <w:divBdr>
        <w:top w:val="none" w:sz="0" w:space="0" w:color="auto"/>
        <w:left w:val="none" w:sz="0" w:space="0" w:color="auto"/>
        <w:bottom w:val="none" w:sz="0" w:space="0" w:color="auto"/>
        <w:right w:val="none" w:sz="0" w:space="0" w:color="auto"/>
      </w:divBdr>
    </w:div>
    <w:div w:id="366180781">
      <w:marLeft w:val="0"/>
      <w:marRight w:val="0"/>
      <w:marTop w:val="120"/>
      <w:marBottom w:val="0"/>
      <w:divBdr>
        <w:top w:val="none" w:sz="0" w:space="0" w:color="auto"/>
        <w:left w:val="none" w:sz="0" w:space="0" w:color="auto"/>
        <w:bottom w:val="none" w:sz="0" w:space="0" w:color="auto"/>
        <w:right w:val="none" w:sz="0" w:space="0" w:color="auto"/>
      </w:divBdr>
    </w:div>
    <w:div w:id="367528846">
      <w:marLeft w:val="0"/>
      <w:marRight w:val="0"/>
      <w:marTop w:val="120"/>
      <w:marBottom w:val="0"/>
      <w:divBdr>
        <w:top w:val="none" w:sz="0" w:space="0" w:color="auto"/>
        <w:left w:val="none" w:sz="0" w:space="0" w:color="auto"/>
        <w:bottom w:val="none" w:sz="0" w:space="0" w:color="auto"/>
        <w:right w:val="none" w:sz="0" w:space="0" w:color="auto"/>
      </w:divBdr>
    </w:div>
    <w:div w:id="368720713">
      <w:marLeft w:val="0"/>
      <w:marRight w:val="0"/>
      <w:marTop w:val="120"/>
      <w:marBottom w:val="0"/>
      <w:divBdr>
        <w:top w:val="none" w:sz="0" w:space="0" w:color="auto"/>
        <w:left w:val="none" w:sz="0" w:space="0" w:color="auto"/>
        <w:bottom w:val="none" w:sz="0" w:space="0" w:color="auto"/>
        <w:right w:val="none" w:sz="0" w:space="0" w:color="auto"/>
      </w:divBdr>
    </w:div>
    <w:div w:id="369575549">
      <w:marLeft w:val="0"/>
      <w:marRight w:val="0"/>
      <w:marTop w:val="120"/>
      <w:marBottom w:val="0"/>
      <w:divBdr>
        <w:top w:val="none" w:sz="0" w:space="0" w:color="auto"/>
        <w:left w:val="none" w:sz="0" w:space="0" w:color="auto"/>
        <w:bottom w:val="none" w:sz="0" w:space="0" w:color="auto"/>
        <w:right w:val="none" w:sz="0" w:space="0" w:color="auto"/>
      </w:divBdr>
    </w:div>
    <w:div w:id="370156400">
      <w:marLeft w:val="0"/>
      <w:marRight w:val="0"/>
      <w:marTop w:val="120"/>
      <w:marBottom w:val="0"/>
      <w:divBdr>
        <w:top w:val="none" w:sz="0" w:space="0" w:color="auto"/>
        <w:left w:val="none" w:sz="0" w:space="0" w:color="auto"/>
        <w:bottom w:val="none" w:sz="0" w:space="0" w:color="auto"/>
        <w:right w:val="none" w:sz="0" w:space="0" w:color="auto"/>
      </w:divBdr>
    </w:div>
    <w:div w:id="370302614">
      <w:marLeft w:val="0"/>
      <w:marRight w:val="0"/>
      <w:marTop w:val="120"/>
      <w:marBottom w:val="0"/>
      <w:divBdr>
        <w:top w:val="none" w:sz="0" w:space="0" w:color="auto"/>
        <w:left w:val="none" w:sz="0" w:space="0" w:color="auto"/>
        <w:bottom w:val="none" w:sz="0" w:space="0" w:color="auto"/>
        <w:right w:val="none" w:sz="0" w:space="0" w:color="auto"/>
      </w:divBdr>
    </w:div>
    <w:div w:id="370807775">
      <w:marLeft w:val="0"/>
      <w:marRight w:val="0"/>
      <w:marTop w:val="120"/>
      <w:marBottom w:val="0"/>
      <w:divBdr>
        <w:top w:val="none" w:sz="0" w:space="0" w:color="auto"/>
        <w:left w:val="none" w:sz="0" w:space="0" w:color="auto"/>
        <w:bottom w:val="none" w:sz="0" w:space="0" w:color="auto"/>
        <w:right w:val="none" w:sz="0" w:space="0" w:color="auto"/>
      </w:divBdr>
    </w:div>
    <w:div w:id="372005783">
      <w:marLeft w:val="0"/>
      <w:marRight w:val="0"/>
      <w:marTop w:val="120"/>
      <w:marBottom w:val="0"/>
      <w:divBdr>
        <w:top w:val="none" w:sz="0" w:space="0" w:color="auto"/>
        <w:left w:val="none" w:sz="0" w:space="0" w:color="auto"/>
        <w:bottom w:val="none" w:sz="0" w:space="0" w:color="auto"/>
        <w:right w:val="none" w:sz="0" w:space="0" w:color="auto"/>
      </w:divBdr>
    </w:div>
    <w:div w:id="375011483">
      <w:marLeft w:val="0"/>
      <w:marRight w:val="0"/>
      <w:marTop w:val="120"/>
      <w:marBottom w:val="0"/>
      <w:divBdr>
        <w:top w:val="none" w:sz="0" w:space="0" w:color="auto"/>
        <w:left w:val="none" w:sz="0" w:space="0" w:color="auto"/>
        <w:bottom w:val="none" w:sz="0" w:space="0" w:color="auto"/>
        <w:right w:val="none" w:sz="0" w:space="0" w:color="auto"/>
      </w:divBdr>
    </w:div>
    <w:div w:id="377820467">
      <w:marLeft w:val="0"/>
      <w:marRight w:val="0"/>
      <w:marTop w:val="0"/>
      <w:marBottom w:val="0"/>
      <w:divBdr>
        <w:top w:val="none" w:sz="0" w:space="0" w:color="auto"/>
        <w:left w:val="none" w:sz="0" w:space="0" w:color="auto"/>
        <w:bottom w:val="none" w:sz="0" w:space="0" w:color="auto"/>
        <w:right w:val="none" w:sz="0" w:space="0" w:color="auto"/>
      </w:divBdr>
      <w:divsChild>
        <w:div w:id="1801919614">
          <w:marLeft w:val="0"/>
          <w:marRight w:val="0"/>
          <w:marTop w:val="0"/>
          <w:marBottom w:val="0"/>
          <w:divBdr>
            <w:top w:val="none" w:sz="0" w:space="0" w:color="auto"/>
            <w:left w:val="none" w:sz="0" w:space="0" w:color="auto"/>
            <w:bottom w:val="none" w:sz="0" w:space="0" w:color="auto"/>
            <w:right w:val="none" w:sz="0" w:space="0" w:color="auto"/>
          </w:divBdr>
        </w:div>
      </w:divsChild>
    </w:div>
    <w:div w:id="381371086">
      <w:marLeft w:val="0"/>
      <w:marRight w:val="0"/>
      <w:marTop w:val="120"/>
      <w:marBottom w:val="0"/>
      <w:divBdr>
        <w:top w:val="none" w:sz="0" w:space="0" w:color="auto"/>
        <w:left w:val="none" w:sz="0" w:space="0" w:color="auto"/>
        <w:bottom w:val="none" w:sz="0" w:space="0" w:color="auto"/>
        <w:right w:val="none" w:sz="0" w:space="0" w:color="auto"/>
      </w:divBdr>
    </w:div>
    <w:div w:id="386105169">
      <w:marLeft w:val="0"/>
      <w:marRight w:val="0"/>
      <w:marTop w:val="120"/>
      <w:marBottom w:val="0"/>
      <w:divBdr>
        <w:top w:val="none" w:sz="0" w:space="0" w:color="auto"/>
        <w:left w:val="none" w:sz="0" w:space="0" w:color="auto"/>
        <w:bottom w:val="none" w:sz="0" w:space="0" w:color="auto"/>
        <w:right w:val="none" w:sz="0" w:space="0" w:color="auto"/>
      </w:divBdr>
    </w:div>
    <w:div w:id="387191559">
      <w:marLeft w:val="0"/>
      <w:marRight w:val="0"/>
      <w:marTop w:val="120"/>
      <w:marBottom w:val="0"/>
      <w:divBdr>
        <w:top w:val="none" w:sz="0" w:space="0" w:color="auto"/>
        <w:left w:val="none" w:sz="0" w:space="0" w:color="auto"/>
        <w:bottom w:val="none" w:sz="0" w:space="0" w:color="auto"/>
        <w:right w:val="none" w:sz="0" w:space="0" w:color="auto"/>
      </w:divBdr>
    </w:div>
    <w:div w:id="390278497">
      <w:marLeft w:val="0"/>
      <w:marRight w:val="0"/>
      <w:marTop w:val="0"/>
      <w:marBottom w:val="0"/>
      <w:divBdr>
        <w:top w:val="none" w:sz="0" w:space="0" w:color="auto"/>
        <w:left w:val="none" w:sz="0" w:space="0" w:color="auto"/>
        <w:bottom w:val="none" w:sz="0" w:space="0" w:color="auto"/>
        <w:right w:val="none" w:sz="0" w:space="0" w:color="auto"/>
      </w:divBdr>
      <w:divsChild>
        <w:div w:id="1970278989">
          <w:marLeft w:val="0"/>
          <w:marRight w:val="0"/>
          <w:marTop w:val="0"/>
          <w:marBottom w:val="0"/>
          <w:divBdr>
            <w:top w:val="none" w:sz="0" w:space="0" w:color="auto"/>
            <w:left w:val="none" w:sz="0" w:space="0" w:color="auto"/>
            <w:bottom w:val="none" w:sz="0" w:space="0" w:color="auto"/>
            <w:right w:val="none" w:sz="0" w:space="0" w:color="auto"/>
          </w:divBdr>
        </w:div>
      </w:divsChild>
    </w:div>
    <w:div w:id="391392506">
      <w:marLeft w:val="0"/>
      <w:marRight w:val="0"/>
      <w:marTop w:val="120"/>
      <w:marBottom w:val="0"/>
      <w:divBdr>
        <w:top w:val="none" w:sz="0" w:space="0" w:color="auto"/>
        <w:left w:val="none" w:sz="0" w:space="0" w:color="auto"/>
        <w:bottom w:val="none" w:sz="0" w:space="0" w:color="auto"/>
        <w:right w:val="none" w:sz="0" w:space="0" w:color="auto"/>
      </w:divBdr>
    </w:div>
    <w:div w:id="391469015">
      <w:marLeft w:val="0"/>
      <w:marRight w:val="0"/>
      <w:marTop w:val="120"/>
      <w:marBottom w:val="0"/>
      <w:divBdr>
        <w:top w:val="none" w:sz="0" w:space="0" w:color="auto"/>
        <w:left w:val="none" w:sz="0" w:space="0" w:color="auto"/>
        <w:bottom w:val="none" w:sz="0" w:space="0" w:color="auto"/>
        <w:right w:val="none" w:sz="0" w:space="0" w:color="auto"/>
      </w:divBdr>
    </w:div>
    <w:div w:id="396512819">
      <w:marLeft w:val="0"/>
      <w:marRight w:val="0"/>
      <w:marTop w:val="120"/>
      <w:marBottom w:val="0"/>
      <w:divBdr>
        <w:top w:val="none" w:sz="0" w:space="0" w:color="auto"/>
        <w:left w:val="none" w:sz="0" w:space="0" w:color="auto"/>
        <w:bottom w:val="none" w:sz="0" w:space="0" w:color="auto"/>
        <w:right w:val="none" w:sz="0" w:space="0" w:color="auto"/>
      </w:divBdr>
    </w:div>
    <w:div w:id="400450253">
      <w:marLeft w:val="0"/>
      <w:marRight w:val="0"/>
      <w:marTop w:val="0"/>
      <w:marBottom w:val="0"/>
      <w:divBdr>
        <w:top w:val="none" w:sz="0" w:space="0" w:color="auto"/>
        <w:left w:val="none" w:sz="0" w:space="0" w:color="auto"/>
        <w:bottom w:val="none" w:sz="0" w:space="0" w:color="auto"/>
        <w:right w:val="none" w:sz="0" w:space="0" w:color="auto"/>
      </w:divBdr>
      <w:divsChild>
        <w:div w:id="1054041763">
          <w:marLeft w:val="0"/>
          <w:marRight w:val="0"/>
          <w:marTop w:val="360"/>
          <w:marBottom w:val="0"/>
          <w:divBdr>
            <w:top w:val="none" w:sz="0" w:space="0" w:color="auto"/>
            <w:left w:val="none" w:sz="0" w:space="0" w:color="auto"/>
            <w:bottom w:val="none" w:sz="0" w:space="0" w:color="auto"/>
            <w:right w:val="none" w:sz="0" w:space="0" w:color="auto"/>
          </w:divBdr>
        </w:div>
      </w:divsChild>
    </w:div>
    <w:div w:id="405420049">
      <w:marLeft w:val="0"/>
      <w:marRight w:val="0"/>
      <w:marTop w:val="120"/>
      <w:marBottom w:val="0"/>
      <w:divBdr>
        <w:top w:val="none" w:sz="0" w:space="0" w:color="auto"/>
        <w:left w:val="none" w:sz="0" w:space="0" w:color="auto"/>
        <w:bottom w:val="none" w:sz="0" w:space="0" w:color="auto"/>
        <w:right w:val="none" w:sz="0" w:space="0" w:color="auto"/>
      </w:divBdr>
    </w:div>
    <w:div w:id="412119272">
      <w:marLeft w:val="0"/>
      <w:marRight w:val="0"/>
      <w:marTop w:val="120"/>
      <w:marBottom w:val="0"/>
      <w:divBdr>
        <w:top w:val="none" w:sz="0" w:space="0" w:color="auto"/>
        <w:left w:val="none" w:sz="0" w:space="0" w:color="auto"/>
        <w:bottom w:val="none" w:sz="0" w:space="0" w:color="auto"/>
        <w:right w:val="none" w:sz="0" w:space="0" w:color="auto"/>
      </w:divBdr>
    </w:div>
    <w:div w:id="413014471">
      <w:marLeft w:val="0"/>
      <w:marRight w:val="0"/>
      <w:marTop w:val="0"/>
      <w:marBottom w:val="0"/>
      <w:divBdr>
        <w:top w:val="none" w:sz="0" w:space="0" w:color="auto"/>
        <w:left w:val="none" w:sz="0" w:space="0" w:color="auto"/>
        <w:bottom w:val="none" w:sz="0" w:space="0" w:color="auto"/>
        <w:right w:val="none" w:sz="0" w:space="0" w:color="auto"/>
      </w:divBdr>
      <w:divsChild>
        <w:div w:id="1004169854">
          <w:marLeft w:val="0"/>
          <w:marRight w:val="0"/>
          <w:marTop w:val="360"/>
          <w:marBottom w:val="0"/>
          <w:divBdr>
            <w:top w:val="none" w:sz="0" w:space="0" w:color="auto"/>
            <w:left w:val="none" w:sz="0" w:space="0" w:color="auto"/>
            <w:bottom w:val="none" w:sz="0" w:space="0" w:color="auto"/>
            <w:right w:val="none" w:sz="0" w:space="0" w:color="auto"/>
          </w:divBdr>
        </w:div>
      </w:divsChild>
    </w:div>
    <w:div w:id="413864911">
      <w:marLeft w:val="0"/>
      <w:marRight w:val="0"/>
      <w:marTop w:val="120"/>
      <w:marBottom w:val="0"/>
      <w:divBdr>
        <w:top w:val="none" w:sz="0" w:space="0" w:color="auto"/>
        <w:left w:val="none" w:sz="0" w:space="0" w:color="auto"/>
        <w:bottom w:val="none" w:sz="0" w:space="0" w:color="auto"/>
        <w:right w:val="none" w:sz="0" w:space="0" w:color="auto"/>
      </w:divBdr>
    </w:div>
    <w:div w:id="416832452">
      <w:marLeft w:val="0"/>
      <w:marRight w:val="0"/>
      <w:marTop w:val="0"/>
      <w:marBottom w:val="15"/>
      <w:divBdr>
        <w:top w:val="none" w:sz="0" w:space="0" w:color="auto"/>
        <w:left w:val="none" w:sz="0" w:space="0" w:color="auto"/>
        <w:bottom w:val="none" w:sz="0" w:space="0" w:color="auto"/>
        <w:right w:val="none" w:sz="0" w:space="0" w:color="auto"/>
      </w:divBdr>
    </w:div>
    <w:div w:id="417408262">
      <w:marLeft w:val="0"/>
      <w:marRight w:val="0"/>
      <w:marTop w:val="120"/>
      <w:marBottom w:val="0"/>
      <w:divBdr>
        <w:top w:val="none" w:sz="0" w:space="0" w:color="auto"/>
        <w:left w:val="none" w:sz="0" w:space="0" w:color="auto"/>
        <w:bottom w:val="none" w:sz="0" w:space="0" w:color="auto"/>
        <w:right w:val="none" w:sz="0" w:space="0" w:color="auto"/>
      </w:divBdr>
    </w:div>
    <w:div w:id="422919202">
      <w:marLeft w:val="0"/>
      <w:marRight w:val="0"/>
      <w:marTop w:val="120"/>
      <w:marBottom w:val="0"/>
      <w:divBdr>
        <w:top w:val="none" w:sz="0" w:space="0" w:color="auto"/>
        <w:left w:val="none" w:sz="0" w:space="0" w:color="auto"/>
        <w:bottom w:val="none" w:sz="0" w:space="0" w:color="auto"/>
        <w:right w:val="none" w:sz="0" w:space="0" w:color="auto"/>
      </w:divBdr>
    </w:div>
    <w:div w:id="428697379">
      <w:marLeft w:val="0"/>
      <w:marRight w:val="0"/>
      <w:marTop w:val="120"/>
      <w:marBottom w:val="0"/>
      <w:divBdr>
        <w:top w:val="none" w:sz="0" w:space="0" w:color="auto"/>
        <w:left w:val="none" w:sz="0" w:space="0" w:color="auto"/>
        <w:bottom w:val="none" w:sz="0" w:space="0" w:color="auto"/>
        <w:right w:val="none" w:sz="0" w:space="0" w:color="auto"/>
      </w:divBdr>
    </w:div>
    <w:div w:id="433328986">
      <w:marLeft w:val="0"/>
      <w:marRight w:val="0"/>
      <w:marTop w:val="120"/>
      <w:marBottom w:val="0"/>
      <w:divBdr>
        <w:top w:val="none" w:sz="0" w:space="0" w:color="auto"/>
        <w:left w:val="none" w:sz="0" w:space="0" w:color="auto"/>
        <w:bottom w:val="none" w:sz="0" w:space="0" w:color="auto"/>
        <w:right w:val="none" w:sz="0" w:space="0" w:color="auto"/>
      </w:divBdr>
    </w:div>
    <w:div w:id="434177470">
      <w:marLeft w:val="0"/>
      <w:marRight w:val="0"/>
      <w:marTop w:val="120"/>
      <w:marBottom w:val="0"/>
      <w:divBdr>
        <w:top w:val="none" w:sz="0" w:space="0" w:color="auto"/>
        <w:left w:val="none" w:sz="0" w:space="0" w:color="auto"/>
        <w:bottom w:val="none" w:sz="0" w:space="0" w:color="auto"/>
        <w:right w:val="none" w:sz="0" w:space="0" w:color="auto"/>
      </w:divBdr>
    </w:div>
    <w:div w:id="436364936">
      <w:marLeft w:val="0"/>
      <w:marRight w:val="0"/>
      <w:marTop w:val="120"/>
      <w:marBottom w:val="0"/>
      <w:divBdr>
        <w:top w:val="none" w:sz="0" w:space="0" w:color="auto"/>
        <w:left w:val="none" w:sz="0" w:space="0" w:color="auto"/>
        <w:bottom w:val="none" w:sz="0" w:space="0" w:color="auto"/>
        <w:right w:val="none" w:sz="0" w:space="0" w:color="auto"/>
      </w:divBdr>
    </w:div>
    <w:div w:id="438641478">
      <w:marLeft w:val="0"/>
      <w:marRight w:val="0"/>
      <w:marTop w:val="120"/>
      <w:marBottom w:val="0"/>
      <w:divBdr>
        <w:top w:val="none" w:sz="0" w:space="0" w:color="auto"/>
        <w:left w:val="none" w:sz="0" w:space="0" w:color="auto"/>
        <w:bottom w:val="none" w:sz="0" w:space="0" w:color="auto"/>
        <w:right w:val="none" w:sz="0" w:space="0" w:color="auto"/>
      </w:divBdr>
    </w:div>
    <w:div w:id="441146874">
      <w:marLeft w:val="0"/>
      <w:marRight w:val="0"/>
      <w:marTop w:val="120"/>
      <w:marBottom w:val="0"/>
      <w:divBdr>
        <w:top w:val="none" w:sz="0" w:space="0" w:color="auto"/>
        <w:left w:val="none" w:sz="0" w:space="0" w:color="auto"/>
        <w:bottom w:val="none" w:sz="0" w:space="0" w:color="auto"/>
        <w:right w:val="none" w:sz="0" w:space="0" w:color="auto"/>
      </w:divBdr>
    </w:div>
    <w:div w:id="443156656">
      <w:marLeft w:val="0"/>
      <w:marRight w:val="0"/>
      <w:marTop w:val="120"/>
      <w:marBottom w:val="0"/>
      <w:divBdr>
        <w:top w:val="none" w:sz="0" w:space="0" w:color="auto"/>
        <w:left w:val="none" w:sz="0" w:space="0" w:color="auto"/>
        <w:bottom w:val="none" w:sz="0" w:space="0" w:color="auto"/>
        <w:right w:val="none" w:sz="0" w:space="0" w:color="auto"/>
      </w:divBdr>
    </w:div>
    <w:div w:id="443380623">
      <w:marLeft w:val="0"/>
      <w:marRight w:val="0"/>
      <w:marTop w:val="120"/>
      <w:marBottom w:val="0"/>
      <w:divBdr>
        <w:top w:val="none" w:sz="0" w:space="0" w:color="auto"/>
        <w:left w:val="none" w:sz="0" w:space="0" w:color="auto"/>
        <w:bottom w:val="none" w:sz="0" w:space="0" w:color="auto"/>
        <w:right w:val="none" w:sz="0" w:space="0" w:color="auto"/>
      </w:divBdr>
    </w:div>
    <w:div w:id="443963541">
      <w:marLeft w:val="0"/>
      <w:marRight w:val="0"/>
      <w:marTop w:val="120"/>
      <w:marBottom w:val="0"/>
      <w:divBdr>
        <w:top w:val="none" w:sz="0" w:space="0" w:color="auto"/>
        <w:left w:val="none" w:sz="0" w:space="0" w:color="auto"/>
        <w:bottom w:val="none" w:sz="0" w:space="0" w:color="auto"/>
        <w:right w:val="none" w:sz="0" w:space="0" w:color="auto"/>
      </w:divBdr>
    </w:div>
    <w:div w:id="445393530">
      <w:marLeft w:val="0"/>
      <w:marRight w:val="0"/>
      <w:marTop w:val="120"/>
      <w:marBottom w:val="0"/>
      <w:divBdr>
        <w:top w:val="none" w:sz="0" w:space="0" w:color="auto"/>
        <w:left w:val="none" w:sz="0" w:space="0" w:color="auto"/>
        <w:bottom w:val="none" w:sz="0" w:space="0" w:color="auto"/>
        <w:right w:val="none" w:sz="0" w:space="0" w:color="auto"/>
      </w:divBdr>
    </w:div>
    <w:div w:id="447742182">
      <w:marLeft w:val="0"/>
      <w:marRight w:val="0"/>
      <w:marTop w:val="120"/>
      <w:marBottom w:val="0"/>
      <w:divBdr>
        <w:top w:val="none" w:sz="0" w:space="0" w:color="auto"/>
        <w:left w:val="none" w:sz="0" w:space="0" w:color="auto"/>
        <w:bottom w:val="none" w:sz="0" w:space="0" w:color="auto"/>
        <w:right w:val="none" w:sz="0" w:space="0" w:color="auto"/>
      </w:divBdr>
    </w:div>
    <w:div w:id="448209344">
      <w:marLeft w:val="0"/>
      <w:marRight w:val="0"/>
      <w:marTop w:val="120"/>
      <w:marBottom w:val="0"/>
      <w:divBdr>
        <w:top w:val="none" w:sz="0" w:space="0" w:color="auto"/>
        <w:left w:val="none" w:sz="0" w:space="0" w:color="auto"/>
        <w:bottom w:val="none" w:sz="0" w:space="0" w:color="auto"/>
        <w:right w:val="none" w:sz="0" w:space="0" w:color="auto"/>
      </w:divBdr>
    </w:div>
    <w:div w:id="448663857">
      <w:marLeft w:val="0"/>
      <w:marRight w:val="0"/>
      <w:marTop w:val="120"/>
      <w:marBottom w:val="0"/>
      <w:divBdr>
        <w:top w:val="none" w:sz="0" w:space="0" w:color="auto"/>
        <w:left w:val="none" w:sz="0" w:space="0" w:color="auto"/>
        <w:bottom w:val="none" w:sz="0" w:space="0" w:color="auto"/>
        <w:right w:val="none" w:sz="0" w:space="0" w:color="auto"/>
      </w:divBdr>
    </w:div>
    <w:div w:id="449588029">
      <w:marLeft w:val="0"/>
      <w:marRight w:val="0"/>
      <w:marTop w:val="120"/>
      <w:marBottom w:val="0"/>
      <w:divBdr>
        <w:top w:val="none" w:sz="0" w:space="0" w:color="auto"/>
        <w:left w:val="none" w:sz="0" w:space="0" w:color="auto"/>
        <w:bottom w:val="none" w:sz="0" w:space="0" w:color="auto"/>
        <w:right w:val="none" w:sz="0" w:space="0" w:color="auto"/>
      </w:divBdr>
    </w:div>
    <w:div w:id="451092293">
      <w:marLeft w:val="0"/>
      <w:marRight w:val="0"/>
      <w:marTop w:val="120"/>
      <w:marBottom w:val="0"/>
      <w:divBdr>
        <w:top w:val="none" w:sz="0" w:space="0" w:color="auto"/>
        <w:left w:val="none" w:sz="0" w:space="0" w:color="auto"/>
        <w:bottom w:val="none" w:sz="0" w:space="0" w:color="auto"/>
        <w:right w:val="none" w:sz="0" w:space="0" w:color="auto"/>
      </w:divBdr>
    </w:div>
    <w:div w:id="452019683">
      <w:marLeft w:val="0"/>
      <w:marRight w:val="0"/>
      <w:marTop w:val="0"/>
      <w:marBottom w:val="0"/>
      <w:divBdr>
        <w:top w:val="none" w:sz="0" w:space="0" w:color="auto"/>
        <w:left w:val="none" w:sz="0" w:space="0" w:color="auto"/>
        <w:bottom w:val="none" w:sz="0" w:space="0" w:color="auto"/>
        <w:right w:val="none" w:sz="0" w:space="0" w:color="auto"/>
      </w:divBdr>
    </w:div>
    <w:div w:id="452139184">
      <w:marLeft w:val="0"/>
      <w:marRight w:val="0"/>
      <w:marTop w:val="120"/>
      <w:marBottom w:val="0"/>
      <w:divBdr>
        <w:top w:val="none" w:sz="0" w:space="0" w:color="auto"/>
        <w:left w:val="none" w:sz="0" w:space="0" w:color="auto"/>
        <w:bottom w:val="none" w:sz="0" w:space="0" w:color="auto"/>
        <w:right w:val="none" w:sz="0" w:space="0" w:color="auto"/>
      </w:divBdr>
    </w:div>
    <w:div w:id="454375462">
      <w:marLeft w:val="0"/>
      <w:marRight w:val="0"/>
      <w:marTop w:val="120"/>
      <w:marBottom w:val="0"/>
      <w:divBdr>
        <w:top w:val="none" w:sz="0" w:space="0" w:color="auto"/>
        <w:left w:val="none" w:sz="0" w:space="0" w:color="auto"/>
        <w:bottom w:val="none" w:sz="0" w:space="0" w:color="auto"/>
        <w:right w:val="none" w:sz="0" w:space="0" w:color="auto"/>
      </w:divBdr>
    </w:div>
    <w:div w:id="455946958">
      <w:marLeft w:val="0"/>
      <w:marRight w:val="0"/>
      <w:marTop w:val="120"/>
      <w:marBottom w:val="0"/>
      <w:divBdr>
        <w:top w:val="none" w:sz="0" w:space="0" w:color="auto"/>
        <w:left w:val="none" w:sz="0" w:space="0" w:color="auto"/>
        <w:bottom w:val="none" w:sz="0" w:space="0" w:color="auto"/>
        <w:right w:val="none" w:sz="0" w:space="0" w:color="auto"/>
      </w:divBdr>
    </w:div>
    <w:div w:id="458887212">
      <w:marLeft w:val="0"/>
      <w:marRight w:val="0"/>
      <w:marTop w:val="120"/>
      <w:marBottom w:val="0"/>
      <w:divBdr>
        <w:top w:val="none" w:sz="0" w:space="0" w:color="auto"/>
        <w:left w:val="none" w:sz="0" w:space="0" w:color="auto"/>
        <w:bottom w:val="none" w:sz="0" w:space="0" w:color="auto"/>
        <w:right w:val="none" w:sz="0" w:space="0" w:color="auto"/>
      </w:divBdr>
    </w:div>
    <w:div w:id="460542992">
      <w:marLeft w:val="0"/>
      <w:marRight w:val="0"/>
      <w:marTop w:val="60"/>
      <w:marBottom w:val="0"/>
      <w:divBdr>
        <w:top w:val="none" w:sz="0" w:space="0" w:color="auto"/>
        <w:left w:val="none" w:sz="0" w:space="0" w:color="auto"/>
        <w:bottom w:val="none" w:sz="0" w:space="0" w:color="auto"/>
        <w:right w:val="none" w:sz="0" w:space="0" w:color="auto"/>
      </w:divBdr>
    </w:div>
    <w:div w:id="462699167">
      <w:marLeft w:val="0"/>
      <w:marRight w:val="0"/>
      <w:marTop w:val="120"/>
      <w:marBottom w:val="0"/>
      <w:divBdr>
        <w:top w:val="none" w:sz="0" w:space="0" w:color="auto"/>
        <w:left w:val="none" w:sz="0" w:space="0" w:color="auto"/>
        <w:bottom w:val="none" w:sz="0" w:space="0" w:color="auto"/>
        <w:right w:val="none" w:sz="0" w:space="0" w:color="auto"/>
      </w:divBdr>
    </w:div>
    <w:div w:id="466509844">
      <w:marLeft w:val="0"/>
      <w:marRight w:val="0"/>
      <w:marTop w:val="120"/>
      <w:marBottom w:val="0"/>
      <w:divBdr>
        <w:top w:val="none" w:sz="0" w:space="0" w:color="auto"/>
        <w:left w:val="none" w:sz="0" w:space="0" w:color="auto"/>
        <w:bottom w:val="none" w:sz="0" w:space="0" w:color="auto"/>
        <w:right w:val="none" w:sz="0" w:space="0" w:color="auto"/>
      </w:divBdr>
    </w:div>
    <w:div w:id="469057437">
      <w:marLeft w:val="0"/>
      <w:marRight w:val="0"/>
      <w:marTop w:val="120"/>
      <w:marBottom w:val="0"/>
      <w:divBdr>
        <w:top w:val="none" w:sz="0" w:space="0" w:color="auto"/>
        <w:left w:val="none" w:sz="0" w:space="0" w:color="auto"/>
        <w:bottom w:val="none" w:sz="0" w:space="0" w:color="auto"/>
        <w:right w:val="none" w:sz="0" w:space="0" w:color="auto"/>
      </w:divBdr>
    </w:div>
    <w:div w:id="470560665">
      <w:marLeft w:val="0"/>
      <w:marRight w:val="0"/>
      <w:marTop w:val="120"/>
      <w:marBottom w:val="0"/>
      <w:divBdr>
        <w:top w:val="none" w:sz="0" w:space="0" w:color="auto"/>
        <w:left w:val="none" w:sz="0" w:space="0" w:color="auto"/>
        <w:bottom w:val="none" w:sz="0" w:space="0" w:color="auto"/>
        <w:right w:val="none" w:sz="0" w:space="0" w:color="auto"/>
      </w:divBdr>
    </w:div>
    <w:div w:id="470947787">
      <w:marLeft w:val="0"/>
      <w:marRight w:val="0"/>
      <w:marTop w:val="120"/>
      <w:marBottom w:val="0"/>
      <w:divBdr>
        <w:top w:val="none" w:sz="0" w:space="0" w:color="auto"/>
        <w:left w:val="none" w:sz="0" w:space="0" w:color="auto"/>
        <w:bottom w:val="none" w:sz="0" w:space="0" w:color="auto"/>
        <w:right w:val="none" w:sz="0" w:space="0" w:color="auto"/>
      </w:divBdr>
    </w:div>
    <w:div w:id="475299728">
      <w:marLeft w:val="0"/>
      <w:marRight w:val="0"/>
      <w:marTop w:val="0"/>
      <w:marBottom w:val="0"/>
      <w:divBdr>
        <w:top w:val="none" w:sz="0" w:space="0" w:color="auto"/>
        <w:left w:val="none" w:sz="0" w:space="0" w:color="auto"/>
        <w:bottom w:val="none" w:sz="0" w:space="0" w:color="auto"/>
        <w:right w:val="none" w:sz="0" w:space="0" w:color="auto"/>
      </w:divBdr>
      <w:divsChild>
        <w:div w:id="1954438254">
          <w:marLeft w:val="0"/>
          <w:marRight w:val="0"/>
          <w:marTop w:val="0"/>
          <w:marBottom w:val="0"/>
          <w:divBdr>
            <w:top w:val="none" w:sz="0" w:space="0" w:color="auto"/>
            <w:left w:val="none" w:sz="0" w:space="0" w:color="auto"/>
            <w:bottom w:val="none" w:sz="0" w:space="0" w:color="auto"/>
            <w:right w:val="none" w:sz="0" w:space="0" w:color="auto"/>
          </w:divBdr>
        </w:div>
      </w:divsChild>
    </w:div>
    <w:div w:id="476725246">
      <w:marLeft w:val="0"/>
      <w:marRight w:val="0"/>
      <w:marTop w:val="120"/>
      <w:marBottom w:val="0"/>
      <w:divBdr>
        <w:top w:val="none" w:sz="0" w:space="0" w:color="auto"/>
        <w:left w:val="none" w:sz="0" w:space="0" w:color="auto"/>
        <w:bottom w:val="none" w:sz="0" w:space="0" w:color="auto"/>
        <w:right w:val="none" w:sz="0" w:space="0" w:color="auto"/>
      </w:divBdr>
    </w:div>
    <w:div w:id="478499137">
      <w:marLeft w:val="0"/>
      <w:marRight w:val="0"/>
      <w:marTop w:val="120"/>
      <w:marBottom w:val="0"/>
      <w:divBdr>
        <w:top w:val="none" w:sz="0" w:space="0" w:color="auto"/>
        <w:left w:val="none" w:sz="0" w:space="0" w:color="auto"/>
        <w:bottom w:val="none" w:sz="0" w:space="0" w:color="auto"/>
        <w:right w:val="none" w:sz="0" w:space="0" w:color="auto"/>
      </w:divBdr>
    </w:div>
    <w:div w:id="479078566">
      <w:marLeft w:val="0"/>
      <w:marRight w:val="0"/>
      <w:marTop w:val="120"/>
      <w:marBottom w:val="0"/>
      <w:divBdr>
        <w:top w:val="none" w:sz="0" w:space="0" w:color="auto"/>
        <w:left w:val="none" w:sz="0" w:space="0" w:color="auto"/>
        <w:bottom w:val="none" w:sz="0" w:space="0" w:color="auto"/>
        <w:right w:val="none" w:sz="0" w:space="0" w:color="auto"/>
      </w:divBdr>
    </w:div>
    <w:div w:id="481313954">
      <w:marLeft w:val="0"/>
      <w:marRight w:val="0"/>
      <w:marTop w:val="360"/>
      <w:marBottom w:val="0"/>
      <w:divBdr>
        <w:top w:val="none" w:sz="0" w:space="0" w:color="auto"/>
        <w:left w:val="none" w:sz="0" w:space="0" w:color="auto"/>
        <w:bottom w:val="none" w:sz="0" w:space="0" w:color="auto"/>
        <w:right w:val="none" w:sz="0" w:space="0" w:color="auto"/>
      </w:divBdr>
    </w:div>
    <w:div w:id="486283133">
      <w:marLeft w:val="0"/>
      <w:marRight w:val="0"/>
      <w:marTop w:val="120"/>
      <w:marBottom w:val="0"/>
      <w:divBdr>
        <w:top w:val="none" w:sz="0" w:space="0" w:color="auto"/>
        <w:left w:val="none" w:sz="0" w:space="0" w:color="auto"/>
        <w:bottom w:val="none" w:sz="0" w:space="0" w:color="auto"/>
        <w:right w:val="none" w:sz="0" w:space="0" w:color="auto"/>
      </w:divBdr>
    </w:div>
    <w:div w:id="490950629">
      <w:marLeft w:val="0"/>
      <w:marRight w:val="0"/>
      <w:marTop w:val="120"/>
      <w:marBottom w:val="0"/>
      <w:divBdr>
        <w:top w:val="none" w:sz="0" w:space="0" w:color="auto"/>
        <w:left w:val="none" w:sz="0" w:space="0" w:color="auto"/>
        <w:bottom w:val="none" w:sz="0" w:space="0" w:color="auto"/>
        <w:right w:val="none" w:sz="0" w:space="0" w:color="auto"/>
      </w:divBdr>
    </w:div>
    <w:div w:id="490995753">
      <w:marLeft w:val="0"/>
      <w:marRight w:val="0"/>
      <w:marTop w:val="0"/>
      <w:marBottom w:val="0"/>
      <w:divBdr>
        <w:top w:val="none" w:sz="0" w:space="0" w:color="auto"/>
        <w:left w:val="none" w:sz="0" w:space="0" w:color="auto"/>
        <w:bottom w:val="none" w:sz="0" w:space="0" w:color="auto"/>
        <w:right w:val="none" w:sz="0" w:space="0" w:color="auto"/>
      </w:divBdr>
      <w:divsChild>
        <w:div w:id="1424645928">
          <w:marLeft w:val="0"/>
          <w:marRight w:val="0"/>
          <w:marTop w:val="360"/>
          <w:marBottom w:val="0"/>
          <w:divBdr>
            <w:top w:val="none" w:sz="0" w:space="0" w:color="auto"/>
            <w:left w:val="none" w:sz="0" w:space="0" w:color="auto"/>
            <w:bottom w:val="none" w:sz="0" w:space="0" w:color="auto"/>
            <w:right w:val="none" w:sz="0" w:space="0" w:color="auto"/>
          </w:divBdr>
        </w:div>
      </w:divsChild>
    </w:div>
    <w:div w:id="491944838">
      <w:marLeft w:val="0"/>
      <w:marRight w:val="0"/>
      <w:marTop w:val="120"/>
      <w:marBottom w:val="0"/>
      <w:divBdr>
        <w:top w:val="none" w:sz="0" w:space="0" w:color="auto"/>
        <w:left w:val="none" w:sz="0" w:space="0" w:color="auto"/>
        <w:bottom w:val="none" w:sz="0" w:space="0" w:color="auto"/>
        <w:right w:val="none" w:sz="0" w:space="0" w:color="auto"/>
      </w:divBdr>
    </w:div>
    <w:div w:id="494607819">
      <w:marLeft w:val="0"/>
      <w:marRight w:val="0"/>
      <w:marTop w:val="120"/>
      <w:marBottom w:val="0"/>
      <w:divBdr>
        <w:top w:val="none" w:sz="0" w:space="0" w:color="auto"/>
        <w:left w:val="none" w:sz="0" w:space="0" w:color="auto"/>
        <w:bottom w:val="none" w:sz="0" w:space="0" w:color="auto"/>
        <w:right w:val="none" w:sz="0" w:space="0" w:color="auto"/>
      </w:divBdr>
    </w:div>
    <w:div w:id="494688827">
      <w:marLeft w:val="0"/>
      <w:marRight w:val="0"/>
      <w:marTop w:val="120"/>
      <w:marBottom w:val="0"/>
      <w:divBdr>
        <w:top w:val="none" w:sz="0" w:space="0" w:color="auto"/>
        <w:left w:val="none" w:sz="0" w:space="0" w:color="auto"/>
        <w:bottom w:val="none" w:sz="0" w:space="0" w:color="auto"/>
        <w:right w:val="none" w:sz="0" w:space="0" w:color="auto"/>
      </w:divBdr>
    </w:div>
    <w:div w:id="497423043">
      <w:marLeft w:val="0"/>
      <w:marRight w:val="0"/>
      <w:marTop w:val="120"/>
      <w:marBottom w:val="0"/>
      <w:divBdr>
        <w:top w:val="none" w:sz="0" w:space="0" w:color="auto"/>
        <w:left w:val="none" w:sz="0" w:space="0" w:color="auto"/>
        <w:bottom w:val="none" w:sz="0" w:space="0" w:color="auto"/>
        <w:right w:val="none" w:sz="0" w:space="0" w:color="auto"/>
      </w:divBdr>
    </w:div>
    <w:div w:id="503086502">
      <w:marLeft w:val="0"/>
      <w:marRight w:val="0"/>
      <w:marTop w:val="120"/>
      <w:marBottom w:val="0"/>
      <w:divBdr>
        <w:top w:val="none" w:sz="0" w:space="0" w:color="auto"/>
        <w:left w:val="none" w:sz="0" w:space="0" w:color="auto"/>
        <w:bottom w:val="none" w:sz="0" w:space="0" w:color="auto"/>
        <w:right w:val="none" w:sz="0" w:space="0" w:color="auto"/>
      </w:divBdr>
    </w:div>
    <w:div w:id="508561921">
      <w:marLeft w:val="0"/>
      <w:marRight w:val="0"/>
      <w:marTop w:val="120"/>
      <w:marBottom w:val="0"/>
      <w:divBdr>
        <w:top w:val="none" w:sz="0" w:space="0" w:color="auto"/>
        <w:left w:val="none" w:sz="0" w:space="0" w:color="auto"/>
        <w:bottom w:val="none" w:sz="0" w:space="0" w:color="auto"/>
        <w:right w:val="none" w:sz="0" w:space="0" w:color="auto"/>
      </w:divBdr>
    </w:div>
    <w:div w:id="509376352">
      <w:marLeft w:val="0"/>
      <w:marRight w:val="0"/>
      <w:marTop w:val="120"/>
      <w:marBottom w:val="0"/>
      <w:divBdr>
        <w:top w:val="none" w:sz="0" w:space="0" w:color="auto"/>
        <w:left w:val="none" w:sz="0" w:space="0" w:color="auto"/>
        <w:bottom w:val="none" w:sz="0" w:space="0" w:color="auto"/>
        <w:right w:val="none" w:sz="0" w:space="0" w:color="auto"/>
      </w:divBdr>
    </w:div>
    <w:div w:id="512110531">
      <w:marLeft w:val="0"/>
      <w:marRight w:val="0"/>
      <w:marTop w:val="0"/>
      <w:marBottom w:val="0"/>
      <w:divBdr>
        <w:top w:val="none" w:sz="0" w:space="0" w:color="auto"/>
        <w:left w:val="none" w:sz="0" w:space="0" w:color="auto"/>
        <w:bottom w:val="none" w:sz="0" w:space="0" w:color="auto"/>
        <w:right w:val="none" w:sz="0" w:space="0" w:color="auto"/>
      </w:divBdr>
      <w:divsChild>
        <w:div w:id="445194256">
          <w:marLeft w:val="0"/>
          <w:marRight w:val="0"/>
          <w:marTop w:val="360"/>
          <w:marBottom w:val="0"/>
          <w:divBdr>
            <w:top w:val="none" w:sz="0" w:space="0" w:color="auto"/>
            <w:left w:val="none" w:sz="0" w:space="0" w:color="auto"/>
            <w:bottom w:val="none" w:sz="0" w:space="0" w:color="auto"/>
            <w:right w:val="none" w:sz="0" w:space="0" w:color="auto"/>
          </w:divBdr>
        </w:div>
      </w:divsChild>
    </w:div>
    <w:div w:id="512651320">
      <w:marLeft w:val="0"/>
      <w:marRight w:val="0"/>
      <w:marTop w:val="0"/>
      <w:marBottom w:val="0"/>
      <w:divBdr>
        <w:top w:val="none" w:sz="0" w:space="0" w:color="auto"/>
        <w:left w:val="none" w:sz="0" w:space="0" w:color="auto"/>
        <w:bottom w:val="none" w:sz="0" w:space="0" w:color="auto"/>
        <w:right w:val="none" w:sz="0" w:space="0" w:color="auto"/>
      </w:divBdr>
      <w:divsChild>
        <w:div w:id="1767845812">
          <w:marLeft w:val="0"/>
          <w:marRight w:val="0"/>
          <w:marTop w:val="0"/>
          <w:marBottom w:val="0"/>
          <w:divBdr>
            <w:top w:val="none" w:sz="0" w:space="0" w:color="auto"/>
            <w:left w:val="none" w:sz="0" w:space="0" w:color="auto"/>
            <w:bottom w:val="none" w:sz="0" w:space="0" w:color="auto"/>
            <w:right w:val="none" w:sz="0" w:space="0" w:color="auto"/>
          </w:divBdr>
        </w:div>
      </w:divsChild>
    </w:div>
    <w:div w:id="514882321">
      <w:marLeft w:val="0"/>
      <w:marRight w:val="0"/>
      <w:marTop w:val="0"/>
      <w:marBottom w:val="0"/>
      <w:divBdr>
        <w:top w:val="none" w:sz="0" w:space="0" w:color="auto"/>
        <w:left w:val="none" w:sz="0" w:space="0" w:color="auto"/>
        <w:bottom w:val="none" w:sz="0" w:space="0" w:color="auto"/>
        <w:right w:val="none" w:sz="0" w:space="0" w:color="auto"/>
      </w:divBdr>
      <w:divsChild>
        <w:div w:id="683822269">
          <w:marLeft w:val="0"/>
          <w:marRight w:val="0"/>
          <w:marTop w:val="360"/>
          <w:marBottom w:val="0"/>
          <w:divBdr>
            <w:top w:val="none" w:sz="0" w:space="0" w:color="auto"/>
            <w:left w:val="none" w:sz="0" w:space="0" w:color="auto"/>
            <w:bottom w:val="none" w:sz="0" w:space="0" w:color="auto"/>
            <w:right w:val="none" w:sz="0" w:space="0" w:color="auto"/>
          </w:divBdr>
        </w:div>
      </w:divsChild>
    </w:div>
    <w:div w:id="518131125">
      <w:marLeft w:val="0"/>
      <w:marRight w:val="0"/>
      <w:marTop w:val="120"/>
      <w:marBottom w:val="0"/>
      <w:divBdr>
        <w:top w:val="none" w:sz="0" w:space="0" w:color="auto"/>
        <w:left w:val="none" w:sz="0" w:space="0" w:color="auto"/>
        <w:bottom w:val="none" w:sz="0" w:space="0" w:color="auto"/>
        <w:right w:val="none" w:sz="0" w:space="0" w:color="auto"/>
      </w:divBdr>
    </w:div>
    <w:div w:id="522864621">
      <w:marLeft w:val="0"/>
      <w:marRight w:val="0"/>
      <w:marTop w:val="120"/>
      <w:marBottom w:val="0"/>
      <w:divBdr>
        <w:top w:val="none" w:sz="0" w:space="0" w:color="auto"/>
        <w:left w:val="none" w:sz="0" w:space="0" w:color="auto"/>
        <w:bottom w:val="none" w:sz="0" w:space="0" w:color="auto"/>
        <w:right w:val="none" w:sz="0" w:space="0" w:color="auto"/>
      </w:divBdr>
    </w:div>
    <w:div w:id="526019237">
      <w:marLeft w:val="0"/>
      <w:marRight w:val="0"/>
      <w:marTop w:val="360"/>
      <w:marBottom w:val="0"/>
      <w:divBdr>
        <w:top w:val="none" w:sz="0" w:space="0" w:color="auto"/>
        <w:left w:val="none" w:sz="0" w:space="0" w:color="auto"/>
        <w:bottom w:val="none" w:sz="0" w:space="0" w:color="auto"/>
        <w:right w:val="none" w:sz="0" w:space="0" w:color="auto"/>
      </w:divBdr>
    </w:div>
    <w:div w:id="529074112">
      <w:marLeft w:val="0"/>
      <w:marRight w:val="0"/>
      <w:marTop w:val="120"/>
      <w:marBottom w:val="0"/>
      <w:divBdr>
        <w:top w:val="none" w:sz="0" w:space="0" w:color="auto"/>
        <w:left w:val="none" w:sz="0" w:space="0" w:color="auto"/>
        <w:bottom w:val="none" w:sz="0" w:space="0" w:color="auto"/>
        <w:right w:val="none" w:sz="0" w:space="0" w:color="auto"/>
      </w:divBdr>
    </w:div>
    <w:div w:id="531305322">
      <w:marLeft w:val="0"/>
      <w:marRight w:val="0"/>
      <w:marTop w:val="120"/>
      <w:marBottom w:val="0"/>
      <w:divBdr>
        <w:top w:val="none" w:sz="0" w:space="0" w:color="auto"/>
        <w:left w:val="none" w:sz="0" w:space="0" w:color="auto"/>
        <w:bottom w:val="none" w:sz="0" w:space="0" w:color="auto"/>
        <w:right w:val="none" w:sz="0" w:space="0" w:color="auto"/>
      </w:divBdr>
    </w:div>
    <w:div w:id="540093856">
      <w:marLeft w:val="0"/>
      <w:marRight w:val="0"/>
      <w:marTop w:val="120"/>
      <w:marBottom w:val="0"/>
      <w:divBdr>
        <w:top w:val="none" w:sz="0" w:space="0" w:color="auto"/>
        <w:left w:val="none" w:sz="0" w:space="0" w:color="auto"/>
        <w:bottom w:val="none" w:sz="0" w:space="0" w:color="auto"/>
        <w:right w:val="none" w:sz="0" w:space="0" w:color="auto"/>
      </w:divBdr>
    </w:div>
    <w:div w:id="540245701">
      <w:marLeft w:val="0"/>
      <w:marRight w:val="0"/>
      <w:marTop w:val="120"/>
      <w:marBottom w:val="0"/>
      <w:divBdr>
        <w:top w:val="none" w:sz="0" w:space="0" w:color="auto"/>
        <w:left w:val="none" w:sz="0" w:space="0" w:color="auto"/>
        <w:bottom w:val="none" w:sz="0" w:space="0" w:color="auto"/>
        <w:right w:val="none" w:sz="0" w:space="0" w:color="auto"/>
      </w:divBdr>
    </w:div>
    <w:div w:id="544369330">
      <w:marLeft w:val="0"/>
      <w:marRight w:val="0"/>
      <w:marTop w:val="120"/>
      <w:marBottom w:val="0"/>
      <w:divBdr>
        <w:top w:val="none" w:sz="0" w:space="0" w:color="auto"/>
        <w:left w:val="none" w:sz="0" w:space="0" w:color="auto"/>
        <w:bottom w:val="none" w:sz="0" w:space="0" w:color="auto"/>
        <w:right w:val="none" w:sz="0" w:space="0" w:color="auto"/>
      </w:divBdr>
    </w:div>
    <w:div w:id="544414064">
      <w:marLeft w:val="0"/>
      <w:marRight w:val="0"/>
      <w:marTop w:val="120"/>
      <w:marBottom w:val="0"/>
      <w:divBdr>
        <w:top w:val="none" w:sz="0" w:space="0" w:color="auto"/>
        <w:left w:val="none" w:sz="0" w:space="0" w:color="auto"/>
        <w:bottom w:val="none" w:sz="0" w:space="0" w:color="auto"/>
        <w:right w:val="none" w:sz="0" w:space="0" w:color="auto"/>
      </w:divBdr>
    </w:div>
    <w:div w:id="546182343">
      <w:marLeft w:val="0"/>
      <w:marRight w:val="0"/>
      <w:marTop w:val="0"/>
      <w:marBottom w:val="0"/>
      <w:divBdr>
        <w:top w:val="none" w:sz="0" w:space="0" w:color="auto"/>
        <w:left w:val="none" w:sz="0" w:space="0" w:color="auto"/>
        <w:bottom w:val="none" w:sz="0" w:space="0" w:color="auto"/>
        <w:right w:val="none" w:sz="0" w:space="0" w:color="auto"/>
      </w:divBdr>
      <w:divsChild>
        <w:div w:id="43915630">
          <w:marLeft w:val="0"/>
          <w:marRight w:val="0"/>
          <w:marTop w:val="360"/>
          <w:marBottom w:val="0"/>
          <w:divBdr>
            <w:top w:val="none" w:sz="0" w:space="0" w:color="auto"/>
            <w:left w:val="none" w:sz="0" w:space="0" w:color="auto"/>
            <w:bottom w:val="none" w:sz="0" w:space="0" w:color="auto"/>
            <w:right w:val="none" w:sz="0" w:space="0" w:color="auto"/>
          </w:divBdr>
        </w:div>
      </w:divsChild>
    </w:div>
    <w:div w:id="548155691">
      <w:marLeft w:val="0"/>
      <w:marRight w:val="0"/>
      <w:marTop w:val="120"/>
      <w:marBottom w:val="0"/>
      <w:divBdr>
        <w:top w:val="none" w:sz="0" w:space="0" w:color="auto"/>
        <w:left w:val="none" w:sz="0" w:space="0" w:color="auto"/>
        <w:bottom w:val="none" w:sz="0" w:space="0" w:color="auto"/>
        <w:right w:val="none" w:sz="0" w:space="0" w:color="auto"/>
      </w:divBdr>
    </w:div>
    <w:div w:id="550963906">
      <w:marLeft w:val="0"/>
      <w:marRight w:val="0"/>
      <w:marTop w:val="120"/>
      <w:marBottom w:val="0"/>
      <w:divBdr>
        <w:top w:val="none" w:sz="0" w:space="0" w:color="auto"/>
        <w:left w:val="none" w:sz="0" w:space="0" w:color="auto"/>
        <w:bottom w:val="none" w:sz="0" w:space="0" w:color="auto"/>
        <w:right w:val="none" w:sz="0" w:space="0" w:color="auto"/>
      </w:divBdr>
    </w:div>
    <w:div w:id="551962396">
      <w:marLeft w:val="0"/>
      <w:marRight w:val="0"/>
      <w:marTop w:val="120"/>
      <w:marBottom w:val="0"/>
      <w:divBdr>
        <w:top w:val="none" w:sz="0" w:space="0" w:color="auto"/>
        <w:left w:val="none" w:sz="0" w:space="0" w:color="auto"/>
        <w:bottom w:val="none" w:sz="0" w:space="0" w:color="auto"/>
        <w:right w:val="none" w:sz="0" w:space="0" w:color="auto"/>
      </w:divBdr>
    </w:div>
    <w:div w:id="552078073">
      <w:marLeft w:val="0"/>
      <w:marRight w:val="0"/>
      <w:marTop w:val="0"/>
      <w:marBottom w:val="0"/>
      <w:divBdr>
        <w:top w:val="none" w:sz="0" w:space="0" w:color="auto"/>
        <w:left w:val="none" w:sz="0" w:space="0" w:color="auto"/>
        <w:bottom w:val="none" w:sz="0" w:space="0" w:color="auto"/>
        <w:right w:val="none" w:sz="0" w:space="0" w:color="auto"/>
      </w:divBdr>
      <w:divsChild>
        <w:div w:id="301233428">
          <w:marLeft w:val="0"/>
          <w:marRight w:val="0"/>
          <w:marTop w:val="0"/>
          <w:marBottom w:val="0"/>
          <w:divBdr>
            <w:top w:val="none" w:sz="0" w:space="0" w:color="auto"/>
            <w:left w:val="none" w:sz="0" w:space="0" w:color="auto"/>
            <w:bottom w:val="none" w:sz="0" w:space="0" w:color="auto"/>
            <w:right w:val="none" w:sz="0" w:space="0" w:color="auto"/>
          </w:divBdr>
        </w:div>
      </w:divsChild>
    </w:div>
    <w:div w:id="553465455">
      <w:marLeft w:val="0"/>
      <w:marRight w:val="0"/>
      <w:marTop w:val="120"/>
      <w:marBottom w:val="0"/>
      <w:divBdr>
        <w:top w:val="none" w:sz="0" w:space="0" w:color="auto"/>
        <w:left w:val="none" w:sz="0" w:space="0" w:color="auto"/>
        <w:bottom w:val="none" w:sz="0" w:space="0" w:color="auto"/>
        <w:right w:val="none" w:sz="0" w:space="0" w:color="auto"/>
      </w:divBdr>
    </w:div>
    <w:div w:id="553546386">
      <w:marLeft w:val="0"/>
      <w:marRight w:val="0"/>
      <w:marTop w:val="120"/>
      <w:marBottom w:val="0"/>
      <w:divBdr>
        <w:top w:val="none" w:sz="0" w:space="0" w:color="auto"/>
        <w:left w:val="none" w:sz="0" w:space="0" w:color="auto"/>
        <w:bottom w:val="none" w:sz="0" w:space="0" w:color="auto"/>
        <w:right w:val="none" w:sz="0" w:space="0" w:color="auto"/>
      </w:divBdr>
    </w:div>
    <w:div w:id="557936113">
      <w:marLeft w:val="0"/>
      <w:marRight w:val="0"/>
      <w:marTop w:val="0"/>
      <w:marBottom w:val="0"/>
      <w:divBdr>
        <w:top w:val="none" w:sz="0" w:space="0" w:color="auto"/>
        <w:left w:val="none" w:sz="0" w:space="0" w:color="auto"/>
        <w:bottom w:val="none" w:sz="0" w:space="0" w:color="auto"/>
        <w:right w:val="none" w:sz="0" w:space="0" w:color="auto"/>
      </w:divBdr>
      <w:divsChild>
        <w:div w:id="37898763">
          <w:marLeft w:val="0"/>
          <w:marRight w:val="0"/>
          <w:marTop w:val="360"/>
          <w:marBottom w:val="0"/>
          <w:divBdr>
            <w:top w:val="none" w:sz="0" w:space="0" w:color="auto"/>
            <w:left w:val="none" w:sz="0" w:space="0" w:color="auto"/>
            <w:bottom w:val="none" w:sz="0" w:space="0" w:color="auto"/>
            <w:right w:val="none" w:sz="0" w:space="0" w:color="auto"/>
          </w:divBdr>
        </w:div>
      </w:divsChild>
    </w:div>
    <w:div w:id="568465142">
      <w:marLeft w:val="0"/>
      <w:marRight w:val="0"/>
      <w:marTop w:val="120"/>
      <w:marBottom w:val="0"/>
      <w:divBdr>
        <w:top w:val="none" w:sz="0" w:space="0" w:color="auto"/>
        <w:left w:val="none" w:sz="0" w:space="0" w:color="auto"/>
        <w:bottom w:val="none" w:sz="0" w:space="0" w:color="auto"/>
        <w:right w:val="none" w:sz="0" w:space="0" w:color="auto"/>
      </w:divBdr>
    </w:div>
    <w:div w:id="568883367">
      <w:marLeft w:val="0"/>
      <w:marRight w:val="0"/>
      <w:marTop w:val="0"/>
      <w:marBottom w:val="0"/>
      <w:divBdr>
        <w:top w:val="none" w:sz="0" w:space="0" w:color="auto"/>
        <w:left w:val="none" w:sz="0" w:space="0" w:color="auto"/>
        <w:bottom w:val="none" w:sz="0" w:space="0" w:color="auto"/>
        <w:right w:val="none" w:sz="0" w:space="0" w:color="auto"/>
      </w:divBdr>
      <w:divsChild>
        <w:div w:id="1209797981">
          <w:marLeft w:val="0"/>
          <w:marRight w:val="0"/>
          <w:marTop w:val="360"/>
          <w:marBottom w:val="0"/>
          <w:divBdr>
            <w:top w:val="none" w:sz="0" w:space="0" w:color="auto"/>
            <w:left w:val="none" w:sz="0" w:space="0" w:color="auto"/>
            <w:bottom w:val="none" w:sz="0" w:space="0" w:color="auto"/>
            <w:right w:val="none" w:sz="0" w:space="0" w:color="auto"/>
          </w:divBdr>
        </w:div>
      </w:divsChild>
    </w:div>
    <w:div w:id="570818659">
      <w:marLeft w:val="0"/>
      <w:marRight w:val="0"/>
      <w:marTop w:val="120"/>
      <w:marBottom w:val="0"/>
      <w:divBdr>
        <w:top w:val="none" w:sz="0" w:space="0" w:color="auto"/>
        <w:left w:val="none" w:sz="0" w:space="0" w:color="auto"/>
        <w:bottom w:val="none" w:sz="0" w:space="0" w:color="auto"/>
        <w:right w:val="none" w:sz="0" w:space="0" w:color="auto"/>
      </w:divBdr>
    </w:div>
    <w:div w:id="573393308">
      <w:marLeft w:val="0"/>
      <w:marRight w:val="0"/>
      <w:marTop w:val="120"/>
      <w:marBottom w:val="0"/>
      <w:divBdr>
        <w:top w:val="none" w:sz="0" w:space="0" w:color="auto"/>
        <w:left w:val="none" w:sz="0" w:space="0" w:color="auto"/>
        <w:bottom w:val="none" w:sz="0" w:space="0" w:color="auto"/>
        <w:right w:val="none" w:sz="0" w:space="0" w:color="auto"/>
      </w:divBdr>
    </w:div>
    <w:div w:id="575089657">
      <w:marLeft w:val="0"/>
      <w:marRight w:val="0"/>
      <w:marTop w:val="0"/>
      <w:marBottom w:val="0"/>
      <w:divBdr>
        <w:top w:val="none" w:sz="0" w:space="0" w:color="auto"/>
        <w:left w:val="none" w:sz="0" w:space="0" w:color="auto"/>
        <w:bottom w:val="none" w:sz="0" w:space="0" w:color="auto"/>
        <w:right w:val="none" w:sz="0" w:space="0" w:color="auto"/>
      </w:divBdr>
      <w:divsChild>
        <w:div w:id="425271306">
          <w:marLeft w:val="0"/>
          <w:marRight w:val="0"/>
          <w:marTop w:val="0"/>
          <w:marBottom w:val="0"/>
          <w:divBdr>
            <w:top w:val="none" w:sz="0" w:space="0" w:color="auto"/>
            <w:left w:val="none" w:sz="0" w:space="0" w:color="auto"/>
            <w:bottom w:val="none" w:sz="0" w:space="0" w:color="auto"/>
            <w:right w:val="none" w:sz="0" w:space="0" w:color="auto"/>
          </w:divBdr>
        </w:div>
      </w:divsChild>
    </w:div>
    <w:div w:id="576213277">
      <w:marLeft w:val="0"/>
      <w:marRight w:val="0"/>
      <w:marTop w:val="0"/>
      <w:marBottom w:val="0"/>
      <w:divBdr>
        <w:top w:val="none" w:sz="0" w:space="0" w:color="auto"/>
        <w:left w:val="none" w:sz="0" w:space="0" w:color="auto"/>
        <w:bottom w:val="none" w:sz="0" w:space="0" w:color="auto"/>
        <w:right w:val="none" w:sz="0" w:space="0" w:color="auto"/>
      </w:divBdr>
      <w:divsChild>
        <w:div w:id="748431093">
          <w:marLeft w:val="0"/>
          <w:marRight w:val="0"/>
          <w:marTop w:val="0"/>
          <w:marBottom w:val="0"/>
          <w:divBdr>
            <w:top w:val="none" w:sz="0" w:space="0" w:color="auto"/>
            <w:left w:val="none" w:sz="0" w:space="0" w:color="auto"/>
            <w:bottom w:val="none" w:sz="0" w:space="0" w:color="auto"/>
            <w:right w:val="none" w:sz="0" w:space="0" w:color="auto"/>
          </w:divBdr>
        </w:div>
      </w:divsChild>
    </w:div>
    <w:div w:id="576939533">
      <w:marLeft w:val="0"/>
      <w:marRight w:val="0"/>
      <w:marTop w:val="0"/>
      <w:marBottom w:val="0"/>
      <w:divBdr>
        <w:top w:val="none" w:sz="0" w:space="0" w:color="auto"/>
        <w:left w:val="none" w:sz="0" w:space="0" w:color="auto"/>
        <w:bottom w:val="none" w:sz="0" w:space="0" w:color="auto"/>
        <w:right w:val="none" w:sz="0" w:space="0" w:color="auto"/>
      </w:divBdr>
      <w:divsChild>
        <w:div w:id="449401859">
          <w:marLeft w:val="0"/>
          <w:marRight w:val="0"/>
          <w:marTop w:val="0"/>
          <w:marBottom w:val="0"/>
          <w:divBdr>
            <w:top w:val="none" w:sz="0" w:space="0" w:color="auto"/>
            <w:left w:val="none" w:sz="0" w:space="0" w:color="auto"/>
            <w:bottom w:val="none" w:sz="0" w:space="0" w:color="auto"/>
            <w:right w:val="none" w:sz="0" w:space="0" w:color="auto"/>
          </w:divBdr>
        </w:div>
      </w:divsChild>
    </w:div>
    <w:div w:id="581336728">
      <w:marLeft w:val="0"/>
      <w:marRight w:val="0"/>
      <w:marTop w:val="120"/>
      <w:marBottom w:val="0"/>
      <w:divBdr>
        <w:top w:val="none" w:sz="0" w:space="0" w:color="auto"/>
        <w:left w:val="none" w:sz="0" w:space="0" w:color="auto"/>
        <w:bottom w:val="none" w:sz="0" w:space="0" w:color="auto"/>
        <w:right w:val="none" w:sz="0" w:space="0" w:color="auto"/>
      </w:divBdr>
    </w:div>
    <w:div w:id="581567587">
      <w:marLeft w:val="0"/>
      <w:marRight w:val="0"/>
      <w:marTop w:val="0"/>
      <w:marBottom w:val="0"/>
      <w:divBdr>
        <w:top w:val="none" w:sz="0" w:space="0" w:color="auto"/>
        <w:left w:val="none" w:sz="0" w:space="0" w:color="auto"/>
        <w:bottom w:val="none" w:sz="0" w:space="0" w:color="auto"/>
        <w:right w:val="none" w:sz="0" w:space="0" w:color="auto"/>
      </w:divBdr>
      <w:divsChild>
        <w:div w:id="849442478">
          <w:marLeft w:val="0"/>
          <w:marRight w:val="0"/>
          <w:marTop w:val="360"/>
          <w:marBottom w:val="0"/>
          <w:divBdr>
            <w:top w:val="none" w:sz="0" w:space="0" w:color="auto"/>
            <w:left w:val="none" w:sz="0" w:space="0" w:color="auto"/>
            <w:bottom w:val="none" w:sz="0" w:space="0" w:color="auto"/>
            <w:right w:val="none" w:sz="0" w:space="0" w:color="auto"/>
          </w:divBdr>
        </w:div>
      </w:divsChild>
    </w:div>
    <w:div w:id="585892302">
      <w:marLeft w:val="0"/>
      <w:marRight w:val="0"/>
      <w:marTop w:val="120"/>
      <w:marBottom w:val="0"/>
      <w:divBdr>
        <w:top w:val="none" w:sz="0" w:space="0" w:color="auto"/>
        <w:left w:val="none" w:sz="0" w:space="0" w:color="auto"/>
        <w:bottom w:val="none" w:sz="0" w:space="0" w:color="auto"/>
        <w:right w:val="none" w:sz="0" w:space="0" w:color="auto"/>
      </w:divBdr>
    </w:div>
    <w:div w:id="589507034">
      <w:marLeft w:val="0"/>
      <w:marRight w:val="0"/>
      <w:marTop w:val="120"/>
      <w:marBottom w:val="0"/>
      <w:divBdr>
        <w:top w:val="none" w:sz="0" w:space="0" w:color="auto"/>
        <w:left w:val="none" w:sz="0" w:space="0" w:color="auto"/>
        <w:bottom w:val="none" w:sz="0" w:space="0" w:color="auto"/>
        <w:right w:val="none" w:sz="0" w:space="0" w:color="auto"/>
      </w:divBdr>
    </w:div>
    <w:div w:id="590092653">
      <w:marLeft w:val="0"/>
      <w:marRight w:val="0"/>
      <w:marTop w:val="0"/>
      <w:marBottom w:val="0"/>
      <w:divBdr>
        <w:top w:val="none" w:sz="0" w:space="0" w:color="auto"/>
        <w:left w:val="none" w:sz="0" w:space="0" w:color="auto"/>
        <w:bottom w:val="none" w:sz="0" w:space="0" w:color="auto"/>
        <w:right w:val="none" w:sz="0" w:space="0" w:color="auto"/>
      </w:divBdr>
      <w:divsChild>
        <w:div w:id="649016661">
          <w:marLeft w:val="0"/>
          <w:marRight w:val="0"/>
          <w:marTop w:val="0"/>
          <w:marBottom w:val="0"/>
          <w:divBdr>
            <w:top w:val="none" w:sz="0" w:space="0" w:color="auto"/>
            <w:left w:val="none" w:sz="0" w:space="0" w:color="auto"/>
            <w:bottom w:val="none" w:sz="0" w:space="0" w:color="auto"/>
            <w:right w:val="none" w:sz="0" w:space="0" w:color="auto"/>
          </w:divBdr>
        </w:div>
      </w:divsChild>
    </w:div>
    <w:div w:id="590772316">
      <w:marLeft w:val="0"/>
      <w:marRight w:val="0"/>
      <w:marTop w:val="120"/>
      <w:marBottom w:val="0"/>
      <w:divBdr>
        <w:top w:val="none" w:sz="0" w:space="0" w:color="auto"/>
        <w:left w:val="none" w:sz="0" w:space="0" w:color="auto"/>
        <w:bottom w:val="none" w:sz="0" w:space="0" w:color="auto"/>
        <w:right w:val="none" w:sz="0" w:space="0" w:color="auto"/>
      </w:divBdr>
    </w:div>
    <w:div w:id="593705642">
      <w:marLeft w:val="0"/>
      <w:marRight w:val="0"/>
      <w:marTop w:val="120"/>
      <w:marBottom w:val="0"/>
      <w:divBdr>
        <w:top w:val="none" w:sz="0" w:space="0" w:color="auto"/>
        <w:left w:val="none" w:sz="0" w:space="0" w:color="auto"/>
        <w:bottom w:val="none" w:sz="0" w:space="0" w:color="auto"/>
        <w:right w:val="none" w:sz="0" w:space="0" w:color="auto"/>
      </w:divBdr>
    </w:div>
    <w:div w:id="594247645">
      <w:marLeft w:val="0"/>
      <w:marRight w:val="0"/>
      <w:marTop w:val="120"/>
      <w:marBottom w:val="0"/>
      <w:divBdr>
        <w:top w:val="none" w:sz="0" w:space="0" w:color="auto"/>
        <w:left w:val="none" w:sz="0" w:space="0" w:color="auto"/>
        <w:bottom w:val="none" w:sz="0" w:space="0" w:color="auto"/>
        <w:right w:val="none" w:sz="0" w:space="0" w:color="auto"/>
      </w:divBdr>
    </w:div>
    <w:div w:id="594364237">
      <w:marLeft w:val="0"/>
      <w:marRight w:val="0"/>
      <w:marTop w:val="0"/>
      <w:marBottom w:val="0"/>
      <w:divBdr>
        <w:top w:val="none" w:sz="0" w:space="0" w:color="auto"/>
        <w:left w:val="none" w:sz="0" w:space="0" w:color="auto"/>
        <w:bottom w:val="none" w:sz="0" w:space="0" w:color="auto"/>
        <w:right w:val="none" w:sz="0" w:space="0" w:color="auto"/>
      </w:divBdr>
      <w:divsChild>
        <w:div w:id="946278232">
          <w:marLeft w:val="0"/>
          <w:marRight w:val="0"/>
          <w:marTop w:val="360"/>
          <w:marBottom w:val="0"/>
          <w:divBdr>
            <w:top w:val="none" w:sz="0" w:space="0" w:color="auto"/>
            <w:left w:val="none" w:sz="0" w:space="0" w:color="auto"/>
            <w:bottom w:val="none" w:sz="0" w:space="0" w:color="auto"/>
            <w:right w:val="none" w:sz="0" w:space="0" w:color="auto"/>
          </w:divBdr>
        </w:div>
      </w:divsChild>
    </w:div>
    <w:div w:id="594939856">
      <w:marLeft w:val="0"/>
      <w:marRight w:val="0"/>
      <w:marTop w:val="120"/>
      <w:marBottom w:val="0"/>
      <w:divBdr>
        <w:top w:val="none" w:sz="0" w:space="0" w:color="auto"/>
        <w:left w:val="none" w:sz="0" w:space="0" w:color="auto"/>
        <w:bottom w:val="none" w:sz="0" w:space="0" w:color="auto"/>
        <w:right w:val="none" w:sz="0" w:space="0" w:color="auto"/>
      </w:divBdr>
    </w:div>
    <w:div w:id="595747035">
      <w:marLeft w:val="0"/>
      <w:marRight w:val="0"/>
      <w:marTop w:val="120"/>
      <w:marBottom w:val="0"/>
      <w:divBdr>
        <w:top w:val="none" w:sz="0" w:space="0" w:color="auto"/>
        <w:left w:val="none" w:sz="0" w:space="0" w:color="auto"/>
        <w:bottom w:val="none" w:sz="0" w:space="0" w:color="auto"/>
        <w:right w:val="none" w:sz="0" w:space="0" w:color="auto"/>
      </w:divBdr>
    </w:div>
    <w:div w:id="597182081">
      <w:marLeft w:val="0"/>
      <w:marRight w:val="0"/>
      <w:marTop w:val="120"/>
      <w:marBottom w:val="0"/>
      <w:divBdr>
        <w:top w:val="none" w:sz="0" w:space="0" w:color="auto"/>
        <w:left w:val="none" w:sz="0" w:space="0" w:color="auto"/>
        <w:bottom w:val="none" w:sz="0" w:space="0" w:color="auto"/>
        <w:right w:val="none" w:sz="0" w:space="0" w:color="auto"/>
      </w:divBdr>
    </w:div>
    <w:div w:id="597296474">
      <w:marLeft w:val="0"/>
      <w:marRight w:val="0"/>
      <w:marTop w:val="120"/>
      <w:marBottom w:val="0"/>
      <w:divBdr>
        <w:top w:val="none" w:sz="0" w:space="0" w:color="auto"/>
        <w:left w:val="none" w:sz="0" w:space="0" w:color="auto"/>
        <w:bottom w:val="none" w:sz="0" w:space="0" w:color="auto"/>
        <w:right w:val="none" w:sz="0" w:space="0" w:color="auto"/>
      </w:divBdr>
    </w:div>
    <w:div w:id="598637854">
      <w:marLeft w:val="0"/>
      <w:marRight w:val="0"/>
      <w:marTop w:val="120"/>
      <w:marBottom w:val="0"/>
      <w:divBdr>
        <w:top w:val="none" w:sz="0" w:space="0" w:color="auto"/>
        <w:left w:val="none" w:sz="0" w:space="0" w:color="auto"/>
        <w:bottom w:val="none" w:sz="0" w:space="0" w:color="auto"/>
        <w:right w:val="none" w:sz="0" w:space="0" w:color="auto"/>
      </w:divBdr>
    </w:div>
    <w:div w:id="598833143">
      <w:marLeft w:val="0"/>
      <w:marRight w:val="0"/>
      <w:marTop w:val="120"/>
      <w:marBottom w:val="0"/>
      <w:divBdr>
        <w:top w:val="none" w:sz="0" w:space="0" w:color="auto"/>
        <w:left w:val="none" w:sz="0" w:space="0" w:color="auto"/>
        <w:bottom w:val="none" w:sz="0" w:space="0" w:color="auto"/>
        <w:right w:val="none" w:sz="0" w:space="0" w:color="auto"/>
      </w:divBdr>
    </w:div>
    <w:div w:id="599220642">
      <w:marLeft w:val="0"/>
      <w:marRight w:val="0"/>
      <w:marTop w:val="120"/>
      <w:marBottom w:val="0"/>
      <w:divBdr>
        <w:top w:val="none" w:sz="0" w:space="0" w:color="auto"/>
        <w:left w:val="none" w:sz="0" w:space="0" w:color="auto"/>
        <w:bottom w:val="none" w:sz="0" w:space="0" w:color="auto"/>
        <w:right w:val="none" w:sz="0" w:space="0" w:color="auto"/>
      </w:divBdr>
    </w:div>
    <w:div w:id="600524986">
      <w:marLeft w:val="0"/>
      <w:marRight w:val="0"/>
      <w:marTop w:val="120"/>
      <w:marBottom w:val="0"/>
      <w:divBdr>
        <w:top w:val="none" w:sz="0" w:space="0" w:color="auto"/>
        <w:left w:val="none" w:sz="0" w:space="0" w:color="auto"/>
        <w:bottom w:val="none" w:sz="0" w:space="0" w:color="auto"/>
        <w:right w:val="none" w:sz="0" w:space="0" w:color="auto"/>
      </w:divBdr>
    </w:div>
    <w:div w:id="603079363">
      <w:marLeft w:val="0"/>
      <w:marRight w:val="0"/>
      <w:marTop w:val="120"/>
      <w:marBottom w:val="0"/>
      <w:divBdr>
        <w:top w:val="none" w:sz="0" w:space="0" w:color="auto"/>
        <w:left w:val="none" w:sz="0" w:space="0" w:color="auto"/>
        <w:bottom w:val="none" w:sz="0" w:space="0" w:color="auto"/>
        <w:right w:val="none" w:sz="0" w:space="0" w:color="auto"/>
      </w:divBdr>
    </w:div>
    <w:div w:id="604578399">
      <w:marLeft w:val="0"/>
      <w:marRight w:val="0"/>
      <w:marTop w:val="0"/>
      <w:marBottom w:val="0"/>
      <w:divBdr>
        <w:top w:val="none" w:sz="0" w:space="0" w:color="auto"/>
        <w:left w:val="none" w:sz="0" w:space="0" w:color="auto"/>
        <w:bottom w:val="none" w:sz="0" w:space="0" w:color="auto"/>
        <w:right w:val="none" w:sz="0" w:space="0" w:color="auto"/>
      </w:divBdr>
      <w:divsChild>
        <w:div w:id="343702624">
          <w:marLeft w:val="0"/>
          <w:marRight w:val="0"/>
          <w:marTop w:val="360"/>
          <w:marBottom w:val="0"/>
          <w:divBdr>
            <w:top w:val="none" w:sz="0" w:space="0" w:color="auto"/>
            <w:left w:val="none" w:sz="0" w:space="0" w:color="auto"/>
            <w:bottom w:val="none" w:sz="0" w:space="0" w:color="auto"/>
            <w:right w:val="none" w:sz="0" w:space="0" w:color="auto"/>
          </w:divBdr>
        </w:div>
      </w:divsChild>
    </w:div>
    <w:div w:id="606237747">
      <w:marLeft w:val="0"/>
      <w:marRight w:val="0"/>
      <w:marTop w:val="120"/>
      <w:marBottom w:val="0"/>
      <w:divBdr>
        <w:top w:val="none" w:sz="0" w:space="0" w:color="auto"/>
        <w:left w:val="none" w:sz="0" w:space="0" w:color="auto"/>
        <w:bottom w:val="none" w:sz="0" w:space="0" w:color="auto"/>
        <w:right w:val="none" w:sz="0" w:space="0" w:color="auto"/>
      </w:divBdr>
    </w:div>
    <w:div w:id="606692308">
      <w:marLeft w:val="0"/>
      <w:marRight w:val="0"/>
      <w:marTop w:val="120"/>
      <w:marBottom w:val="0"/>
      <w:divBdr>
        <w:top w:val="none" w:sz="0" w:space="0" w:color="auto"/>
        <w:left w:val="none" w:sz="0" w:space="0" w:color="auto"/>
        <w:bottom w:val="none" w:sz="0" w:space="0" w:color="auto"/>
        <w:right w:val="none" w:sz="0" w:space="0" w:color="auto"/>
      </w:divBdr>
    </w:div>
    <w:div w:id="606694411">
      <w:marLeft w:val="0"/>
      <w:marRight w:val="0"/>
      <w:marTop w:val="120"/>
      <w:marBottom w:val="0"/>
      <w:divBdr>
        <w:top w:val="none" w:sz="0" w:space="0" w:color="auto"/>
        <w:left w:val="none" w:sz="0" w:space="0" w:color="auto"/>
        <w:bottom w:val="none" w:sz="0" w:space="0" w:color="auto"/>
        <w:right w:val="none" w:sz="0" w:space="0" w:color="auto"/>
      </w:divBdr>
    </w:div>
    <w:div w:id="612130747">
      <w:marLeft w:val="0"/>
      <w:marRight w:val="0"/>
      <w:marTop w:val="120"/>
      <w:marBottom w:val="0"/>
      <w:divBdr>
        <w:top w:val="none" w:sz="0" w:space="0" w:color="auto"/>
        <w:left w:val="none" w:sz="0" w:space="0" w:color="auto"/>
        <w:bottom w:val="none" w:sz="0" w:space="0" w:color="auto"/>
        <w:right w:val="none" w:sz="0" w:space="0" w:color="auto"/>
      </w:divBdr>
    </w:div>
    <w:div w:id="613288751">
      <w:marLeft w:val="0"/>
      <w:marRight w:val="0"/>
      <w:marTop w:val="120"/>
      <w:marBottom w:val="0"/>
      <w:divBdr>
        <w:top w:val="none" w:sz="0" w:space="0" w:color="auto"/>
        <w:left w:val="none" w:sz="0" w:space="0" w:color="auto"/>
        <w:bottom w:val="none" w:sz="0" w:space="0" w:color="auto"/>
        <w:right w:val="none" w:sz="0" w:space="0" w:color="auto"/>
      </w:divBdr>
    </w:div>
    <w:div w:id="615256823">
      <w:marLeft w:val="0"/>
      <w:marRight w:val="0"/>
      <w:marTop w:val="120"/>
      <w:marBottom w:val="0"/>
      <w:divBdr>
        <w:top w:val="none" w:sz="0" w:space="0" w:color="auto"/>
        <w:left w:val="none" w:sz="0" w:space="0" w:color="auto"/>
        <w:bottom w:val="none" w:sz="0" w:space="0" w:color="auto"/>
        <w:right w:val="none" w:sz="0" w:space="0" w:color="auto"/>
      </w:divBdr>
    </w:div>
    <w:div w:id="617839742">
      <w:marLeft w:val="0"/>
      <w:marRight w:val="0"/>
      <w:marTop w:val="120"/>
      <w:marBottom w:val="0"/>
      <w:divBdr>
        <w:top w:val="none" w:sz="0" w:space="0" w:color="auto"/>
        <w:left w:val="none" w:sz="0" w:space="0" w:color="auto"/>
        <w:bottom w:val="none" w:sz="0" w:space="0" w:color="auto"/>
        <w:right w:val="none" w:sz="0" w:space="0" w:color="auto"/>
      </w:divBdr>
    </w:div>
    <w:div w:id="625089238">
      <w:marLeft w:val="0"/>
      <w:marRight w:val="0"/>
      <w:marTop w:val="120"/>
      <w:marBottom w:val="0"/>
      <w:divBdr>
        <w:top w:val="none" w:sz="0" w:space="0" w:color="auto"/>
        <w:left w:val="none" w:sz="0" w:space="0" w:color="auto"/>
        <w:bottom w:val="none" w:sz="0" w:space="0" w:color="auto"/>
        <w:right w:val="none" w:sz="0" w:space="0" w:color="auto"/>
      </w:divBdr>
    </w:div>
    <w:div w:id="628630201">
      <w:marLeft w:val="0"/>
      <w:marRight w:val="0"/>
      <w:marTop w:val="120"/>
      <w:marBottom w:val="0"/>
      <w:divBdr>
        <w:top w:val="none" w:sz="0" w:space="0" w:color="auto"/>
        <w:left w:val="none" w:sz="0" w:space="0" w:color="auto"/>
        <w:bottom w:val="none" w:sz="0" w:space="0" w:color="auto"/>
        <w:right w:val="none" w:sz="0" w:space="0" w:color="auto"/>
      </w:divBdr>
    </w:div>
    <w:div w:id="634917897">
      <w:marLeft w:val="0"/>
      <w:marRight w:val="0"/>
      <w:marTop w:val="120"/>
      <w:marBottom w:val="0"/>
      <w:divBdr>
        <w:top w:val="none" w:sz="0" w:space="0" w:color="auto"/>
        <w:left w:val="none" w:sz="0" w:space="0" w:color="auto"/>
        <w:bottom w:val="none" w:sz="0" w:space="0" w:color="auto"/>
        <w:right w:val="none" w:sz="0" w:space="0" w:color="auto"/>
      </w:divBdr>
    </w:div>
    <w:div w:id="635137930">
      <w:marLeft w:val="0"/>
      <w:marRight w:val="0"/>
      <w:marTop w:val="120"/>
      <w:marBottom w:val="0"/>
      <w:divBdr>
        <w:top w:val="none" w:sz="0" w:space="0" w:color="auto"/>
        <w:left w:val="none" w:sz="0" w:space="0" w:color="auto"/>
        <w:bottom w:val="none" w:sz="0" w:space="0" w:color="auto"/>
        <w:right w:val="none" w:sz="0" w:space="0" w:color="auto"/>
      </w:divBdr>
    </w:div>
    <w:div w:id="637564130">
      <w:marLeft w:val="0"/>
      <w:marRight w:val="0"/>
      <w:marTop w:val="120"/>
      <w:marBottom w:val="0"/>
      <w:divBdr>
        <w:top w:val="none" w:sz="0" w:space="0" w:color="auto"/>
        <w:left w:val="none" w:sz="0" w:space="0" w:color="auto"/>
        <w:bottom w:val="none" w:sz="0" w:space="0" w:color="auto"/>
        <w:right w:val="none" w:sz="0" w:space="0" w:color="auto"/>
      </w:divBdr>
      <w:divsChild>
        <w:div w:id="813985362">
          <w:marLeft w:val="0"/>
          <w:marRight w:val="0"/>
          <w:marTop w:val="0"/>
          <w:marBottom w:val="0"/>
          <w:divBdr>
            <w:top w:val="none" w:sz="0" w:space="0" w:color="auto"/>
            <w:left w:val="none" w:sz="0" w:space="0" w:color="auto"/>
            <w:bottom w:val="none" w:sz="0" w:space="0" w:color="auto"/>
            <w:right w:val="none" w:sz="0" w:space="0" w:color="auto"/>
          </w:divBdr>
        </w:div>
        <w:div w:id="2060326227">
          <w:marLeft w:val="0"/>
          <w:marRight w:val="0"/>
          <w:marTop w:val="0"/>
          <w:marBottom w:val="0"/>
          <w:divBdr>
            <w:top w:val="none" w:sz="0" w:space="0" w:color="auto"/>
            <w:left w:val="none" w:sz="0" w:space="0" w:color="auto"/>
            <w:bottom w:val="none" w:sz="0" w:space="0" w:color="auto"/>
            <w:right w:val="none" w:sz="0" w:space="0" w:color="auto"/>
          </w:divBdr>
        </w:div>
        <w:div w:id="252203710">
          <w:marLeft w:val="0"/>
          <w:marRight w:val="0"/>
          <w:marTop w:val="0"/>
          <w:marBottom w:val="0"/>
          <w:divBdr>
            <w:top w:val="none" w:sz="0" w:space="0" w:color="auto"/>
            <w:left w:val="none" w:sz="0" w:space="0" w:color="auto"/>
            <w:bottom w:val="none" w:sz="0" w:space="0" w:color="auto"/>
            <w:right w:val="none" w:sz="0" w:space="0" w:color="auto"/>
          </w:divBdr>
        </w:div>
        <w:div w:id="1768573369">
          <w:marLeft w:val="0"/>
          <w:marRight w:val="0"/>
          <w:marTop w:val="0"/>
          <w:marBottom w:val="0"/>
          <w:divBdr>
            <w:top w:val="none" w:sz="0" w:space="0" w:color="auto"/>
            <w:left w:val="none" w:sz="0" w:space="0" w:color="auto"/>
            <w:bottom w:val="none" w:sz="0" w:space="0" w:color="auto"/>
            <w:right w:val="none" w:sz="0" w:space="0" w:color="auto"/>
          </w:divBdr>
        </w:div>
        <w:div w:id="1360010974">
          <w:marLeft w:val="0"/>
          <w:marRight w:val="0"/>
          <w:marTop w:val="0"/>
          <w:marBottom w:val="0"/>
          <w:divBdr>
            <w:top w:val="none" w:sz="0" w:space="0" w:color="auto"/>
            <w:left w:val="none" w:sz="0" w:space="0" w:color="auto"/>
            <w:bottom w:val="none" w:sz="0" w:space="0" w:color="auto"/>
            <w:right w:val="none" w:sz="0" w:space="0" w:color="auto"/>
          </w:divBdr>
        </w:div>
        <w:div w:id="1038242116">
          <w:marLeft w:val="0"/>
          <w:marRight w:val="0"/>
          <w:marTop w:val="0"/>
          <w:marBottom w:val="0"/>
          <w:divBdr>
            <w:top w:val="none" w:sz="0" w:space="0" w:color="auto"/>
            <w:left w:val="none" w:sz="0" w:space="0" w:color="auto"/>
            <w:bottom w:val="none" w:sz="0" w:space="0" w:color="auto"/>
            <w:right w:val="none" w:sz="0" w:space="0" w:color="auto"/>
          </w:divBdr>
        </w:div>
        <w:div w:id="1087188049">
          <w:marLeft w:val="0"/>
          <w:marRight w:val="0"/>
          <w:marTop w:val="0"/>
          <w:marBottom w:val="0"/>
          <w:divBdr>
            <w:top w:val="none" w:sz="0" w:space="0" w:color="auto"/>
            <w:left w:val="none" w:sz="0" w:space="0" w:color="auto"/>
            <w:bottom w:val="none" w:sz="0" w:space="0" w:color="auto"/>
            <w:right w:val="none" w:sz="0" w:space="0" w:color="auto"/>
          </w:divBdr>
        </w:div>
        <w:div w:id="786119253">
          <w:marLeft w:val="0"/>
          <w:marRight w:val="0"/>
          <w:marTop w:val="0"/>
          <w:marBottom w:val="0"/>
          <w:divBdr>
            <w:top w:val="none" w:sz="0" w:space="0" w:color="auto"/>
            <w:left w:val="none" w:sz="0" w:space="0" w:color="auto"/>
            <w:bottom w:val="none" w:sz="0" w:space="0" w:color="auto"/>
            <w:right w:val="none" w:sz="0" w:space="0" w:color="auto"/>
          </w:divBdr>
        </w:div>
        <w:div w:id="1701005139">
          <w:marLeft w:val="0"/>
          <w:marRight w:val="0"/>
          <w:marTop w:val="0"/>
          <w:marBottom w:val="0"/>
          <w:divBdr>
            <w:top w:val="none" w:sz="0" w:space="0" w:color="auto"/>
            <w:left w:val="none" w:sz="0" w:space="0" w:color="auto"/>
            <w:bottom w:val="none" w:sz="0" w:space="0" w:color="auto"/>
            <w:right w:val="none" w:sz="0" w:space="0" w:color="auto"/>
          </w:divBdr>
        </w:div>
      </w:divsChild>
    </w:div>
    <w:div w:id="640843294">
      <w:marLeft w:val="0"/>
      <w:marRight w:val="0"/>
      <w:marTop w:val="120"/>
      <w:marBottom w:val="0"/>
      <w:divBdr>
        <w:top w:val="none" w:sz="0" w:space="0" w:color="auto"/>
        <w:left w:val="none" w:sz="0" w:space="0" w:color="auto"/>
        <w:bottom w:val="none" w:sz="0" w:space="0" w:color="auto"/>
        <w:right w:val="none" w:sz="0" w:space="0" w:color="auto"/>
      </w:divBdr>
    </w:div>
    <w:div w:id="643241311">
      <w:marLeft w:val="0"/>
      <w:marRight w:val="0"/>
      <w:marTop w:val="120"/>
      <w:marBottom w:val="0"/>
      <w:divBdr>
        <w:top w:val="none" w:sz="0" w:space="0" w:color="auto"/>
        <w:left w:val="none" w:sz="0" w:space="0" w:color="auto"/>
        <w:bottom w:val="none" w:sz="0" w:space="0" w:color="auto"/>
        <w:right w:val="none" w:sz="0" w:space="0" w:color="auto"/>
      </w:divBdr>
    </w:div>
    <w:div w:id="643393091">
      <w:marLeft w:val="0"/>
      <w:marRight w:val="0"/>
      <w:marTop w:val="120"/>
      <w:marBottom w:val="0"/>
      <w:divBdr>
        <w:top w:val="none" w:sz="0" w:space="0" w:color="auto"/>
        <w:left w:val="none" w:sz="0" w:space="0" w:color="auto"/>
        <w:bottom w:val="none" w:sz="0" w:space="0" w:color="auto"/>
        <w:right w:val="none" w:sz="0" w:space="0" w:color="auto"/>
      </w:divBdr>
    </w:div>
    <w:div w:id="647058769">
      <w:marLeft w:val="0"/>
      <w:marRight w:val="0"/>
      <w:marTop w:val="120"/>
      <w:marBottom w:val="0"/>
      <w:divBdr>
        <w:top w:val="none" w:sz="0" w:space="0" w:color="auto"/>
        <w:left w:val="none" w:sz="0" w:space="0" w:color="auto"/>
        <w:bottom w:val="none" w:sz="0" w:space="0" w:color="auto"/>
        <w:right w:val="none" w:sz="0" w:space="0" w:color="auto"/>
      </w:divBdr>
    </w:div>
    <w:div w:id="648168202">
      <w:marLeft w:val="0"/>
      <w:marRight w:val="0"/>
      <w:marTop w:val="120"/>
      <w:marBottom w:val="0"/>
      <w:divBdr>
        <w:top w:val="none" w:sz="0" w:space="0" w:color="auto"/>
        <w:left w:val="none" w:sz="0" w:space="0" w:color="auto"/>
        <w:bottom w:val="none" w:sz="0" w:space="0" w:color="auto"/>
        <w:right w:val="none" w:sz="0" w:space="0" w:color="auto"/>
      </w:divBdr>
    </w:div>
    <w:div w:id="648367021">
      <w:marLeft w:val="0"/>
      <w:marRight w:val="0"/>
      <w:marTop w:val="0"/>
      <w:marBottom w:val="0"/>
      <w:divBdr>
        <w:top w:val="none" w:sz="0" w:space="0" w:color="auto"/>
        <w:left w:val="none" w:sz="0" w:space="0" w:color="auto"/>
        <w:bottom w:val="none" w:sz="0" w:space="0" w:color="auto"/>
        <w:right w:val="none" w:sz="0" w:space="0" w:color="auto"/>
      </w:divBdr>
      <w:divsChild>
        <w:div w:id="1644122058">
          <w:marLeft w:val="0"/>
          <w:marRight w:val="0"/>
          <w:marTop w:val="360"/>
          <w:marBottom w:val="0"/>
          <w:divBdr>
            <w:top w:val="none" w:sz="0" w:space="0" w:color="auto"/>
            <w:left w:val="none" w:sz="0" w:space="0" w:color="auto"/>
            <w:bottom w:val="none" w:sz="0" w:space="0" w:color="auto"/>
            <w:right w:val="none" w:sz="0" w:space="0" w:color="auto"/>
          </w:divBdr>
        </w:div>
      </w:divsChild>
    </w:div>
    <w:div w:id="648633627">
      <w:marLeft w:val="0"/>
      <w:marRight w:val="0"/>
      <w:marTop w:val="0"/>
      <w:marBottom w:val="0"/>
      <w:divBdr>
        <w:top w:val="none" w:sz="0" w:space="0" w:color="auto"/>
        <w:left w:val="none" w:sz="0" w:space="0" w:color="auto"/>
        <w:bottom w:val="none" w:sz="0" w:space="0" w:color="auto"/>
        <w:right w:val="none" w:sz="0" w:space="0" w:color="auto"/>
      </w:divBdr>
      <w:divsChild>
        <w:div w:id="1790783806">
          <w:marLeft w:val="0"/>
          <w:marRight w:val="0"/>
          <w:marTop w:val="0"/>
          <w:marBottom w:val="0"/>
          <w:divBdr>
            <w:top w:val="none" w:sz="0" w:space="0" w:color="auto"/>
            <w:left w:val="none" w:sz="0" w:space="0" w:color="auto"/>
            <w:bottom w:val="none" w:sz="0" w:space="0" w:color="auto"/>
            <w:right w:val="none" w:sz="0" w:space="0" w:color="auto"/>
          </w:divBdr>
        </w:div>
      </w:divsChild>
    </w:div>
    <w:div w:id="649015653">
      <w:marLeft w:val="0"/>
      <w:marRight w:val="0"/>
      <w:marTop w:val="60"/>
      <w:marBottom w:val="0"/>
      <w:divBdr>
        <w:top w:val="none" w:sz="0" w:space="0" w:color="auto"/>
        <w:left w:val="none" w:sz="0" w:space="0" w:color="auto"/>
        <w:bottom w:val="none" w:sz="0" w:space="0" w:color="auto"/>
        <w:right w:val="none" w:sz="0" w:space="0" w:color="auto"/>
      </w:divBdr>
    </w:div>
    <w:div w:id="650988414">
      <w:marLeft w:val="0"/>
      <w:marRight w:val="0"/>
      <w:marTop w:val="120"/>
      <w:marBottom w:val="0"/>
      <w:divBdr>
        <w:top w:val="none" w:sz="0" w:space="0" w:color="auto"/>
        <w:left w:val="none" w:sz="0" w:space="0" w:color="auto"/>
        <w:bottom w:val="none" w:sz="0" w:space="0" w:color="auto"/>
        <w:right w:val="none" w:sz="0" w:space="0" w:color="auto"/>
      </w:divBdr>
    </w:div>
    <w:div w:id="654643603">
      <w:marLeft w:val="0"/>
      <w:marRight w:val="0"/>
      <w:marTop w:val="120"/>
      <w:marBottom w:val="0"/>
      <w:divBdr>
        <w:top w:val="none" w:sz="0" w:space="0" w:color="auto"/>
        <w:left w:val="none" w:sz="0" w:space="0" w:color="auto"/>
        <w:bottom w:val="none" w:sz="0" w:space="0" w:color="auto"/>
        <w:right w:val="none" w:sz="0" w:space="0" w:color="auto"/>
      </w:divBdr>
    </w:div>
    <w:div w:id="661012251">
      <w:marLeft w:val="0"/>
      <w:marRight w:val="0"/>
      <w:marTop w:val="120"/>
      <w:marBottom w:val="0"/>
      <w:divBdr>
        <w:top w:val="none" w:sz="0" w:space="0" w:color="auto"/>
        <w:left w:val="none" w:sz="0" w:space="0" w:color="auto"/>
        <w:bottom w:val="none" w:sz="0" w:space="0" w:color="auto"/>
        <w:right w:val="none" w:sz="0" w:space="0" w:color="auto"/>
      </w:divBdr>
    </w:div>
    <w:div w:id="662048096">
      <w:marLeft w:val="0"/>
      <w:marRight w:val="0"/>
      <w:marTop w:val="120"/>
      <w:marBottom w:val="0"/>
      <w:divBdr>
        <w:top w:val="none" w:sz="0" w:space="0" w:color="auto"/>
        <w:left w:val="none" w:sz="0" w:space="0" w:color="auto"/>
        <w:bottom w:val="none" w:sz="0" w:space="0" w:color="auto"/>
        <w:right w:val="none" w:sz="0" w:space="0" w:color="auto"/>
      </w:divBdr>
    </w:div>
    <w:div w:id="662897483">
      <w:marLeft w:val="0"/>
      <w:marRight w:val="0"/>
      <w:marTop w:val="360"/>
      <w:marBottom w:val="0"/>
      <w:divBdr>
        <w:top w:val="none" w:sz="0" w:space="0" w:color="auto"/>
        <w:left w:val="none" w:sz="0" w:space="0" w:color="auto"/>
        <w:bottom w:val="none" w:sz="0" w:space="0" w:color="auto"/>
        <w:right w:val="none" w:sz="0" w:space="0" w:color="auto"/>
      </w:divBdr>
    </w:div>
    <w:div w:id="667558029">
      <w:marLeft w:val="0"/>
      <w:marRight w:val="0"/>
      <w:marTop w:val="120"/>
      <w:marBottom w:val="0"/>
      <w:divBdr>
        <w:top w:val="none" w:sz="0" w:space="0" w:color="auto"/>
        <w:left w:val="none" w:sz="0" w:space="0" w:color="auto"/>
        <w:bottom w:val="none" w:sz="0" w:space="0" w:color="auto"/>
        <w:right w:val="none" w:sz="0" w:space="0" w:color="auto"/>
      </w:divBdr>
    </w:div>
    <w:div w:id="671496079">
      <w:marLeft w:val="0"/>
      <w:marRight w:val="0"/>
      <w:marTop w:val="120"/>
      <w:marBottom w:val="0"/>
      <w:divBdr>
        <w:top w:val="none" w:sz="0" w:space="0" w:color="auto"/>
        <w:left w:val="none" w:sz="0" w:space="0" w:color="auto"/>
        <w:bottom w:val="none" w:sz="0" w:space="0" w:color="auto"/>
        <w:right w:val="none" w:sz="0" w:space="0" w:color="auto"/>
      </w:divBdr>
    </w:div>
    <w:div w:id="673730383">
      <w:marLeft w:val="0"/>
      <w:marRight w:val="0"/>
      <w:marTop w:val="120"/>
      <w:marBottom w:val="0"/>
      <w:divBdr>
        <w:top w:val="none" w:sz="0" w:space="0" w:color="auto"/>
        <w:left w:val="none" w:sz="0" w:space="0" w:color="auto"/>
        <w:bottom w:val="none" w:sz="0" w:space="0" w:color="auto"/>
        <w:right w:val="none" w:sz="0" w:space="0" w:color="auto"/>
      </w:divBdr>
    </w:div>
    <w:div w:id="673731256">
      <w:marLeft w:val="0"/>
      <w:marRight w:val="0"/>
      <w:marTop w:val="120"/>
      <w:marBottom w:val="0"/>
      <w:divBdr>
        <w:top w:val="none" w:sz="0" w:space="0" w:color="auto"/>
        <w:left w:val="none" w:sz="0" w:space="0" w:color="auto"/>
        <w:bottom w:val="none" w:sz="0" w:space="0" w:color="auto"/>
        <w:right w:val="none" w:sz="0" w:space="0" w:color="auto"/>
      </w:divBdr>
    </w:div>
    <w:div w:id="674652356">
      <w:marLeft w:val="0"/>
      <w:marRight w:val="0"/>
      <w:marTop w:val="120"/>
      <w:marBottom w:val="0"/>
      <w:divBdr>
        <w:top w:val="none" w:sz="0" w:space="0" w:color="auto"/>
        <w:left w:val="none" w:sz="0" w:space="0" w:color="auto"/>
        <w:bottom w:val="none" w:sz="0" w:space="0" w:color="auto"/>
        <w:right w:val="none" w:sz="0" w:space="0" w:color="auto"/>
      </w:divBdr>
    </w:div>
    <w:div w:id="677197305">
      <w:marLeft w:val="0"/>
      <w:marRight w:val="0"/>
      <w:marTop w:val="120"/>
      <w:marBottom w:val="0"/>
      <w:divBdr>
        <w:top w:val="none" w:sz="0" w:space="0" w:color="auto"/>
        <w:left w:val="none" w:sz="0" w:space="0" w:color="auto"/>
        <w:bottom w:val="none" w:sz="0" w:space="0" w:color="auto"/>
        <w:right w:val="none" w:sz="0" w:space="0" w:color="auto"/>
      </w:divBdr>
    </w:div>
    <w:div w:id="678502317">
      <w:marLeft w:val="0"/>
      <w:marRight w:val="0"/>
      <w:marTop w:val="120"/>
      <w:marBottom w:val="0"/>
      <w:divBdr>
        <w:top w:val="none" w:sz="0" w:space="0" w:color="auto"/>
        <w:left w:val="none" w:sz="0" w:space="0" w:color="auto"/>
        <w:bottom w:val="none" w:sz="0" w:space="0" w:color="auto"/>
        <w:right w:val="none" w:sz="0" w:space="0" w:color="auto"/>
      </w:divBdr>
    </w:div>
    <w:div w:id="681396483">
      <w:marLeft w:val="0"/>
      <w:marRight w:val="0"/>
      <w:marTop w:val="120"/>
      <w:marBottom w:val="0"/>
      <w:divBdr>
        <w:top w:val="none" w:sz="0" w:space="0" w:color="auto"/>
        <w:left w:val="none" w:sz="0" w:space="0" w:color="auto"/>
        <w:bottom w:val="none" w:sz="0" w:space="0" w:color="auto"/>
        <w:right w:val="none" w:sz="0" w:space="0" w:color="auto"/>
      </w:divBdr>
    </w:div>
    <w:div w:id="681779611">
      <w:marLeft w:val="0"/>
      <w:marRight w:val="0"/>
      <w:marTop w:val="120"/>
      <w:marBottom w:val="0"/>
      <w:divBdr>
        <w:top w:val="none" w:sz="0" w:space="0" w:color="auto"/>
        <w:left w:val="none" w:sz="0" w:space="0" w:color="auto"/>
        <w:bottom w:val="none" w:sz="0" w:space="0" w:color="auto"/>
        <w:right w:val="none" w:sz="0" w:space="0" w:color="auto"/>
      </w:divBdr>
    </w:div>
    <w:div w:id="684862527">
      <w:marLeft w:val="0"/>
      <w:marRight w:val="0"/>
      <w:marTop w:val="0"/>
      <w:marBottom w:val="0"/>
      <w:divBdr>
        <w:top w:val="none" w:sz="0" w:space="0" w:color="auto"/>
        <w:left w:val="none" w:sz="0" w:space="0" w:color="auto"/>
        <w:bottom w:val="none" w:sz="0" w:space="0" w:color="auto"/>
        <w:right w:val="none" w:sz="0" w:space="0" w:color="auto"/>
      </w:divBdr>
      <w:divsChild>
        <w:div w:id="1713191060">
          <w:marLeft w:val="0"/>
          <w:marRight w:val="0"/>
          <w:marTop w:val="0"/>
          <w:marBottom w:val="0"/>
          <w:divBdr>
            <w:top w:val="none" w:sz="0" w:space="0" w:color="auto"/>
            <w:left w:val="none" w:sz="0" w:space="0" w:color="auto"/>
            <w:bottom w:val="none" w:sz="0" w:space="0" w:color="auto"/>
            <w:right w:val="none" w:sz="0" w:space="0" w:color="auto"/>
          </w:divBdr>
        </w:div>
      </w:divsChild>
    </w:div>
    <w:div w:id="687213980">
      <w:marLeft w:val="0"/>
      <w:marRight w:val="0"/>
      <w:marTop w:val="120"/>
      <w:marBottom w:val="0"/>
      <w:divBdr>
        <w:top w:val="none" w:sz="0" w:space="0" w:color="auto"/>
        <w:left w:val="none" w:sz="0" w:space="0" w:color="auto"/>
        <w:bottom w:val="none" w:sz="0" w:space="0" w:color="auto"/>
        <w:right w:val="none" w:sz="0" w:space="0" w:color="auto"/>
      </w:divBdr>
    </w:div>
    <w:div w:id="687216612">
      <w:marLeft w:val="0"/>
      <w:marRight w:val="0"/>
      <w:marTop w:val="120"/>
      <w:marBottom w:val="0"/>
      <w:divBdr>
        <w:top w:val="none" w:sz="0" w:space="0" w:color="auto"/>
        <w:left w:val="none" w:sz="0" w:space="0" w:color="auto"/>
        <w:bottom w:val="none" w:sz="0" w:space="0" w:color="auto"/>
        <w:right w:val="none" w:sz="0" w:space="0" w:color="auto"/>
      </w:divBdr>
    </w:div>
    <w:div w:id="688065283">
      <w:marLeft w:val="0"/>
      <w:marRight w:val="0"/>
      <w:marTop w:val="120"/>
      <w:marBottom w:val="0"/>
      <w:divBdr>
        <w:top w:val="none" w:sz="0" w:space="0" w:color="auto"/>
        <w:left w:val="none" w:sz="0" w:space="0" w:color="auto"/>
        <w:bottom w:val="none" w:sz="0" w:space="0" w:color="auto"/>
        <w:right w:val="none" w:sz="0" w:space="0" w:color="auto"/>
      </w:divBdr>
    </w:div>
    <w:div w:id="693191188">
      <w:marLeft w:val="0"/>
      <w:marRight w:val="0"/>
      <w:marTop w:val="120"/>
      <w:marBottom w:val="0"/>
      <w:divBdr>
        <w:top w:val="none" w:sz="0" w:space="0" w:color="auto"/>
        <w:left w:val="none" w:sz="0" w:space="0" w:color="auto"/>
        <w:bottom w:val="none" w:sz="0" w:space="0" w:color="auto"/>
        <w:right w:val="none" w:sz="0" w:space="0" w:color="auto"/>
      </w:divBdr>
    </w:div>
    <w:div w:id="695496770">
      <w:marLeft w:val="0"/>
      <w:marRight w:val="0"/>
      <w:marTop w:val="120"/>
      <w:marBottom w:val="0"/>
      <w:divBdr>
        <w:top w:val="none" w:sz="0" w:space="0" w:color="auto"/>
        <w:left w:val="none" w:sz="0" w:space="0" w:color="auto"/>
        <w:bottom w:val="none" w:sz="0" w:space="0" w:color="auto"/>
        <w:right w:val="none" w:sz="0" w:space="0" w:color="auto"/>
      </w:divBdr>
    </w:div>
    <w:div w:id="704523465">
      <w:marLeft w:val="0"/>
      <w:marRight w:val="0"/>
      <w:marTop w:val="120"/>
      <w:marBottom w:val="0"/>
      <w:divBdr>
        <w:top w:val="none" w:sz="0" w:space="0" w:color="auto"/>
        <w:left w:val="none" w:sz="0" w:space="0" w:color="auto"/>
        <w:bottom w:val="none" w:sz="0" w:space="0" w:color="auto"/>
        <w:right w:val="none" w:sz="0" w:space="0" w:color="auto"/>
      </w:divBdr>
    </w:div>
    <w:div w:id="706180434">
      <w:marLeft w:val="0"/>
      <w:marRight w:val="0"/>
      <w:marTop w:val="120"/>
      <w:marBottom w:val="0"/>
      <w:divBdr>
        <w:top w:val="none" w:sz="0" w:space="0" w:color="auto"/>
        <w:left w:val="none" w:sz="0" w:space="0" w:color="auto"/>
        <w:bottom w:val="none" w:sz="0" w:space="0" w:color="auto"/>
        <w:right w:val="none" w:sz="0" w:space="0" w:color="auto"/>
      </w:divBdr>
    </w:div>
    <w:div w:id="712928141">
      <w:marLeft w:val="0"/>
      <w:marRight w:val="0"/>
      <w:marTop w:val="120"/>
      <w:marBottom w:val="0"/>
      <w:divBdr>
        <w:top w:val="none" w:sz="0" w:space="0" w:color="auto"/>
        <w:left w:val="none" w:sz="0" w:space="0" w:color="auto"/>
        <w:bottom w:val="none" w:sz="0" w:space="0" w:color="auto"/>
        <w:right w:val="none" w:sz="0" w:space="0" w:color="auto"/>
      </w:divBdr>
    </w:div>
    <w:div w:id="713776546">
      <w:marLeft w:val="0"/>
      <w:marRight w:val="0"/>
      <w:marTop w:val="120"/>
      <w:marBottom w:val="0"/>
      <w:divBdr>
        <w:top w:val="none" w:sz="0" w:space="0" w:color="auto"/>
        <w:left w:val="none" w:sz="0" w:space="0" w:color="auto"/>
        <w:bottom w:val="none" w:sz="0" w:space="0" w:color="auto"/>
        <w:right w:val="none" w:sz="0" w:space="0" w:color="auto"/>
      </w:divBdr>
    </w:div>
    <w:div w:id="716512084">
      <w:marLeft w:val="0"/>
      <w:marRight w:val="0"/>
      <w:marTop w:val="120"/>
      <w:marBottom w:val="0"/>
      <w:divBdr>
        <w:top w:val="none" w:sz="0" w:space="0" w:color="auto"/>
        <w:left w:val="none" w:sz="0" w:space="0" w:color="auto"/>
        <w:bottom w:val="none" w:sz="0" w:space="0" w:color="auto"/>
        <w:right w:val="none" w:sz="0" w:space="0" w:color="auto"/>
      </w:divBdr>
    </w:div>
    <w:div w:id="716972367">
      <w:marLeft w:val="0"/>
      <w:marRight w:val="0"/>
      <w:marTop w:val="120"/>
      <w:marBottom w:val="0"/>
      <w:divBdr>
        <w:top w:val="none" w:sz="0" w:space="0" w:color="auto"/>
        <w:left w:val="none" w:sz="0" w:space="0" w:color="auto"/>
        <w:bottom w:val="none" w:sz="0" w:space="0" w:color="auto"/>
        <w:right w:val="none" w:sz="0" w:space="0" w:color="auto"/>
      </w:divBdr>
    </w:div>
    <w:div w:id="719675233">
      <w:marLeft w:val="0"/>
      <w:marRight w:val="0"/>
      <w:marTop w:val="0"/>
      <w:marBottom w:val="0"/>
      <w:divBdr>
        <w:top w:val="none" w:sz="0" w:space="0" w:color="auto"/>
        <w:left w:val="none" w:sz="0" w:space="0" w:color="auto"/>
        <w:bottom w:val="none" w:sz="0" w:space="0" w:color="auto"/>
        <w:right w:val="none" w:sz="0" w:space="0" w:color="auto"/>
      </w:divBdr>
      <w:divsChild>
        <w:div w:id="1578707311">
          <w:marLeft w:val="0"/>
          <w:marRight w:val="0"/>
          <w:marTop w:val="360"/>
          <w:marBottom w:val="0"/>
          <w:divBdr>
            <w:top w:val="none" w:sz="0" w:space="0" w:color="auto"/>
            <w:left w:val="none" w:sz="0" w:space="0" w:color="auto"/>
            <w:bottom w:val="none" w:sz="0" w:space="0" w:color="auto"/>
            <w:right w:val="none" w:sz="0" w:space="0" w:color="auto"/>
          </w:divBdr>
        </w:div>
      </w:divsChild>
    </w:div>
    <w:div w:id="722490108">
      <w:marLeft w:val="0"/>
      <w:marRight w:val="0"/>
      <w:marTop w:val="240"/>
      <w:marBottom w:val="0"/>
      <w:divBdr>
        <w:top w:val="none" w:sz="0" w:space="0" w:color="auto"/>
        <w:left w:val="none" w:sz="0" w:space="0" w:color="auto"/>
        <w:bottom w:val="none" w:sz="0" w:space="0" w:color="auto"/>
        <w:right w:val="none" w:sz="0" w:space="0" w:color="auto"/>
      </w:divBdr>
      <w:divsChild>
        <w:div w:id="495534840">
          <w:marLeft w:val="0"/>
          <w:marRight w:val="0"/>
          <w:marTop w:val="0"/>
          <w:marBottom w:val="0"/>
          <w:divBdr>
            <w:top w:val="none" w:sz="0" w:space="0" w:color="auto"/>
            <w:left w:val="none" w:sz="0" w:space="0" w:color="auto"/>
            <w:bottom w:val="none" w:sz="0" w:space="0" w:color="auto"/>
            <w:right w:val="none" w:sz="0" w:space="0" w:color="auto"/>
          </w:divBdr>
        </w:div>
        <w:div w:id="878510348">
          <w:marLeft w:val="0"/>
          <w:marRight w:val="0"/>
          <w:marTop w:val="0"/>
          <w:marBottom w:val="0"/>
          <w:divBdr>
            <w:top w:val="none" w:sz="0" w:space="0" w:color="auto"/>
            <w:left w:val="none" w:sz="0" w:space="0" w:color="auto"/>
            <w:bottom w:val="none" w:sz="0" w:space="0" w:color="auto"/>
            <w:right w:val="none" w:sz="0" w:space="0" w:color="auto"/>
          </w:divBdr>
        </w:div>
        <w:div w:id="691223663">
          <w:marLeft w:val="0"/>
          <w:marRight w:val="0"/>
          <w:marTop w:val="0"/>
          <w:marBottom w:val="0"/>
          <w:divBdr>
            <w:top w:val="none" w:sz="0" w:space="0" w:color="auto"/>
            <w:left w:val="none" w:sz="0" w:space="0" w:color="auto"/>
            <w:bottom w:val="none" w:sz="0" w:space="0" w:color="auto"/>
            <w:right w:val="none" w:sz="0" w:space="0" w:color="auto"/>
          </w:divBdr>
        </w:div>
        <w:div w:id="365103830">
          <w:marLeft w:val="0"/>
          <w:marRight w:val="0"/>
          <w:marTop w:val="0"/>
          <w:marBottom w:val="0"/>
          <w:divBdr>
            <w:top w:val="none" w:sz="0" w:space="0" w:color="auto"/>
            <w:left w:val="none" w:sz="0" w:space="0" w:color="auto"/>
            <w:bottom w:val="none" w:sz="0" w:space="0" w:color="auto"/>
            <w:right w:val="none" w:sz="0" w:space="0" w:color="auto"/>
          </w:divBdr>
        </w:div>
        <w:div w:id="1358582205">
          <w:marLeft w:val="0"/>
          <w:marRight w:val="0"/>
          <w:marTop w:val="0"/>
          <w:marBottom w:val="0"/>
          <w:divBdr>
            <w:top w:val="none" w:sz="0" w:space="0" w:color="auto"/>
            <w:left w:val="none" w:sz="0" w:space="0" w:color="auto"/>
            <w:bottom w:val="none" w:sz="0" w:space="0" w:color="auto"/>
            <w:right w:val="none" w:sz="0" w:space="0" w:color="auto"/>
          </w:divBdr>
        </w:div>
        <w:div w:id="1604145662">
          <w:marLeft w:val="0"/>
          <w:marRight w:val="0"/>
          <w:marTop w:val="0"/>
          <w:marBottom w:val="0"/>
          <w:divBdr>
            <w:top w:val="none" w:sz="0" w:space="0" w:color="auto"/>
            <w:left w:val="none" w:sz="0" w:space="0" w:color="auto"/>
            <w:bottom w:val="none" w:sz="0" w:space="0" w:color="auto"/>
            <w:right w:val="none" w:sz="0" w:space="0" w:color="auto"/>
          </w:divBdr>
        </w:div>
        <w:div w:id="226846236">
          <w:marLeft w:val="0"/>
          <w:marRight w:val="0"/>
          <w:marTop w:val="0"/>
          <w:marBottom w:val="0"/>
          <w:divBdr>
            <w:top w:val="none" w:sz="0" w:space="0" w:color="auto"/>
            <w:left w:val="none" w:sz="0" w:space="0" w:color="auto"/>
            <w:bottom w:val="none" w:sz="0" w:space="0" w:color="auto"/>
            <w:right w:val="none" w:sz="0" w:space="0" w:color="auto"/>
          </w:divBdr>
        </w:div>
        <w:div w:id="1599827696">
          <w:marLeft w:val="0"/>
          <w:marRight w:val="0"/>
          <w:marTop w:val="0"/>
          <w:marBottom w:val="0"/>
          <w:divBdr>
            <w:top w:val="none" w:sz="0" w:space="0" w:color="auto"/>
            <w:left w:val="none" w:sz="0" w:space="0" w:color="auto"/>
            <w:bottom w:val="none" w:sz="0" w:space="0" w:color="auto"/>
            <w:right w:val="none" w:sz="0" w:space="0" w:color="auto"/>
          </w:divBdr>
        </w:div>
        <w:div w:id="265618370">
          <w:marLeft w:val="0"/>
          <w:marRight w:val="0"/>
          <w:marTop w:val="0"/>
          <w:marBottom w:val="0"/>
          <w:divBdr>
            <w:top w:val="none" w:sz="0" w:space="0" w:color="auto"/>
            <w:left w:val="none" w:sz="0" w:space="0" w:color="auto"/>
            <w:bottom w:val="none" w:sz="0" w:space="0" w:color="auto"/>
            <w:right w:val="none" w:sz="0" w:space="0" w:color="auto"/>
          </w:divBdr>
        </w:div>
        <w:div w:id="707922886">
          <w:marLeft w:val="0"/>
          <w:marRight w:val="0"/>
          <w:marTop w:val="0"/>
          <w:marBottom w:val="0"/>
          <w:divBdr>
            <w:top w:val="none" w:sz="0" w:space="0" w:color="auto"/>
            <w:left w:val="none" w:sz="0" w:space="0" w:color="auto"/>
            <w:bottom w:val="none" w:sz="0" w:space="0" w:color="auto"/>
            <w:right w:val="none" w:sz="0" w:space="0" w:color="auto"/>
          </w:divBdr>
        </w:div>
        <w:div w:id="1166022015">
          <w:marLeft w:val="0"/>
          <w:marRight w:val="0"/>
          <w:marTop w:val="0"/>
          <w:marBottom w:val="0"/>
          <w:divBdr>
            <w:top w:val="none" w:sz="0" w:space="0" w:color="auto"/>
            <w:left w:val="none" w:sz="0" w:space="0" w:color="auto"/>
            <w:bottom w:val="none" w:sz="0" w:space="0" w:color="auto"/>
            <w:right w:val="none" w:sz="0" w:space="0" w:color="auto"/>
          </w:divBdr>
        </w:div>
        <w:div w:id="908030102">
          <w:marLeft w:val="0"/>
          <w:marRight w:val="0"/>
          <w:marTop w:val="0"/>
          <w:marBottom w:val="0"/>
          <w:divBdr>
            <w:top w:val="none" w:sz="0" w:space="0" w:color="auto"/>
            <w:left w:val="none" w:sz="0" w:space="0" w:color="auto"/>
            <w:bottom w:val="none" w:sz="0" w:space="0" w:color="auto"/>
            <w:right w:val="none" w:sz="0" w:space="0" w:color="auto"/>
          </w:divBdr>
        </w:div>
        <w:div w:id="1311403259">
          <w:marLeft w:val="0"/>
          <w:marRight w:val="0"/>
          <w:marTop w:val="0"/>
          <w:marBottom w:val="0"/>
          <w:divBdr>
            <w:top w:val="none" w:sz="0" w:space="0" w:color="auto"/>
            <w:left w:val="none" w:sz="0" w:space="0" w:color="auto"/>
            <w:bottom w:val="none" w:sz="0" w:space="0" w:color="auto"/>
            <w:right w:val="none" w:sz="0" w:space="0" w:color="auto"/>
          </w:divBdr>
        </w:div>
        <w:div w:id="1967007353">
          <w:marLeft w:val="0"/>
          <w:marRight w:val="0"/>
          <w:marTop w:val="0"/>
          <w:marBottom w:val="0"/>
          <w:divBdr>
            <w:top w:val="none" w:sz="0" w:space="0" w:color="auto"/>
            <w:left w:val="none" w:sz="0" w:space="0" w:color="auto"/>
            <w:bottom w:val="none" w:sz="0" w:space="0" w:color="auto"/>
            <w:right w:val="none" w:sz="0" w:space="0" w:color="auto"/>
          </w:divBdr>
        </w:div>
        <w:div w:id="221252746">
          <w:marLeft w:val="0"/>
          <w:marRight w:val="0"/>
          <w:marTop w:val="0"/>
          <w:marBottom w:val="0"/>
          <w:divBdr>
            <w:top w:val="none" w:sz="0" w:space="0" w:color="auto"/>
            <w:left w:val="none" w:sz="0" w:space="0" w:color="auto"/>
            <w:bottom w:val="none" w:sz="0" w:space="0" w:color="auto"/>
            <w:right w:val="none" w:sz="0" w:space="0" w:color="auto"/>
          </w:divBdr>
        </w:div>
        <w:div w:id="102767840">
          <w:marLeft w:val="0"/>
          <w:marRight w:val="0"/>
          <w:marTop w:val="0"/>
          <w:marBottom w:val="0"/>
          <w:divBdr>
            <w:top w:val="none" w:sz="0" w:space="0" w:color="auto"/>
            <w:left w:val="none" w:sz="0" w:space="0" w:color="auto"/>
            <w:bottom w:val="none" w:sz="0" w:space="0" w:color="auto"/>
            <w:right w:val="none" w:sz="0" w:space="0" w:color="auto"/>
          </w:divBdr>
        </w:div>
        <w:div w:id="1086269452">
          <w:marLeft w:val="0"/>
          <w:marRight w:val="0"/>
          <w:marTop w:val="0"/>
          <w:marBottom w:val="0"/>
          <w:divBdr>
            <w:top w:val="none" w:sz="0" w:space="0" w:color="auto"/>
            <w:left w:val="none" w:sz="0" w:space="0" w:color="auto"/>
            <w:bottom w:val="none" w:sz="0" w:space="0" w:color="auto"/>
            <w:right w:val="none" w:sz="0" w:space="0" w:color="auto"/>
          </w:divBdr>
        </w:div>
        <w:div w:id="1897735332">
          <w:marLeft w:val="0"/>
          <w:marRight w:val="0"/>
          <w:marTop w:val="0"/>
          <w:marBottom w:val="0"/>
          <w:divBdr>
            <w:top w:val="none" w:sz="0" w:space="0" w:color="auto"/>
            <w:left w:val="none" w:sz="0" w:space="0" w:color="auto"/>
            <w:bottom w:val="none" w:sz="0" w:space="0" w:color="auto"/>
            <w:right w:val="none" w:sz="0" w:space="0" w:color="auto"/>
          </w:divBdr>
        </w:div>
        <w:div w:id="929122264">
          <w:marLeft w:val="0"/>
          <w:marRight w:val="0"/>
          <w:marTop w:val="0"/>
          <w:marBottom w:val="0"/>
          <w:divBdr>
            <w:top w:val="none" w:sz="0" w:space="0" w:color="auto"/>
            <w:left w:val="none" w:sz="0" w:space="0" w:color="auto"/>
            <w:bottom w:val="none" w:sz="0" w:space="0" w:color="auto"/>
            <w:right w:val="none" w:sz="0" w:space="0" w:color="auto"/>
          </w:divBdr>
        </w:div>
        <w:div w:id="927420147">
          <w:marLeft w:val="0"/>
          <w:marRight w:val="0"/>
          <w:marTop w:val="0"/>
          <w:marBottom w:val="0"/>
          <w:divBdr>
            <w:top w:val="none" w:sz="0" w:space="0" w:color="auto"/>
            <w:left w:val="none" w:sz="0" w:space="0" w:color="auto"/>
            <w:bottom w:val="none" w:sz="0" w:space="0" w:color="auto"/>
            <w:right w:val="none" w:sz="0" w:space="0" w:color="auto"/>
          </w:divBdr>
        </w:div>
        <w:div w:id="1878007572">
          <w:marLeft w:val="0"/>
          <w:marRight w:val="0"/>
          <w:marTop w:val="0"/>
          <w:marBottom w:val="0"/>
          <w:divBdr>
            <w:top w:val="none" w:sz="0" w:space="0" w:color="auto"/>
            <w:left w:val="none" w:sz="0" w:space="0" w:color="auto"/>
            <w:bottom w:val="none" w:sz="0" w:space="0" w:color="auto"/>
            <w:right w:val="none" w:sz="0" w:space="0" w:color="auto"/>
          </w:divBdr>
        </w:div>
        <w:div w:id="1668022431">
          <w:marLeft w:val="0"/>
          <w:marRight w:val="0"/>
          <w:marTop w:val="0"/>
          <w:marBottom w:val="0"/>
          <w:divBdr>
            <w:top w:val="none" w:sz="0" w:space="0" w:color="auto"/>
            <w:left w:val="none" w:sz="0" w:space="0" w:color="auto"/>
            <w:bottom w:val="none" w:sz="0" w:space="0" w:color="auto"/>
            <w:right w:val="none" w:sz="0" w:space="0" w:color="auto"/>
          </w:divBdr>
        </w:div>
        <w:div w:id="1236621198">
          <w:marLeft w:val="0"/>
          <w:marRight w:val="0"/>
          <w:marTop w:val="0"/>
          <w:marBottom w:val="0"/>
          <w:divBdr>
            <w:top w:val="none" w:sz="0" w:space="0" w:color="auto"/>
            <w:left w:val="none" w:sz="0" w:space="0" w:color="auto"/>
            <w:bottom w:val="none" w:sz="0" w:space="0" w:color="auto"/>
            <w:right w:val="none" w:sz="0" w:space="0" w:color="auto"/>
          </w:divBdr>
        </w:div>
        <w:div w:id="297423089">
          <w:marLeft w:val="0"/>
          <w:marRight w:val="0"/>
          <w:marTop w:val="0"/>
          <w:marBottom w:val="0"/>
          <w:divBdr>
            <w:top w:val="none" w:sz="0" w:space="0" w:color="auto"/>
            <w:left w:val="none" w:sz="0" w:space="0" w:color="auto"/>
            <w:bottom w:val="none" w:sz="0" w:space="0" w:color="auto"/>
            <w:right w:val="none" w:sz="0" w:space="0" w:color="auto"/>
          </w:divBdr>
        </w:div>
        <w:div w:id="1433548328">
          <w:marLeft w:val="0"/>
          <w:marRight w:val="0"/>
          <w:marTop w:val="0"/>
          <w:marBottom w:val="0"/>
          <w:divBdr>
            <w:top w:val="none" w:sz="0" w:space="0" w:color="auto"/>
            <w:left w:val="none" w:sz="0" w:space="0" w:color="auto"/>
            <w:bottom w:val="none" w:sz="0" w:space="0" w:color="auto"/>
            <w:right w:val="none" w:sz="0" w:space="0" w:color="auto"/>
          </w:divBdr>
        </w:div>
      </w:divsChild>
    </w:div>
    <w:div w:id="728501033">
      <w:marLeft w:val="0"/>
      <w:marRight w:val="0"/>
      <w:marTop w:val="120"/>
      <w:marBottom w:val="0"/>
      <w:divBdr>
        <w:top w:val="none" w:sz="0" w:space="0" w:color="auto"/>
        <w:left w:val="none" w:sz="0" w:space="0" w:color="auto"/>
        <w:bottom w:val="none" w:sz="0" w:space="0" w:color="auto"/>
        <w:right w:val="none" w:sz="0" w:space="0" w:color="auto"/>
      </w:divBdr>
    </w:div>
    <w:div w:id="732584949">
      <w:marLeft w:val="0"/>
      <w:marRight w:val="0"/>
      <w:marTop w:val="240"/>
      <w:marBottom w:val="0"/>
      <w:divBdr>
        <w:top w:val="none" w:sz="0" w:space="0" w:color="auto"/>
        <w:left w:val="none" w:sz="0" w:space="0" w:color="auto"/>
        <w:bottom w:val="none" w:sz="0" w:space="0" w:color="auto"/>
        <w:right w:val="none" w:sz="0" w:space="0" w:color="auto"/>
      </w:divBdr>
    </w:div>
    <w:div w:id="732965570">
      <w:marLeft w:val="0"/>
      <w:marRight w:val="0"/>
      <w:marTop w:val="120"/>
      <w:marBottom w:val="0"/>
      <w:divBdr>
        <w:top w:val="none" w:sz="0" w:space="0" w:color="auto"/>
        <w:left w:val="none" w:sz="0" w:space="0" w:color="auto"/>
        <w:bottom w:val="none" w:sz="0" w:space="0" w:color="auto"/>
        <w:right w:val="none" w:sz="0" w:space="0" w:color="auto"/>
      </w:divBdr>
    </w:div>
    <w:div w:id="734275376">
      <w:marLeft w:val="0"/>
      <w:marRight w:val="0"/>
      <w:marTop w:val="120"/>
      <w:marBottom w:val="0"/>
      <w:divBdr>
        <w:top w:val="none" w:sz="0" w:space="0" w:color="auto"/>
        <w:left w:val="none" w:sz="0" w:space="0" w:color="auto"/>
        <w:bottom w:val="none" w:sz="0" w:space="0" w:color="auto"/>
        <w:right w:val="none" w:sz="0" w:space="0" w:color="auto"/>
      </w:divBdr>
    </w:div>
    <w:div w:id="734739787">
      <w:marLeft w:val="0"/>
      <w:marRight w:val="0"/>
      <w:marTop w:val="120"/>
      <w:marBottom w:val="0"/>
      <w:divBdr>
        <w:top w:val="none" w:sz="0" w:space="0" w:color="auto"/>
        <w:left w:val="none" w:sz="0" w:space="0" w:color="auto"/>
        <w:bottom w:val="none" w:sz="0" w:space="0" w:color="auto"/>
        <w:right w:val="none" w:sz="0" w:space="0" w:color="auto"/>
      </w:divBdr>
    </w:div>
    <w:div w:id="737751325">
      <w:marLeft w:val="0"/>
      <w:marRight w:val="0"/>
      <w:marTop w:val="200"/>
      <w:marBottom w:val="0"/>
      <w:divBdr>
        <w:top w:val="none" w:sz="0" w:space="0" w:color="auto"/>
        <w:left w:val="none" w:sz="0" w:space="0" w:color="auto"/>
        <w:bottom w:val="none" w:sz="0" w:space="0" w:color="auto"/>
        <w:right w:val="none" w:sz="0" w:space="0" w:color="auto"/>
      </w:divBdr>
    </w:div>
    <w:div w:id="738140103">
      <w:marLeft w:val="0"/>
      <w:marRight w:val="0"/>
      <w:marTop w:val="360"/>
      <w:marBottom w:val="0"/>
      <w:divBdr>
        <w:top w:val="none" w:sz="0" w:space="0" w:color="auto"/>
        <w:left w:val="none" w:sz="0" w:space="0" w:color="auto"/>
        <w:bottom w:val="none" w:sz="0" w:space="0" w:color="auto"/>
        <w:right w:val="none" w:sz="0" w:space="0" w:color="auto"/>
      </w:divBdr>
    </w:div>
    <w:div w:id="738941608">
      <w:marLeft w:val="0"/>
      <w:marRight w:val="0"/>
      <w:marTop w:val="120"/>
      <w:marBottom w:val="0"/>
      <w:divBdr>
        <w:top w:val="none" w:sz="0" w:space="0" w:color="auto"/>
        <w:left w:val="none" w:sz="0" w:space="0" w:color="auto"/>
        <w:bottom w:val="none" w:sz="0" w:space="0" w:color="auto"/>
        <w:right w:val="none" w:sz="0" w:space="0" w:color="auto"/>
      </w:divBdr>
    </w:div>
    <w:div w:id="739518126">
      <w:marLeft w:val="0"/>
      <w:marRight w:val="0"/>
      <w:marTop w:val="120"/>
      <w:marBottom w:val="0"/>
      <w:divBdr>
        <w:top w:val="none" w:sz="0" w:space="0" w:color="auto"/>
        <w:left w:val="none" w:sz="0" w:space="0" w:color="auto"/>
        <w:bottom w:val="none" w:sz="0" w:space="0" w:color="auto"/>
        <w:right w:val="none" w:sz="0" w:space="0" w:color="auto"/>
      </w:divBdr>
    </w:div>
    <w:div w:id="747115666">
      <w:marLeft w:val="0"/>
      <w:marRight w:val="0"/>
      <w:marTop w:val="120"/>
      <w:marBottom w:val="0"/>
      <w:divBdr>
        <w:top w:val="none" w:sz="0" w:space="0" w:color="auto"/>
        <w:left w:val="none" w:sz="0" w:space="0" w:color="auto"/>
        <w:bottom w:val="none" w:sz="0" w:space="0" w:color="auto"/>
        <w:right w:val="none" w:sz="0" w:space="0" w:color="auto"/>
      </w:divBdr>
    </w:div>
    <w:div w:id="748624318">
      <w:marLeft w:val="0"/>
      <w:marRight w:val="0"/>
      <w:marTop w:val="120"/>
      <w:marBottom w:val="0"/>
      <w:divBdr>
        <w:top w:val="none" w:sz="0" w:space="0" w:color="auto"/>
        <w:left w:val="none" w:sz="0" w:space="0" w:color="auto"/>
        <w:bottom w:val="none" w:sz="0" w:space="0" w:color="auto"/>
        <w:right w:val="none" w:sz="0" w:space="0" w:color="auto"/>
      </w:divBdr>
    </w:div>
    <w:div w:id="749083523">
      <w:marLeft w:val="0"/>
      <w:marRight w:val="0"/>
      <w:marTop w:val="0"/>
      <w:marBottom w:val="0"/>
      <w:divBdr>
        <w:top w:val="none" w:sz="0" w:space="0" w:color="auto"/>
        <w:left w:val="none" w:sz="0" w:space="0" w:color="auto"/>
        <w:bottom w:val="none" w:sz="0" w:space="0" w:color="auto"/>
        <w:right w:val="none" w:sz="0" w:space="0" w:color="auto"/>
      </w:divBdr>
      <w:divsChild>
        <w:div w:id="1602761542">
          <w:marLeft w:val="0"/>
          <w:marRight w:val="0"/>
          <w:marTop w:val="360"/>
          <w:marBottom w:val="0"/>
          <w:divBdr>
            <w:top w:val="none" w:sz="0" w:space="0" w:color="auto"/>
            <w:left w:val="none" w:sz="0" w:space="0" w:color="auto"/>
            <w:bottom w:val="none" w:sz="0" w:space="0" w:color="auto"/>
            <w:right w:val="none" w:sz="0" w:space="0" w:color="auto"/>
          </w:divBdr>
        </w:div>
      </w:divsChild>
    </w:div>
    <w:div w:id="749810063">
      <w:marLeft w:val="0"/>
      <w:marRight w:val="0"/>
      <w:marTop w:val="120"/>
      <w:marBottom w:val="0"/>
      <w:divBdr>
        <w:top w:val="none" w:sz="0" w:space="0" w:color="auto"/>
        <w:left w:val="none" w:sz="0" w:space="0" w:color="auto"/>
        <w:bottom w:val="none" w:sz="0" w:space="0" w:color="auto"/>
        <w:right w:val="none" w:sz="0" w:space="0" w:color="auto"/>
      </w:divBdr>
    </w:div>
    <w:div w:id="750586882">
      <w:marLeft w:val="0"/>
      <w:marRight w:val="0"/>
      <w:marTop w:val="120"/>
      <w:marBottom w:val="0"/>
      <w:divBdr>
        <w:top w:val="none" w:sz="0" w:space="0" w:color="auto"/>
        <w:left w:val="none" w:sz="0" w:space="0" w:color="auto"/>
        <w:bottom w:val="none" w:sz="0" w:space="0" w:color="auto"/>
        <w:right w:val="none" w:sz="0" w:space="0" w:color="auto"/>
      </w:divBdr>
    </w:div>
    <w:div w:id="751707841">
      <w:marLeft w:val="0"/>
      <w:marRight w:val="0"/>
      <w:marTop w:val="120"/>
      <w:marBottom w:val="0"/>
      <w:divBdr>
        <w:top w:val="none" w:sz="0" w:space="0" w:color="auto"/>
        <w:left w:val="none" w:sz="0" w:space="0" w:color="auto"/>
        <w:bottom w:val="none" w:sz="0" w:space="0" w:color="auto"/>
        <w:right w:val="none" w:sz="0" w:space="0" w:color="auto"/>
      </w:divBdr>
    </w:div>
    <w:div w:id="752241281">
      <w:marLeft w:val="0"/>
      <w:marRight w:val="0"/>
      <w:marTop w:val="120"/>
      <w:marBottom w:val="0"/>
      <w:divBdr>
        <w:top w:val="none" w:sz="0" w:space="0" w:color="auto"/>
        <w:left w:val="none" w:sz="0" w:space="0" w:color="auto"/>
        <w:bottom w:val="none" w:sz="0" w:space="0" w:color="auto"/>
        <w:right w:val="none" w:sz="0" w:space="0" w:color="auto"/>
      </w:divBdr>
    </w:div>
    <w:div w:id="753236794">
      <w:marLeft w:val="0"/>
      <w:marRight w:val="0"/>
      <w:marTop w:val="120"/>
      <w:marBottom w:val="0"/>
      <w:divBdr>
        <w:top w:val="none" w:sz="0" w:space="0" w:color="auto"/>
        <w:left w:val="none" w:sz="0" w:space="0" w:color="auto"/>
        <w:bottom w:val="none" w:sz="0" w:space="0" w:color="auto"/>
        <w:right w:val="none" w:sz="0" w:space="0" w:color="auto"/>
      </w:divBdr>
    </w:div>
    <w:div w:id="755714401">
      <w:marLeft w:val="0"/>
      <w:marRight w:val="0"/>
      <w:marTop w:val="120"/>
      <w:marBottom w:val="0"/>
      <w:divBdr>
        <w:top w:val="none" w:sz="0" w:space="0" w:color="auto"/>
        <w:left w:val="none" w:sz="0" w:space="0" w:color="auto"/>
        <w:bottom w:val="none" w:sz="0" w:space="0" w:color="auto"/>
        <w:right w:val="none" w:sz="0" w:space="0" w:color="auto"/>
      </w:divBdr>
    </w:div>
    <w:div w:id="756513019">
      <w:marLeft w:val="0"/>
      <w:marRight w:val="0"/>
      <w:marTop w:val="120"/>
      <w:marBottom w:val="0"/>
      <w:divBdr>
        <w:top w:val="none" w:sz="0" w:space="0" w:color="auto"/>
        <w:left w:val="none" w:sz="0" w:space="0" w:color="auto"/>
        <w:bottom w:val="none" w:sz="0" w:space="0" w:color="auto"/>
        <w:right w:val="none" w:sz="0" w:space="0" w:color="auto"/>
      </w:divBdr>
    </w:div>
    <w:div w:id="759987257">
      <w:marLeft w:val="0"/>
      <w:marRight w:val="0"/>
      <w:marTop w:val="120"/>
      <w:marBottom w:val="0"/>
      <w:divBdr>
        <w:top w:val="none" w:sz="0" w:space="0" w:color="auto"/>
        <w:left w:val="none" w:sz="0" w:space="0" w:color="auto"/>
        <w:bottom w:val="none" w:sz="0" w:space="0" w:color="auto"/>
        <w:right w:val="none" w:sz="0" w:space="0" w:color="auto"/>
      </w:divBdr>
    </w:div>
    <w:div w:id="760299492">
      <w:marLeft w:val="0"/>
      <w:marRight w:val="0"/>
      <w:marTop w:val="120"/>
      <w:marBottom w:val="0"/>
      <w:divBdr>
        <w:top w:val="none" w:sz="0" w:space="0" w:color="auto"/>
        <w:left w:val="none" w:sz="0" w:space="0" w:color="auto"/>
        <w:bottom w:val="none" w:sz="0" w:space="0" w:color="auto"/>
        <w:right w:val="none" w:sz="0" w:space="0" w:color="auto"/>
      </w:divBdr>
    </w:div>
    <w:div w:id="760755317">
      <w:marLeft w:val="0"/>
      <w:marRight w:val="0"/>
      <w:marTop w:val="0"/>
      <w:marBottom w:val="0"/>
      <w:divBdr>
        <w:top w:val="none" w:sz="0" w:space="0" w:color="auto"/>
        <w:left w:val="none" w:sz="0" w:space="0" w:color="auto"/>
        <w:bottom w:val="none" w:sz="0" w:space="0" w:color="auto"/>
        <w:right w:val="none" w:sz="0" w:space="0" w:color="auto"/>
      </w:divBdr>
      <w:divsChild>
        <w:div w:id="1798450143">
          <w:marLeft w:val="0"/>
          <w:marRight w:val="0"/>
          <w:marTop w:val="360"/>
          <w:marBottom w:val="0"/>
          <w:divBdr>
            <w:top w:val="none" w:sz="0" w:space="0" w:color="auto"/>
            <w:left w:val="none" w:sz="0" w:space="0" w:color="auto"/>
            <w:bottom w:val="none" w:sz="0" w:space="0" w:color="auto"/>
            <w:right w:val="none" w:sz="0" w:space="0" w:color="auto"/>
          </w:divBdr>
        </w:div>
      </w:divsChild>
    </w:div>
    <w:div w:id="763264493">
      <w:marLeft w:val="0"/>
      <w:marRight w:val="0"/>
      <w:marTop w:val="120"/>
      <w:marBottom w:val="0"/>
      <w:divBdr>
        <w:top w:val="none" w:sz="0" w:space="0" w:color="auto"/>
        <w:left w:val="none" w:sz="0" w:space="0" w:color="auto"/>
        <w:bottom w:val="none" w:sz="0" w:space="0" w:color="auto"/>
        <w:right w:val="none" w:sz="0" w:space="0" w:color="auto"/>
      </w:divBdr>
    </w:div>
    <w:div w:id="768893134">
      <w:marLeft w:val="0"/>
      <w:marRight w:val="0"/>
      <w:marTop w:val="120"/>
      <w:marBottom w:val="0"/>
      <w:divBdr>
        <w:top w:val="none" w:sz="0" w:space="0" w:color="auto"/>
        <w:left w:val="none" w:sz="0" w:space="0" w:color="auto"/>
        <w:bottom w:val="none" w:sz="0" w:space="0" w:color="auto"/>
        <w:right w:val="none" w:sz="0" w:space="0" w:color="auto"/>
      </w:divBdr>
    </w:div>
    <w:div w:id="770588812">
      <w:marLeft w:val="0"/>
      <w:marRight w:val="0"/>
      <w:marTop w:val="120"/>
      <w:marBottom w:val="0"/>
      <w:divBdr>
        <w:top w:val="none" w:sz="0" w:space="0" w:color="auto"/>
        <w:left w:val="none" w:sz="0" w:space="0" w:color="auto"/>
        <w:bottom w:val="none" w:sz="0" w:space="0" w:color="auto"/>
        <w:right w:val="none" w:sz="0" w:space="0" w:color="auto"/>
      </w:divBdr>
    </w:div>
    <w:div w:id="771363292">
      <w:marLeft w:val="0"/>
      <w:marRight w:val="0"/>
      <w:marTop w:val="120"/>
      <w:marBottom w:val="0"/>
      <w:divBdr>
        <w:top w:val="none" w:sz="0" w:space="0" w:color="auto"/>
        <w:left w:val="none" w:sz="0" w:space="0" w:color="auto"/>
        <w:bottom w:val="none" w:sz="0" w:space="0" w:color="auto"/>
        <w:right w:val="none" w:sz="0" w:space="0" w:color="auto"/>
      </w:divBdr>
    </w:div>
    <w:div w:id="772166417">
      <w:marLeft w:val="0"/>
      <w:marRight w:val="0"/>
      <w:marTop w:val="120"/>
      <w:marBottom w:val="0"/>
      <w:divBdr>
        <w:top w:val="none" w:sz="0" w:space="0" w:color="auto"/>
        <w:left w:val="none" w:sz="0" w:space="0" w:color="auto"/>
        <w:bottom w:val="none" w:sz="0" w:space="0" w:color="auto"/>
        <w:right w:val="none" w:sz="0" w:space="0" w:color="auto"/>
      </w:divBdr>
    </w:div>
    <w:div w:id="772363778">
      <w:marLeft w:val="0"/>
      <w:marRight w:val="0"/>
      <w:marTop w:val="0"/>
      <w:marBottom w:val="0"/>
      <w:divBdr>
        <w:top w:val="none" w:sz="0" w:space="0" w:color="auto"/>
        <w:left w:val="none" w:sz="0" w:space="0" w:color="auto"/>
        <w:bottom w:val="none" w:sz="0" w:space="0" w:color="auto"/>
        <w:right w:val="none" w:sz="0" w:space="0" w:color="auto"/>
      </w:divBdr>
      <w:divsChild>
        <w:div w:id="17435356">
          <w:marLeft w:val="0"/>
          <w:marRight w:val="0"/>
          <w:marTop w:val="0"/>
          <w:marBottom w:val="0"/>
          <w:divBdr>
            <w:top w:val="none" w:sz="0" w:space="0" w:color="auto"/>
            <w:left w:val="none" w:sz="0" w:space="0" w:color="auto"/>
            <w:bottom w:val="none" w:sz="0" w:space="0" w:color="auto"/>
            <w:right w:val="none" w:sz="0" w:space="0" w:color="auto"/>
          </w:divBdr>
        </w:div>
      </w:divsChild>
    </w:div>
    <w:div w:id="772629841">
      <w:marLeft w:val="0"/>
      <w:marRight w:val="0"/>
      <w:marTop w:val="120"/>
      <w:marBottom w:val="0"/>
      <w:divBdr>
        <w:top w:val="none" w:sz="0" w:space="0" w:color="auto"/>
        <w:left w:val="none" w:sz="0" w:space="0" w:color="auto"/>
        <w:bottom w:val="none" w:sz="0" w:space="0" w:color="auto"/>
        <w:right w:val="none" w:sz="0" w:space="0" w:color="auto"/>
      </w:divBdr>
    </w:div>
    <w:div w:id="773282083">
      <w:marLeft w:val="0"/>
      <w:marRight w:val="0"/>
      <w:marTop w:val="120"/>
      <w:marBottom w:val="0"/>
      <w:divBdr>
        <w:top w:val="none" w:sz="0" w:space="0" w:color="auto"/>
        <w:left w:val="none" w:sz="0" w:space="0" w:color="auto"/>
        <w:bottom w:val="none" w:sz="0" w:space="0" w:color="auto"/>
        <w:right w:val="none" w:sz="0" w:space="0" w:color="auto"/>
      </w:divBdr>
    </w:div>
    <w:div w:id="773672553">
      <w:marLeft w:val="0"/>
      <w:marRight w:val="0"/>
      <w:marTop w:val="120"/>
      <w:marBottom w:val="0"/>
      <w:divBdr>
        <w:top w:val="none" w:sz="0" w:space="0" w:color="auto"/>
        <w:left w:val="none" w:sz="0" w:space="0" w:color="auto"/>
        <w:bottom w:val="none" w:sz="0" w:space="0" w:color="auto"/>
        <w:right w:val="none" w:sz="0" w:space="0" w:color="auto"/>
      </w:divBdr>
    </w:div>
    <w:div w:id="773987317">
      <w:marLeft w:val="0"/>
      <w:marRight w:val="0"/>
      <w:marTop w:val="120"/>
      <w:marBottom w:val="0"/>
      <w:divBdr>
        <w:top w:val="none" w:sz="0" w:space="0" w:color="auto"/>
        <w:left w:val="none" w:sz="0" w:space="0" w:color="auto"/>
        <w:bottom w:val="none" w:sz="0" w:space="0" w:color="auto"/>
        <w:right w:val="none" w:sz="0" w:space="0" w:color="auto"/>
      </w:divBdr>
    </w:div>
    <w:div w:id="778915867">
      <w:marLeft w:val="0"/>
      <w:marRight w:val="0"/>
      <w:marTop w:val="120"/>
      <w:marBottom w:val="0"/>
      <w:divBdr>
        <w:top w:val="none" w:sz="0" w:space="0" w:color="auto"/>
        <w:left w:val="none" w:sz="0" w:space="0" w:color="auto"/>
        <w:bottom w:val="none" w:sz="0" w:space="0" w:color="auto"/>
        <w:right w:val="none" w:sz="0" w:space="0" w:color="auto"/>
      </w:divBdr>
    </w:div>
    <w:div w:id="780492881">
      <w:marLeft w:val="0"/>
      <w:marRight w:val="0"/>
      <w:marTop w:val="120"/>
      <w:marBottom w:val="0"/>
      <w:divBdr>
        <w:top w:val="none" w:sz="0" w:space="0" w:color="auto"/>
        <w:left w:val="none" w:sz="0" w:space="0" w:color="auto"/>
        <w:bottom w:val="none" w:sz="0" w:space="0" w:color="auto"/>
        <w:right w:val="none" w:sz="0" w:space="0" w:color="auto"/>
      </w:divBdr>
    </w:div>
    <w:div w:id="780996939">
      <w:marLeft w:val="0"/>
      <w:marRight w:val="0"/>
      <w:marTop w:val="120"/>
      <w:marBottom w:val="0"/>
      <w:divBdr>
        <w:top w:val="none" w:sz="0" w:space="0" w:color="auto"/>
        <w:left w:val="none" w:sz="0" w:space="0" w:color="auto"/>
        <w:bottom w:val="none" w:sz="0" w:space="0" w:color="auto"/>
        <w:right w:val="none" w:sz="0" w:space="0" w:color="auto"/>
      </w:divBdr>
    </w:div>
    <w:div w:id="782462952">
      <w:marLeft w:val="0"/>
      <w:marRight w:val="0"/>
      <w:marTop w:val="120"/>
      <w:marBottom w:val="0"/>
      <w:divBdr>
        <w:top w:val="none" w:sz="0" w:space="0" w:color="auto"/>
        <w:left w:val="none" w:sz="0" w:space="0" w:color="auto"/>
        <w:bottom w:val="none" w:sz="0" w:space="0" w:color="auto"/>
        <w:right w:val="none" w:sz="0" w:space="0" w:color="auto"/>
      </w:divBdr>
    </w:div>
    <w:div w:id="785731672">
      <w:marLeft w:val="0"/>
      <w:marRight w:val="0"/>
      <w:marTop w:val="120"/>
      <w:marBottom w:val="0"/>
      <w:divBdr>
        <w:top w:val="none" w:sz="0" w:space="0" w:color="auto"/>
        <w:left w:val="none" w:sz="0" w:space="0" w:color="auto"/>
        <w:bottom w:val="none" w:sz="0" w:space="0" w:color="auto"/>
        <w:right w:val="none" w:sz="0" w:space="0" w:color="auto"/>
      </w:divBdr>
    </w:div>
    <w:div w:id="786894733">
      <w:marLeft w:val="0"/>
      <w:marRight w:val="0"/>
      <w:marTop w:val="120"/>
      <w:marBottom w:val="0"/>
      <w:divBdr>
        <w:top w:val="none" w:sz="0" w:space="0" w:color="auto"/>
        <w:left w:val="none" w:sz="0" w:space="0" w:color="auto"/>
        <w:bottom w:val="none" w:sz="0" w:space="0" w:color="auto"/>
        <w:right w:val="none" w:sz="0" w:space="0" w:color="auto"/>
      </w:divBdr>
    </w:div>
    <w:div w:id="788818920">
      <w:marLeft w:val="0"/>
      <w:marRight w:val="0"/>
      <w:marTop w:val="360"/>
      <w:marBottom w:val="0"/>
      <w:divBdr>
        <w:top w:val="none" w:sz="0" w:space="0" w:color="auto"/>
        <w:left w:val="none" w:sz="0" w:space="0" w:color="auto"/>
        <w:bottom w:val="none" w:sz="0" w:space="0" w:color="auto"/>
        <w:right w:val="none" w:sz="0" w:space="0" w:color="auto"/>
      </w:divBdr>
    </w:div>
    <w:div w:id="789936325">
      <w:marLeft w:val="0"/>
      <w:marRight w:val="0"/>
      <w:marTop w:val="120"/>
      <w:marBottom w:val="0"/>
      <w:divBdr>
        <w:top w:val="none" w:sz="0" w:space="0" w:color="auto"/>
        <w:left w:val="none" w:sz="0" w:space="0" w:color="auto"/>
        <w:bottom w:val="none" w:sz="0" w:space="0" w:color="auto"/>
        <w:right w:val="none" w:sz="0" w:space="0" w:color="auto"/>
      </w:divBdr>
    </w:div>
    <w:div w:id="790899704">
      <w:marLeft w:val="0"/>
      <w:marRight w:val="0"/>
      <w:marTop w:val="120"/>
      <w:marBottom w:val="0"/>
      <w:divBdr>
        <w:top w:val="none" w:sz="0" w:space="0" w:color="auto"/>
        <w:left w:val="none" w:sz="0" w:space="0" w:color="auto"/>
        <w:bottom w:val="none" w:sz="0" w:space="0" w:color="auto"/>
        <w:right w:val="none" w:sz="0" w:space="0" w:color="auto"/>
      </w:divBdr>
    </w:div>
    <w:div w:id="791291710">
      <w:marLeft w:val="0"/>
      <w:marRight w:val="0"/>
      <w:marTop w:val="0"/>
      <w:marBottom w:val="0"/>
      <w:divBdr>
        <w:top w:val="none" w:sz="0" w:space="0" w:color="auto"/>
        <w:left w:val="none" w:sz="0" w:space="0" w:color="auto"/>
        <w:bottom w:val="none" w:sz="0" w:space="0" w:color="auto"/>
        <w:right w:val="none" w:sz="0" w:space="0" w:color="auto"/>
      </w:divBdr>
      <w:divsChild>
        <w:div w:id="961764656">
          <w:marLeft w:val="0"/>
          <w:marRight w:val="0"/>
          <w:marTop w:val="360"/>
          <w:marBottom w:val="0"/>
          <w:divBdr>
            <w:top w:val="none" w:sz="0" w:space="0" w:color="auto"/>
            <w:left w:val="none" w:sz="0" w:space="0" w:color="auto"/>
            <w:bottom w:val="none" w:sz="0" w:space="0" w:color="auto"/>
            <w:right w:val="none" w:sz="0" w:space="0" w:color="auto"/>
          </w:divBdr>
        </w:div>
      </w:divsChild>
    </w:div>
    <w:div w:id="792795460">
      <w:marLeft w:val="0"/>
      <w:marRight w:val="0"/>
      <w:marTop w:val="120"/>
      <w:marBottom w:val="0"/>
      <w:divBdr>
        <w:top w:val="none" w:sz="0" w:space="0" w:color="auto"/>
        <w:left w:val="none" w:sz="0" w:space="0" w:color="auto"/>
        <w:bottom w:val="none" w:sz="0" w:space="0" w:color="auto"/>
        <w:right w:val="none" w:sz="0" w:space="0" w:color="auto"/>
      </w:divBdr>
    </w:div>
    <w:div w:id="792796704">
      <w:marLeft w:val="0"/>
      <w:marRight w:val="0"/>
      <w:marTop w:val="120"/>
      <w:marBottom w:val="0"/>
      <w:divBdr>
        <w:top w:val="none" w:sz="0" w:space="0" w:color="auto"/>
        <w:left w:val="none" w:sz="0" w:space="0" w:color="auto"/>
        <w:bottom w:val="none" w:sz="0" w:space="0" w:color="auto"/>
        <w:right w:val="none" w:sz="0" w:space="0" w:color="auto"/>
      </w:divBdr>
    </w:div>
    <w:div w:id="800533692">
      <w:marLeft w:val="0"/>
      <w:marRight w:val="0"/>
      <w:marTop w:val="120"/>
      <w:marBottom w:val="0"/>
      <w:divBdr>
        <w:top w:val="none" w:sz="0" w:space="0" w:color="auto"/>
        <w:left w:val="none" w:sz="0" w:space="0" w:color="auto"/>
        <w:bottom w:val="none" w:sz="0" w:space="0" w:color="auto"/>
        <w:right w:val="none" w:sz="0" w:space="0" w:color="auto"/>
      </w:divBdr>
    </w:div>
    <w:div w:id="802160818">
      <w:marLeft w:val="0"/>
      <w:marRight w:val="0"/>
      <w:marTop w:val="120"/>
      <w:marBottom w:val="0"/>
      <w:divBdr>
        <w:top w:val="none" w:sz="0" w:space="0" w:color="auto"/>
        <w:left w:val="none" w:sz="0" w:space="0" w:color="auto"/>
        <w:bottom w:val="none" w:sz="0" w:space="0" w:color="auto"/>
        <w:right w:val="none" w:sz="0" w:space="0" w:color="auto"/>
      </w:divBdr>
    </w:div>
    <w:div w:id="804591850">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sChild>
        <w:div w:id="2070810336">
          <w:marLeft w:val="0"/>
          <w:marRight w:val="0"/>
          <w:marTop w:val="0"/>
          <w:marBottom w:val="0"/>
          <w:divBdr>
            <w:top w:val="none" w:sz="0" w:space="0" w:color="auto"/>
            <w:left w:val="none" w:sz="0" w:space="0" w:color="auto"/>
            <w:bottom w:val="none" w:sz="0" w:space="0" w:color="auto"/>
            <w:right w:val="none" w:sz="0" w:space="0" w:color="auto"/>
          </w:divBdr>
        </w:div>
      </w:divsChild>
    </w:div>
    <w:div w:id="810563791">
      <w:marLeft w:val="0"/>
      <w:marRight w:val="0"/>
      <w:marTop w:val="120"/>
      <w:marBottom w:val="0"/>
      <w:divBdr>
        <w:top w:val="none" w:sz="0" w:space="0" w:color="auto"/>
        <w:left w:val="none" w:sz="0" w:space="0" w:color="auto"/>
        <w:bottom w:val="none" w:sz="0" w:space="0" w:color="auto"/>
        <w:right w:val="none" w:sz="0" w:space="0" w:color="auto"/>
      </w:divBdr>
    </w:div>
    <w:div w:id="814175536">
      <w:marLeft w:val="0"/>
      <w:marRight w:val="0"/>
      <w:marTop w:val="120"/>
      <w:marBottom w:val="0"/>
      <w:divBdr>
        <w:top w:val="none" w:sz="0" w:space="0" w:color="auto"/>
        <w:left w:val="none" w:sz="0" w:space="0" w:color="auto"/>
        <w:bottom w:val="none" w:sz="0" w:space="0" w:color="auto"/>
        <w:right w:val="none" w:sz="0" w:space="0" w:color="auto"/>
      </w:divBdr>
    </w:div>
    <w:div w:id="815336949">
      <w:marLeft w:val="0"/>
      <w:marRight w:val="0"/>
      <w:marTop w:val="120"/>
      <w:marBottom w:val="0"/>
      <w:divBdr>
        <w:top w:val="none" w:sz="0" w:space="0" w:color="auto"/>
        <w:left w:val="none" w:sz="0" w:space="0" w:color="auto"/>
        <w:bottom w:val="none" w:sz="0" w:space="0" w:color="auto"/>
        <w:right w:val="none" w:sz="0" w:space="0" w:color="auto"/>
      </w:divBdr>
    </w:div>
    <w:div w:id="818766959">
      <w:marLeft w:val="0"/>
      <w:marRight w:val="0"/>
      <w:marTop w:val="120"/>
      <w:marBottom w:val="0"/>
      <w:divBdr>
        <w:top w:val="none" w:sz="0" w:space="0" w:color="auto"/>
        <w:left w:val="none" w:sz="0" w:space="0" w:color="auto"/>
        <w:bottom w:val="none" w:sz="0" w:space="0" w:color="auto"/>
        <w:right w:val="none" w:sz="0" w:space="0" w:color="auto"/>
      </w:divBdr>
    </w:div>
    <w:div w:id="822352492">
      <w:marLeft w:val="0"/>
      <w:marRight w:val="0"/>
      <w:marTop w:val="120"/>
      <w:marBottom w:val="0"/>
      <w:divBdr>
        <w:top w:val="none" w:sz="0" w:space="0" w:color="auto"/>
        <w:left w:val="none" w:sz="0" w:space="0" w:color="auto"/>
        <w:bottom w:val="none" w:sz="0" w:space="0" w:color="auto"/>
        <w:right w:val="none" w:sz="0" w:space="0" w:color="auto"/>
      </w:divBdr>
    </w:div>
    <w:div w:id="824861521">
      <w:marLeft w:val="0"/>
      <w:marRight w:val="0"/>
      <w:marTop w:val="120"/>
      <w:marBottom w:val="0"/>
      <w:divBdr>
        <w:top w:val="none" w:sz="0" w:space="0" w:color="auto"/>
        <w:left w:val="none" w:sz="0" w:space="0" w:color="auto"/>
        <w:bottom w:val="none" w:sz="0" w:space="0" w:color="auto"/>
        <w:right w:val="none" w:sz="0" w:space="0" w:color="auto"/>
      </w:divBdr>
    </w:div>
    <w:div w:id="826364641">
      <w:marLeft w:val="0"/>
      <w:marRight w:val="0"/>
      <w:marTop w:val="360"/>
      <w:marBottom w:val="0"/>
      <w:divBdr>
        <w:top w:val="none" w:sz="0" w:space="0" w:color="auto"/>
        <w:left w:val="none" w:sz="0" w:space="0" w:color="auto"/>
        <w:bottom w:val="none" w:sz="0" w:space="0" w:color="auto"/>
        <w:right w:val="none" w:sz="0" w:space="0" w:color="auto"/>
      </w:divBdr>
    </w:div>
    <w:div w:id="831990072">
      <w:marLeft w:val="0"/>
      <w:marRight w:val="0"/>
      <w:marTop w:val="120"/>
      <w:marBottom w:val="0"/>
      <w:divBdr>
        <w:top w:val="none" w:sz="0" w:space="0" w:color="auto"/>
        <w:left w:val="none" w:sz="0" w:space="0" w:color="auto"/>
        <w:bottom w:val="none" w:sz="0" w:space="0" w:color="auto"/>
        <w:right w:val="none" w:sz="0" w:space="0" w:color="auto"/>
      </w:divBdr>
    </w:div>
    <w:div w:id="834880567">
      <w:marLeft w:val="0"/>
      <w:marRight w:val="0"/>
      <w:marTop w:val="120"/>
      <w:marBottom w:val="0"/>
      <w:divBdr>
        <w:top w:val="none" w:sz="0" w:space="0" w:color="auto"/>
        <w:left w:val="none" w:sz="0" w:space="0" w:color="auto"/>
        <w:bottom w:val="none" w:sz="0" w:space="0" w:color="auto"/>
        <w:right w:val="none" w:sz="0" w:space="0" w:color="auto"/>
      </w:divBdr>
    </w:div>
    <w:div w:id="837768936">
      <w:marLeft w:val="0"/>
      <w:marRight w:val="0"/>
      <w:marTop w:val="120"/>
      <w:marBottom w:val="0"/>
      <w:divBdr>
        <w:top w:val="none" w:sz="0" w:space="0" w:color="auto"/>
        <w:left w:val="none" w:sz="0" w:space="0" w:color="auto"/>
        <w:bottom w:val="none" w:sz="0" w:space="0" w:color="auto"/>
        <w:right w:val="none" w:sz="0" w:space="0" w:color="auto"/>
      </w:divBdr>
    </w:div>
    <w:div w:id="841552468">
      <w:marLeft w:val="0"/>
      <w:marRight w:val="0"/>
      <w:marTop w:val="120"/>
      <w:marBottom w:val="0"/>
      <w:divBdr>
        <w:top w:val="none" w:sz="0" w:space="0" w:color="auto"/>
        <w:left w:val="none" w:sz="0" w:space="0" w:color="auto"/>
        <w:bottom w:val="none" w:sz="0" w:space="0" w:color="auto"/>
        <w:right w:val="none" w:sz="0" w:space="0" w:color="auto"/>
      </w:divBdr>
    </w:div>
    <w:div w:id="846020541">
      <w:marLeft w:val="0"/>
      <w:marRight w:val="0"/>
      <w:marTop w:val="120"/>
      <w:marBottom w:val="0"/>
      <w:divBdr>
        <w:top w:val="none" w:sz="0" w:space="0" w:color="auto"/>
        <w:left w:val="none" w:sz="0" w:space="0" w:color="auto"/>
        <w:bottom w:val="none" w:sz="0" w:space="0" w:color="auto"/>
        <w:right w:val="none" w:sz="0" w:space="0" w:color="auto"/>
      </w:divBdr>
    </w:div>
    <w:div w:id="851529784">
      <w:marLeft w:val="0"/>
      <w:marRight w:val="0"/>
      <w:marTop w:val="120"/>
      <w:marBottom w:val="0"/>
      <w:divBdr>
        <w:top w:val="none" w:sz="0" w:space="0" w:color="auto"/>
        <w:left w:val="none" w:sz="0" w:space="0" w:color="auto"/>
        <w:bottom w:val="none" w:sz="0" w:space="0" w:color="auto"/>
        <w:right w:val="none" w:sz="0" w:space="0" w:color="auto"/>
      </w:divBdr>
    </w:div>
    <w:div w:id="851994811">
      <w:marLeft w:val="0"/>
      <w:marRight w:val="0"/>
      <w:marTop w:val="120"/>
      <w:marBottom w:val="0"/>
      <w:divBdr>
        <w:top w:val="none" w:sz="0" w:space="0" w:color="auto"/>
        <w:left w:val="none" w:sz="0" w:space="0" w:color="auto"/>
        <w:bottom w:val="none" w:sz="0" w:space="0" w:color="auto"/>
        <w:right w:val="none" w:sz="0" w:space="0" w:color="auto"/>
      </w:divBdr>
    </w:div>
    <w:div w:id="852113801">
      <w:marLeft w:val="0"/>
      <w:marRight w:val="0"/>
      <w:marTop w:val="120"/>
      <w:marBottom w:val="0"/>
      <w:divBdr>
        <w:top w:val="none" w:sz="0" w:space="0" w:color="auto"/>
        <w:left w:val="none" w:sz="0" w:space="0" w:color="auto"/>
        <w:bottom w:val="none" w:sz="0" w:space="0" w:color="auto"/>
        <w:right w:val="none" w:sz="0" w:space="0" w:color="auto"/>
      </w:divBdr>
    </w:div>
    <w:div w:id="854273517">
      <w:marLeft w:val="0"/>
      <w:marRight w:val="0"/>
      <w:marTop w:val="120"/>
      <w:marBottom w:val="0"/>
      <w:divBdr>
        <w:top w:val="none" w:sz="0" w:space="0" w:color="auto"/>
        <w:left w:val="none" w:sz="0" w:space="0" w:color="auto"/>
        <w:bottom w:val="none" w:sz="0" w:space="0" w:color="auto"/>
        <w:right w:val="none" w:sz="0" w:space="0" w:color="auto"/>
      </w:divBdr>
    </w:div>
    <w:div w:id="854658317">
      <w:marLeft w:val="0"/>
      <w:marRight w:val="0"/>
      <w:marTop w:val="120"/>
      <w:marBottom w:val="0"/>
      <w:divBdr>
        <w:top w:val="none" w:sz="0" w:space="0" w:color="auto"/>
        <w:left w:val="none" w:sz="0" w:space="0" w:color="auto"/>
        <w:bottom w:val="none" w:sz="0" w:space="0" w:color="auto"/>
        <w:right w:val="none" w:sz="0" w:space="0" w:color="auto"/>
      </w:divBdr>
    </w:div>
    <w:div w:id="859389648">
      <w:marLeft w:val="0"/>
      <w:marRight w:val="0"/>
      <w:marTop w:val="0"/>
      <w:marBottom w:val="0"/>
      <w:divBdr>
        <w:top w:val="none" w:sz="0" w:space="0" w:color="auto"/>
        <w:left w:val="none" w:sz="0" w:space="0" w:color="auto"/>
        <w:bottom w:val="none" w:sz="0" w:space="0" w:color="auto"/>
        <w:right w:val="none" w:sz="0" w:space="0" w:color="auto"/>
      </w:divBdr>
      <w:divsChild>
        <w:div w:id="1518038622">
          <w:marLeft w:val="0"/>
          <w:marRight w:val="0"/>
          <w:marTop w:val="0"/>
          <w:marBottom w:val="0"/>
          <w:divBdr>
            <w:top w:val="none" w:sz="0" w:space="0" w:color="auto"/>
            <w:left w:val="none" w:sz="0" w:space="0" w:color="auto"/>
            <w:bottom w:val="none" w:sz="0" w:space="0" w:color="auto"/>
            <w:right w:val="none" w:sz="0" w:space="0" w:color="auto"/>
          </w:divBdr>
        </w:div>
      </w:divsChild>
    </w:div>
    <w:div w:id="860094677">
      <w:marLeft w:val="0"/>
      <w:marRight w:val="0"/>
      <w:marTop w:val="120"/>
      <w:marBottom w:val="0"/>
      <w:divBdr>
        <w:top w:val="none" w:sz="0" w:space="0" w:color="auto"/>
        <w:left w:val="none" w:sz="0" w:space="0" w:color="auto"/>
        <w:bottom w:val="none" w:sz="0" w:space="0" w:color="auto"/>
        <w:right w:val="none" w:sz="0" w:space="0" w:color="auto"/>
      </w:divBdr>
    </w:div>
    <w:div w:id="861163121">
      <w:marLeft w:val="0"/>
      <w:marRight w:val="0"/>
      <w:marTop w:val="120"/>
      <w:marBottom w:val="0"/>
      <w:divBdr>
        <w:top w:val="none" w:sz="0" w:space="0" w:color="auto"/>
        <w:left w:val="none" w:sz="0" w:space="0" w:color="auto"/>
        <w:bottom w:val="none" w:sz="0" w:space="0" w:color="auto"/>
        <w:right w:val="none" w:sz="0" w:space="0" w:color="auto"/>
      </w:divBdr>
    </w:div>
    <w:div w:id="862523414">
      <w:marLeft w:val="0"/>
      <w:marRight w:val="0"/>
      <w:marTop w:val="120"/>
      <w:marBottom w:val="0"/>
      <w:divBdr>
        <w:top w:val="none" w:sz="0" w:space="0" w:color="auto"/>
        <w:left w:val="none" w:sz="0" w:space="0" w:color="auto"/>
        <w:bottom w:val="none" w:sz="0" w:space="0" w:color="auto"/>
        <w:right w:val="none" w:sz="0" w:space="0" w:color="auto"/>
      </w:divBdr>
    </w:div>
    <w:div w:id="871965049">
      <w:marLeft w:val="0"/>
      <w:marRight w:val="0"/>
      <w:marTop w:val="0"/>
      <w:marBottom w:val="0"/>
      <w:divBdr>
        <w:top w:val="none" w:sz="0" w:space="0" w:color="auto"/>
        <w:left w:val="none" w:sz="0" w:space="0" w:color="auto"/>
        <w:bottom w:val="none" w:sz="0" w:space="0" w:color="auto"/>
        <w:right w:val="none" w:sz="0" w:space="0" w:color="auto"/>
      </w:divBdr>
      <w:divsChild>
        <w:div w:id="1592934372">
          <w:marLeft w:val="0"/>
          <w:marRight w:val="0"/>
          <w:marTop w:val="0"/>
          <w:marBottom w:val="0"/>
          <w:divBdr>
            <w:top w:val="none" w:sz="0" w:space="0" w:color="auto"/>
            <w:left w:val="none" w:sz="0" w:space="0" w:color="auto"/>
            <w:bottom w:val="none" w:sz="0" w:space="0" w:color="auto"/>
            <w:right w:val="none" w:sz="0" w:space="0" w:color="auto"/>
          </w:divBdr>
        </w:div>
      </w:divsChild>
    </w:div>
    <w:div w:id="872695948">
      <w:marLeft w:val="0"/>
      <w:marRight w:val="0"/>
      <w:marTop w:val="360"/>
      <w:marBottom w:val="0"/>
      <w:divBdr>
        <w:top w:val="none" w:sz="0" w:space="0" w:color="auto"/>
        <w:left w:val="none" w:sz="0" w:space="0" w:color="auto"/>
        <w:bottom w:val="none" w:sz="0" w:space="0" w:color="auto"/>
        <w:right w:val="none" w:sz="0" w:space="0" w:color="auto"/>
      </w:divBdr>
    </w:div>
    <w:div w:id="873691135">
      <w:marLeft w:val="0"/>
      <w:marRight w:val="0"/>
      <w:marTop w:val="120"/>
      <w:marBottom w:val="0"/>
      <w:divBdr>
        <w:top w:val="none" w:sz="0" w:space="0" w:color="auto"/>
        <w:left w:val="none" w:sz="0" w:space="0" w:color="auto"/>
        <w:bottom w:val="none" w:sz="0" w:space="0" w:color="auto"/>
        <w:right w:val="none" w:sz="0" w:space="0" w:color="auto"/>
      </w:divBdr>
    </w:div>
    <w:div w:id="874005433">
      <w:marLeft w:val="0"/>
      <w:marRight w:val="0"/>
      <w:marTop w:val="120"/>
      <w:marBottom w:val="0"/>
      <w:divBdr>
        <w:top w:val="none" w:sz="0" w:space="0" w:color="auto"/>
        <w:left w:val="none" w:sz="0" w:space="0" w:color="auto"/>
        <w:bottom w:val="none" w:sz="0" w:space="0" w:color="auto"/>
        <w:right w:val="none" w:sz="0" w:space="0" w:color="auto"/>
      </w:divBdr>
    </w:div>
    <w:div w:id="874538317">
      <w:marLeft w:val="0"/>
      <w:marRight w:val="0"/>
      <w:marTop w:val="120"/>
      <w:marBottom w:val="0"/>
      <w:divBdr>
        <w:top w:val="none" w:sz="0" w:space="0" w:color="auto"/>
        <w:left w:val="none" w:sz="0" w:space="0" w:color="auto"/>
        <w:bottom w:val="none" w:sz="0" w:space="0" w:color="auto"/>
        <w:right w:val="none" w:sz="0" w:space="0" w:color="auto"/>
      </w:divBdr>
    </w:div>
    <w:div w:id="875431589">
      <w:marLeft w:val="0"/>
      <w:marRight w:val="0"/>
      <w:marTop w:val="200"/>
      <w:marBottom w:val="0"/>
      <w:divBdr>
        <w:top w:val="none" w:sz="0" w:space="0" w:color="auto"/>
        <w:left w:val="none" w:sz="0" w:space="0" w:color="auto"/>
        <w:bottom w:val="none" w:sz="0" w:space="0" w:color="auto"/>
        <w:right w:val="none" w:sz="0" w:space="0" w:color="auto"/>
      </w:divBdr>
    </w:div>
    <w:div w:id="876893340">
      <w:marLeft w:val="0"/>
      <w:marRight w:val="0"/>
      <w:marTop w:val="120"/>
      <w:marBottom w:val="0"/>
      <w:divBdr>
        <w:top w:val="none" w:sz="0" w:space="0" w:color="auto"/>
        <w:left w:val="none" w:sz="0" w:space="0" w:color="auto"/>
        <w:bottom w:val="none" w:sz="0" w:space="0" w:color="auto"/>
        <w:right w:val="none" w:sz="0" w:space="0" w:color="auto"/>
      </w:divBdr>
    </w:div>
    <w:div w:id="877399917">
      <w:marLeft w:val="0"/>
      <w:marRight w:val="0"/>
      <w:marTop w:val="120"/>
      <w:marBottom w:val="0"/>
      <w:divBdr>
        <w:top w:val="none" w:sz="0" w:space="0" w:color="auto"/>
        <w:left w:val="none" w:sz="0" w:space="0" w:color="auto"/>
        <w:bottom w:val="none" w:sz="0" w:space="0" w:color="auto"/>
        <w:right w:val="none" w:sz="0" w:space="0" w:color="auto"/>
      </w:divBdr>
    </w:div>
    <w:div w:id="879896990">
      <w:marLeft w:val="0"/>
      <w:marRight w:val="0"/>
      <w:marTop w:val="120"/>
      <w:marBottom w:val="0"/>
      <w:divBdr>
        <w:top w:val="none" w:sz="0" w:space="0" w:color="auto"/>
        <w:left w:val="none" w:sz="0" w:space="0" w:color="auto"/>
        <w:bottom w:val="none" w:sz="0" w:space="0" w:color="auto"/>
        <w:right w:val="none" w:sz="0" w:space="0" w:color="auto"/>
      </w:divBdr>
    </w:div>
    <w:div w:id="880018827">
      <w:marLeft w:val="0"/>
      <w:marRight w:val="0"/>
      <w:marTop w:val="120"/>
      <w:marBottom w:val="0"/>
      <w:divBdr>
        <w:top w:val="none" w:sz="0" w:space="0" w:color="auto"/>
        <w:left w:val="none" w:sz="0" w:space="0" w:color="auto"/>
        <w:bottom w:val="none" w:sz="0" w:space="0" w:color="auto"/>
        <w:right w:val="none" w:sz="0" w:space="0" w:color="auto"/>
      </w:divBdr>
    </w:div>
    <w:div w:id="883296266">
      <w:marLeft w:val="0"/>
      <w:marRight w:val="0"/>
      <w:marTop w:val="120"/>
      <w:marBottom w:val="0"/>
      <w:divBdr>
        <w:top w:val="none" w:sz="0" w:space="0" w:color="auto"/>
        <w:left w:val="none" w:sz="0" w:space="0" w:color="auto"/>
        <w:bottom w:val="none" w:sz="0" w:space="0" w:color="auto"/>
        <w:right w:val="none" w:sz="0" w:space="0" w:color="auto"/>
      </w:divBdr>
    </w:div>
    <w:div w:id="887378677">
      <w:marLeft w:val="0"/>
      <w:marRight w:val="0"/>
      <w:marTop w:val="120"/>
      <w:marBottom w:val="0"/>
      <w:divBdr>
        <w:top w:val="none" w:sz="0" w:space="0" w:color="auto"/>
        <w:left w:val="none" w:sz="0" w:space="0" w:color="auto"/>
        <w:bottom w:val="none" w:sz="0" w:space="0" w:color="auto"/>
        <w:right w:val="none" w:sz="0" w:space="0" w:color="auto"/>
      </w:divBdr>
    </w:div>
    <w:div w:id="888801249">
      <w:marLeft w:val="0"/>
      <w:marRight w:val="0"/>
      <w:marTop w:val="120"/>
      <w:marBottom w:val="0"/>
      <w:divBdr>
        <w:top w:val="none" w:sz="0" w:space="0" w:color="auto"/>
        <w:left w:val="none" w:sz="0" w:space="0" w:color="auto"/>
        <w:bottom w:val="none" w:sz="0" w:space="0" w:color="auto"/>
        <w:right w:val="none" w:sz="0" w:space="0" w:color="auto"/>
      </w:divBdr>
    </w:div>
    <w:div w:id="908736912">
      <w:marLeft w:val="0"/>
      <w:marRight w:val="0"/>
      <w:marTop w:val="120"/>
      <w:marBottom w:val="0"/>
      <w:divBdr>
        <w:top w:val="none" w:sz="0" w:space="0" w:color="auto"/>
        <w:left w:val="none" w:sz="0" w:space="0" w:color="auto"/>
        <w:bottom w:val="none" w:sz="0" w:space="0" w:color="auto"/>
        <w:right w:val="none" w:sz="0" w:space="0" w:color="auto"/>
      </w:divBdr>
    </w:div>
    <w:div w:id="912662332">
      <w:marLeft w:val="0"/>
      <w:marRight w:val="0"/>
      <w:marTop w:val="120"/>
      <w:marBottom w:val="0"/>
      <w:divBdr>
        <w:top w:val="none" w:sz="0" w:space="0" w:color="auto"/>
        <w:left w:val="none" w:sz="0" w:space="0" w:color="auto"/>
        <w:bottom w:val="none" w:sz="0" w:space="0" w:color="auto"/>
        <w:right w:val="none" w:sz="0" w:space="0" w:color="auto"/>
      </w:divBdr>
    </w:div>
    <w:div w:id="914512579">
      <w:marLeft w:val="0"/>
      <w:marRight w:val="0"/>
      <w:marTop w:val="120"/>
      <w:marBottom w:val="0"/>
      <w:divBdr>
        <w:top w:val="none" w:sz="0" w:space="0" w:color="auto"/>
        <w:left w:val="none" w:sz="0" w:space="0" w:color="auto"/>
        <w:bottom w:val="none" w:sz="0" w:space="0" w:color="auto"/>
        <w:right w:val="none" w:sz="0" w:space="0" w:color="auto"/>
      </w:divBdr>
    </w:div>
    <w:div w:id="920455008">
      <w:marLeft w:val="0"/>
      <w:marRight w:val="0"/>
      <w:marTop w:val="120"/>
      <w:marBottom w:val="0"/>
      <w:divBdr>
        <w:top w:val="none" w:sz="0" w:space="0" w:color="auto"/>
        <w:left w:val="none" w:sz="0" w:space="0" w:color="auto"/>
        <w:bottom w:val="none" w:sz="0" w:space="0" w:color="auto"/>
        <w:right w:val="none" w:sz="0" w:space="0" w:color="auto"/>
      </w:divBdr>
    </w:div>
    <w:div w:id="932393449">
      <w:marLeft w:val="0"/>
      <w:marRight w:val="0"/>
      <w:marTop w:val="120"/>
      <w:marBottom w:val="0"/>
      <w:divBdr>
        <w:top w:val="none" w:sz="0" w:space="0" w:color="auto"/>
        <w:left w:val="none" w:sz="0" w:space="0" w:color="auto"/>
        <w:bottom w:val="none" w:sz="0" w:space="0" w:color="auto"/>
        <w:right w:val="none" w:sz="0" w:space="0" w:color="auto"/>
      </w:divBdr>
    </w:div>
    <w:div w:id="935215614">
      <w:marLeft w:val="0"/>
      <w:marRight w:val="0"/>
      <w:marTop w:val="120"/>
      <w:marBottom w:val="0"/>
      <w:divBdr>
        <w:top w:val="none" w:sz="0" w:space="0" w:color="auto"/>
        <w:left w:val="none" w:sz="0" w:space="0" w:color="auto"/>
        <w:bottom w:val="none" w:sz="0" w:space="0" w:color="auto"/>
        <w:right w:val="none" w:sz="0" w:space="0" w:color="auto"/>
      </w:divBdr>
    </w:div>
    <w:div w:id="939293682">
      <w:marLeft w:val="0"/>
      <w:marRight w:val="0"/>
      <w:marTop w:val="120"/>
      <w:marBottom w:val="0"/>
      <w:divBdr>
        <w:top w:val="none" w:sz="0" w:space="0" w:color="auto"/>
        <w:left w:val="none" w:sz="0" w:space="0" w:color="auto"/>
        <w:bottom w:val="none" w:sz="0" w:space="0" w:color="auto"/>
        <w:right w:val="none" w:sz="0" w:space="0" w:color="auto"/>
      </w:divBdr>
    </w:div>
    <w:div w:id="940257985">
      <w:marLeft w:val="0"/>
      <w:marRight w:val="0"/>
      <w:marTop w:val="0"/>
      <w:marBottom w:val="0"/>
      <w:divBdr>
        <w:top w:val="none" w:sz="0" w:space="0" w:color="auto"/>
        <w:left w:val="none" w:sz="0" w:space="0" w:color="auto"/>
        <w:bottom w:val="none" w:sz="0" w:space="0" w:color="auto"/>
        <w:right w:val="none" w:sz="0" w:space="0" w:color="auto"/>
      </w:divBdr>
      <w:divsChild>
        <w:div w:id="831991916">
          <w:marLeft w:val="0"/>
          <w:marRight w:val="0"/>
          <w:marTop w:val="0"/>
          <w:marBottom w:val="0"/>
          <w:divBdr>
            <w:top w:val="none" w:sz="0" w:space="0" w:color="auto"/>
            <w:left w:val="none" w:sz="0" w:space="0" w:color="auto"/>
            <w:bottom w:val="none" w:sz="0" w:space="0" w:color="auto"/>
            <w:right w:val="none" w:sz="0" w:space="0" w:color="auto"/>
          </w:divBdr>
        </w:div>
      </w:divsChild>
    </w:div>
    <w:div w:id="940914866">
      <w:marLeft w:val="0"/>
      <w:marRight w:val="0"/>
      <w:marTop w:val="120"/>
      <w:marBottom w:val="0"/>
      <w:divBdr>
        <w:top w:val="none" w:sz="0" w:space="0" w:color="auto"/>
        <w:left w:val="none" w:sz="0" w:space="0" w:color="auto"/>
        <w:bottom w:val="none" w:sz="0" w:space="0" w:color="auto"/>
        <w:right w:val="none" w:sz="0" w:space="0" w:color="auto"/>
      </w:divBdr>
    </w:div>
    <w:div w:id="941766059">
      <w:marLeft w:val="0"/>
      <w:marRight w:val="0"/>
      <w:marTop w:val="120"/>
      <w:marBottom w:val="0"/>
      <w:divBdr>
        <w:top w:val="none" w:sz="0" w:space="0" w:color="auto"/>
        <w:left w:val="none" w:sz="0" w:space="0" w:color="auto"/>
        <w:bottom w:val="none" w:sz="0" w:space="0" w:color="auto"/>
        <w:right w:val="none" w:sz="0" w:space="0" w:color="auto"/>
      </w:divBdr>
    </w:div>
    <w:div w:id="945773684">
      <w:marLeft w:val="0"/>
      <w:marRight w:val="0"/>
      <w:marTop w:val="120"/>
      <w:marBottom w:val="0"/>
      <w:divBdr>
        <w:top w:val="none" w:sz="0" w:space="0" w:color="auto"/>
        <w:left w:val="none" w:sz="0" w:space="0" w:color="auto"/>
        <w:bottom w:val="none" w:sz="0" w:space="0" w:color="auto"/>
        <w:right w:val="none" w:sz="0" w:space="0" w:color="auto"/>
      </w:divBdr>
    </w:div>
    <w:div w:id="946961544">
      <w:marLeft w:val="0"/>
      <w:marRight w:val="0"/>
      <w:marTop w:val="120"/>
      <w:marBottom w:val="0"/>
      <w:divBdr>
        <w:top w:val="none" w:sz="0" w:space="0" w:color="auto"/>
        <w:left w:val="none" w:sz="0" w:space="0" w:color="auto"/>
        <w:bottom w:val="none" w:sz="0" w:space="0" w:color="auto"/>
        <w:right w:val="none" w:sz="0" w:space="0" w:color="auto"/>
      </w:divBdr>
    </w:div>
    <w:div w:id="948005799">
      <w:marLeft w:val="0"/>
      <w:marRight w:val="0"/>
      <w:marTop w:val="120"/>
      <w:marBottom w:val="0"/>
      <w:divBdr>
        <w:top w:val="none" w:sz="0" w:space="0" w:color="auto"/>
        <w:left w:val="none" w:sz="0" w:space="0" w:color="auto"/>
        <w:bottom w:val="none" w:sz="0" w:space="0" w:color="auto"/>
        <w:right w:val="none" w:sz="0" w:space="0" w:color="auto"/>
      </w:divBdr>
    </w:div>
    <w:div w:id="948271567">
      <w:marLeft w:val="0"/>
      <w:marRight w:val="0"/>
      <w:marTop w:val="0"/>
      <w:marBottom w:val="0"/>
      <w:divBdr>
        <w:top w:val="none" w:sz="0" w:space="0" w:color="auto"/>
        <w:left w:val="none" w:sz="0" w:space="0" w:color="auto"/>
        <w:bottom w:val="none" w:sz="0" w:space="0" w:color="auto"/>
        <w:right w:val="none" w:sz="0" w:space="0" w:color="auto"/>
      </w:divBdr>
      <w:divsChild>
        <w:div w:id="574976733">
          <w:marLeft w:val="0"/>
          <w:marRight w:val="0"/>
          <w:marTop w:val="0"/>
          <w:marBottom w:val="0"/>
          <w:divBdr>
            <w:top w:val="none" w:sz="0" w:space="0" w:color="auto"/>
            <w:left w:val="none" w:sz="0" w:space="0" w:color="auto"/>
            <w:bottom w:val="none" w:sz="0" w:space="0" w:color="auto"/>
            <w:right w:val="none" w:sz="0" w:space="0" w:color="auto"/>
          </w:divBdr>
        </w:div>
      </w:divsChild>
    </w:div>
    <w:div w:id="951205513">
      <w:marLeft w:val="0"/>
      <w:marRight w:val="0"/>
      <w:marTop w:val="360"/>
      <w:marBottom w:val="0"/>
      <w:divBdr>
        <w:top w:val="none" w:sz="0" w:space="0" w:color="auto"/>
        <w:left w:val="none" w:sz="0" w:space="0" w:color="auto"/>
        <w:bottom w:val="none" w:sz="0" w:space="0" w:color="auto"/>
        <w:right w:val="none" w:sz="0" w:space="0" w:color="auto"/>
      </w:divBdr>
    </w:div>
    <w:div w:id="951396829">
      <w:marLeft w:val="0"/>
      <w:marRight w:val="0"/>
      <w:marTop w:val="360"/>
      <w:marBottom w:val="0"/>
      <w:divBdr>
        <w:top w:val="none" w:sz="0" w:space="0" w:color="auto"/>
        <w:left w:val="none" w:sz="0" w:space="0" w:color="auto"/>
        <w:bottom w:val="none" w:sz="0" w:space="0" w:color="auto"/>
        <w:right w:val="none" w:sz="0" w:space="0" w:color="auto"/>
      </w:divBdr>
    </w:div>
    <w:div w:id="954872896">
      <w:marLeft w:val="0"/>
      <w:marRight w:val="0"/>
      <w:marTop w:val="120"/>
      <w:marBottom w:val="0"/>
      <w:divBdr>
        <w:top w:val="none" w:sz="0" w:space="0" w:color="auto"/>
        <w:left w:val="none" w:sz="0" w:space="0" w:color="auto"/>
        <w:bottom w:val="none" w:sz="0" w:space="0" w:color="auto"/>
        <w:right w:val="none" w:sz="0" w:space="0" w:color="auto"/>
      </w:divBdr>
    </w:div>
    <w:div w:id="957373488">
      <w:marLeft w:val="0"/>
      <w:marRight w:val="0"/>
      <w:marTop w:val="120"/>
      <w:marBottom w:val="0"/>
      <w:divBdr>
        <w:top w:val="none" w:sz="0" w:space="0" w:color="auto"/>
        <w:left w:val="none" w:sz="0" w:space="0" w:color="auto"/>
        <w:bottom w:val="none" w:sz="0" w:space="0" w:color="auto"/>
        <w:right w:val="none" w:sz="0" w:space="0" w:color="auto"/>
      </w:divBdr>
    </w:div>
    <w:div w:id="958339617">
      <w:marLeft w:val="0"/>
      <w:marRight w:val="0"/>
      <w:marTop w:val="120"/>
      <w:marBottom w:val="0"/>
      <w:divBdr>
        <w:top w:val="none" w:sz="0" w:space="0" w:color="auto"/>
        <w:left w:val="none" w:sz="0" w:space="0" w:color="auto"/>
        <w:bottom w:val="none" w:sz="0" w:space="0" w:color="auto"/>
        <w:right w:val="none" w:sz="0" w:space="0" w:color="auto"/>
      </w:divBdr>
    </w:div>
    <w:div w:id="962803950">
      <w:marLeft w:val="0"/>
      <w:marRight w:val="0"/>
      <w:marTop w:val="120"/>
      <w:marBottom w:val="0"/>
      <w:divBdr>
        <w:top w:val="none" w:sz="0" w:space="0" w:color="auto"/>
        <w:left w:val="none" w:sz="0" w:space="0" w:color="auto"/>
        <w:bottom w:val="none" w:sz="0" w:space="0" w:color="auto"/>
        <w:right w:val="none" w:sz="0" w:space="0" w:color="auto"/>
      </w:divBdr>
    </w:div>
    <w:div w:id="964234750">
      <w:marLeft w:val="0"/>
      <w:marRight w:val="0"/>
      <w:marTop w:val="120"/>
      <w:marBottom w:val="0"/>
      <w:divBdr>
        <w:top w:val="none" w:sz="0" w:space="0" w:color="auto"/>
        <w:left w:val="none" w:sz="0" w:space="0" w:color="auto"/>
        <w:bottom w:val="none" w:sz="0" w:space="0" w:color="auto"/>
        <w:right w:val="none" w:sz="0" w:space="0" w:color="auto"/>
      </w:divBdr>
    </w:div>
    <w:div w:id="967124393">
      <w:marLeft w:val="0"/>
      <w:marRight w:val="0"/>
      <w:marTop w:val="0"/>
      <w:marBottom w:val="0"/>
      <w:divBdr>
        <w:top w:val="none" w:sz="0" w:space="0" w:color="auto"/>
        <w:left w:val="none" w:sz="0" w:space="0" w:color="auto"/>
        <w:bottom w:val="none" w:sz="0" w:space="0" w:color="auto"/>
        <w:right w:val="none" w:sz="0" w:space="0" w:color="auto"/>
      </w:divBdr>
      <w:divsChild>
        <w:div w:id="814877742">
          <w:marLeft w:val="0"/>
          <w:marRight w:val="0"/>
          <w:marTop w:val="0"/>
          <w:marBottom w:val="0"/>
          <w:divBdr>
            <w:top w:val="none" w:sz="0" w:space="0" w:color="auto"/>
            <w:left w:val="none" w:sz="0" w:space="0" w:color="auto"/>
            <w:bottom w:val="none" w:sz="0" w:space="0" w:color="auto"/>
            <w:right w:val="none" w:sz="0" w:space="0" w:color="auto"/>
          </w:divBdr>
        </w:div>
      </w:divsChild>
    </w:div>
    <w:div w:id="968392635">
      <w:marLeft w:val="0"/>
      <w:marRight w:val="0"/>
      <w:marTop w:val="120"/>
      <w:marBottom w:val="0"/>
      <w:divBdr>
        <w:top w:val="none" w:sz="0" w:space="0" w:color="auto"/>
        <w:left w:val="none" w:sz="0" w:space="0" w:color="auto"/>
        <w:bottom w:val="none" w:sz="0" w:space="0" w:color="auto"/>
        <w:right w:val="none" w:sz="0" w:space="0" w:color="auto"/>
      </w:divBdr>
    </w:div>
    <w:div w:id="970327755">
      <w:marLeft w:val="0"/>
      <w:marRight w:val="0"/>
      <w:marTop w:val="120"/>
      <w:marBottom w:val="0"/>
      <w:divBdr>
        <w:top w:val="none" w:sz="0" w:space="0" w:color="auto"/>
        <w:left w:val="none" w:sz="0" w:space="0" w:color="auto"/>
        <w:bottom w:val="none" w:sz="0" w:space="0" w:color="auto"/>
        <w:right w:val="none" w:sz="0" w:space="0" w:color="auto"/>
      </w:divBdr>
    </w:div>
    <w:div w:id="975569723">
      <w:marLeft w:val="0"/>
      <w:marRight w:val="0"/>
      <w:marTop w:val="120"/>
      <w:marBottom w:val="0"/>
      <w:divBdr>
        <w:top w:val="none" w:sz="0" w:space="0" w:color="auto"/>
        <w:left w:val="none" w:sz="0" w:space="0" w:color="auto"/>
        <w:bottom w:val="none" w:sz="0" w:space="0" w:color="auto"/>
        <w:right w:val="none" w:sz="0" w:space="0" w:color="auto"/>
      </w:divBdr>
    </w:div>
    <w:div w:id="976840915">
      <w:marLeft w:val="0"/>
      <w:marRight w:val="0"/>
      <w:marTop w:val="120"/>
      <w:marBottom w:val="0"/>
      <w:divBdr>
        <w:top w:val="none" w:sz="0" w:space="0" w:color="auto"/>
        <w:left w:val="none" w:sz="0" w:space="0" w:color="auto"/>
        <w:bottom w:val="none" w:sz="0" w:space="0" w:color="auto"/>
        <w:right w:val="none" w:sz="0" w:space="0" w:color="auto"/>
      </w:divBdr>
    </w:div>
    <w:div w:id="977760795">
      <w:marLeft w:val="0"/>
      <w:marRight w:val="0"/>
      <w:marTop w:val="120"/>
      <w:marBottom w:val="0"/>
      <w:divBdr>
        <w:top w:val="none" w:sz="0" w:space="0" w:color="auto"/>
        <w:left w:val="none" w:sz="0" w:space="0" w:color="auto"/>
        <w:bottom w:val="none" w:sz="0" w:space="0" w:color="auto"/>
        <w:right w:val="none" w:sz="0" w:space="0" w:color="auto"/>
      </w:divBdr>
    </w:div>
    <w:div w:id="979849244">
      <w:marLeft w:val="0"/>
      <w:marRight w:val="0"/>
      <w:marTop w:val="0"/>
      <w:marBottom w:val="0"/>
      <w:divBdr>
        <w:top w:val="none" w:sz="0" w:space="0" w:color="auto"/>
        <w:left w:val="none" w:sz="0" w:space="0" w:color="auto"/>
        <w:bottom w:val="none" w:sz="0" w:space="0" w:color="auto"/>
        <w:right w:val="none" w:sz="0" w:space="0" w:color="auto"/>
      </w:divBdr>
      <w:divsChild>
        <w:div w:id="1292663124">
          <w:marLeft w:val="0"/>
          <w:marRight w:val="0"/>
          <w:marTop w:val="0"/>
          <w:marBottom w:val="0"/>
          <w:divBdr>
            <w:top w:val="none" w:sz="0" w:space="0" w:color="auto"/>
            <w:left w:val="none" w:sz="0" w:space="0" w:color="auto"/>
            <w:bottom w:val="none" w:sz="0" w:space="0" w:color="auto"/>
            <w:right w:val="none" w:sz="0" w:space="0" w:color="auto"/>
          </w:divBdr>
        </w:div>
      </w:divsChild>
    </w:div>
    <w:div w:id="983849621">
      <w:marLeft w:val="0"/>
      <w:marRight w:val="0"/>
      <w:marTop w:val="120"/>
      <w:marBottom w:val="0"/>
      <w:divBdr>
        <w:top w:val="none" w:sz="0" w:space="0" w:color="auto"/>
        <w:left w:val="none" w:sz="0" w:space="0" w:color="auto"/>
        <w:bottom w:val="none" w:sz="0" w:space="0" w:color="auto"/>
        <w:right w:val="none" w:sz="0" w:space="0" w:color="auto"/>
      </w:divBdr>
    </w:div>
    <w:div w:id="985400825">
      <w:marLeft w:val="0"/>
      <w:marRight w:val="0"/>
      <w:marTop w:val="120"/>
      <w:marBottom w:val="0"/>
      <w:divBdr>
        <w:top w:val="none" w:sz="0" w:space="0" w:color="auto"/>
        <w:left w:val="none" w:sz="0" w:space="0" w:color="auto"/>
        <w:bottom w:val="none" w:sz="0" w:space="0" w:color="auto"/>
        <w:right w:val="none" w:sz="0" w:space="0" w:color="auto"/>
      </w:divBdr>
    </w:div>
    <w:div w:id="991300510">
      <w:marLeft w:val="0"/>
      <w:marRight w:val="0"/>
      <w:marTop w:val="0"/>
      <w:marBottom w:val="0"/>
      <w:divBdr>
        <w:top w:val="none" w:sz="0" w:space="0" w:color="auto"/>
        <w:left w:val="none" w:sz="0" w:space="0" w:color="auto"/>
        <w:bottom w:val="none" w:sz="0" w:space="0" w:color="auto"/>
        <w:right w:val="none" w:sz="0" w:space="0" w:color="auto"/>
      </w:divBdr>
      <w:divsChild>
        <w:div w:id="2016565582">
          <w:marLeft w:val="0"/>
          <w:marRight w:val="0"/>
          <w:marTop w:val="0"/>
          <w:marBottom w:val="0"/>
          <w:divBdr>
            <w:top w:val="none" w:sz="0" w:space="0" w:color="auto"/>
            <w:left w:val="none" w:sz="0" w:space="0" w:color="auto"/>
            <w:bottom w:val="none" w:sz="0" w:space="0" w:color="auto"/>
            <w:right w:val="none" w:sz="0" w:space="0" w:color="auto"/>
          </w:divBdr>
        </w:div>
      </w:divsChild>
    </w:div>
    <w:div w:id="995498830">
      <w:marLeft w:val="0"/>
      <w:marRight w:val="0"/>
      <w:marTop w:val="120"/>
      <w:marBottom w:val="0"/>
      <w:divBdr>
        <w:top w:val="none" w:sz="0" w:space="0" w:color="auto"/>
        <w:left w:val="none" w:sz="0" w:space="0" w:color="auto"/>
        <w:bottom w:val="none" w:sz="0" w:space="0" w:color="auto"/>
        <w:right w:val="none" w:sz="0" w:space="0" w:color="auto"/>
      </w:divBdr>
    </w:div>
    <w:div w:id="996421472">
      <w:marLeft w:val="0"/>
      <w:marRight w:val="0"/>
      <w:marTop w:val="120"/>
      <w:marBottom w:val="0"/>
      <w:divBdr>
        <w:top w:val="none" w:sz="0" w:space="0" w:color="auto"/>
        <w:left w:val="none" w:sz="0" w:space="0" w:color="auto"/>
        <w:bottom w:val="none" w:sz="0" w:space="0" w:color="auto"/>
        <w:right w:val="none" w:sz="0" w:space="0" w:color="auto"/>
      </w:divBdr>
    </w:div>
    <w:div w:id="998997488">
      <w:marLeft w:val="0"/>
      <w:marRight w:val="0"/>
      <w:marTop w:val="120"/>
      <w:marBottom w:val="0"/>
      <w:divBdr>
        <w:top w:val="none" w:sz="0" w:space="0" w:color="auto"/>
        <w:left w:val="none" w:sz="0" w:space="0" w:color="auto"/>
        <w:bottom w:val="none" w:sz="0" w:space="0" w:color="auto"/>
        <w:right w:val="none" w:sz="0" w:space="0" w:color="auto"/>
      </w:divBdr>
    </w:div>
    <w:div w:id="1004166229">
      <w:marLeft w:val="0"/>
      <w:marRight w:val="0"/>
      <w:marTop w:val="0"/>
      <w:marBottom w:val="0"/>
      <w:divBdr>
        <w:top w:val="none" w:sz="0" w:space="0" w:color="auto"/>
        <w:left w:val="none" w:sz="0" w:space="0" w:color="auto"/>
        <w:bottom w:val="none" w:sz="0" w:space="0" w:color="auto"/>
        <w:right w:val="none" w:sz="0" w:space="0" w:color="auto"/>
      </w:divBdr>
      <w:divsChild>
        <w:div w:id="222910855">
          <w:marLeft w:val="0"/>
          <w:marRight w:val="0"/>
          <w:marTop w:val="0"/>
          <w:marBottom w:val="0"/>
          <w:divBdr>
            <w:top w:val="none" w:sz="0" w:space="0" w:color="auto"/>
            <w:left w:val="none" w:sz="0" w:space="0" w:color="auto"/>
            <w:bottom w:val="none" w:sz="0" w:space="0" w:color="auto"/>
            <w:right w:val="none" w:sz="0" w:space="0" w:color="auto"/>
          </w:divBdr>
        </w:div>
      </w:divsChild>
    </w:div>
    <w:div w:id="1004239862">
      <w:marLeft w:val="0"/>
      <w:marRight w:val="0"/>
      <w:marTop w:val="120"/>
      <w:marBottom w:val="0"/>
      <w:divBdr>
        <w:top w:val="none" w:sz="0" w:space="0" w:color="auto"/>
        <w:left w:val="none" w:sz="0" w:space="0" w:color="auto"/>
        <w:bottom w:val="none" w:sz="0" w:space="0" w:color="auto"/>
        <w:right w:val="none" w:sz="0" w:space="0" w:color="auto"/>
      </w:divBdr>
    </w:div>
    <w:div w:id="1004405548">
      <w:marLeft w:val="0"/>
      <w:marRight w:val="0"/>
      <w:marTop w:val="120"/>
      <w:marBottom w:val="0"/>
      <w:divBdr>
        <w:top w:val="none" w:sz="0" w:space="0" w:color="auto"/>
        <w:left w:val="none" w:sz="0" w:space="0" w:color="auto"/>
        <w:bottom w:val="none" w:sz="0" w:space="0" w:color="auto"/>
        <w:right w:val="none" w:sz="0" w:space="0" w:color="auto"/>
      </w:divBdr>
    </w:div>
    <w:div w:id="1005136056">
      <w:marLeft w:val="0"/>
      <w:marRight w:val="0"/>
      <w:marTop w:val="120"/>
      <w:marBottom w:val="0"/>
      <w:divBdr>
        <w:top w:val="none" w:sz="0" w:space="0" w:color="auto"/>
        <w:left w:val="none" w:sz="0" w:space="0" w:color="auto"/>
        <w:bottom w:val="none" w:sz="0" w:space="0" w:color="auto"/>
        <w:right w:val="none" w:sz="0" w:space="0" w:color="auto"/>
      </w:divBdr>
    </w:div>
    <w:div w:id="1005284942">
      <w:marLeft w:val="0"/>
      <w:marRight w:val="0"/>
      <w:marTop w:val="120"/>
      <w:marBottom w:val="0"/>
      <w:divBdr>
        <w:top w:val="none" w:sz="0" w:space="0" w:color="auto"/>
        <w:left w:val="none" w:sz="0" w:space="0" w:color="auto"/>
        <w:bottom w:val="none" w:sz="0" w:space="0" w:color="auto"/>
        <w:right w:val="none" w:sz="0" w:space="0" w:color="auto"/>
      </w:divBdr>
    </w:div>
    <w:div w:id="1005862774">
      <w:marLeft w:val="0"/>
      <w:marRight w:val="0"/>
      <w:marTop w:val="120"/>
      <w:marBottom w:val="0"/>
      <w:divBdr>
        <w:top w:val="none" w:sz="0" w:space="0" w:color="auto"/>
        <w:left w:val="none" w:sz="0" w:space="0" w:color="auto"/>
        <w:bottom w:val="none" w:sz="0" w:space="0" w:color="auto"/>
        <w:right w:val="none" w:sz="0" w:space="0" w:color="auto"/>
      </w:divBdr>
    </w:div>
    <w:div w:id="1008752189">
      <w:marLeft w:val="0"/>
      <w:marRight w:val="0"/>
      <w:marTop w:val="120"/>
      <w:marBottom w:val="0"/>
      <w:divBdr>
        <w:top w:val="none" w:sz="0" w:space="0" w:color="auto"/>
        <w:left w:val="none" w:sz="0" w:space="0" w:color="auto"/>
        <w:bottom w:val="none" w:sz="0" w:space="0" w:color="auto"/>
        <w:right w:val="none" w:sz="0" w:space="0" w:color="auto"/>
      </w:divBdr>
    </w:div>
    <w:div w:id="1009334048">
      <w:marLeft w:val="0"/>
      <w:marRight w:val="0"/>
      <w:marTop w:val="0"/>
      <w:marBottom w:val="0"/>
      <w:divBdr>
        <w:top w:val="none" w:sz="0" w:space="0" w:color="auto"/>
        <w:left w:val="none" w:sz="0" w:space="0" w:color="auto"/>
        <w:bottom w:val="none" w:sz="0" w:space="0" w:color="auto"/>
        <w:right w:val="none" w:sz="0" w:space="0" w:color="auto"/>
      </w:divBdr>
      <w:divsChild>
        <w:div w:id="560137711">
          <w:marLeft w:val="0"/>
          <w:marRight w:val="0"/>
          <w:marTop w:val="0"/>
          <w:marBottom w:val="0"/>
          <w:divBdr>
            <w:top w:val="none" w:sz="0" w:space="0" w:color="auto"/>
            <w:left w:val="none" w:sz="0" w:space="0" w:color="auto"/>
            <w:bottom w:val="none" w:sz="0" w:space="0" w:color="auto"/>
            <w:right w:val="none" w:sz="0" w:space="0" w:color="auto"/>
          </w:divBdr>
        </w:div>
      </w:divsChild>
    </w:div>
    <w:div w:id="1013998707">
      <w:marLeft w:val="0"/>
      <w:marRight w:val="0"/>
      <w:marTop w:val="120"/>
      <w:marBottom w:val="0"/>
      <w:divBdr>
        <w:top w:val="none" w:sz="0" w:space="0" w:color="auto"/>
        <w:left w:val="none" w:sz="0" w:space="0" w:color="auto"/>
        <w:bottom w:val="none" w:sz="0" w:space="0" w:color="auto"/>
        <w:right w:val="none" w:sz="0" w:space="0" w:color="auto"/>
      </w:divBdr>
    </w:div>
    <w:div w:id="1017315943">
      <w:marLeft w:val="0"/>
      <w:marRight w:val="0"/>
      <w:marTop w:val="120"/>
      <w:marBottom w:val="0"/>
      <w:divBdr>
        <w:top w:val="none" w:sz="0" w:space="0" w:color="auto"/>
        <w:left w:val="none" w:sz="0" w:space="0" w:color="auto"/>
        <w:bottom w:val="none" w:sz="0" w:space="0" w:color="auto"/>
        <w:right w:val="none" w:sz="0" w:space="0" w:color="auto"/>
      </w:divBdr>
    </w:div>
    <w:div w:id="1023895674">
      <w:marLeft w:val="0"/>
      <w:marRight w:val="0"/>
      <w:marTop w:val="120"/>
      <w:marBottom w:val="0"/>
      <w:divBdr>
        <w:top w:val="none" w:sz="0" w:space="0" w:color="auto"/>
        <w:left w:val="none" w:sz="0" w:space="0" w:color="auto"/>
        <w:bottom w:val="none" w:sz="0" w:space="0" w:color="auto"/>
        <w:right w:val="none" w:sz="0" w:space="0" w:color="auto"/>
      </w:divBdr>
    </w:div>
    <w:div w:id="1026714296">
      <w:marLeft w:val="0"/>
      <w:marRight w:val="0"/>
      <w:marTop w:val="120"/>
      <w:marBottom w:val="0"/>
      <w:divBdr>
        <w:top w:val="none" w:sz="0" w:space="0" w:color="auto"/>
        <w:left w:val="none" w:sz="0" w:space="0" w:color="auto"/>
        <w:bottom w:val="none" w:sz="0" w:space="0" w:color="auto"/>
        <w:right w:val="none" w:sz="0" w:space="0" w:color="auto"/>
      </w:divBdr>
    </w:div>
    <w:div w:id="1035040325">
      <w:marLeft w:val="0"/>
      <w:marRight w:val="0"/>
      <w:marTop w:val="0"/>
      <w:marBottom w:val="0"/>
      <w:divBdr>
        <w:top w:val="none" w:sz="0" w:space="0" w:color="auto"/>
        <w:left w:val="none" w:sz="0" w:space="0" w:color="auto"/>
        <w:bottom w:val="none" w:sz="0" w:space="0" w:color="auto"/>
        <w:right w:val="none" w:sz="0" w:space="0" w:color="auto"/>
      </w:divBdr>
      <w:divsChild>
        <w:div w:id="2587615">
          <w:marLeft w:val="0"/>
          <w:marRight w:val="0"/>
          <w:marTop w:val="0"/>
          <w:marBottom w:val="0"/>
          <w:divBdr>
            <w:top w:val="none" w:sz="0" w:space="0" w:color="auto"/>
            <w:left w:val="none" w:sz="0" w:space="0" w:color="auto"/>
            <w:bottom w:val="none" w:sz="0" w:space="0" w:color="auto"/>
            <w:right w:val="none" w:sz="0" w:space="0" w:color="auto"/>
          </w:divBdr>
        </w:div>
      </w:divsChild>
    </w:div>
    <w:div w:id="1036858226">
      <w:marLeft w:val="0"/>
      <w:marRight w:val="0"/>
      <w:marTop w:val="120"/>
      <w:marBottom w:val="0"/>
      <w:divBdr>
        <w:top w:val="none" w:sz="0" w:space="0" w:color="auto"/>
        <w:left w:val="none" w:sz="0" w:space="0" w:color="auto"/>
        <w:bottom w:val="none" w:sz="0" w:space="0" w:color="auto"/>
        <w:right w:val="none" w:sz="0" w:space="0" w:color="auto"/>
      </w:divBdr>
    </w:div>
    <w:div w:id="1045987161">
      <w:marLeft w:val="0"/>
      <w:marRight w:val="0"/>
      <w:marTop w:val="120"/>
      <w:marBottom w:val="0"/>
      <w:divBdr>
        <w:top w:val="none" w:sz="0" w:space="0" w:color="auto"/>
        <w:left w:val="none" w:sz="0" w:space="0" w:color="auto"/>
        <w:bottom w:val="none" w:sz="0" w:space="0" w:color="auto"/>
        <w:right w:val="none" w:sz="0" w:space="0" w:color="auto"/>
      </w:divBdr>
    </w:div>
    <w:div w:id="1046100520">
      <w:marLeft w:val="0"/>
      <w:marRight w:val="0"/>
      <w:marTop w:val="120"/>
      <w:marBottom w:val="0"/>
      <w:divBdr>
        <w:top w:val="none" w:sz="0" w:space="0" w:color="auto"/>
        <w:left w:val="none" w:sz="0" w:space="0" w:color="auto"/>
        <w:bottom w:val="none" w:sz="0" w:space="0" w:color="auto"/>
        <w:right w:val="none" w:sz="0" w:space="0" w:color="auto"/>
      </w:divBdr>
    </w:div>
    <w:div w:id="1047485162">
      <w:marLeft w:val="0"/>
      <w:marRight w:val="0"/>
      <w:marTop w:val="120"/>
      <w:marBottom w:val="0"/>
      <w:divBdr>
        <w:top w:val="none" w:sz="0" w:space="0" w:color="auto"/>
        <w:left w:val="none" w:sz="0" w:space="0" w:color="auto"/>
        <w:bottom w:val="none" w:sz="0" w:space="0" w:color="auto"/>
        <w:right w:val="none" w:sz="0" w:space="0" w:color="auto"/>
      </w:divBdr>
    </w:div>
    <w:div w:id="1048842621">
      <w:marLeft w:val="0"/>
      <w:marRight w:val="0"/>
      <w:marTop w:val="120"/>
      <w:marBottom w:val="0"/>
      <w:divBdr>
        <w:top w:val="none" w:sz="0" w:space="0" w:color="auto"/>
        <w:left w:val="none" w:sz="0" w:space="0" w:color="auto"/>
        <w:bottom w:val="none" w:sz="0" w:space="0" w:color="auto"/>
        <w:right w:val="none" w:sz="0" w:space="0" w:color="auto"/>
      </w:divBdr>
    </w:div>
    <w:div w:id="1049963770">
      <w:marLeft w:val="0"/>
      <w:marRight w:val="0"/>
      <w:marTop w:val="120"/>
      <w:marBottom w:val="0"/>
      <w:divBdr>
        <w:top w:val="none" w:sz="0" w:space="0" w:color="auto"/>
        <w:left w:val="none" w:sz="0" w:space="0" w:color="auto"/>
        <w:bottom w:val="none" w:sz="0" w:space="0" w:color="auto"/>
        <w:right w:val="none" w:sz="0" w:space="0" w:color="auto"/>
      </w:divBdr>
    </w:div>
    <w:div w:id="1053433151">
      <w:marLeft w:val="0"/>
      <w:marRight w:val="0"/>
      <w:marTop w:val="120"/>
      <w:marBottom w:val="0"/>
      <w:divBdr>
        <w:top w:val="none" w:sz="0" w:space="0" w:color="auto"/>
        <w:left w:val="none" w:sz="0" w:space="0" w:color="auto"/>
        <w:bottom w:val="none" w:sz="0" w:space="0" w:color="auto"/>
        <w:right w:val="none" w:sz="0" w:space="0" w:color="auto"/>
      </w:divBdr>
    </w:div>
    <w:div w:id="1054742445">
      <w:marLeft w:val="0"/>
      <w:marRight w:val="0"/>
      <w:marTop w:val="120"/>
      <w:marBottom w:val="0"/>
      <w:divBdr>
        <w:top w:val="none" w:sz="0" w:space="0" w:color="auto"/>
        <w:left w:val="none" w:sz="0" w:space="0" w:color="auto"/>
        <w:bottom w:val="none" w:sz="0" w:space="0" w:color="auto"/>
        <w:right w:val="none" w:sz="0" w:space="0" w:color="auto"/>
      </w:divBdr>
    </w:div>
    <w:div w:id="1057241748">
      <w:marLeft w:val="0"/>
      <w:marRight w:val="0"/>
      <w:marTop w:val="0"/>
      <w:marBottom w:val="0"/>
      <w:divBdr>
        <w:top w:val="none" w:sz="0" w:space="0" w:color="auto"/>
        <w:left w:val="none" w:sz="0" w:space="0" w:color="auto"/>
        <w:bottom w:val="none" w:sz="0" w:space="0" w:color="auto"/>
        <w:right w:val="none" w:sz="0" w:space="0" w:color="auto"/>
      </w:divBdr>
      <w:divsChild>
        <w:div w:id="820150219">
          <w:marLeft w:val="0"/>
          <w:marRight w:val="0"/>
          <w:marTop w:val="360"/>
          <w:marBottom w:val="0"/>
          <w:divBdr>
            <w:top w:val="none" w:sz="0" w:space="0" w:color="auto"/>
            <w:left w:val="none" w:sz="0" w:space="0" w:color="auto"/>
            <w:bottom w:val="none" w:sz="0" w:space="0" w:color="auto"/>
            <w:right w:val="none" w:sz="0" w:space="0" w:color="auto"/>
          </w:divBdr>
        </w:div>
      </w:divsChild>
    </w:div>
    <w:div w:id="1058093710">
      <w:marLeft w:val="0"/>
      <w:marRight w:val="0"/>
      <w:marTop w:val="120"/>
      <w:marBottom w:val="0"/>
      <w:divBdr>
        <w:top w:val="none" w:sz="0" w:space="0" w:color="auto"/>
        <w:left w:val="none" w:sz="0" w:space="0" w:color="auto"/>
        <w:bottom w:val="none" w:sz="0" w:space="0" w:color="auto"/>
        <w:right w:val="none" w:sz="0" w:space="0" w:color="auto"/>
      </w:divBdr>
    </w:div>
    <w:div w:id="1059129240">
      <w:marLeft w:val="0"/>
      <w:marRight w:val="0"/>
      <w:marTop w:val="12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sChild>
        <w:div w:id="1677339956">
          <w:marLeft w:val="0"/>
          <w:marRight w:val="0"/>
          <w:marTop w:val="0"/>
          <w:marBottom w:val="0"/>
          <w:divBdr>
            <w:top w:val="none" w:sz="0" w:space="0" w:color="auto"/>
            <w:left w:val="none" w:sz="0" w:space="0" w:color="auto"/>
            <w:bottom w:val="none" w:sz="0" w:space="0" w:color="auto"/>
            <w:right w:val="none" w:sz="0" w:space="0" w:color="auto"/>
          </w:divBdr>
        </w:div>
      </w:divsChild>
    </w:div>
    <w:div w:id="1063337728">
      <w:marLeft w:val="0"/>
      <w:marRight w:val="0"/>
      <w:marTop w:val="120"/>
      <w:marBottom w:val="0"/>
      <w:divBdr>
        <w:top w:val="none" w:sz="0" w:space="0" w:color="auto"/>
        <w:left w:val="none" w:sz="0" w:space="0" w:color="auto"/>
        <w:bottom w:val="none" w:sz="0" w:space="0" w:color="auto"/>
        <w:right w:val="none" w:sz="0" w:space="0" w:color="auto"/>
      </w:divBdr>
    </w:div>
    <w:div w:id="1065449584">
      <w:marLeft w:val="0"/>
      <w:marRight w:val="0"/>
      <w:marTop w:val="120"/>
      <w:marBottom w:val="0"/>
      <w:divBdr>
        <w:top w:val="none" w:sz="0" w:space="0" w:color="auto"/>
        <w:left w:val="none" w:sz="0" w:space="0" w:color="auto"/>
        <w:bottom w:val="none" w:sz="0" w:space="0" w:color="auto"/>
        <w:right w:val="none" w:sz="0" w:space="0" w:color="auto"/>
      </w:divBdr>
    </w:div>
    <w:div w:id="1065681717">
      <w:marLeft w:val="0"/>
      <w:marRight w:val="0"/>
      <w:marTop w:val="120"/>
      <w:marBottom w:val="0"/>
      <w:divBdr>
        <w:top w:val="none" w:sz="0" w:space="0" w:color="auto"/>
        <w:left w:val="none" w:sz="0" w:space="0" w:color="auto"/>
        <w:bottom w:val="none" w:sz="0" w:space="0" w:color="auto"/>
        <w:right w:val="none" w:sz="0" w:space="0" w:color="auto"/>
      </w:divBdr>
    </w:div>
    <w:div w:id="1072891234">
      <w:marLeft w:val="0"/>
      <w:marRight w:val="0"/>
      <w:marTop w:val="360"/>
      <w:marBottom w:val="0"/>
      <w:divBdr>
        <w:top w:val="none" w:sz="0" w:space="0" w:color="auto"/>
        <w:left w:val="none" w:sz="0" w:space="0" w:color="auto"/>
        <w:bottom w:val="none" w:sz="0" w:space="0" w:color="auto"/>
        <w:right w:val="none" w:sz="0" w:space="0" w:color="auto"/>
      </w:divBdr>
    </w:div>
    <w:div w:id="1073310341">
      <w:marLeft w:val="0"/>
      <w:marRight w:val="0"/>
      <w:marTop w:val="0"/>
      <w:marBottom w:val="0"/>
      <w:divBdr>
        <w:top w:val="none" w:sz="0" w:space="0" w:color="auto"/>
        <w:left w:val="none" w:sz="0" w:space="0" w:color="auto"/>
        <w:bottom w:val="none" w:sz="0" w:space="0" w:color="auto"/>
        <w:right w:val="none" w:sz="0" w:space="0" w:color="auto"/>
      </w:divBdr>
      <w:divsChild>
        <w:div w:id="456488493">
          <w:marLeft w:val="0"/>
          <w:marRight w:val="0"/>
          <w:marTop w:val="360"/>
          <w:marBottom w:val="0"/>
          <w:divBdr>
            <w:top w:val="none" w:sz="0" w:space="0" w:color="auto"/>
            <w:left w:val="none" w:sz="0" w:space="0" w:color="auto"/>
            <w:bottom w:val="none" w:sz="0" w:space="0" w:color="auto"/>
            <w:right w:val="none" w:sz="0" w:space="0" w:color="auto"/>
          </w:divBdr>
        </w:div>
      </w:divsChild>
    </w:div>
    <w:div w:id="1075249383">
      <w:marLeft w:val="0"/>
      <w:marRight w:val="0"/>
      <w:marTop w:val="120"/>
      <w:marBottom w:val="0"/>
      <w:divBdr>
        <w:top w:val="none" w:sz="0" w:space="0" w:color="auto"/>
        <w:left w:val="none" w:sz="0" w:space="0" w:color="auto"/>
        <w:bottom w:val="none" w:sz="0" w:space="0" w:color="auto"/>
        <w:right w:val="none" w:sz="0" w:space="0" w:color="auto"/>
      </w:divBdr>
    </w:div>
    <w:div w:id="1076048750">
      <w:marLeft w:val="0"/>
      <w:marRight w:val="0"/>
      <w:marTop w:val="120"/>
      <w:marBottom w:val="0"/>
      <w:divBdr>
        <w:top w:val="none" w:sz="0" w:space="0" w:color="auto"/>
        <w:left w:val="none" w:sz="0" w:space="0" w:color="auto"/>
        <w:bottom w:val="none" w:sz="0" w:space="0" w:color="auto"/>
        <w:right w:val="none" w:sz="0" w:space="0" w:color="auto"/>
      </w:divBdr>
    </w:div>
    <w:div w:id="1076705288">
      <w:marLeft w:val="0"/>
      <w:marRight w:val="0"/>
      <w:marTop w:val="120"/>
      <w:marBottom w:val="0"/>
      <w:divBdr>
        <w:top w:val="none" w:sz="0" w:space="0" w:color="auto"/>
        <w:left w:val="none" w:sz="0" w:space="0" w:color="auto"/>
        <w:bottom w:val="none" w:sz="0" w:space="0" w:color="auto"/>
        <w:right w:val="none" w:sz="0" w:space="0" w:color="auto"/>
      </w:divBdr>
    </w:div>
    <w:div w:id="1079014735">
      <w:marLeft w:val="0"/>
      <w:marRight w:val="0"/>
      <w:marTop w:val="120"/>
      <w:marBottom w:val="0"/>
      <w:divBdr>
        <w:top w:val="none" w:sz="0" w:space="0" w:color="auto"/>
        <w:left w:val="none" w:sz="0" w:space="0" w:color="auto"/>
        <w:bottom w:val="none" w:sz="0" w:space="0" w:color="auto"/>
        <w:right w:val="none" w:sz="0" w:space="0" w:color="auto"/>
      </w:divBdr>
    </w:div>
    <w:div w:id="1080716608">
      <w:marLeft w:val="0"/>
      <w:marRight w:val="0"/>
      <w:marTop w:val="80"/>
      <w:marBottom w:val="0"/>
      <w:divBdr>
        <w:top w:val="none" w:sz="0" w:space="0" w:color="auto"/>
        <w:left w:val="none" w:sz="0" w:space="0" w:color="auto"/>
        <w:bottom w:val="none" w:sz="0" w:space="0" w:color="auto"/>
        <w:right w:val="none" w:sz="0" w:space="0" w:color="auto"/>
      </w:divBdr>
    </w:div>
    <w:div w:id="1080906042">
      <w:marLeft w:val="0"/>
      <w:marRight w:val="0"/>
      <w:marTop w:val="120"/>
      <w:marBottom w:val="0"/>
      <w:divBdr>
        <w:top w:val="none" w:sz="0" w:space="0" w:color="auto"/>
        <w:left w:val="none" w:sz="0" w:space="0" w:color="auto"/>
        <w:bottom w:val="none" w:sz="0" w:space="0" w:color="auto"/>
        <w:right w:val="none" w:sz="0" w:space="0" w:color="auto"/>
      </w:divBdr>
    </w:div>
    <w:div w:id="1085760410">
      <w:marLeft w:val="0"/>
      <w:marRight w:val="0"/>
      <w:marTop w:val="120"/>
      <w:marBottom w:val="0"/>
      <w:divBdr>
        <w:top w:val="none" w:sz="0" w:space="0" w:color="auto"/>
        <w:left w:val="none" w:sz="0" w:space="0" w:color="auto"/>
        <w:bottom w:val="none" w:sz="0" w:space="0" w:color="auto"/>
        <w:right w:val="none" w:sz="0" w:space="0" w:color="auto"/>
      </w:divBdr>
    </w:div>
    <w:div w:id="1087075233">
      <w:marLeft w:val="0"/>
      <w:marRight w:val="0"/>
      <w:marTop w:val="120"/>
      <w:marBottom w:val="0"/>
      <w:divBdr>
        <w:top w:val="none" w:sz="0" w:space="0" w:color="auto"/>
        <w:left w:val="none" w:sz="0" w:space="0" w:color="auto"/>
        <w:bottom w:val="none" w:sz="0" w:space="0" w:color="auto"/>
        <w:right w:val="none" w:sz="0" w:space="0" w:color="auto"/>
      </w:divBdr>
    </w:div>
    <w:div w:id="1090851330">
      <w:marLeft w:val="0"/>
      <w:marRight w:val="0"/>
      <w:marTop w:val="120"/>
      <w:marBottom w:val="0"/>
      <w:divBdr>
        <w:top w:val="none" w:sz="0" w:space="0" w:color="auto"/>
        <w:left w:val="none" w:sz="0" w:space="0" w:color="auto"/>
        <w:bottom w:val="none" w:sz="0" w:space="0" w:color="auto"/>
        <w:right w:val="none" w:sz="0" w:space="0" w:color="auto"/>
      </w:divBdr>
    </w:div>
    <w:div w:id="1093357343">
      <w:marLeft w:val="0"/>
      <w:marRight w:val="0"/>
      <w:marTop w:val="120"/>
      <w:marBottom w:val="0"/>
      <w:divBdr>
        <w:top w:val="none" w:sz="0" w:space="0" w:color="auto"/>
        <w:left w:val="none" w:sz="0" w:space="0" w:color="auto"/>
        <w:bottom w:val="none" w:sz="0" w:space="0" w:color="auto"/>
        <w:right w:val="none" w:sz="0" w:space="0" w:color="auto"/>
      </w:divBdr>
    </w:div>
    <w:div w:id="1095905760">
      <w:marLeft w:val="0"/>
      <w:marRight w:val="0"/>
      <w:marTop w:val="120"/>
      <w:marBottom w:val="0"/>
      <w:divBdr>
        <w:top w:val="none" w:sz="0" w:space="0" w:color="auto"/>
        <w:left w:val="none" w:sz="0" w:space="0" w:color="auto"/>
        <w:bottom w:val="none" w:sz="0" w:space="0" w:color="auto"/>
        <w:right w:val="none" w:sz="0" w:space="0" w:color="auto"/>
      </w:divBdr>
    </w:div>
    <w:div w:id="1100566187">
      <w:marLeft w:val="0"/>
      <w:marRight w:val="0"/>
      <w:marTop w:val="120"/>
      <w:marBottom w:val="0"/>
      <w:divBdr>
        <w:top w:val="none" w:sz="0" w:space="0" w:color="auto"/>
        <w:left w:val="none" w:sz="0" w:space="0" w:color="auto"/>
        <w:bottom w:val="none" w:sz="0" w:space="0" w:color="auto"/>
        <w:right w:val="none" w:sz="0" w:space="0" w:color="auto"/>
      </w:divBdr>
    </w:div>
    <w:div w:id="1102840450">
      <w:marLeft w:val="0"/>
      <w:marRight w:val="0"/>
      <w:marTop w:val="360"/>
      <w:marBottom w:val="0"/>
      <w:divBdr>
        <w:top w:val="none" w:sz="0" w:space="0" w:color="auto"/>
        <w:left w:val="none" w:sz="0" w:space="0" w:color="auto"/>
        <w:bottom w:val="none" w:sz="0" w:space="0" w:color="auto"/>
        <w:right w:val="none" w:sz="0" w:space="0" w:color="auto"/>
      </w:divBdr>
    </w:div>
    <w:div w:id="1103645311">
      <w:marLeft w:val="0"/>
      <w:marRight w:val="0"/>
      <w:marTop w:val="120"/>
      <w:marBottom w:val="0"/>
      <w:divBdr>
        <w:top w:val="none" w:sz="0" w:space="0" w:color="auto"/>
        <w:left w:val="none" w:sz="0" w:space="0" w:color="auto"/>
        <w:bottom w:val="none" w:sz="0" w:space="0" w:color="auto"/>
        <w:right w:val="none" w:sz="0" w:space="0" w:color="auto"/>
      </w:divBdr>
    </w:div>
    <w:div w:id="1104500952">
      <w:marLeft w:val="0"/>
      <w:marRight w:val="0"/>
      <w:marTop w:val="120"/>
      <w:marBottom w:val="0"/>
      <w:divBdr>
        <w:top w:val="none" w:sz="0" w:space="0" w:color="auto"/>
        <w:left w:val="none" w:sz="0" w:space="0" w:color="auto"/>
        <w:bottom w:val="none" w:sz="0" w:space="0" w:color="auto"/>
        <w:right w:val="none" w:sz="0" w:space="0" w:color="auto"/>
      </w:divBdr>
    </w:div>
    <w:div w:id="1109393549">
      <w:marLeft w:val="0"/>
      <w:marRight w:val="0"/>
      <w:marTop w:val="120"/>
      <w:marBottom w:val="0"/>
      <w:divBdr>
        <w:top w:val="none" w:sz="0" w:space="0" w:color="auto"/>
        <w:left w:val="none" w:sz="0" w:space="0" w:color="auto"/>
        <w:bottom w:val="none" w:sz="0" w:space="0" w:color="auto"/>
        <w:right w:val="none" w:sz="0" w:space="0" w:color="auto"/>
      </w:divBdr>
    </w:div>
    <w:div w:id="1109859927">
      <w:marLeft w:val="0"/>
      <w:marRight w:val="0"/>
      <w:marTop w:val="120"/>
      <w:marBottom w:val="0"/>
      <w:divBdr>
        <w:top w:val="none" w:sz="0" w:space="0" w:color="auto"/>
        <w:left w:val="none" w:sz="0" w:space="0" w:color="auto"/>
        <w:bottom w:val="none" w:sz="0" w:space="0" w:color="auto"/>
        <w:right w:val="none" w:sz="0" w:space="0" w:color="auto"/>
      </w:divBdr>
    </w:div>
    <w:div w:id="1110274789">
      <w:marLeft w:val="0"/>
      <w:marRight w:val="0"/>
      <w:marTop w:val="120"/>
      <w:marBottom w:val="0"/>
      <w:divBdr>
        <w:top w:val="none" w:sz="0" w:space="0" w:color="auto"/>
        <w:left w:val="none" w:sz="0" w:space="0" w:color="auto"/>
        <w:bottom w:val="none" w:sz="0" w:space="0" w:color="auto"/>
        <w:right w:val="none" w:sz="0" w:space="0" w:color="auto"/>
      </w:divBdr>
    </w:div>
    <w:div w:id="1111700727">
      <w:marLeft w:val="0"/>
      <w:marRight w:val="0"/>
      <w:marTop w:val="120"/>
      <w:marBottom w:val="0"/>
      <w:divBdr>
        <w:top w:val="none" w:sz="0" w:space="0" w:color="auto"/>
        <w:left w:val="none" w:sz="0" w:space="0" w:color="auto"/>
        <w:bottom w:val="none" w:sz="0" w:space="0" w:color="auto"/>
        <w:right w:val="none" w:sz="0" w:space="0" w:color="auto"/>
      </w:divBdr>
    </w:div>
    <w:div w:id="1122461070">
      <w:marLeft w:val="0"/>
      <w:marRight w:val="0"/>
      <w:marTop w:val="120"/>
      <w:marBottom w:val="0"/>
      <w:divBdr>
        <w:top w:val="none" w:sz="0" w:space="0" w:color="auto"/>
        <w:left w:val="none" w:sz="0" w:space="0" w:color="auto"/>
        <w:bottom w:val="none" w:sz="0" w:space="0" w:color="auto"/>
        <w:right w:val="none" w:sz="0" w:space="0" w:color="auto"/>
      </w:divBdr>
    </w:div>
    <w:div w:id="1124034184">
      <w:marLeft w:val="0"/>
      <w:marRight w:val="0"/>
      <w:marTop w:val="120"/>
      <w:marBottom w:val="0"/>
      <w:divBdr>
        <w:top w:val="none" w:sz="0" w:space="0" w:color="auto"/>
        <w:left w:val="none" w:sz="0" w:space="0" w:color="auto"/>
        <w:bottom w:val="none" w:sz="0" w:space="0" w:color="auto"/>
        <w:right w:val="none" w:sz="0" w:space="0" w:color="auto"/>
      </w:divBdr>
    </w:div>
    <w:div w:id="1124422277">
      <w:marLeft w:val="0"/>
      <w:marRight w:val="0"/>
      <w:marTop w:val="120"/>
      <w:marBottom w:val="0"/>
      <w:divBdr>
        <w:top w:val="none" w:sz="0" w:space="0" w:color="auto"/>
        <w:left w:val="none" w:sz="0" w:space="0" w:color="auto"/>
        <w:bottom w:val="none" w:sz="0" w:space="0" w:color="auto"/>
        <w:right w:val="none" w:sz="0" w:space="0" w:color="auto"/>
      </w:divBdr>
    </w:div>
    <w:div w:id="1134133110">
      <w:marLeft w:val="0"/>
      <w:marRight w:val="0"/>
      <w:marTop w:val="120"/>
      <w:marBottom w:val="0"/>
      <w:divBdr>
        <w:top w:val="none" w:sz="0" w:space="0" w:color="auto"/>
        <w:left w:val="none" w:sz="0" w:space="0" w:color="auto"/>
        <w:bottom w:val="none" w:sz="0" w:space="0" w:color="auto"/>
        <w:right w:val="none" w:sz="0" w:space="0" w:color="auto"/>
      </w:divBdr>
    </w:div>
    <w:div w:id="1135025447">
      <w:marLeft w:val="0"/>
      <w:marRight w:val="0"/>
      <w:marTop w:val="120"/>
      <w:marBottom w:val="0"/>
      <w:divBdr>
        <w:top w:val="none" w:sz="0" w:space="0" w:color="auto"/>
        <w:left w:val="none" w:sz="0" w:space="0" w:color="auto"/>
        <w:bottom w:val="none" w:sz="0" w:space="0" w:color="auto"/>
        <w:right w:val="none" w:sz="0" w:space="0" w:color="auto"/>
      </w:divBdr>
    </w:div>
    <w:div w:id="1136677421">
      <w:marLeft w:val="0"/>
      <w:marRight w:val="0"/>
      <w:marTop w:val="120"/>
      <w:marBottom w:val="0"/>
      <w:divBdr>
        <w:top w:val="none" w:sz="0" w:space="0" w:color="auto"/>
        <w:left w:val="none" w:sz="0" w:space="0" w:color="auto"/>
        <w:bottom w:val="none" w:sz="0" w:space="0" w:color="auto"/>
        <w:right w:val="none" w:sz="0" w:space="0" w:color="auto"/>
      </w:divBdr>
    </w:div>
    <w:div w:id="1137069974">
      <w:marLeft w:val="0"/>
      <w:marRight w:val="0"/>
      <w:marTop w:val="0"/>
      <w:marBottom w:val="0"/>
      <w:divBdr>
        <w:top w:val="none" w:sz="0" w:space="0" w:color="auto"/>
        <w:left w:val="none" w:sz="0" w:space="0" w:color="auto"/>
        <w:bottom w:val="none" w:sz="0" w:space="0" w:color="auto"/>
        <w:right w:val="none" w:sz="0" w:space="0" w:color="auto"/>
      </w:divBdr>
      <w:divsChild>
        <w:div w:id="181866135">
          <w:marLeft w:val="0"/>
          <w:marRight w:val="0"/>
          <w:marTop w:val="0"/>
          <w:marBottom w:val="0"/>
          <w:divBdr>
            <w:top w:val="none" w:sz="0" w:space="0" w:color="auto"/>
            <w:left w:val="none" w:sz="0" w:space="0" w:color="auto"/>
            <w:bottom w:val="none" w:sz="0" w:space="0" w:color="auto"/>
            <w:right w:val="none" w:sz="0" w:space="0" w:color="auto"/>
          </w:divBdr>
        </w:div>
      </w:divsChild>
    </w:div>
    <w:div w:id="1140998462">
      <w:marLeft w:val="0"/>
      <w:marRight w:val="0"/>
      <w:marTop w:val="120"/>
      <w:marBottom w:val="0"/>
      <w:divBdr>
        <w:top w:val="none" w:sz="0" w:space="0" w:color="auto"/>
        <w:left w:val="none" w:sz="0" w:space="0" w:color="auto"/>
        <w:bottom w:val="none" w:sz="0" w:space="0" w:color="auto"/>
        <w:right w:val="none" w:sz="0" w:space="0" w:color="auto"/>
      </w:divBdr>
    </w:div>
    <w:div w:id="1147936082">
      <w:marLeft w:val="0"/>
      <w:marRight w:val="0"/>
      <w:marTop w:val="120"/>
      <w:marBottom w:val="0"/>
      <w:divBdr>
        <w:top w:val="none" w:sz="0" w:space="0" w:color="auto"/>
        <w:left w:val="none" w:sz="0" w:space="0" w:color="auto"/>
        <w:bottom w:val="none" w:sz="0" w:space="0" w:color="auto"/>
        <w:right w:val="none" w:sz="0" w:space="0" w:color="auto"/>
      </w:divBdr>
    </w:div>
    <w:div w:id="1149398396">
      <w:marLeft w:val="0"/>
      <w:marRight w:val="0"/>
      <w:marTop w:val="120"/>
      <w:marBottom w:val="0"/>
      <w:divBdr>
        <w:top w:val="none" w:sz="0" w:space="0" w:color="auto"/>
        <w:left w:val="none" w:sz="0" w:space="0" w:color="auto"/>
        <w:bottom w:val="none" w:sz="0" w:space="0" w:color="auto"/>
        <w:right w:val="none" w:sz="0" w:space="0" w:color="auto"/>
      </w:divBdr>
    </w:div>
    <w:div w:id="1151674100">
      <w:marLeft w:val="0"/>
      <w:marRight w:val="0"/>
      <w:marTop w:val="120"/>
      <w:marBottom w:val="0"/>
      <w:divBdr>
        <w:top w:val="none" w:sz="0" w:space="0" w:color="auto"/>
        <w:left w:val="none" w:sz="0" w:space="0" w:color="auto"/>
        <w:bottom w:val="none" w:sz="0" w:space="0" w:color="auto"/>
        <w:right w:val="none" w:sz="0" w:space="0" w:color="auto"/>
      </w:divBdr>
    </w:div>
    <w:div w:id="1156920559">
      <w:marLeft w:val="0"/>
      <w:marRight w:val="0"/>
      <w:marTop w:val="360"/>
      <w:marBottom w:val="0"/>
      <w:divBdr>
        <w:top w:val="none" w:sz="0" w:space="0" w:color="auto"/>
        <w:left w:val="none" w:sz="0" w:space="0" w:color="auto"/>
        <w:bottom w:val="none" w:sz="0" w:space="0" w:color="auto"/>
        <w:right w:val="none" w:sz="0" w:space="0" w:color="auto"/>
      </w:divBdr>
    </w:div>
    <w:div w:id="1159341998">
      <w:marLeft w:val="0"/>
      <w:marRight w:val="0"/>
      <w:marTop w:val="120"/>
      <w:marBottom w:val="0"/>
      <w:divBdr>
        <w:top w:val="none" w:sz="0" w:space="0" w:color="auto"/>
        <w:left w:val="none" w:sz="0" w:space="0" w:color="auto"/>
        <w:bottom w:val="none" w:sz="0" w:space="0" w:color="auto"/>
        <w:right w:val="none" w:sz="0" w:space="0" w:color="auto"/>
      </w:divBdr>
    </w:div>
    <w:div w:id="1164005006">
      <w:marLeft w:val="0"/>
      <w:marRight w:val="0"/>
      <w:marTop w:val="120"/>
      <w:marBottom w:val="0"/>
      <w:divBdr>
        <w:top w:val="none" w:sz="0" w:space="0" w:color="auto"/>
        <w:left w:val="none" w:sz="0" w:space="0" w:color="auto"/>
        <w:bottom w:val="none" w:sz="0" w:space="0" w:color="auto"/>
        <w:right w:val="none" w:sz="0" w:space="0" w:color="auto"/>
      </w:divBdr>
    </w:div>
    <w:div w:id="1166163200">
      <w:marLeft w:val="0"/>
      <w:marRight w:val="0"/>
      <w:marTop w:val="0"/>
      <w:marBottom w:val="0"/>
      <w:divBdr>
        <w:top w:val="none" w:sz="0" w:space="0" w:color="auto"/>
        <w:left w:val="none" w:sz="0" w:space="0" w:color="auto"/>
        <w:bottom w:val="none" w:sz="0" w:space="0" w:color="auto"/>
        <w:right w:val="none" w:sz="0" w:space="0" w:color="auto"/>
      </w:divBdr>
      <w:divsChild>
        <w:div w:id="945885557">
          <w:marLeft w:val="0"/>
          <w:marRight w:val="0"/>
          <w:marTop w:val="0"/>
          <w:marBottom w:val="0"/>
          <w:divBdr>
            <w:top w:val="none" w:sz="0" w:space="0" w:color="auto"/>
            <w:left w:val="none" w:sz="0" w:space="0" w:color="auto"/>
            <w:bottom w:val="none" w:sz="0" w:space="0" w:color="auto"/>
            <w:right w:val="none" w:sz="0" w:space="0" w:color="auto"/>
          </w:divBdr>
        </w:div>
      </w:divsChild>
    </w:div>
    <w:div w:id="1167289603">
      <w:marLeft w:val="0"/>
      <w:marRight w:val="0"/>
      <w:marTop w:val="120"/>
      <w:marBottom w:val="0"/>
      <w:divBdr>
        <w:top w:val="none" w:sz="0" w:space="0" w:color="auto"/>
        <w:left w:val="none" w:sz="0" w:space="0" w:color="auto"/>
        <w:bottom w:val="none" w:sz="0" w:space="0" w:color="auto"/>
        <w:right w:val="none" w:sz="0" w:space="0" w:color="auto"/>
      </w:divBdr>
    </w:div>
    <w:div w:id="1168206475">
      <w:marLeft w:val="0"/>
      <w:marRight w:val="0"/>
      <w:marTop w:val="120"/>
      <w:marBottom w:val="0"/>
      <w:divBdr>
        <w:top w:val="none" w:sz="0" w:space="0" w:color="auto"/>
        <w:left w:val="none" w:sz="0" w:space="0" w:color="auto"/>
        <w:bottom w:val="none" w:sz="0" w:space="0" w:color="auto"/>
        <w:right w:val="none" w:sz="0" w:space="0" w:color="auto"/>
      </w:divBdr>
    </w:div>
    <w:div w:id="1169712165">
      <w:marLeft w:val="0"/>
      <w:marRight w:val="0"/>
      <w:marTop w:val="120"/>
      <w:marBottom w:val="0"/>
      <w:divBdr>
        <w:top w:val="none" w:sz="0" w:space="0" w:color="auto"/>
        <w:left w:val="none" w:sz="0" w:space="0" w:color="auto"/>
        <w:bottom w:val="none" w:sz="0" w:space="0" w:color="auto"/>
        <w:right w:val="none" w:sz="0" w:space="0" w:color="auto"/>
      </w:divBdr>
    </w:div>
    <w:div w:id="1169904018">
      <w:marLeft w:val="0"/>
      <w:marRight w:val="0"/>
      <w:marTop w:val="120"/>
      <w:marBottom w:val="0"/>
      <w:divBdr>
        <w:top w:val="none" w:sz="0" w:space="0" w:color="auto"/>
        <w:left w:val="none" w:sz="0" w:space="0" w:color="auto"/>
        <w:bottom w:val="none" w:sz="0" w:space="0" w:color="auto"/>
        <w:right w:val="none" w:sz="0" w:space="0" w:color="auto"/>
      </w:divBdr>
    </w:div>
    <w:div w:id="1170943579">
      <w:marLeft w:val="0"/>
      <w:marRight w:val="0"/>
      <w:marTop w:val="120"/>
      <w:marBottom w:val="0"/>
      <w:divBdr>
        <w:top w:val="none" w:sz="0" w:space="0" w:color="auto"/>
        <w:left w:val="none" w:sz="0" w:space="0" w:color="auto"/>
        <w:bottom w:val="none" w:sz="0" w:space="0" w:color="auto"/>
        <w:right w:val="none" w:sz="0" w:space="0" w:color="auto"/>
      </w:divBdr>
    </w:div>
    <w:div w:id="1172336997">
      <w:marLeft w:val="0"/>
      <w:marRight w:val="0"/>
      <w:marTop w:val="0"/>
      <w:marBottom w:val="0"/>
      <w:divBdr>
        <w:top w:val="none" w:sz="0" w:space="0" w:color="auto"/>
        <w:left w:val="none" w:sz="0" w:space="0" w:color="auto"/>
        <w:bottom w:val="none" w:sz="0" w:space="0" w:color="auto"/>
        <w:right w:val="none" w:sz="0" w:space="0" w:color="auto"/>
      </w:divBdr>
      <w:divsChild>
        <w:div w:id="287859811">
          <w:marLeft w:val="0"/>
          <w:marRight w:val="0"/>
          <w:marTop w:val="0"/>
          <w:marBottom w:val="0"/>
          <w:divBdr>
            <w:top w:val="none" w:sz="0" w:space="0" w:color="auto"/>
            <w:left w:val="none" w:sz="0" w:space="0" w:color="auto"/>
            <w:bottom w:val="none" w:sz="0" w:space="0" w:color="auto"/>
            <w:right w:val="none" w:sz="0" w:space="0" w:color="auto"/>
          </w:divBdr>
        </w:div>
      </w:divsChild>
    </w:div>
    <w:div w:id="1173111686">
      <w:marLeft w:val="0"/>
      <w:marRight w:val="0"/>
      <w:marTop w:val="120"/>
      <w:marBottom w:val="0"/>
      <w:divBdr>
        <w:top w:val="none" w:sz="0" w:space="0" w:color="auto"/>
        <w:left w:val="none" w:sz="0" w:space="0" w:color="auto"/>
        <w:bottom w:val="none" w:sz="0" w:space="0" w:color="auto"/>
        <w:right w:val="none" w:sz="0" w:space="0" w:color="auto"/>
      </w:divBdr>
    </w:div>
    <w:div w:id="1173452021">
      <w:marLeft w:val="0"/>
      <w:marRight w:val="0"/>
      <w:marTop w:val="360"/>
      <w:marBottom w:val="0"/>
      <w:divBdr>
        <w:top w:val="none" w:sz="0" w:space="0" w:color="auto"/>
        <w:left w:val="none" w:sz="0" w:space="0" w:color="auto"/>
        <w:bottom w:val="none" w:sz="0" w:space="0" w:color="auto"/>
        <w:right w:val="none" w:sz="0" w:space="0" w:color="auto"/>
      </w:divBdr>
    </w:div>
    <w:div w:id="1178079145">
      <w:marLeft w:val="0"/>
      <w:marRight w:val="0"/>
      <w:marTop w:val="120"/>
      <w:marBottom w:val="0"/>
      <w:divBdr>
        <w:top w:val="none" w:sz="0" w:space="0" w:color="auto"/>
        <w:left w:val="none" w:sz="0" w:space="0" w:color="auto"/>
        <w:bottom w:val="none" w:sz="0" w:space="0" w:color="auto"/>
        <w:right w:val="none" w:sz="0" w:space="0" w:color="auto"/>
      </w:divBdr>
    </w:div>
    <w:div w:id="1178277741">
      <w:marLeft w:val="0"/>
      <w:marRight w:val="0"/>
      <w:marTop w:val="120"/>
      <w:marBottom w:val="0"/>
      <w:divBdr>
        <w:top w:val="none" w:sz="0" w:space="0" w:color="auto"/>
        <w:left w:val="none" w:sz="0" w:space="0" w:color="auto"/>
        <w:bottom w:val="none" w:sz="0" w:space="0" w:color="auto"/>
        <w:right w:val="none" w:sz="0" w:space="0" w:color="auto"/>
      </w:divBdr>
    </w:div>
    <w:div w:id="1187258484">
      <w:marLeft w:val="0"/>
      <w:marRight w:val="0"/>
      <w:marTop w:val="120"/>
      <w:marBottom w:val="0"/>
      <w:divBdr>
        <w:top w:val="none" w:sz="0" w:space="0" w:color="auto"/>
        <w:left w:val="none" w:sz="0" w:space="0" w:color="auto"/>
        <w:bottom w:val="none" w:sz="0" w:space="0" w:color="auto"/>
        <w:right w:val="none" w:sz="0" w:space="0" w:color="auto"/>
      </w:divBdr>
    </w:div>
    <w:div w:id="1193567656">
      <w:marLeft w:val="0"/>
      <w:marRight w:val="0"/>
      <w:marTop w:val="120"/>
      <w:marBottom w:val="0"/>
      <w:divBdr>
        <w:top w:val="none" w:sz="0" w:space="0" w:color="auto"/>
        <w:left w:val="none" w:sz="0" w:space="0" w:color="auto"/>
        <w:bottom w:val="none" w:sz="0" w:space="0" w:color="auto"/>
        <w:right w:val="none" w:sz="0" w:space="0" w:color="auto"/>
      </w:divBdr>
    </w:div>
    <w:div w:id="1195267647">
      <w:marLeft w:val="0"/>
      <w:marRight w:val="0"/>
      <w:marTop w:val="120"/>
      <w:marBottom w:val="0"/>
      <w:divBdr>
        <w:top w:val="none" w:sz="0" w:space="0" w:color="auto"/>
        <w:left w:val="none" w:sz="0" w:space="0" w:color="auto"/>
        <w:bottom w:val="none" w:sz="0" w:space="0" w:color="auto"/>
        <w:right w:val="none" w:sz="0" w:space="0" w:color="auto"/>
      </w:divBdr>
    </w:div>
    <w:div w:id="1199468858">
      <w:marLeft w:val="0"/>
      <w:marRight w:val="0"/>
      <w:marTop w:val="120"/>
      <w:marBottom w:val="0"/>
      <w:divBdr>
        <w:top w:val="none" w:sz="0" w:space="0" w:color="auto"/>
        <w:left w:val="none" w:sz="0" w:space="0" w:color="auto"/>
        <w:bottom w:val="none" w:sz="0" w:space="0" w:color="auto"/>
        <w:right w:val="none" w:sz="0" w:space="0" w:color="auto"/>
      </w:divBdr>
    </w:div>
    <w:div w:id="1200776421">
      <w:marLeft w:val="0"/>
      <w:marRight w:val="0"/>
      <w:marTop w:val="120"/>
      <w:marBottom w:val="0"/>
      <w:divBdr>
        <w:top w:val="none" w:sz="0" w:space="0" w:color="auto"/>
        <w:left w:val="none" w:sz="0" w:space="0" w:color="auto"/>
        <w:bottom w:val="none" w:sz="0" w:space="0" w:color="auto"/>
        <w:right w:val="none" w:sz="0" w:space="0" w:color="auto"/>
      </w:divBdr>
    </w:div>
    <w:div w:id="1201866427">
      <w:marLeft w:val="0"/>
      <w:marRight w:val="0"/>
      <w:marTop w:val="120"/>
      <w:marBottom w:val="0"/>
      <w:divBdr>
        <w:top w:val="none" w:sz="0" w:space="0" w:color="auto"/>
        <w:left w:val="none" w:sz="0" w:space="0" w:color="auto"/>
        <w:bottom w:val="none" w:sz="0" w:space="0" w:color="auto"/>
        <w:right w:val="none" w:sz="0" w:space="0" w:color="auto"/>
      </w:divBdr>
    </w:div>
    <w:div w:id="1206211838">
      <w:marLeft w:val="0"/>
      <w:marRight w:val="0"/>
      <w:marTop w:val="120"/>
      <w:marBottom w:val="0"/>
      <w:divBdr>
        <w:top w:val="none" w:sz="0" w:space="0" w:color="auto"/>
        <w:left w:val="none" w:sz="0" w:space="0" w:color="auto"/>
        <w:bottom w:val="none" w:sz="0" w:space="0" w:color="auto"/>
        <w:right w:val="none" w:sz="0" w:space="0" w:color="auto"/>
      </w:divBdr>
    </w:div>
    <w:div w:id="1209881249">
      <w:marLeft w:val="0"/>
      <w:marRight w:val="0"/>
      <w:marTop w:val="120"/>
      <w:marBottom w:val="0"/>
      <w:divBdr>
        <w:top w:val="none" w:sz="0" w:space="0" w:color="auto"/>
        <w:left w:val="none" w:sz="0" w:space="0" w:color="auto"/>
        <w:bottom w:val="none" w:sz="0" w:space="0" w:color="auto"/>
        <w:right w:val="none" w:sz="0" w:space="0" w:color="auto"/>
      </w:divBdr>
    </w:div>
    <w:div w:id="1211309439">
      <w:marLeft w:val="0"/>
      <w:marRight w:val="0"/>
      <w:marTop w:val="120"/>
      <w:marBottom w:val="0"/>
      <w:divBdr>
        <w:top w:val="none" w:sz="0" w:space="0" w:color="auto"/>
        <w:left w:val="none" w:sz="0" w:space="0" w:color="auto"/>
        <w:bottom w:val="none" w:sz="0" w:space="0" w:color="auto"/>
        <w:right w:val="none" w:sz="0" w:space="0" w:color="auto"/>
      </w:divBdr>
    </w:div>
    <w:div w:id="1212308033">
      <w:marLeft w:val="0"/>
      <w:marRight w:val="0"/>
      <w:marTop w:val="120"/>
      <w:marBottom w:val="0"/>
      <w:divBdr>
        <w:top w:val="none" w:sz="0" w:space="0" w:color="auto"/>
        <w:left w:val="none" w:sz="0" w:space="0" w:color="auto"/>
        <w:bottom w:val="none" w:sz="0" w:space="0" w:color="auto"/>
        <w:right w:val="none" w:sz="0" w:space="0" w:color="auto"/>
      </w:divBdr>
    </w:div>
    <w:div w:id="1215002564">
      <w:marLeft w:val="0"/>
      <w:marRight w:val="0"/>
      <w:marTop w:val="120"/>
      <w:marBottom w:val="0"/>
      <w:divBdr>
        <w:top w:val="none" w:sz="0" w:space="0" w:color="auto"/>
        <w:left w:val="none" w:sz="0" w:space="0" w:color="auto"/>
        <w:bottom w:val="none" w:sz="0" w:space="0" w:color="auto"/>
        <w:right w:val="none" w:sz="0" w:space="0" w:color="auto"/>
      </w:divBdr>
    </w:div>
    <w:div w:id="1218052336">
      <w:marLeft w:val="0"/>
      <w:marRight w:val="0"/>
      <w:marTop w:val="120"/>
      <w:marBottom w:val="0"/>
      <w:divBdr>
        <w:top w:val="none" w:sz="0" w:space="0" w:color="auto"/>
        <w:left w:val="none" w:sz="0" w:space="0" w:color="auto"/>
        <w:bottom w:val="none" w:sz="0" w:space="0" w:color="auto"/>
        <w:right w:val="none" w:sz="0" w:space="0" w:color="auto"/>
      </w:divBdr>
    </w:div>
    <w:div w:id="1218930948">
      <w:marLeft w:val="0"/>
      <w:marRight w:val="0"/>
      <w:marTop w:val="120"/>
      <w:marBottom w:val="0"/>
      <w:divBdr>
        <w:top w:val="none" w:sz="0" w:space="0" w:color="auto"/>
        <w:left w:val="none" w:sz="0" w:space="0" w:color="auto"/>
        <w:bottom w:val="none" w:sz="0" w:space="0" w:color="auto"/>
        <w:right w:val="none" w:sz="0" w:space="0" w:color="auto"/>
      </w:divBdr>
    </w:div>
    <w:div w:id="1219130113">
      <w:marLeft w:val="0"/>
      <w:marRight w:val="0"/>
      <w:marTop w:val="120"/>
      <w:marBottom w:val="0"/>
      <w:divBdr>
        <w:top w:val="none" w:sz="0" w:space="0" w:color="auto"/>
        <w:left w:val="none" w:sz="0" w:space="0" w:color="auto"/>
        <w:bottom w:val="none" w:sz="0" w:space="0" w:color="auto"/>
        <w:right w:val="none" w:sz="0" w:space="0" w:color="auto"/>
      </w:divBdr>
    </w:div>
    <w:div w:id="1224566266">
      <w:marLeft w:val="0"/>
      <w:marRight w:val="0"/>
      <w:marTop w:val="120"/>
      <w:marBottom w:val="0"/>
      <w:divBdr>
        <w:top w:val="none" w:sz="0" w:space="0" w:color="auto"/>
        <w:left w:val="none" w:sz="0" w:space="0" w:color="auto"/>
        <w:bottom w:val="none" w:sz="0" w:space="0" w:color="auto"/>
        <w:right w:val="none" w:sz="0" w:space="0" w:color="auto"/>
      </w:divBdr>
    </w:div>
    <w:div w:id="1225533084">
      <w:marLeft w:val="0"/>
      <w:marRight w:val="0"/>
      <w:marTop w:val="0"/>
      <w:marBottom w:val="0"/>
      <w:divBdr>
        <w:top w:val="none" w:sz="0" w:space="0" w:color="auto"/>
        <w:left w:val="none" w:sz="0" w:space="0" w:color="auto"/>
        <w:bottom w:val="none" w:sz="0" w:space="0" w:color="auto"/>
        <w:right w:val="none" w:sz="0" w:space="0" w:color="auto"/>
      </w:divBdr>
      <w:divsChild>
        <w:div w:id="1961183929">
          <w:marLeft w:val="0"/>
          <w:marRight w:val="0"/>
          <w:marTop w:val="360"/>
          <w:marBottom w:val="0"/>
          <w:divBdr>
            <w:top w:val="none" w:sz="0" w:space="0" w:color="auto"/>
            <w:left w:val="none" w:sz="0" w:space="0" w:color="auto"/>
            <w:bottom w:val="none" w:sz="0" w:space="0" w:color="auto"/>
            <w:right w:val="none" w:sz="0" w:space="0" w:color="auto"/>
          </w:divBdr>
        </w:div>
      </w:divsChild>
    </w:div>
    <w:div w:id="1225794972">
      <w:marLeft w:val="0"/>
      <w:marRight w:val="0"/>
      <w:marTop w:val="120"/>
      <w:marBottom w:val="0"/>
      <w:divBdr>
        <w:top w:val="none" w:sz="0" w:space="0" w:color="auto"/>
        <w:left w:val="none" w:sz="0" w:space="0" w:color="auto"/>
        <w:bottom w:val="none" w:sz="0" w:space="0" w:color="auto"/>
        <w:right w:val="none" w:sz="0" w:space="0" w:color="auto"/>
      </w:divBdr>
      <w:divsChild>
        <w:div w:id="615252307">
          <w:marLeft w:val="0"/>
          <w:marRight w:val="0"/>
          <w:marTop w:val="0"/>
          <w:marBottom w:val="0"/>
          <w:divBdr>
            <w:top w:val="none" w:sz="0" w:space="0" w:color="auto"/>
            <w:left w:val="none" w:sz="0" w:space="0" w:color="auto"/>
            <w:bottom w:val="none" w:sz="0" w:space="0" w:color="auto"/>
            <w:right w:val="none" w:sz="0" w:space="0" w:color="auto"/>
          </w:divBdr>
        </w:div>
        <w:div w:id="1671832278">
          <w:marLeft w:val="0"/>
          <w:marRight w:val="0"/>
          <w:marTop w:val="0"/>
          <w:marBottom w:val="0"/>
          <w:divBdr>
            <w:top w:val="none" w:sz="0" w:space="0" w:color="auto"/>
            <w:left w:val="none" w:sz="0" w:space="0" w:color="auto"/>
            <w:bottom w:val="none" w:sz="0" w:space="0" w:color="auto"/>
            <w:right w:val="none" w:sz="0" w:space="0" w:color="auto"/>
          </w:divBdr>
        </w:div>
      </w:divsChild>
    </w:div>
    <w:div w:id="1232427225">
      <w:marLeft w:val="0"/>
      <w:marRight w:val="0"/>
      <w:marTop w:val="120"/>
      <w:marBottom w:val="0"/>
      <w:divBdr>
        <w:top w:val="none" w:sz="0" w:space="0" w:color="auto"/>
        <w:left w:val="none" w:sz="0" w:space="0" w:color="auto"/>
        <w:bottom w:val="none" w:sz="0" w:space="0" w:color="auto"/>
        <w:right w:val="none" w:sz="0" w:space="0" w:color="auto"/>
      </w:divBdr>
    </w:div>
    <w:div w:id="1233127222">
      <w:marLeft w:val="0"/>
      <w:marRight w:val="0"/>
      <w:marTop w:val="120"/>
      <w:marBottom w:val="0"/>
      <w:divBdr>
        <w:top w:val="none" w:sz="0" w:space="0" w:color="auto"/>
        <w:left w:val="none" w:sz="0" w:space="0" w:color="auto"/>
        <w:bottom w:val="none" w:sz="0" w:space="0" w:color="auto"/>
        <w:right w:val="none" w:sz="0" w:space="0" w:color="auto"/>
      </w:divBdr>
    </w:div>
    <w:div w:id="1235551066">
      <w:marLeft w:val="0"/>
      <w:marRight w:val="0"/>
      <w:marTop w:val="120"/>
      <w:marBottom w:val="0"/>
      <w:divBdr>
        <w:top w:val="none" w:sz="0" w:space="0" w:color="auto"/>
        <w:left w:val="none" w:sz="0" w:space="0" w:color="auto"/>
        <w:bottom w:val="none" w:sz="0" w:space="0" w:color="auto"/>
        <w:right w:val="none" w:sz="0" w:space="0" w:color="auto"/>
      </w:divBdr>
    </w:div>
    <w:div w:id="1239941248">
      <w:marLeft w:val="0"/>
      <w:marRight w:val="0"/>
      <w:marTop w:val="0"/>
      <w:marBottom w:val="0"/>
      <w:divBdr>
        <w:top w:val="none" w:sz="0" w:space="0" w:color="auto"/>
        <w:left w:val="none" w:sz="0" w:space="0" w:color="auto"/>
        <w:bottom w:val="none" w:sz="0" w:space="0" w:color="auto"/>
        <w:right w:val="none" w:sz="0" w:space="0" w:color="auto"/>
      </w:divBdr>
      <w:divsChild>
        <w:div w:id="808476837">
          <w:marLeft w:val="0"/>
          <w:marRight w:val="0"/>
          <w:marTop w:val="360"/>
          <w:marBottom w:val="0"/>
          <w:divBdr>
            <w:top w:val="none" w:sz="0" w:space="0" w:color="auto"/>
            <w:left w:val="none" w:sz="0" w:space="0" w:color="auto"/>
            <w:bottom w:val="none" w:sz="0" w:space="0" w:color="auto"/>
            <w:right w:val="none" w:sz="0" w:space="0" w:color="auto"/>
          </w:divBdr>
        </w:div>
      </w:divsChild>
    </w:div>
    <w:div w:id="1241330579">
      <w:marLeft w:val="0"/>
      <w:marRight w:val="0"/>
      <w:marTop w:val="120"/>
      <w:marBottom w:val="0"/>
      <w:divBdr>
        <w:top w:val="none" w:sz="0" w:space="0" w:color="auto"/>
        <w:left w:val="none" w:sz="0" w:space="0" w:color="auto"/>
        <w:bottom w:val="none" w:sz="0" w:space="0" w:color="auto"/>
        <w:right w:val="none" w:sz="0" w:space="0" w:color="auto"/>
      </w:divBdr>
    </w:div>
    <w:div w:id="1243182107">
      <w:marLeft w:val="0"/>
      <w:marRight w:val="0"/>
      <w:marTop w:val="120"/>
      <w:marBottom w:val="0"/>
      <w:divBdr>
        <w:top w:val="none" w:sz="0" w:space="0" w:color="auto"/>
        <w:left w:val="none" w:sz="0" w:space="0" w:color="auto"/>
        <w:bottom w:val="none" w:sz="0" w:space="0" w:color="auto"/>
        <w:right w:val="none" w:sz="0" w:space="0" w:color="auto"/>
      </w:divBdr>
    </w:div>
    <w:div w:id="1254707867">
      <w:marLeft w:val="0"/>
      <w:marRight w:val="0"/>
      <w:marTop w:val="0"/>
      <w:marBottom w:val="0"/>
      <w:divBdr>
        <w:top w:val="none" w:sz="0" w:space="0" w:color="auto"/>
        <w:left w:val="none" w:sz="0" w:space="0" w:color="auto"/>
        <w:bottom w:val="none" w:sz="0" w:space="0" w:color="auto"/>
        <w:right w:val="none" w:sz="0" w:space="0" w:color="auto"/>
      </w:divBdr>
      <w:divsChild>
        <w:div w:id="1289094039">
          <w:marLeft w:val="0"/>
          <w:marRight w:val="0"/>
          <w:marTop w:val="360"/>
          <w:marBottom w:val="0"/>
          <w:divBdr>
            <w:top w:val="none" w:sz="0" w:space="0" w:color="auto"/>
            <w:left w:val="none" w:sz="0" w:space="0" w:color="auto"/>
            <w:bottom w:val="none" w:sz="0" w:space="0" w:color="auto"/>
            <w:right w:val="none" w:sz="0" w:space="0" w:color="auto"/>
          </w:divBdr>
        </w:div>
      </w:divsChild>
    </w:div>
    <w:div w:id="1255019256">
      <w:marLeft w:val="0"/>
      <w:marRight w:val="0"/>
      <w:marTop w:val="120"/>
      <w:marBottom w:val="0"/>
      <w:divBdr>
        <w:top w:val="none" w:sz="0" w:space="0" w:color="auto"/>
        <w:left w:val="none" w:sz="0" w:space="0" w:color="auto"/>
        <w:bottom w:val="none" w:sz="0" w:space="0" w:color="auto"/>
        <w:right w:val="none" w:sz="0" w:space="0" w:color="auto"/>
      </w:divBdr>
    </w:div>
    <w:div w:id="1255213616">
      <w:marLeft w:val="0"/>
      <w:marRight w:val="0"/>
      <w:marTop w:val="120"/>
      <w:marBottom w:val="0"/>
      <w:divBdr>
        <w:top w:val="none" w:sz="0" w:space="0" w:color="auto"/>
        <w:left w:val="none" w:sz="0" w:space="0" w:color="auto"/>
        <w:bottom w:val="none" w:sz="0" w:space="0" w:color="auto"/>
        <w:right w:val="none" w:sz="0" w:space="0" w:color="auto"/>
      </w:divBdr>
    </w:div>
    <w:div w:id="1255433527">
      <w:marLeft w:val="0"/>
      <w:marRight w:val="0"/>
      <w:marTop w:val="120"/>
      <w:marBottom w:val="0"/>
      <w:divBdr>
        <w:top w:val="none" w:sz="0" w:space="0" w:color="auto"/>
        <w:left w:val="none" w:sz="0" w:space="0" w:color="auto"/>
        <w:bottom w:val="none" w:sz="0" w:space="0" w:color="auto"/>
        <w:right w:val="none" w:sz="0" w:space="0" w:color="auto"/>
      </w:divBdr>
    </w:div>
    <w:div w:id="1256667379">
      <w:marLeft w:val="0"/>
      <w:marRight w:val="0"/>
      <w:marTop w:val="120"/>
      <w:marBottom w:val="0"/>
      <w:divBdr>
        <w:top w:val="none" w:sz="0" w:space="0" w:color="auto"/>
        <w:left w:val="none" w:sz="0" w:space="0" w:color="auto"/>
        <w:bottom w:val="none" w:sz="0" w:space="0" w:color="auto"/>
        <w:right w:val="none" w:sz="0" w:space="0" w:color="auto"/>
      </w:divBdr>
    </w:div>
    <w:div w:id="1259488317">
      <w:marLeft w:val="0"/>
      <w:marRight w:val="0"/>
      <w:marTop w:val="120"/>
      <w:marBottom w:val="0"/>
      <w:divBdr>
        <w:top w:val="none" w:sz="0" w:space="0" w:color="auto"/>
        <w:left w:val="none" w:sz="0" w:space="0" w:color="auto"/>
        <w:bottom w:val="none" w:sz="0" w:space="0" w:color="auto"/>
        <w:right w:val="none" w:sz="0" w:space="0" w:color="auto"/>
      </w:divBdr>
    </w:div>
    <w:div w:id="1263341917">
      <w:marLeft w:val="0"/>
      <w:marRight w:val="0"/>
      <w:marTop w:val="120"/>
      <w:marBottom w:val="0"/>
      <w:divBdr>
        <w:top w:val="none" w:sz="0" w:space="0" w:color="auto"/>
        <w:left w:val="none" w:sz="0" w:space="0" w:color="auto"/>
        <w:bottom w:val="none" w:sz="0" w:space="0" w:color="auto"/>
        <w:right w:val="none" w:sz="0" w:space="0" w:color="auto"/>
      </w:divBdr>
    </w:div>
    <w:div w:id="1268855278">
      <w:marLeft w:val="0"/>
      <w:marRight w:val="0"/>
      <w:marTop w:val="120"/>
      <w:marBottom w:val="0"/>
      <w:divBdr>
        <w:top w:val="none" w:sz="0" w:space="0" w:color="auto"/>
        <w:left w:val="none" w:sz="0" w:space="0" w:color="auto"/>
        <w:bottom w:val="none" w:sz="0" w:space="0" w:color="auto"/>
        <w:right w:val="none" w:sz="0" w:space="0" w:color="auto"/>
      </w:divBdr>
    </w:div>
    <w:div w:id="1270044159">
      <w:marLeft w:val="0"/>
      <w:marRight w:val="0"/>
      <w:marTop w:val="120"/>
      <w:marBottom w:val="0"/>
      <w:divBdr>
        <w:top w:val="none" w:sz="0" w:space="0" w:color="auto"/>
        <w:left w:val="none" w:sz="0" w:space="0" w:color="auto"/>
        <w:bottom w:val="none" w:sz="0" w:space="0" w:color="auto"/>
        <w:right w:val="none" w:sz="0" w:space="0" w:color="auto"/>
      </w:divBdr>
    </w:div>
    <w:div w:id="1270548490">
      <w:marLeft w:val="0"/>
      <w:marRight w:val="0"/>
      <w:marTop w:val="120"/>
      <w:marBottom w:val="0"/>
      <w:divBdr>
        <w:top w:val="none" w:sz="0" w:space="0" w:color="auto"/>
        <w:left w:val="none" w:sz="0" w:space="0" w:color="auto"/>
        <w:bottom w:val="none" w:sz="0" w:space="0" w:color="auto"/>
        <w:right w:val="none" w:sz="0" w:space="0" w:color="auto"/>
      </w:divBdr>
    </w:div>
    <w:div w:id="1272592108">
      <w:marLeft w:val="0"/>
      <w:marRight w:val="0"/>
      <w:marTop w:val="0"/>
      <w:marBottom w:val="0"/>
      <w:divBdr>
        <w:top w:val="none" w:sz="0" w:space="0" w:color="auto"/>
        <w:left w:val="none" w:sz="0" w:space="0" w:color="auto"/>
        <w:bottom w:val="none" w:sz="0" w:space="0" w:color="auto"/>
        <w:right w:val="none" w:sz="0" w:space="0" w:color="auto"/>
      </w:divBdr>
      <w:divsChild>
        <w:div w:id="1415204091">
          <w:marLeft w:val="0"/>
          <w:marRight w:val="0"/>
          <w:marTop w:val="360"/>
          <w:marBottom w:val="0"/>
          <w:divBdr>
            <w:top w:val="none" w:sz="0" w:space="0" w:color="auto"/>
            <w:left w:val="none" w:sz="0" w:space="0" w:color="auto"/>
            <w:bottom w:val="none" w:sz="0" w:space="0" w:color="auto"/>
            <w:right w:val="none" w:sz="0" w:space="0" w:color="auto"/>
          </w:divBdr>
        </w:div>
      </w:divsChild>
    </w:div>
    <w:div w:id="1279947666">
      <w:marLeft w:val="0"/>
      <w:marRight w:val="0"/>
      <w:marTop w:val="120"/>
      <w:marBottom w:val="0"/>
      <w:divBdr>
        <w:top w:val="none" w:sz="0" w:space="0" w:color="auto"/>
        <w:left w:val="none" w:sz="0" w:space="0" w:color="auto"/>
        <w:bottom w:val="none" w:sz="0" w:space="0" w:color="auto"/>
        <w:right w:val="none" w:sz="0" w:space="0" w:color="auto"/>
      </w:divBdr>
    </w:div>
    <w:div w:id="1281573590">
      <w:marLeft w:val="0"/>
      <w:marRight w:val="0"/>
      <w:marTop w:val="120"/>
      <w:marBottom w:val="0"/>
      <w:divBdr>
        <w:top w:val="none" w:sz="0" w:space="0" w:color="auto"/>
        <w:left w:val="none" w:sz="0" w:space="0" w:color="auto"/>
        <w:bottom w:val="none" w:sz="0" w:space="0" w:color="auto"/>
        <w:right w:val="none" w:sz="0" w:space="0" w:color="auto"/>
      </w:divBdr>
    </w:div>
    <w:div w:id="1289748997">
      <w:marLeft w:val="0"/>
      <w:marRight w:val="0"/>
      <w:marTop w:val="240"/>
      <w:marBottom w:val="0"/>
      <w:divBdr>
        <w:top w:val="none" w:sz="0" w:space="0" w:color="auto"/>
        <w:left w:val="none" w:sz="0" w:space="0" w:color="auto"/>
        <w:bottom w:val="none" w:sz="0" w:space="0" w:color="auto"/>
        <w:right w:val="none" w:sz="0" w:space="0" w:color="auto"/>
      </w:divBdr>
    </w:div>
    <w:div w:id="1291977698">
      <w:marLeft w:val="0"/>
      <w:marRight w:val="0"/>
      <w:marTop w:val="120"/>
      <w:marBottom w:val="0"/>
      <w:divBdr>
        <w:top w:val="none" w:sz="0" w:space="0" w:color="auto"/>
        <w:left w:val="none" w:sz="0" w:space="0" w:color="auto"/>
        <w:bottom w:val="none" w:sz="0" w:space="0" w:color="auto"/>
        <w:right w:val="none" w:sz="0" w:space="0" w:color="auto"/>
      </w:divBdr>
    </w:div>
    <w:div w:id="1292244395">
      <w:marLeft w:val="0"/>
      <w:marRight w:val="0"/>
      <w:marTop w:val="0"/>
      <w:marBottom w:val="0"/>
      <w:divBdr>
        <w:top w:val="none" w:sz="0" w:space="0" w:color="auto"/>
        <w:left w:val="none" w:sz="0" w:space="0" w:color="auto"/>
        <w:bottom w:val="none" w:sz="0" w:space="0" w:color="auto"/>
        <w:right w:val="none" w:sz="0" w:space="0" w:color="auto"/>
      </w:divBdr>
      <w:divsChild>
        <w:div w:id="957953620">
          <w:marLeft w:val="0"/>
          <w:marRight w:val="0"/>
          <w:marTop w:val="0"/>
          <w:marBottom w:val="0"/>
          <w:divBdr>
            <w:top w:val="none" w:sz="0" w:space="0" w:color="auto"/>
            <w:left w:val="none" w:sz="0" w:space="0" w:color="auto"/>
            <w:bottom w:val="none" w:sz="0" w:space="0" w:color="auto"/>
            <w:right w:val="none" w:sz="0" w:space="0" w:color="auto"/>
          </w:divBdr>
        </w:div>
      </w:divsChild>
    </w:div>
    <w:div w:id="1293171027">
      <w:marLeft w:val="0"/>
      <w:marRight w:val="0"/>
      <w:marTop w:val="120"/>
      <w:marBottom w:val="0"/>
      <w:divBdr>
        <w:top w:val="none" w:sz="0" w:space="0" w:color="auto"/>
        <w:left w:val="none" w:sz="0" w:space="0" w:color="auto"/>
        <w:bottom w:val="none" w:sz="0" w:space="0" w:color="auto"/>
        <w:right w:val="none" w:sz="0" w:space="0" w:color="auto"/>
      </w:divBdr>
    </w:div>
    <w:div w:id="1294797497">
      <w:marLeft w:val="0"/>
      <w:marRight w:val="0"/>
      <w:marTop w:val="120"/>
      <w:marBottom w:val="0"/>
      <w:divBdr>
        <w:top w:val="none" w:sz="0" w:space="0" w:color="auto"/>
        <w:left w:val="none" w:sz="0" w:space="0" w:color="auto"/>
        <w:bottom w:val="none" w:sz="0" w:space="0" w:color="auto"/>
        <w:right w:val="none" w:sz="0" w:space="0" w:color="auto"/>
      </w:divBdr>
    </w:div>
    <w:div w:id="1296255322">
      <w:marLeft w:val="0"/>
      <w:marRight w:val="0"/>
      <w:marTop w:val="120"/>
      <w:marBottom w:val="0"/>
      <w:divBdr>
        <w:top w:val="none" w:sz="0" w:space="0" w:color="auto"/>
        <w:left w:val="none" w:sz="0" w:space="0" w:color="auto"/>
        <w:bottom w:val="none" w:sz="0" w:space="0" w:color="auto"/>
        <w:right w:val="none" w:sz="0" w:space="0" w:color="auto"/>
      </w:divBdr>
    </w:div>
    <w:div w:id="1297949254">
      <w:marLeft w:val="0"/>
      <w:marRight w:val="0"/>
      <w:marTop w:val="120"/>
      <w:marBottom w:val="0"/>
      <w:divBdr>
        <w:top w:val="none" w:sz="0" w:space="0" w:color="auto"/>
        <w:left w:val="none" w:sz="0" w:space="0" w:color="auto"/>
        <w:bottom w:val="none" w:sz="0" w:space="0" w:color="auto"/>
        <w:right w:val="none" w:sz="0" w:space="0" w:color="auto"/>
      </w:divBdr>
    </w:div>
    <w:div w:id="1299148232">
      <w:marLeft w:val="0"/>
      <w:marRight w:val="0"/>
      <w:marTop w:val="120"/>
      <w:marBottom w:val="0"/>
      <w:divBdr>
        <w:top w:val="none" w:sz="0" w:space="0" w:color="auto"/>
        <w:left w:val="none" w:sz="0" w:space="0" w:color="auto"/>
        <w:bottom w:val="none" w:sz="0" w:space="0" w:color="auto"/>
        <w:right w:val="none" w:sz="0" w:space="0" w:color="auto"/>
      </w:divBdr>
    </w:div>
    <w:div w:id="1302879387">
      <w:marLeft w:val="0"/>
      <w:marRight w:val="0"/>
      <w:marTop w:val="0"/>
      <w:marBottom w:val="0"/>
      <w:divBdr>
        <w:top w:val="none" w:sz="0" w:space="0" w:color="auto"/>
        <w:left w:val="none" w:sz="0" w:space="0" w:color="auto"/>
        <w:bottom w:val="none" w:sz="0" w:space="0" w:color="auto"/>
        <w:right w:val="none" w:sz="0" w:space="0" w:color="auto"/>
      </w:divBdr>
      <w:divsChild>
        <w:div w:id="1074473662">
          <w:marLeft w:val="0"/>
          <w:marRight w:val="0"/>
          <w:marTop w:val="360"/>
          <w:marBottom w:val="0"/>
          <w:divBdr>
            <w:top w:val="none" w:sz="0" w:space="0" w:color="auto"/>
            <w:left w:val="none" w:sz="0" w:space="0" w:color="auto"/>
            <w:bottom w:val="none" w:sz="0" w:space="0" w:color="auto"/>
            <w:right w:val="none" w:sz="0" w:space="0" w:color="auto"/>
          </w:divBdr>
        </w:div>
      </w:divsChild>
    </w:div>
    <w:div w:id="1303001929">
      <w:marLeft w:val="0"/>
      <w:marRight w:val="0"/>
      <w:marTop w:val="120"/>
      <w:marBottom w:val="0"/>
      <w:divBdr>
        <w:top w:val="none" w:sz="0" w:space="0" w:color="auto"/>
        <w:left w:val="none" w:sz="0" w:space="0" w:color="auto"/>
        <w:bottom w:val="none" w:sz="0" w:space="0" w:color="auto"/>
        <w:right w:val="none" w:sz="0" w:space="0" w:color="auto"/>
      </w:divBdr>
    </w:div>
    <w:div w:id="1304575807">
      <w:marLeft w:val="0"/>
      <w:marRight w:val="0"/>
      <w:marTop w:val="120"/>
      <w:marBottom w:val="0"/>
      <w:divBdr>
        <w:top w:val="none" w:sz="0" w:space="0" w:color="auto"/>
        <w:left w:val="none" w:sz="0" w:space="0" w:color="auto"/>
        <w:bottom w:val="none" w:sz="0" w:space="0" w:color="auto"/>
        <w:right w:val="none" w:sz="0" w:space="0" w:color="auto"/>
      </w:divBdr>
    </w:div>
    <w:div w:id="1304579229">
      <w:marLeft w:val="0"/>
      <w:marRight w:val="0"/>
      <w:marTop w:val="120"/>
      <w:marBottom w:val="0"/>
      <w:divBdr>
        <w:top w:val="none" w:sz="0" w:space="0" w:color="auto"/>
        <w:left w:val="none" w:sz="0" w:space="0" w:color="auto"/>
        <w:bottom w:val="none" w:sz="0" w:space="0" w:color="auto"/>
        <w:right w:val="none" w:sz="0" w:space="0" w:color="auto"/>
      </w:divBdr>
    </w:div>
    <w:div w:id="1305938198">
      <w:marLeft w:val="0"/>
      <w:marRight w:val="0"/>
      <w:marTop w:val="120"/>
      <w:marBottom w:val="0"/>
      <w:divBdr>
        <w:top w:val="none" w:sz="0" w:space="0" w:color="auto"/>
        <w:left w:val="none" w:sz="0" w:space="0" w:color="auto"/>
        <w:bottom w:val="none" w:sz="0" w:space="0" w:color="auto"/>
        <w:right w:val="none" w:sz="0" w:space="0" w:color="auto"/>
      </w:divBdr>
    </w:div>
    <w:div w:id="1308129444">
      <w:marLeft w:val="0"/>
      <w:marRight w:val="0"/>
      <w:marTop w:val="120"/>
      <w:marBottom w:val="0"/>
      <w:divBdr>
        <w:top w:val="none" w:sz="0" w:space="0" w:color="auto"/>
        <w:left w:val="none" w:sz="0" w:space="0" w:color="auto"/>
        <w:bottom w:val="none" w:sz="0" w:space="0" w:color="auto"/>
        <w:right w:val="none" w:sz="0" w:space="0" w:color="auto"/>
      </w:divBdr>
    </w:div>
    <w:div w:id="1308972439">
      <w:marLeft w:val="0"/>
      <w:marRight w:val="0"/>
      <w:marTop w:val="120"/>
      <w:marBottom w:val="0"/>
      <w:divBdr>
        <w:top w:val="none" w:sz="0" w:space="0" w:color="auto"/>
        <w:left w:val="none" w:sz="0" w:space="0" w:color="auto"/>
        <w:bottom w:val="none" w:sz="0" w:space="0" w:color="auto"/>
        <w:right w:val="none" w:sz="0" w:space="0" w:color="auto"/>
      </w:divBdr>
    </w:div>
    <w:div w:id="1309364593">
      <w:marLeft w:val="0"/>
      <w:marRight w:val="0"/>
      <w:marTop w:val="120"/>
      <w:marBottom w:val="0"/>
      <w:divBdr>
        <w:top w:val="none" w:sz="0" w:space="0" w:color="auto"/>
        <w:left w:val="none" w:sz="0" w:space="0" w:color="auto"/>
        <w:bottom w:val="none" w:sz="0" w:space="0" w:color="auto"/>
        <w:right w:val="none" w:sz="0" w:space="0" w:color="auto"/>
      </w:divBdr>
    </w:div>
    <w:div w:id="1314065001">
      <w:marLeft w:val="0"/>
      <w:marRight w:val="0"/>
      <w:marTop w:val="120"/>
      <w:marBottom w:val="0"/>
      <w:divBdr>
        <w:top w:val="none" w:sz="0" w:space="0" w:color="auto"/>
        <w:left w:val="none" w:sz="0" w:space="0" w:color="auto"/>
        <w:bottom w:val="none" w:sz="0" w:space="0" w:color="auto"/>
        <w:right w:val="none" w:sz="0" w:space="0" w:color="auto"/>
      </w:divBdr>
    </w:div>
    <w:div w:id="1314867599">
      <w:marLeft w:val="0"/>
      <w:marRight w:val="0"/>
      <w:marTop w:val="120"/>
      <w:marBottom w:val="0"/>
      <w:divBdr>
        <w:top w:val="none" w:sz="0" w:space="0" w:color="auto"/>
        <w:left w:val="none" w:sz="0" w:space="0" w:color="auto"/>
        <w:bottom w:val="none" w:sz="0" w:space="0" w:color="auto"/>
        <w:right w:val="none" w:sz="0" w:space="0" w:color="auto"/>
      </w:divBdr>
    </w:div>
    <w:div w:id="1316762713">
      <w:marLeft w:val="0"/>
      <w:marRight w:val="0"/>
      <w:marTop w:val="360"/>
      <w:marBottom w:val="0"/>
      <w:divBdr>
        <w:top w:val="none" w:sz="0" w:space="0" w:color="auto"/>
        <w:left w:val="none" w:sz="0" w:space="0" w:color="auto"/>
        <w:bottom w:val="none" w:sz="0" w:space="0" w:color="auto"/>
        <w:right w:val="none" w:sz="0" w:space="0" w:color="auto"/>
      </w:divBdr>
    </w:div>
    <w:div w:id="1324043361">
      <w:marLeft w:val="0"/>
      <w:marRight w:val="0"/>
      <w:marTop w:val="120"/>
      <w:marBottom w:val="0"/>
      <w:divBdr>
        <w:top w:val="none" w:sz="0" w:space="0" w:color="auto"/>
        <w:left w:val="none" w:sz="0" w:space="0" w:color="auto"/>
        <w:bottom w:val="none" w:sz="0" w:space="0" w:color="auto"/>
        <w:right w:val="none" w:sz="0" w:space="0" w:color="auto"/>
      </w:divBdr>
    </w:div>
    <w:div w:id="1326199934">
      <w:marLeft w:val="0"/>
      <w:marRight w:val="0"/>
      <w:marTop w:val="120"/>
      <w:marBottom w:val="0"/>
      <w:divBdr>
        <w:top w:val="none" w:sz="0" w:space="0" w:color="auto"/>
        <w:left w:val="none" w:sz="0" w:space="0" w:color="auto"/>
        <w:bottom w:val="none" w:sz="0" w:space="0" w:color="auto"/>
        <w:right w:val="none" w:sz="0" w:space="0" w:color="auto"/>
      </w:divBdr>
    </w:div>
    <w:div w:id="1326712186">
      <w:marLeft w:val="0"/>
      <w:marRight w:val="0"/>
      <w:marTop w:val="120"/>
      <w:marBottom w:val="0"/>
      <w:divBdr>
        <w:top w:val="none" w:sz="0" w:space="0" w:color="auto"/>
        <w:left w:val="none" w:sz="0" w:space="0" w:color="auto"/>
        <w:bottom w:val="none" w:sz="0" w:space="0" w:color="auto"/>
        <w:right w:val="none" w:sz="0" w:space="0" w:color="auto"/>
      </w:divBdr>
    </w:div>
    <w:div w:id="1327320806">
      <w:marLeft w:val="0"/>
      <w:marRight w:val="0"/>
      <w:marTop w:val="120"/>
      <w:marBottom w:val="0"/>
      <w:divBdr>
        <w:top w:val="none" w:sz="0" w:space="0" w:color="auto"/>
        <w:left w:val="none" w:sz="0" w:space="0" w:color="auto"/>
        <w:bottom w:val="none" w:sz="0" w:space="0" w:color="auto"/>
        <w:right w:val="none" w:sz="0" w:space="0" w:color="auto"/>
      </w:divBdr>
    </w:div>
    <w:div w:id="1328023452">
      <w:marLeft w:val="0"/>
      <w:marRight w:val="0"/>
      <w:marTop w:val="120"/>
      <w:marBottom w:val="0"/>
      <w:divBdr>
        <w:top w:val="none" w:sz="0" w:space="0" w:color="auto"/>
        <w:left w:val="none" w:sz="0" w:space="0" w:color="auto"/>
        <w:bottom w:val="none" w:sz="0" w:space="0" w:color="auto"/>
        <w:right w:val="none" w:sz="0" w:space="0" w:color="auto"/>
      </w:divBdr>
    </w:div>
    <w:div w:id="1332219492">
      <w:marLeft w:val="0"/>
      <w:marRight w:val="0"/>
      <w:marTop w:val="120"/>
      <w:marBottom w:val="0"/>
      <w:divBdr>
        <w:top w:val="none" w:sz="0" w:space="0" w:color="auto"/>
        <w:left w:val="none" w:sz="0" w:space="0" w:color="auto"/>
        <w:bottom w:val="none" w:sz="0" w:space="0" w:color="auto"/>
        <w:right w:val="none" w:sz="0" w:space="0" w:color="auto"/>
      </w:divBdr>
    </w:div>
    <w:div w:id="1335917056">
      <w:marLeft w:val="0"/>
      <w:marRight w:val="0"/>
      <w:marTop w:val="0"/>
      <w:marBottom w:val="0"/>
      <w:divBdr>
        <w:top w:val="none" w:sz="0" w:space="0" w:color="auto"/>
        <w:left w:val="none" w:sz="0" w:space="0" w:color="auto"/>
        <w:bottom w:val="none" w:sz="0" w:space="0" w:color="auto"/>
        <w:right w:val="none" w:sz="0" w:space="0" w:color="auto"/>
      </w:divBdr>
      <w:divsChild>
        <w:div w:id="446854074">
          <w:marLeft w:val="0"/>
          <w:marRight w:val="0"/>
          <w:marTop w:val="360"/>
          <w:marBottom w:val="0"/>
          <w:divBdr>
            <w:top w:val="none" w:sz="0" w:space="0" w:color="auto"/>
            <w:left w:val="none" w:sz="0" w:space="0" w:color="auto"/>
            <w:bottom w:val="none" w:sz="0" w:space="0" w:color="auto"/>
            <w:right w:val="none" w:sz="0" w:space="0" w:color="auto"/>
          </w:divBdr>
        </w:div>
      </w:divsChild>
    </w:div>
    <w:div w:id="1335917340">
      <w:marLeft w:val="0"/>
      <w:marRight w:val="0"/>
      <w:marTop w:val="120"/>
      <w:marBottom w:val="0"/>
      <w:divBdr>
        <w:top w:val="none" w:sz="0" w:space="0" w:color="auto"/>
        <w:left w:val="none" w:sz="0" w:space="0" w:color="auto"/>
        <w:bottom w:val="none" w:sz="0" w:space="0" w:color="auto"/>
        <w:right w:val="none" w:sz="0" w:space="0" w:color="auto"/>
      </w:divBdr>
    </w:div>
    <w:div w:id="1337918860">
      <w:marLeft w:val="0"/>
      <w:marRight w:val="0"/>
      <w:marTop w:val="120"/>
      <w:marBottom w:val="0"/>
      <w:divBdr>
        <w:top w:val="none" w:sz="0" w:space="0" w:color="auto"/>
        <w:left w:val="none" w:sz="0" w:space="0" w:color="auto"/>
        <w:bottom w:val="none" w:sz="0" w:space="0" w:color="auto"/>
        <w:right w:val="none" w:sz="0" w:space="0" w:color="auto"/>
      </w:divBdr>
    </w:div>
    <w:div w:id="1338075958">
      <w:marLeft w:val="0"/>
      <w:marRight w:val="0"/>
      <w:marTop w:val="120"/>
      <w:marBottom w:val="0"/>
      <w:divBdr>
        <w:top w:val="none" w:sz="0" w:space="0" w:color="auto"/>
        <w:left w:val="none" w:sz="0" w:space="0" w:color="auto"/>
        <w:bottom w:val="none" w:sz="0" w:space="0" w:color="auto"/>
        <w:right w:val="none" w:sz="0" w:space="0" w:color="auto"/>
      </w:divBdr>
    </w:div>
    <w:div w:id="1338188602">
      <w:marLeft w:val="0"/>
      <w:marRight w:val="0"/>
      <w:marTop w:val="120"/>
      <w:marBottom w:val="0"/>
      <w:divBdr>
        <w:top w:val="none" w:sz="0" w:space="0" w:color="auto"/>
        <w:left w:val="none" w:sz="0" w:space="0" w:color="auto"/>
        <w:bottom w:val="none" w:sz="0" w:space="0" w:color="auto"/>
        <w:right w:val="none" w:sz="0" w:space="0" w:color="auto"/>
      </w:divBdr>
    </w:div>
    <w:div w:id="1339426607">
      <w:marLeft w:val="0"/>
      <w:marRight w:val="0"/>
      <w:marTop w:val="120"/>
      <w:marBottom w:val="0"/>
      <w:divBdr>
        <w:top w:val="none" w:sz="0" w:space="0" w:color="auto"/>
        <w:left w:val="none" w:sz="0" w:space="0" w:color="auto"/>
        <w:bottom w:val="none" w:sz="0" w:space="0" w:color="auto"/>
        <w:right w:val="none" w:sz="0" w:space="0" w:color="auto"/>
      </w:divBdr>
    </w:div>
    <w:div w:id="1342581923">
      <w:marLeft w:val="0"/>
      <w:marRight w:val="0"/>
      <w:marTop w:val="120"/>
      <w:marBottom w:val="0"/>
      <w:divBdr>
        <w:top w:val="none" w:sz="0" w:space="0" w:color="auto"/>
        <w:left w:val="none" w:sz="0" w:space="0" w:color="auto"/>
        <w:bottom w:val="none" w:sz="0" w:space="0" w:color="auto"/>
        <w:right w:val="none" w:sz="0" w:space="0" w:color="auto"/>
      </w:divBdr>
    </w:div>
    <w:div w:id="1345090106">
      <w:marLeft w:val="0"/>
      <w:marRight w:val="0"/>
      <w:marTop w:val="120"/>
      <w:marBottom w:val="0"/>
      <w:divBdr>
        <w:top w:val="none" w:sz="0" w:space="0" w:color="auto"/>
        <w:left w:val="none" w:sz="0" w:space="0" w:color="auto"/>
        <w:bottom w:val="none" w:sz="0" w:space="0" w:color="auto"/>
        <w:right w:val="none" w:sz="0" w:space="0" w:color="auto"/>
      </w:divBdr>
    </w:div>
    <w:div w:id="1347751426">
      <w:marLeft w:val="0"/>
      <w:marRight w:val="0"/>
      <w:marTop w:val="120"/>
      <w:marBottom w:val="0"/>
      <w:divBdr>
        <w:top w:val="none" w:sz="0" w:space="0" w:color="auto"/>
        <w:left w:val="none" w:sz="0" w:space="0" w:color="auto"/>
        <w:bottom w:val="none" w:sz="0" w:space="0" w:color="auto"/>
        <w:right w:val="none" w:sz="0" w:space="0" w:color="auto"/>
      </w:divBdr>
    </w:div>
    <w:div w:id="1347752266">
      <w:marLeft w:val="0"/>
      <w:marRight w:val="0"/>
      <w:marTop w:val="120"/>
      <w:marBottom w:val="0"/>
      <w:divBdr>
        <w:top w:val="none" w:sz="0" w:space="0" w:color="auto"/>
        <w:left w:val="none" w:sz="0" w:space="0" w:color="auto"/>
        <w:bottom w:val="none" w:sz="0" w:space="0" w:color="auto"/>
        <w:right w:val="none" w:sz="0" w:space="0" w:color="auto"/>
      </w:divBdr>
    </w:div>
    <w:div w:id="1352995434">
      <w:marLeft w:val="0"/>
      <w:marRight w:val="0"/>
      <w:marTop w:val="120"/>
      <w:marBottom w:val="0"/>
      <w:divBdr>
        <w:top w:val="none" w:sz="0" w:space="0" w:color="auto"/>
        <w:left w:val="none" w:sz="0" w:space="0" w:color="auto"/>
        <w:bottom w:val="none" w:sz="0" w:space="0" w:color="auto"/>
        <w:right w:val="none" w:sz="0" w:space="0" w:color="auto"/>
      </w:divBdr>
    </w:div>
    <w:div w:id="1353267626">
      <w:marLeft w:val="0"/>
      <w:marRight w:val="0"/>
      <w:marTop w:val="120"/>
      <w:marBottom w:val="0"/>
      <w:divBdr>
        <w:top w:val="none" w:sz="0" w:space="0" w:color="auto"/>
        <w:left w:val="none" w:sz="0" w:space="0" w:color="auto"/>
        <w:bottom w:val="none" w:sz="0" w:space="0" w:color="auto"/>
        <w:right w:val="none" w:sz="0" w:space="0" w:color="auto"/>
      </w:divBdr>
    </w:div>
    <w:div w:id="1354646731">
      <w:marLeft w:val="0"/>
      <w:marRight w:val="0"/>
      <w:marTop w:val="120"/>
      <w:marBottom w:val="0"/>
      <w:divBdr>
        <w:top w:val="none" w:sz="0" w:space="0" w:color="auto"/>
        <w:left w:val="none" w:sz="0" w:space="0" w:color="auto"/>
        <w:bottom w:val="none" w:sz="0" w:space="0" w:color="auto"/>
        <w:right w:val="none" w:sz="0" w:space="0" w:color="auto"/>
      </w:divBdr>
    </w:div>
    <w:div w:id="1358237333">
      <w:marLeft w:val="0"/>
      <w:marRight w:val="0"/>
      <w:marTop w:val="120"/>
      <w:marBottom w:val="0"/>
      <w:divBdr>
        <w:top w:val="none" w:sz="0" w:space="0" w:color="auto"/>
        <w:left w:val="none" w:sz="0" w:space="0" w:color="auto"/>
        <w:bottom w:val="none" w:sz="0" w:space="0" w:color="auto"/>
        <w:right w:val="none" w:sz="0" w:space="0" w:color="auto"/>
      </w:divBdr>
    </w:div>
    <w:div w:id="1358697516">
      <w:marLeft w:val="0"/>
      <w:marRight w:val="0"/>
      <w:marTop w:val="120"/>
      <w:marBottom w:val="0"/>
      <w:divBdr>
        <w:top w:val="none" w:sz="0" w:space="0" w:color="auto"/>
        <w:left w:val="none" w:sz="0" w:space="0" w:color="auto"/>
        <w:bottom w:val="none" w:sz="0" w:space="0" w:color="auto"/>
        <w:right w:val="none" w:sz="0" w:space="0" w:color="auto"/>
      </w:divBdr>
    </w:div>
    <w:div w:id="1360201605">
      <w:marLeft w:val="0"/>
      <w:marRight w:val="0"/>
      <w:marTop w:val="120"/>
      <w:marBottom w:val="0"/>
      <w:divBdr>
        <w:top w:val="none" w:sz="0" w:space="0" w:color="auto"/>
        <w:left w:val="none" w:sz="0" w:space="0" w:color="auto"/>
        <w:bottom w:val="none" w:sz="0" w:space="0" w:color="auto"/>
        <w:right w:val="none" w:sz="0" w:space="0" w:color="auto"/>
      </w:divBdr>
    </w:div>
    <w:div w:id="1361321998">
      <w:marLeft w:val="0"/>
      <w:marRight w:val="0"/>
      <w:marTop w:val="120"/>
      <w:marBottom w:val="0"/>
      <w:divBdr>
        <w:top w:val="none" w:sz="0" w:space="0" w:color="auto"/>
        <w:left w:val="none" w:sz="0" w:space="0" w:color="auto"/>
        <w:bottom w:val="none" w:sz="0" w:space="0" w:color="auto"/>
        <w:right w:val="none" w:sz="0" w:space="0" w:color="auto"/>
      </w:divBdr>
    </w:div>
    <w:div w:id="1362559843">
      <w:marLeft w:val="0"/>
      <w:marRight w:val="0"/>
      <w:marTop w:val="120"/>
      <w:marBottom w:val="0"/>
      <w:divBdr>
        <w:top w:val="none" w:sz="0" w:space="0" w:color="auto"/>
        <w:left w:val="none" w:sz="0" w:space="0" w:color="auto"/>
        <w:bottom w:val="none" w:sz="0" w:space="0" w:color="auto"/>
        <w:right w:val="none" w:sz="0" w:space="0" w:color="auto"/>
      </w:divBdr>
    </w:div>
    <w:div w:id="1363168779">
      <w:marLeft w:val="0"/>
      <w:marRight w:val="0"/>
      <w:marTop w:val="120"/>
      <w:marBottom w:val="0"/>
      <w:divBdr>
        <w:top w:val="none" w:sz="0" w:space="0" w:color="auto"/>
        <w:left w:val="none" w:sz="0" w:space="0" w:color="auto"/>
        <w:bottom w:val="none" w:sz="0" w:space="0" w:color="auto"/>
        <w:right w:val="none" w:sz="0" w:space="0" w:color="auto"/>
      </w:divBdr>
    </w:div>
    <w:div w:id="1364287339">
      <w:marLeft w:val="0"/>
      <w:marRight w:val="0"/>
      <w:marTop w:val="120"/>
      <w:marBottom w:val="0"/>
      <w:divBdr>
        <w:top w:val="none" w:sz="0" w:space="0" w:color="auto"/>
        <w:left w:val="none" w:sz="0" w:space="0" w:color="auto"/>
        <w:bottom w:val="none" w:sz="0" w:space="0" w:color="auto"/>
        <w:right w:val="none" w:sz="0" w:space="0" w:color="auto"/>
      </w:divBdr>
    </w:div>
    <w:div w:id="1366368654">
      <w:marLeft w:val="0"/>
      <w:marRight w:val="0"/>
      <w:marTop w:val="120"/>
      <w:marBottom w:val="0"/>
      <w:divBdr>
        <w:top w:val="none" w:sz="0" w:space="0" w:color="auto"/>
        <w:left w:val="none" w:sz="0" w:space="0" w:color="auto"/>
        <w:bottom w:val="none" w:sz="0" w:space="0" w:color="auto"/>
        <w:right w:val="none" w:sz="0" w:space="0" w:color="auto"/>
      </w:divBdr>
    </w:div>
    <w:div w:id="1367826322">
      <w:marLeft w:val="0"/>
      <w:marRight w:val="0"/>
      <w:marTop w:val="0"/>
      <w:marBottom w:val="0"/>
      <w:divBdr>
        <w:top w:val="none" w:sz="0" w:space="0" w:color="auto"/>
        <w:left w:val="none" w:sz="0" w:space="0" w:color="auto"/>
        <w:bottom w:val="none" w:sz="0" w:space="0" w:color="auto"/>
        <w:right w:val="none" w:sz="0" w:space="0" w:color="auto"/>
      </w:divBdr>
      <w:divsChild>
        <w:div w:id="1989356392">
          <w:marLeft w:val="0"/>
          <w:marRight w:val="0"/>
          <w:marTop w:val="360"/>
          <w:marBottom w:val="0"/>
          <w:divBdr>
            <w:top w:val="none" w:sz="0" w:space="0" w:color="auto"/>
            <w:left w:val="none" w:sz="0" w:space="0" w:color="auto"/>
            <w:bottom w:val="none" w:sz="0" w:space="0" w:color="auto"/>
            <w:right w:val="none" w:sz="0" w:space="0" w:color="auto"/>
          </w:divBdr>
        </w:div>
      </w:divsChild>
    </w:div>
    <w:div w:id="1368411345">
      <w:marLeft w:val="0"/>
      <w:marRight w:val="0"/>
      <w:marTop w:val="120"/>
      <w:marBottom w:val="0"/>
      <w:divBdr>
        <w:top w:val="none" w:sz="0" w:space="0" w:color="auto"/>
        <w:left w:val="none" w:sz="0" w:space="0" w:color="auto"/>
        <w:bottom w:val="none" w:sz="0" w:space="0" w:color="auto"/>
        <w:right w:val="none" w:sz="0" w:space="0" w:color="auto"/>
      </w:divBdr>
    </w:div>
    <w:div w:id="1369796157">
      <w:marLeft w:val="0"/>
      <w:marRight w:val="0"/>
      <w:marTop w:val="120"/>
      <w:marBottom w:val="0"/>
      <w:divBdr>
        <w:top w:val="none" w:sz="0" w:space="0" w:color="auto"/>
        <w:left w:val="none" w:sz="0" w:space="0" w:color="auto"/>
        <w:bottom w:val="none" w:sz="0" w:space="0" w:color="auto"/>
        <w:right w:val="none" w:sz="0" w:space="0" w:color="auto"/>
      </w:divBdr>
    </w:div>
    <w:div w:id="1371147993">
      <w:marLeft w:val="0"/>
      <w:marRight w:val="0"/>
      <w:marTop w:val="120"/>
      <w:marBottom w:val="0"/>
      <w:divBdr>
        <w:top w:val="none" w:sz="0" w:space="0" w:color="auto"/>
        <w:left w:val="none" w:sz="0" w:space="0" w:color="auto"/>
        <w:bottom w:val="none" w:sz="0" w:space="0" w:color="auto"/>
        <w:right w:val="none" w:sz="0" w:space="0" w:color="auto"/>
      </w:divBdr>
    </w:div>
    <w:div w:id="1371685995">
      <w:marLeft w:val="0"/>
      <w:marRight w:val="0"/>
      <w:marTop w:val="0"/>
      <w:marBottom w:val="0"/>
      <w:divBdr>
        <w:top w:val="none" w:sz="0" w:space="0" w:color="auto"/>
        <w:left w:val="none" w:sz="0" w:space="0" w:color="auto"/>
        <w:bottom w:val="none" w:sz="0" w:space="0" w:color="auto"/>
        <w:right w:val="none" w:sz="0" w:space="0" w:color="auto"/>
      </w:divBdr>
      <w:divsChild>
        <w:div w:id="319576446">
          <w:marLeft w:val="0"/>
          <w:marRight w:val="0"/>
          <w:marTop w:val="0"/>
          <w:marBottom w:val="0"/>
          <w:divBdr>
            <w:top w:val="none" w:sz="0" w:space="0" w:color="auto"/>
            <w:left w:val="none" w:sz="0" w:space="0" w:color="auto"/>
            <w:bottom w:val="none" w:sz="0" w:space="0" w:color="auto"/>
            <w:right w:val="none" w:sz="0" w:space="0" w:color="auto"/>
          </w:divBdr>
        </w:div>
      </w:divsChild>
    </w:div>
    <w:div w:id="1371803558">
      <w:marLeft w:val="0"/>
      <w:marRight w:val="0"/>
      <w:marTop w:val="0"/>
      <w:marBottom w:val="0"/>
      <w:divBdr>
        <w:top w:val="none" w:sz="0" w:space="0" w:color="auto"/>
        <w:left w:val="none" w:sz="0" w:space="0" w:color="auto"/>
        <w:bottom w:val="none" w:sz="0" w:space="0" w:color="auto"/>
        <w:right w:val="none" w:sz="0" w:space="0" w:color="auto"/>
      </w:divBdr>
      <w:divsChild>
        <w:div w:id="1130247077">
          <w:marLeft w:val="0"/>
          <w:marRight w:val="0"/>
          <w:marTop w:val="0"/>
          <w:marBottom w:val="0"/>
          <w:divBdr>
            <w:top w:val="none" w:sz="0" w:space="0" w:color="auto"/>
            <w:left w:val="none" w:sz="0" w:space="0" w:color="auto"/>
            <w:bottom w:val="none" w:sz="0" w:space="0" w:color="auto"/>
            <w:right w:val="none" w:sz="0" w:space="0" w:color="auto"/>
          </w:divBdr>
        </w:div>
      </w:divsChild>
    </w:div>
    <w:div w:id="1373111471">
      <w:marLeft w:val="0"/>
      <w:marRight w:val="0"/>
      <w:marTop w:val="360"/>
      <w:marBottom w:val="0"/>
      <w:divBdr>
        <w:top w:val="none" w:sz="0" w:space="0" w:color="auto"/>
        <w:left w:val="none" w:sz="0" w:space="0" w:color="auto"/>
        <w:bottom w:val="none" w:sz="0" w:space="0" w:color="auto"/>
        <w:right w:val="none" w:sz="0" w:space="0" w:color="auto"/>
      </w:divBdr>
    </w:div>
    <w:div w:id="1374579859">
      <w:marLeft w:val="0"/>
      <w:marRight w:val="0"/>
      <w:marTop w:val="120"/>
      <w:marBottom w:val="0"/>
      <w:divBdr>
        <w:top w:val="none" w:sz="0" w:space="0" w:color="auto"/>
        <w:left w:val="none" w:sz="0" w:space="0" w:color="auto"/>
        <w:bottom w:val="none" w:sz="0" w:space="0" w:color="auto"/>
        <w:right w:val="none" w:sz="0" w:space="0" w:color="auto"/>
      </w:divBdr>
    </w:div>
    <w:div w:id="1378746628">
      <w:marLeft w:val="0"/>
      <w:marRight w:val="0"/>
      <w:marTop w:val="0"/>
      <w:marBottom w:val="0"/>
      <w:divBdr>
        <w:top w:val="none" w:sz="0" w:space="0" w:color="auto"/>
        <w:left w:val="none" w:sz="0" w:space="0" w:color="auto"/>
        <w:bottom w:val="none" w:sz="0" w:space="0" w:color="auto"/>
        <w:right w:val="none" w:sz="0" w:space="0" w:color="auto"/>
      </w:divBdr>
      <w:divsChild>
        <w:div w:id="325286436">
          <w:marLeft w:val="0"/>
          <w:marRight w:val="0"/>
          <w:marTop w:val="360"/>
          <w:marBottom w:val="0"/>
          <w:divBdr>
            <w:top w:val="none" w:sz="0" w:space="0" w:color="auto"/>
            <w:left w:val="none" w:sz="0" w:space="0" w:color="auto"/>
            <w:bottom w:val="none" w:sz="0" w:space="0" w:color="auto"/>
            <w:right w:val="none" w:sz="0" w:space="0" w:color="auto"/>
          </w:divBdr>
        </w:div>
      </w:divsChild>
    </w:div>
    <w:div w:id="1382438847">
      <w:marLeft w:val="0"/>
      <w:marRight w:val="0"/>
      <w:marTop w:val="120"/>
      <w:marBottom w:val="0"/>
      <w:divBdr>
        <w:top w:val="none" w:sz="0" w:space="0" w:color="auto"/>
        <w:left w:val="none" w:sz="0" w:space="0" w:color="auto"/>
        <w:bottom w:val="none" w:sz="0" w:space="0" w:color="auto"/>
        <w:right w:val="none" w:sz="0" w:space="0" w:color="auto"/>
      </w:divBdr>
    </w:div>
    <w:div w:id="1384519363">
      <w:marLeft w:val="0"/>
      <w:marRight w:val="0"/>
      <w:marTop w:val="120"/>
      <w:marBottom w:val="0"/>
      <w:divBdr>
        <w:top w:val="none" w:sz="0" w:space="0" w:color="auto"/>
        <w:left w:val="none" w:sz="0" w:space="0" w:color="auto"/>
        <w:bottom w:val="none" w:sz="0" w:space="0" w:color="auto"/>
        <w:right w:val="none" w:sz="0" w:space="0" w:color="auto"/>
      </w:divBdr>
    </w:div>
    <w:div w:id="1389647658">
      <w:marLeft w:val="0"/>
      <w:marRight w:val="0"/>
      <w:marTop w:val="120"/>
      <w:marBottom w:val="0"/>
      <w:divBdr>
        <w:top w:val="none" w:sz="0" w:space="0" w:color="auto"/>
        <w:left w:val="none" w:sz="0" w:space="0" w:color="auto"/>
        <w:bottom w:val="none" w:sz="0" w:space="0" w:color="auto"/>
        <w:right w:val="none" w:sz="0" w:space="0" w:color="auto"/>
      </w:divBdr>
    </w:div>
    <w:div w:id="1393581520">
      <w:marLeft w:val="0"/>
      <w:marRight w:val="0"/>
      <w:marTop w:val="0"/>
      <w:marBottom w:val="0"/>
      <w:divBdr>
        <w:top w:val="none" w:sz="0" w:space="0" w:color="auto"/>
        <w:left w:val="none" w:sz="0" w:space="0" w:color="auto"/>
        <w:bottom w:val="none" w:sz="0" w:space="0" w:color="auto"/>
        <w:right w:val="none" w:sz="0" w:space="0" w:color="auto"/>
      </w:divBdr>
      <w:divsChild>
        <w:div w:id="52242784">
          <w:marLeft w:val="0"/>
          <w:marRight w:val="0"/>
          <w:marTop w:val="0"/>
          <w:marBottom w:val="0"/>
          <w:divBdr>
            <w:top w:val="none" w:sz="0" w:space="0" w:color="auto"/>
            <w:left w:val="none" w:sz="0" w:space="0" w:color="auto"/>
            <w:bottom w:val="none" w:sz="0" w:space="0" w:color="auto"/>
            <w:right w:val="none" w:sz="0" w:space="0" w:color="auto"/>
          </w:divBdr>
        </w:div>
      </w:divsChild>
    </w:div>
    <w:div w:id="1395008615">
      <w:marLeft w:val="0"/>
      <w:marRight w:val="0"/>
      <w:marTop w:val="0"/>
      <w:marBottom w:val="0"/>
      <w:divBdr>
        <w:top w:val="none" w:sz="0" w:space="0" w:color="auto"/>
        <w:left w:val="none" w:sz="0" w:space="0" w:color="auto"/>
        <w:bottom w:val="none" w:sz="0" w:space="0" w:color="auto"/>
        <w:right w:val="none" w:sz="0" w:space="0" w:color="auto"/>
      </w:divBdr>
      <w:divsChild>
        <w:div w:id="1875191322">
          <w:marLeft w:val="0"/>
          <w:marRight w:val="0"/>
          <w:marTop w:val="0"/>
          <w:marBottom w:val="0"/>
          <w:divBdr>
            <w:top w:val="none" w:sz="0" w:space="0" w:color="auto"/>
            <w:left w:val="none" w:sz="0" w:space="0" w:color="auto"/>
            <w:bottom w:val="none" w:sz="0" w:space="0" w:color="auto"/>
            <w:right w:val="none" w:sz="0" w:space="0" w:color="auto"/>
          </w:divBdr>
        </w:div>
      </w:divsChild>
    </w:div>
    <w:div w:id="1398239743">
      <w:marLeft w:val="0"/>
      <w:marRight w:val="0"/>
      <w:marTop w:val="120"/>
      <w:marBottom w:val="0"/>
      <w:divBdr>
        <w:top w:val="none" w:sz="0" w:space="0" w:color="auto"/>
        <w:left w:val="none" w:sz="0" w:space="0" w:color="auto"/>
        <w:bottom w:val="none" w:sz="0" w:space="0" w:color="auto"/>
        <w:right w:val="none" w:sz="0" w:space="0" w:color="auto"/>
      </w:divBdr>
    </w:div>
    <w:div w:id="1400595164">
      <w:marLeft w:val="0"/>
      <w:marRight w:val="0"/>
      <w:marTop w:val="120"/>
      <w:marBottom w:val="0"/>
      <w:divBdr>
        <w:top w:val="none" w:sz="0" w:space="0" w:color="auto"/>
        <w:left w:val="none" w:sz="0" w:space="0" w:color="auto"/>
        <w:bottom w:val="none" w:sz="0" w:space="0" w:color="auto"/>
        <w:right w:val="none" w:sz="0" w:space="0" w:color="auto"/>
      </w:divBdr>
    </w:div>
    <w:div w:id="1406104018">
      <w:marLeft w:val="0"/>
      <w:marRight w:val="0"/>
      <w:marTop w:val="120"/>
      <w:marBottom w:val="0"/>
      <w:divBdr>
        <w:top w:val="none" w:sz="0" w:space="0" w:color="auto"/>
        <w:left w:val="none" w:sz="0" w:space="0" w:color="auto"/>
        <w:bottom w:val="none" w:sz="0" w:space="0" w:color="auto"/>
        <w:right w:val="none" w:sz="0" w:space="0" w:color="auto"/>
      </w:divBdr>
    </w:div>
    <w:div w:id="1407996732">
      <w:marLeft w:val="0"/>
      <w:marRight w:val="0"/>
      <w:marTop w:val="120"/>
      <w:marBottom w:val="0"/>
      <w:divBdr>
        <w:top w:val="none" w:sz="0" w:space="0" w:color="auto"/>
        <w:left w:val="none" w:sz="0" w:space="0" w:color="auto"/>
        <w:bottom w:val="none" w:sz="0" w:space="0" w:color="auto"/>
        <w:right w:val="none" w:sz="0" w:space="0" w:color="auto"/>
      </w:divBdr>
    </w:div>
    <w:div w:id="1408960970">
      <w:marLeft w:val="0"/>
      <w:marRight w:val="0"/>
      <w:marTop w:val="120"/>
      <w:marBottom w:val="0"/>
      <w:divBdr>
        <w:top w:val="none" w:sz="0" w:space="0" w:color="auto"/>
        <w:left w:val="none" w:sz="0" w:space="0" w:color="auto"/>
        <w:bottom w:val="none" w:sz="0" w:space="0" w:color="auto"/>
        <w:right w:val="none" w:sz="0" w:space="0" w:color="auto"/>
      </w:divBdr>
    </w:div>
    <w:div w:id="1410690001">
      <w:marLeft w:val="0"/>
      <w:marRight w:val="0"/>
      <w:marTop w:val="120"/>
      <w:marBottom w:val="0"/>
      <w:divBdr>
        <w:top w:val="none" w:sz="0" w:space="0" w:color="auto"/>
        <w:left w:val="none" w:sz="0" w:space="0" w:color="auto"/>
        <w:bottom w:val="none" w:sz="0" w:space="0" w:color="auto"/>
        <w:right w:val="none" w:sz="0" w:space="0" w:color="auto"/>
      </w:divBdr>
    </w:div>
    <w:div w:id="1417286667">
      <w:marLeft w:val="0"/>
      <w:marRight w:val="0"/>
      <w:marTop w:val="120"/>
      <w:marBottom w:val="0"/>
      <w:divBdr>
        <w:top w:val="none" w:sz="0" w:space="0" w:color="auto"/>
        <w:left w:val="none" w:sz="0" w:space="0" w:color="auto"/>
        <w:bottom w:val="none" w:sz="0" w:space="0" w:color="auto"/>
        <w:right w:val="none" w:sz="0" w:space="0" w:color="auto"/>
      </w:divBdr>
    </w:div>
    <w:div w:id="1418793561">
      <w:marLeft w:val="0"/>
      <w:marRight w:val="0"/>
      <w:marTop w:val="120"/>
      <w:marBottom w:val="0"/>
      <w:divBdr>
        <w:top w:val="none" w:sz="0" w:space="0" w:color="auto"/>
        <w:left w:val="none" w:sz="0" w:space="0" w:color="auto"/>
        <w:bottom w:val="none" w:sz="0" w:space="0" w:color="auto"/>
        <w:right w:val="none" w:sz="0" w:space="0" w:color="auto"/>
      </w:divBdr>
    </w:div>
    <w:div w:id="1421948238">
      <w:marLeft w:val="0"/>
      <w:marRight w:val="0"/>
      <w:marTop w:val="120"/>
      <w:marBottom w:val="0"/>
      <w:divBdr>
        <w:top w:val="none" w:sz="0" w:space="0" w:color="auto"/>
        <w:left w:val="none" w:sz="0" w:space="0" w:color="auto"/>
        <w:bottom w:val="none" w:sz="0" w:space="0" w:color="auto"/>
        <w:right w:val="none" w:sz="0" w:space="0" w:color="auto"/>
      </w:divBdr>
    </w:div>
    <w:div w:id="1423450105">
      <w:marLeft w:val="0"/>
      <w:marRight w:val="0"/>
      <w:marTop w:val="120"/>
      <w:marBottom w:val="0"/>
      <w:divBdr>
        <w:top w:val="none" w:sz="0" w:space="0" w:color="auto"/>
        <w:left w:val="none" w:sz="0" w:space="0" w:color="auto"/>
        <w:bottom w:val="none" w:sz="0" w:space="0" w:color="auto"/>
        <w:right w:val="none" w:sz="0" w:space="0" w:color="auto"/>
      </w:divBdr>
    </w:div>
    <w:div w:id="1439332519">
      <w:marLeft w:val="0"/>
      <w:marRight w:val="0"/>
      <w:marTop w:val="360"/>
      <w:marBottom w:val="0"/>
      <w:divBdr>
        <w:top w:val="none" w:sz="0" w:space="0" w:color="auto"/>
        <w:left w:val="none" w:sz="0" w:space="0" w:color="auto"/>
        <w:bottom w:val="none" w:sz="0" w:space="0" w:color="auto"/>
        <w:right w:val="none" w:sz="0" w:space="0" w:color="auto"/>
      </w:divBdr>
    </w:div>
    <w:div w:id="1441490551">
      <w:marLeft w:val="0"/>
      <w:marRight w:val="0"/>
      <w:marTop w:val="120"/>
      <w:marBottom w:val="0"/>
      <w:divBdr>
        <w:top w:val="none" w:sz="0" w:space="0" w:color="auto"/>
        <w:left w:val="none" w:sz="0" w:space="0" w:color="auto"/>
        <w:bottom w:val="none" w:sz="0" w:space="0" w:color="auto"/>
        <w:right w:val="none" w:sz="0" w:space="0" w:color="auto"/>
      </w:divBdr>
    </w:div>
    <w:div w:id="1443911978">
      <w:marLeft w:val="0"/>
      <w:marRight w:val="0"/>
      <w:marTop w:val="120"/>
      <w:marBottom w:val="0"/>
      <w:divBdr>
        <w:top w:val="none" w:sz="0" w:space="0" w:color="auto"/>
        <w:left w:val="none" w:sz="0" w:space="0" w:color="auto"/>
        <w:bottom w:val="none" w:sz="0" w:space="0" w:color="auto"/>
        <w:right w:val="none" w:sz="0" w:space="0" w:color="auto"/>
      </w:divBdr>
    </w:div>
    <w:div w:id="1445076323">
      <w:marLeft w:val="0"/>
      <w:marRight w:val="0"/>
      <w:marTop w:val="120"/>
      <w:marBottom w:val="0"/>
      <w:divBdr>
        <w:top w:val="none" w:sz="0" w:space="0" w:color="auto"/>
        <w:left w:val="none" w:sz="0" w:space="0" w:color="auto"/>
        <w:bottom w:val="none" w:sz="0" w:space="0" w:color="auto"/>
        <w:right w:val="none" w:sz="0" w:space="0" w:color="auto"/>
      </w:divBdr>
    </w:div>
    <w:div w:id="1446577070">
      <w:marLeft w:val="0"/>
      <w:marRight w:val="0"/>
      <w:marTop w:val="120"/>
      <w:marBottom w:val="0"/>
      <w:divBdr>
        <w:top w:val="none" w:sz="0" w:space="0" w:color="auto"/>
        <w:left w:val="none" w:sz="0" w:space="0" w:color="auto"/>
        <w:bottom w:val="none" w:sz="0" w:space="0" w:color="auto"/>
        <w:right w:val="none" w:sz="0" w:space="0" w:color="auto"/>
      </w:divBdr>
    </w:div>
    <w:div w:id="1447119098">
      <w:marLeft w:val="0"/>
      <w:marRight w:val="0"/>
      <w:marTop w:val="120"/>
      <w:marBottom w:val="0"/>
      <w:divBdr>
        <w:top w:val="none" w:sz="0" w:space="0" w:color="auto"/>
        <w:left w:val="none" w:sz="0" w:space="0" w:color="auto"/>
        <w:bottom w:val="none" w:sz="0" w:space="0" w:color="auto"/>
        <w:right w:val="none" w:sz="0" w:space="0" w:color="auto"/>
      </w:divBdr>
    </w:div>
    <w:div w:id="1452895895">
      <w:marLeft w:val="0"/>
      <w:marRight w:val="0"/>
      <w:marTop w:val="0"/>
      <w:marBottom w:val="0"/>
      <w:divBdr>
        <w:top w:val="none" w:sz="0" w:space="0" w:color="auto"/>
        <w:left w:val="none" w:sz="0" w:space="0" w:color="auto"/>
        <w:bottom w:val="none" w:sz="0" w:space="0" w:color="auto"/>
        <w:right w:val="none" w:sz="0" w:space="0" w:color="auto"/>
      </w:divBdr>
      <w:divsChild>
        <w:div w:id="2066487547">
          <w:marLeft w:val="0"/>
          <w:marRight w:val="0"/>
          <w:marTop w:val="360"/>
          <w:marBottom w:val="0"/>
          <w:divBdr>
            <w:top w:val="none" w:sz="0" w:space="0" w:color="auto"/>
            <w:left w:val="none" w:sz="0" w:space="0" w:color="auto"/>
            <w:bottom w:val="none" w:sz="0" w:space="0" w:color="auto"/>
            <w:right w:val="none" w:sz="0" w:space="0" w:color="auto"/>
          </w:divBdr>
        </w:div>
      </w:divsChild>
    </w:div>
    <w:div w:id="1464957082">
      <w:marLeft w:val="0"/>
      <w:marRight w:val="0"/>
      <w:marTop w:val="120"/>
      <w:marBottom w:val="0"/>
      <w:divBdr>
        <w:top w:val="none" w:sz="0" w:space="0" w:color="auto"/>
        <w:left w:val="none" w:sz="0" w:space="0" w:color="auto"/>
        <w:bottom w:val="none" w:sz="0" w:space="0" w:color="auto"/>
        <w:right w:val="none" w:sz="0" w:space="0" w:color="auto"/>
      </w:divBdr>
    </w:div>
    <w:div w:id="1465536327">
      <w:marLeft w:val="0"/>
      <w:marRight w:val="0"/>
      <w:marTop w:val="0"/>
      <w:marBottom w:val="0"/>
      <w:divBdr>
        <w:top w:val="none" w:sz="0" w:space="0" w:color="auto"/>
        <w:left w:val="none" w:sz="0" w:space="0" w:color="auto"/>
        <w:bottom w:val="none" w:sz="0" w:space="0" w:color="auto"/>
        <w:right w:val="none" w:sz="0" w:space="0" w:color="auto"/>
      </w:divBdr>
      <w:divsChild>
        <w:div w:id="1732340586">
          <w:marLeft w:val="0"/>
          <w:marRight w:val="0"/>
          <w:marTop w:val="0"/>
          <w:marBottom w:val="0"/>
          <w:divBdr>
            <w:top w:val="none" w:sz="0" w:space="0" w:color="auto"/>
            <w:left w:val="none" w:sz="0" w:space="0" w:color="auto"/>
            <w:bottom w:val="none" w:sz="0" w:space="0" w:color="auto"/>
            <w:right w:val="none" w:sz="0" w:space="0" w:color="auto"/>
          </w:divBdr>
        </w:div>
      </w:divsChild>
    </w:div>
    <w:div w:id="1466973732">
      <w:marLeft w:val="0"/>
      <w:marRight w:val="0"/>
      <w:marTop w:val="120"/>
      <w:marBottom w:val="0"/>
      <w:divBdr>
        <w:top w:val="none" w:sz="0" w:space="0" w:color="auto"/>
        <w:left w:val="none" w:sz="0" w:space="0" w:color="auto"/>
        <w:bottom w:val="none" w:sz="0" w:space="0" w:color="auto"/>
        <w:right w:val="none" w:sz="0" w:space="0" w:color="auto"/>
      </w:divBdr>
    </w:div>
    <w:div w:id="1470397215">
      <w:marLeft w:val="0"/>
      <w:marRight w:val="0"/>
      <w:marTop w:val="120"/>
      <w:marBottom w:val="0"/>
      <w:divBdr>
        <w:top w:val="none" w:sz="0" w:space="0" w:color="auto"/>
        <w:left w:val="none" w:sz="0" w:space="0" w:color="auto"/>
        <w:bottom w:val="none" w:sz="0" w:space="0" w:color="auto"/>
        <w:right w:val="none" w:sz="0" w:space="0" w:color="auto"/>
      </w:divBdr>
    </w:div>
    <w:div w:id="1470902971">
      <w:marLeft w:val="0"/>
      <w:marRight w:val="0"/>
      <w:marTop w:val="120"/>
      <w:marBottom w:val="0"/>
      <w:divBdr>
        <w:top w:val="none" w:sz="0" w:space="0" w:color="auto"/>
        <w:left w:val="none" w:sz="0" w:space="0" w:color="auto"/>
        <w:bottom w:val="none" w:sz="0" w:space="0" w:color="auto"/>
        <w:right w:val="none" w:sz="0" w:space="0" w:color="auto"/>
      </w:divBdr>
    </w:div>
    <w:div w:id="1472409430">
      <w:marLeft w:val="0"/>
      <w:marRight w:val="0"/>
      <w:marTop w:val="0"/>
      <w:marBottom w:val="0"/>
      <w:divBdr>
        <w:top w:val="none" w:sz="0" w:space="0" w:color="auto"/>
        <w:left w:val="none" w:sz="0" w:space="0" w:color="auto"/>
        <w:bottom w:val="none" w:sz="0" w:space="0" w:color="auto"/>
        <w:right w:val="none" w:sz="0" w:space="0" w:color="auto"/>
      </w:divBdr>
      <w:divsChild>
        <w:div w:id="1976906881">
          <w:marLeft w:val="0"/>
          <w:marRight w:val="0"/>
          <w:marTop w:val="0"/>
          <w:marBottom w:val="0"/>
          <w:divBdr>
            <w:top w:val="none" w:sz="0" w:space="0" w:color="auto"/>
            <w:left w:val="none" w:sz="0" w:space="0" w:color="auto"/>
            <w:bottom w:val="none" w:sz="0" w:space="0" w:color="auto"/>
            <w:right w:val="none" w:sz="0" w:space="0" w:color="auto"/>
          </w:divBdr>
        </w:div>
      </w:divsChild>
    </w:div>
    <w:div w:id="1473406150">
      <w:marLeft w:val="0"/>
      <w:marRight w:val="0"/>
      <w:marTop w:val="0"/>
      <w:marBottom w:val="0"/>
      <w:divBdr>
        <w:top w:val="none" w:sz="0" w:space="0" w:color="auto"/>
        <w:left w:val="none" w:sz="0" w:space="0" w:color="auto"/>
        <w:bottom w:val="none" w:sz="0" w:space="0" w:color="auto"/>
        <w:right w:val="none" w:sz="0" w:space="0" w:color="auto"/>
      </w:divBdr>
      <w:divsChild>
        <w:div w:id="1985039601">
          <w:marLeft w:val="0"/>
          <w:marRight w:val="0"/>
          <w:marTop w:val="360"/>
          <w:marBottom w:val="0"/>
          <w:divBdr>
            <w:top w:val="none" w:sz="0" w:space="0" w:color="auto"/>
            <w:left w:val="none" w:sz="0" w:space="0" w:color="auto"/>
            <w:bottom w:val="none" w:sz="0" w:space="0" w:color="auto"/>
            <w:right w:val="none" w:sz="0" w:space="0" w:color="auto"/>
          </w:divBdr>
        </w:div>
      </w:divsChild>
    </w:div>
    <w:div w:id="1476796485">
      <w:marLeft w:val="0"/>
      <w:marRight w:val="0"/>
      <w:marTop w:val="120"/>
      <w:marBottom w:val="0"/>
      <w:divBdr>
        <w:top w:val="none" w:sz="0" w:space="0" w:color="auto"/>
        <w:left w:val="none" w:sz="0" w:space="0" w:color="auto"/>
        <w:bottom w:val="none" w:sz="0" w:space="0" w:color="auto"/>
        <w:right w:val="none" w:sz="0" w:space="0" w:color="auto"/>
      </w:divBdr>
    </w:div>
    <w:div w:id="1477339272">
      <w:marLeft w:val="0"/>
      <w:marRight w:val="0"/>
      <w:marTop w:val="120"/>
      <w:marBottom w:val="0"/>
      <w:divBdr>
        <w:top w:val="none" w:sz="0" w:space="0" w:color="auto"/>
        <w:left w:val="none" w:sz="0" w:space="0" w:color="auto"/>
        <w:bottom w:val="none" w:sz="0" w:space="0" w:color="auto"/>
        <w:right w:val="none" w:sz="0" w:space="0" w:color="auto"/>
      </w:divBdr>
    </w:div>
    <w:div w:id="1478065017">
      <w:marLeft w:val="0"/>
      <w:marRight w:val="0"/>
      <w:marTop w:val="120"/>
      <w:marBottom w:val="0"/>
      <w:divBdr>
        <w:top w:val="none" w:sz="0" w:space="0" w:color="auto"/>
        <w:left w:val="none" w:sz="0" w:space="0" w:color="auto"/>
        <w:bottom w:val="none" w:sz="0" w:space="0" w:color="auto"/>
        <w:right w:val="none" w:sz="0" w:space="0" w:color="auto"/>
      </w:divBdr>
    </w:div>
    <w:div w:id="1478571911">
      <w:marLeft w:val="0"/>
      <w:marRight w:val="0"/>
      <w:marTop w:val="120"/>
      <w:marBottom w:val="0"/>
      <w:divBdr>
        <w:top w:val="none" w:sz="0" w:space="0" w:color="auto"/>
        <w:left w:val="none" w:sz="0" w:space="0" w:color="auto"/>
        <w:bottom w:val="none" w:sz="0" w:space="0" w:color="auto"/>
        <w:right w:val="none" w:sz="0" w:space="0" w:color="auto"/>
      </w:divBdr>
    </w:div>
    <w:div w:id="1480656184">
      <w:marLeft w:val="0"/>
      <w:marRight w:val="0"/>
      <w:marTop w:val="120"/>
      <w:marBottom w:val="0"/>
      <w:divBdr>
        <w:top w:val="none" w:sz="0" w:space="0" w:color="auto"/>
        <w:left w:val="none" w:sz="0" w:space="0" w:color="auto"/>
        <w:bottom w:val="none" w:sz="0" w:space="0" w:color="auto"/>
        <w:right w:val="none" w:sz="0" w:space="0" w:color="auto"/>
      </w:divBdr>
    </w:div>
    <w:div w:id="1482767624">
      <w:marLeft w:val="0"/>
      <w:marRight w:val="0"/>
      <w:marTop w:val="120"/>
      <w:marBottom w:val="0"/>
      <w:divBdr>
        <w:top w:val="none" w:sz="0" w:space="0" w:color="auto"/>
        <w:left w:val="none" w:sz="0" w:space="0" w:color="auto"/>
        <w:bottom w:val="none" w:sz="0" w:space="0" w:color="auto"/>
        <w:right w:val="none" w:sz="0" w:space="0" w:color="auto"/>
      </w:divBdr>
    </w:div>
    <w:div w:id="1483152845">
      <w:marLeft w:val="0"/>
      <w:marRight w:val="0"/>
      <w:marTop w:val="120"/>
      <w:marBottom w:val="0"/>
      <w:divBdr>
        <w:top w:val="none" w:sz="0" w:space="0" w:color="auto"/>
        <w:left w:val="none" w:sz="0" w:space="0" w:color="auto"/>
        <w:bottom w:val="none" w:sz="0" w:space="0" w:color="auto"/>
        <w:right w:val="none" w:sz="0" w:space="0" w:color="auto"/>
      </w:divBdr>
    </w:div>
    <w:div w:id="1485075888">
      <w:marLeft w:val="0"/>
      <w:marRight w:val="0"/>
      <w:marTop w:val="240"/>
      <w:marBottom w:val="0"/>
      <w:divBdr>
        <w:top w:val="none" w:sz="0" w:space="0" w:color="auto"/>
        <w:left w:val="none" w:sz="0" w:space="0" w:color="auto"/>
        <w:bottom w:val="none" w:sz="0" w:space="0" w:color="auto"/>
        <w:right w:val="none" w:sz="0" w:space="0" w:color="auto"/>
      </w:divBdr>
    </w:div>
    <w:div w:id="1503280005">
      <w:marLeft w:val="0"/>
      <w:marRight w:val="0"/>
      <w:marTop w:val="120"/>
      <w:marBottom w:val="0"/>
      <w:divBdr>
        <w:top w:val="none" w:sz="0" w:space="0" w:color="auto"/>
        <w:left w:val="none" w:sz="0" w:space="0" w:color="auto"/>
        <w:bottom w:val="none" w:sz="0" w:space="0" w:color="auto"/>
        <w:right w:val="none" w:sz="0" w:space="0" w:color="auto"/>
      </w:divBdr>
    </w:div>
    <w:div w:id="1504397522">
      <w:marLeft w:val="0"/>
      <w:marRight w:val="0"/>
      <w:marTop w:val="120"/>
      <w:marBottom w:val="0"/>
      <w:divBdr>
        <w:top w:val="none" w:sz="0" w:space="0" w:color="auto"/>
        <w:left w:val="none" w:sz="0" w:space="0" w:color="auto"/>
        <w:bottom w:val="none" w:sz="0" w:space="0" w:color="auto"/>
        <w:right w:val="none" w:sz="0" w:space="0" w:color="auto"/>
      </w:divBdr>
    </w:div>
    <w:div w:id="1508444043">
      <w:marLeft w:val="0"/>
      <w:marRight w:val="0"/>
      <w:marTop w:val="120"/>
      <w:marBottom w:val="0"/>
      <w:divBdr>
        <w:top w:val="none" w:sz="0" w:space="0" w:color="auto"/>
        <w:left w:val="none" w:sz="0" w:space="0" w:color="auto"/>
        <w:bottom w:val="none" w:sz="0" w:space="0" w:color="auto"/>
        <w:right w:val="none" w:sz="0" w:space="0" w:color="auto"/>
      </w:divBdr>
    </w:div>
    <w:div w:id="1508639892">
      <w:marLeft w:val="0"/>
      <w:marRight w:val="0"/>
      <w:marTop w:val="360"/>
      <w:marBottom w:val="0"/>
      <w:divBdr>
        <w:top w:val="none" w:sz="0" w:space="0" w:color="auto"/>
        <w:left w:val="none" w:sz="0" w:space="0" w:color="auto"/>
        <w:bottom w:val="none" w:sz="0" w:space="0" w:color="auto"/>
        <w:right w:val="none" w:sz="0" w:space="0" w:color="auto"/>
      </w:divBdr>
    </w:div>
    <w:div w:id="1509639127">
      <w:marLeft w:val="0"/>
      <w:marRight w:val="0"/>
      <w:marTop w:val="120"/>
      <w:marBottom w:val="0"/>
      <w:divBdr>
        <w:top w:val="none" w:sz="0" w:space="0" w:color="auto"/>
        <w:left w:val="none" w:sz="0" w:space="0" w:color="auto"/>
        <w:bottom w:val="none" w:sz="0" w:space="0" w:color="auto"/>
        <w:right w:val="none" w:sz="0" w:space="0" w:color="auto"/>
      </w:divBdr>
    </w:div>
    <w:div w:id="1515145105">
      <w:marLeft w:val="0"/>
      <w:marRight w:val="0"/>
      <w:marTop w:val="120"/>
      <w:marBottom w:val="0"/>
      <w:divBdr>
        <w:top w:val="none" w:sz="0" w:space="0" w:color="auto"/>
        <w:left w:val="none" w:sz="0" w:space="0" w:color="auto"/>
        <w:bottom w:val="none" w:sz="0" w:space="0" w:color="auto"/>
        <w:right w:val="none" w:sz="0" w:space="0" w:color="auto"/>
      </w:divBdr>
    </w:div>
    <w:div w:id="1515606989">
      <w:marLeft w:val="0"/>
      <w:marRight w:val="0"/>
      <w:marTop w:val="120"/>
      <w:marBottom w:val="0"/>
      <w:divBdr>
        <w:top w:val="none" w:sz="0" w:space="0" w:color="auto"/>
        <w:left w:val="none" w:sz="0" w:space="0" w:color="auto"/>
        <w:bottom w:val="none" w:sz="0" w:space="0" w:color="auto"/>
        <w:right w:val="none" w:sz="0" w:space="0" w:color="auto"/>
      </w:divBdr>
    </w:div>
    <w:div w:id="1515654984">
      <w:marLeft w:val="0"/>
      <w:marRight w:val="0"/>
      <w:marTop w:val="120"/>
      <w:marBottom w:val="0"/>
      <w:divBdr>
        <w:top w:val="none" w:sz="0" w:space="0" w:color="auto"/>
        <w:left w:val="none" w:sz="0" w:space="0" w:color="auto"/>
        <w:bottom w:val="none" w:sz="0" w:space="0" w:color="auto"/>
        <w:right w:val="none" w:sz="0" w:space="0" w:color="auto"/>
      </w:divBdr>
    </w:div>
    <w:div w:id="1523738370">
      <w:marLeft w:val="0"/>
      <w:marRight w:val="0"/>
      <w:marTop w:val="120"/>
      <w:marBottom w:val="0"/>
      <w:divBdr>
        <w:top w:val="none" w:sz="0" w:space="0" w:color="auto"/>
        <w:left w:val="none" w:sz="0" w:space="0" w:color="auto"/>
        <w:bottom w:val="none" w:sz="0" w:space="0" w:color="auto"/>
        <w:right w:val="none" w:sz="0" w:space="0" w:color="auto"/>
      </w:divBdr>
    </w:div>
    <w:div w:id="1524782112">
      <w:marLeft w:val="0"/>
      <w:marRight w:val="0"/>
      <w:marTop w:val="120"/>
      <w:marBottom w:val="0"/>
      <w:divBdr>
        <w:top w:val="none" w:sz="0" w:space="0" w:color="auto"/>
        <w:left w:val="none" w:sz="0" w:space="0" w:color="auto"/>
        <w:bottom w:val="none" w:sz="0" w:space="0" w:color="auto"/>
        <w:right w:val="none" w:sz="0" w:space="0" w:color="auto"/>
      </w:divBdr>
    </w:div>
    <w:div w:id="1525098315">
      <w:marLeft w:val="0"/>
      <w:marRight w:val="0"/>
      <w:marTop w:val="0"/>
      <w:marBottom w:val="0"/>
      <w:divBdr>
        <w:top w:val="none" w:sz="0" w:space="0" w:color="auto"/>
        <w:left w:val="none" w:sz="0" w:space="0" w:color="auto"/>
        <w:bottom w:val="none" w:sz="0" w:space="0" w:color="auto"/>
        <w:right w:val="none" w:sz="0" w:space="0" w:color="auto"/>
      </w:divBdr>
      <w:divsChild>
        <w:div w:id="1214465508">
          <w:marLeft w:val="0"/>
          <w:marRight w:val="0"/>
          <w:marTop w:val="360"/>
          <w:marBottom w:val="0"/>
          <w:divBdr>
            <w:top w:val="none" w:sz="0" w:space="0" w:color="auto"/>
            <w:left w:val="none" w:sz="0" w:space="0" w:color="auto"/>
            <w:bottom w:val="none" w:sz="0" w:space="0" w:color="auto"/>
            <w:right w:val="none" w:sz="0" w:space="0" w:color="auto"/>
          </w:divBdr>
        </w:div>
      </w:divsChild>
    </w:div>
    <w:div w:id="1525434198">
      <w:marLeft w:val="0"/>
      <w:marRight w:val="0"/>
      <w:marTop w:val="120"/>
      <w:marBottom w:val="0"/>
      <w:divBdr>
        <w:top w:val="none" w:sz="0" w:space="0" w:color="auto"/>
        <w:left w:val="none" w:sz="0" w:space="0" w:color="auto"/>
        <w:bottom w:val="none" w:sz="0" w:space="0" w:color="auto"/>
        <w:right w:val="none" w:sz="0" w:space="0" w:color="auto"/>
      </w:divBdr>
    </w:div>
    <w:div w:id="1528517775">
      <w:marLeft w:val="0"/>
      <w:marRight w:val="0"/>
      <w:marTop w:val="0"/>
      <w:marBottom w:val="0"/>
      <w:divBdr>
        <w:top w:val="none" w:sz="0" w:space="0" w:color="auto"/>
        <w:left w:val="none" w:sz="0" w:space="0" w:color="auto"/>
        <w:bottom w:val="none" w:sz="0" w:space="0" w:color="auto"/>
        <w:right w:val="none" w:sz="0" w:space="0" w:color="auto"/>
      </w:divBdr>
      <w:divsChild>
        <w:div w:id="670721464">
          <w:marLeft w:val="0"/>
          <w:marRight w:val="0"/>
          <w:marTop w:val="0"/>
          <w:marBottom w:val="0"/>
          <w:divBdr>
            <w:top w:val="none" w:sz="0" w:space="0" w:color="auto"/>
            <w:left w:val="none" w:sz="0" w:space="0" w:color="auto"/>
            <w:bottom w:val="none" w:sz="0" w:space="0" w:color="auto"/>
            <w:right w:val="none" w:sz="0" w:space="0" w:color="auto"/>
          </w:divBdr>
        </w:div>
      </w:divsChild>
    </w:div>
    <w:div w:id="1528986311">
      <w:marLeft w:val="0"/>
      <w:marRight w:val="0"/>
      <w:marTop w:val="120"/>
      <w:marBottom w:val="0"/>
      <w:divBdr>
        <w:top w:val="none" w:sz="0" w:space="0" w:color="auto"/>
        <w:left w:val="none" w:sz="0" w:space="0" w:color="auto"/>
        <w:bottom w:val="none" w:sz="0" w:space="0" w:color="auto"/>
        <w:right w:val="none" w:sz="0" w:space="0" w:color="auto"/>
      </w:divBdr>
    </w:div>
    <w:div w:id="1530022288">
      <w:marLeft w:val="0"/>
      <w:marRight w:val="0"/>
      <w:marTop w:val="120"/>
      <w:marBottom w:val="0"/>
      <w:divBdr>
        <w:top w:val="none" w:sz="0" w:space="0" w:color="auto"/>
        <w:left w:val="none" w:sz="0" w:space="0" w:color="auto"/>
        <w:bottom w:val="none" w:sz="0" w:space="0" w:color="auto"/>
        <w:right w:val="none" w:sz="0" w:space="0" w:color="auto"/>
      </w:divBdr>
    </w:div>
    <w:div w:id="1538541981">
      <w:marLeft w:val="0"/>
      <w:marRight w:val="0"/>
      <w:marTop w:val="120"/>
      <w:marBottom w:val="0"/>
      <w:divBdr>
        <w:top w:val="none" w:sz="0" w:space="0" w:color="auto"/>
        <w:left w:val="none" w:sz="0" w:space="0" w:color="auto"/>
        <w:bottom w:val="none" w:sz="0" w:space="0" w:color="auto"/>
        <w:right w:val="none" w:sz="0" w:space="0" w:color="auto"/>
      </w:divBdr>
    </w:div>
    <w:div w:id="1539246253">
      <w:marLeft w:val="0"/>
      <w:marRight w:val="0"/>
      <w:marTop w:val="120"/>
      <w:marBottom w:val="0"/>
      <w:divBdr>
        <w:top w:val="none" w:sz="0" w:space="0" w:color="auto"/>
        <w:left w:val="none" w:sz="0" w:space="0" w:color="auto"/>
        <w:bottom w:val="none" w:sz="0" w:space="0" w:color="auto"/>
        <w:right w:val="none" w:sz="0" w:space="0" w:color="auto"/>
      </w:divBdr>
    </w:div>
    <w:div w:id="1543516166">
      <w:marLeft w:val="0"/>
      <w:marRight w:val="0"/>
      <w:marTop w:val="120"/>
      <w:marBottom w:val="0"/>
      <w:divBdr>
        <w:top w:val="none" w:sz="0" w:space="0" w:color="auto"/>
        <w:left w:val="none" w:sz="0" w:space="0" w:color="auto"/>
        <w:bottom w:val="none" w:sz="0" w:space="0" w:color="auto"/>
        <w:right w:val="none" w:sz="0" w:space="0" w:color="auto"/>
      </w:divBdr>
    </w:div>
    <w:div w:id="1547838319">
      <w:marLeft w:val="0"/>
      <w:marRight w:val="0"/>
      <w:marTop w:val="120"/>
      <w:marBottom w:val="0"/>
      <w:divBdr>
        <w:top w:val="none" w:sz="0" w:space="0" w:color="auto"/>
        <w:left w:val="none" w:sz="0" w:space="0" w:color="auto"/>
        <w:bottom w:val="none" w:sz="0" w:space="0" w:color="auto"/>
        <w:right w:val="none" w:sz="0" w:space="0" w:color="auto"/>
      </w:divBdr>
    </w:div>
    <w:div w:id="1548492836">
      <w:marLeft w:val="0"/>
      <w:marRight w:val="0"/>
      <w:marTop w:val="120"/>
      <w:marBottom w:val="0"/>
      <w:divBdr>
        <w:top w:val="none" w:sz="0" w:space="0" w:color="auto"/>
        <w:left w:val="none" w:sz="0" w:space="0" w:color="auto"/>
        <w:bottom w:val="none" w:sz="0" w:space="0" w:color="auto"/>
        <w:right w:val="none" w:sz="0" w:space="0" w:color="auto"/>
      </w:divBdr>
    </w:div>
    <w:div w:id="1551838286">
      <w:marLeft w:val="0"/>
      <w:marRight w:val="0"/>
      <w:marTop w:val="120"/>
      <w:marBottom w:val="0"/>
      <w:divBdr>
        <w:top w:val="none" w:sz="0" w:space="0" w:color="auto"/>
        <w:left w:val="none" w:sz="0" w:space="0" w:color="auto"/>
        <w:bottom w:val="none" w:sz="0" w:space="0" w:color="auto"/>
        <w:right w:val="none" w:sz="0" w:space="0" w:color="auto"/>
      </w:divBdr>
    </w:div>
    <w:div w:id="1553888619">
      <w:marLeft w:val="0"/>
      <w:marRight w:val="0"/>
      <w:marTop w:val="120"/>
      <w:marBottom w:val="0"/>
      <w:divBdr>
        <w:top w:val="none" w:sz="0" w:space="0" w:color="auto"/>
        <w:left w:val="none" w:sz="0" w:space="0" w:color="auto"/>
        <w:bottom w:val="none" w:sz="0" w:space="0" w:color="auto"/>
        <w:right w:val="none" w:sz="0" w:space="0" w:color="auto"/>
      </w:divBdr>
    </w:div>
    <w:div w:id="1556620497">
      <w:marLeft w:val="0"/>
      <w:marRight w:val="0"/>
      <w:marTop w:val="120"/>
      <w:marBottom w:val="0"/>
      <w:divBdr>
        <w:top w:val="none" w:sz="0" w:space="0" w:color="auto"/>
        <w:left w:val="none" w:sz="0" w:space="0" w:color="auto"/>
        <w:bottom w:val="none" w:sz="0" w:space="0" w:color="auto"/>
        <w:right w:val="none" w:sz="0" w:space="0" w:color="auto"/>
      </w:divBdr>
    </w:div>
    <w:div w:id="1560290119">
      <w:marLeft w:val="0"/>
      <w:marRight w:val="0"/>
      <w:marTop w:val="0"/>
      <w:marBottom w:val="0"/>
      <w:divBdr>
        <w:top w:val="none" w:sz="0" w:space="0" w:color="auto"/>
        <w:left w:val="none" w:sz="0" w:space="0" w:color="auto"/>
        <w:bottom w:val="none" w:sz="0" w:space="0" w:color="auto"/>
        <w:right w:val="none" w:sz="0" w:space="0" w:color="auto"/>
      </w:divBdr>
      <w:divsChild>
        <w:div w:id="1103837130">
          <w:marLeft w:val="0"/>
          <w:marRight w:val="0"/>
          <w:marTop w:val="0"/>
          <w:marBottom w:val="0"/>
          <w:divBdr>
            <w:top w:val="none" w:sz="0" w:space="0" w:color="auto"/>
            <w:left w:val="none" w:sz="0" w:space="0" w:color="auto"/>
            <w:bottom w:val="none" w:sz="0" w:space="0" w:color="auto"/>
            <w:right w:val="none" w:sz="0" w:space="0" w:color="auto"/>
          </w:divBdr>
        </w:div>
      </w:divsChild>
    </w:div>
    <w:div w:id="1560749913">
      <w:marLeft w:val="0"/>
      <w:marRight w:val="0"/>
      <w:marTop w:val="120"/>
      <w:marBottom w:val="0"/>
      <w:divBdr>
        <w:top w:val="none" w:sz="0" w:space="0" w:color="auto"/>
        <w:left w:val="none" w:sz="0" w:space="0" w:color="auto"/>
        <w:bottom w:val="none" w:sz="0" w:space="0" w:color="auto"/>
        <w:right w:val="none" w:sz="0" w:space="0" w:color="auto"/>
      </w:divBdr>
    </w:div>
    <w:div w:id="1563365596">
      <w:marLeft w:val="0"/>
      <w:marRight w:val="0"/>
      <w:marTop w:val="120"/>
      <w:marBottom w:val="0"/>
      <w:divBdr>
        <w:top w:val="none" w:sz="0" w:space="0" w:color="auto"/>
        <w:left w:val="none" w:sz="0" w:space="0" w:color="auto"/>
        <w:bottom w:val="none" w:sz="0" w:space="0" w:color="auto"/>
        <w:right w:val="none" w:sz="0" w:space="0" w:color="auto"/>
      </w:divBdr>
    </w:div>
    <w:div w:id="1563711289">
      <w:marLeft w:val="0"/>
      <w:marRight w:val="0"/>
      <w:marTop w:val="120"/>
      <w:marBottom w:val="0"/>
      <w:divBdr>
        <w:top w:val="none" w:sz="0" w:space="0" w:color="auto"/>
        <w:left w:val="none" w:sz="0" w:space="0" w:color="auto"/>
        <w:bottom w:val="none" w:sz="0" w:space="0" w:color="auto"/>
        <w:right w:val="none" w:sz="0" w:space="0" w:color="auto"/>
      </w:divBdr>
    </w:div>
    <w:div w:id="1568102901">
      <w:marLeft w:val="0"/>
      <w:marRight w:val="0"/>
      <w:marTop w:val="120"/>
      <w:marBottom w:val="0"/>
      <w:divBdr>
        <w:top w:val="none" w:sz="0" w:space="0" w:color="auto"/>
        <w:left w:val="none" w:sz="0" w:space="0" w:color="auto"/>
        <w:bottom w:val="none" w:sz="0" w:space="0" w:color="auto"/>
        <w:right w:val="none" w:sz="0" w:space="0" w:color="auto"/>
      </w:divBdr>
    </w:div>
    <w:div w:id="1568766764">
      <w:marLeft w:val="0"/>
      <w:marRight w:val="0"/>
      <w:marTop w:val="120"/>
      <w:marBottom w:val="0"/>
      <w:divBdr>
        <w:top w:val="none" w:sz="0" w:space="0" w:color="auto"/>
        <w:left w:val="none" w:sz="0" w:space="0" w:color="auto"/>
        <w:bottom w:val="none" w:sz="0" w:space="0" w:color="auto"/>
        <w:right w:val="none" w:sz="0" w:space="0" w:color="auto"/>
      </w:divBdr>
    </w:div>
    <w:div w:id="1570846374">
      <w:marLeft w:val="0"/>
      <w:marRight w:val="0"/>
      <w:marTop w:val="120"/>
      <w:marBottom w:val="0"/>
      <w:divBdr>
        <w:top w:val="none" w:sz="0" w:space="0" w:color="auto"/>
        <w:left w:val="none" w:sz="0" w:space="0" w:color="auto"/>
        <w:bottom w:val="none" w:sz="0" w:space="0" w:color="auto"/>
        <w:right w:val="none" w:sz="0" w:space="0" w:color="auto"/>
      </w:divBdr>
    </w:div>
    <w:div w:id="1571958573">
      <w:marLeft w:val="0"/>
      <w:marRight w:val="0"/>
      <w:marTop w:val="120"/>
      <w:marBottom w:val="0"/>
      <w:divBdr>
        <w:top w:val="none" w:sz="0" w:space="0" w:color="auto"/>
        <w:left w:val="none" w:sz="0" w:space="0" w:color="auto"/>
        <w:bottom w:val="none" w:sz="0" w:space="0" w:color="auto"/>
        <w:right w:val="none" w:sz="0" w:space="0" w:color="auto"/>
      </w:divBdr>
    </w:div>
    <w:div w:id="1580139968">
      <w:marLeft w:val="0"/>
      <w:marRight w:val="0"/>
      <w:marTop w:val="120"/>
      <w:marBottom w:val="0"/>
      <w:divBdr>
        <w:top w:val="none" w:sz="0" w:space="0" w:color="auto"/>
        <w:left w:val="none" w:sz="0" w:space="0" w:color="auto"/>
        <w:bottom w:val="none" w:sz="0" w:space="0" w:color="auto"/>
        <w:right w:val="none" w:sz="0" w:space="0" w:color="auto"/>
      </w:divBdr>
    </w:div>
    <w:div w:id="1582175557">
      <w:marLeft w:val="0"/>
      <w:marRight w:val="0"/>
      <w:marTop w:val="120"/>
      <w:marBottom w:val="0"/>
      <w:divBdr>
        <w:top w:val="none" w:sz="0" w:space="0" w:color="auto"/>
        <w:left w:val="none" w:sz="0" w:space="0" w:color="auto"/>
        <w:bottom w:val="none" w:sz="0" w:space="0" w:color="auto"/>
        <w:right w:val="none" w:sz="0" w:space="0" w:color="auto"/>
      </w:divBdr>
    </w:div>
    <w:div w:id="1582636872">
      <w:marLeft w:val="0"/>
      <w:marRight w:val="0"/>
      <w:marTop w:val="120"/>
      <w:marBottom w:val="0"/>
      <w:divBdr>
        <w:top w:val="none" w:sz="0" w:space="0" w:color="auto"/>
        <w:left w:val="none" w:sz="0" w:space="0" w:color="auto"/>
        <w:bottom w:val="none" w:sz="0" w:space="0" w:color="auto"/>
        <w:right w:val="none" w:sz="0" w:space="0" w:color="auto"/>
      </w:divBdr>
    </w:div>
    <w:div w:id="1583178861">
      <w:marLeft w:val="0"/>
      <w:marRight w:val="0"/>
      <w:marTop w:val="240"/>
      <w:marBottom w:val="0"/>
      <w:divBdr>
        <w:top w:val="none" w:sz="0" w:space="0" w:color="auto"/>
        <w:left w:val="none" w:sz="0" w:space="0" w:color="auto"/>
        <w:bottom w:val="none" w:sz="0" w:space="0" w:color="auto"/>
        <w:right w:val="none" w:sz="0" w:space="0" w:color="auto"/>
      </w:divBdr>
    </w:div>
    <w:div w:id="1589273156">
      <w:marLeft w:val="0"/>
      <w:marRight w:val="0"/>
      <w:marTop w:val="120"/>
      <w:marBottom w:val="0"/>
      <w:divBdr>
        <w:top w:val="none" w:sz="0" w:space="0" w:color="auto"/>
        <w:left w:val="none" w:sz="0" w:space="0" w:color="auto"/>
        <w:bottom w:val="none" w:sz="0" w:space="0" w:color="auto"/>
        <w:right w:val="none" w:sz="0" w:space="0" w:color="auto"/>
      </w:divBdr>
    </w:div>
    <w:div w:id="1594362379">
      <w:marLeft w:val="0"/>
      <w:marRight w:val="0"/>
      <w:marTop w:val="0"/>
      <w:marBottom w:val="0"/>
      <w:divBdr>
        <w:top w:val="none" w:sz="0" w:space="0" w:color="auto"/>
        <w:left w:val="none" w:sz="0" w:space="0" w:color="auto"/>
        <w:bottom w:val="none" w:sz="0" w:space="0" w:color="auto"/>
        <w:right w:val="none" w:sz="0" w:space="0" w:color="auto"/>
      </w:divBdr>
      <w:divsChild>
        <w:div w:id="770323939">
          <w:marLeft w:val="0"/>
          <w:marRight w:val="0"/>
          <w:marTop w:val="0"/>
          <w:marBottom w:val="0"/>
          <w:divBdr>
            <w:top w:val="none" w:sz="0" w:space="0" w:color="auto"/>
            <w:left w:val="none" w:sz="0" w:space="0" w:color="auto"/>
            <w:bottom w:val="none" w:sz="0" w:space="0" w:color="auto"/>
            <w:right w:val="none" w:sz="0" w:space="0" w:color="auto"/>
          </w:divBdr>
        </w:div>
      </w:divsChild>
    </w:div>
    <w:div w:id="1594975603">
      <w:marLeft w:val="0"/>
      <w:marRight w:val="0"/>
      <w:marTop w:val="120"/>
      <w:marBottom w:val="0"/>
      <w:divBdr>
        <w:top w:val="none" w:sz="0" w:space="0" w:color="auto"/>
        <w:left w:val="none" w:sz="0" w:space="0" w:color="auto"/>
        <w:bottom w:val="none" w:sz="0" w:space="0" w:color="auto"/>
        <w:right w:val="none" w:sz="0" w:space="0" w:color="auto"/>
      </w:divBdr>
    </w:div>
    <w:div w:id="1596816334">
      <w:marLeft w:val="0"/>
      <w:marRight w:val="0"/>
      <w:marTop w:val="120"/>
      <w:marBottom w:val="0"/>
      <w:divBdr>
        <w:top w:val="none" w:sz="0" w:space="0" w:color="auto"/>
        <w:left w:val="none" w:sz="0" w:space="0" w:color="auto"/>
        <w:bottom w:val="none" w:sz="0" w:space="0" w:color="auto"/>
        <w:right w:val="none" w:sz="0" w:space="0" w:color="auto"/>
      </w:divBdr>
    </w:div>
    <w:div w:id="1597444688">
      <w:marLeft w:val="0"/>
      <w:marRight w:val="0"/>
      <w:marTop w:val="120"/>
      <w:marBottom w:val="0"/>
      <w:divBdr>
        <w:top w:val="none" w:sz="0" w:space="0" w:color="auto"/>
        <w:left w:val="none" w:sz="0" w:space="0" w:color="auto"/>
        <w:bottom w:val="none" w:sz="0" w:space="0" w:color="auto"/>
        <w:right w:val="none" w:sz="0" w:space="0" w:color="auto"/>
      </w:divBdr>
    </w:div>
    <w:div w:id="1597516551">
      <w:marLeft w:val="0"/>
      <w:marRight w:val="0"/>
      <w:marTop w:val="0"/>
      <w:marBottom w:val="0"/>
      <w:divBdr>
        <w:top w:val="none" w:sz="0" w:space="0" w:color="auto"/>
        <w:left w:val="none" w:sz="0" w:space="0" w:color="auto"/>
        <w:bottom w:val="none" w:sz="0" w:space="0" w:color="auto"/>
        <w:right w:val="none" w:sz="0" w:space="0" w:color="auto"/>
      </w:divBdr>
      <w:divsChild>
        <w:div w:id="690768313">
          <w:marLeft w:val="0"/>
          <w:marRight w:val="0"/>
          <w:marTop w:val="0"/>
          <w:marBottom w:val="0"/>
          <w:divBdr>
            <w:top w:val="none" w:sz="0" w:space="0" w:color="auto"/>
            <w:left w:val="none" w:sz="0" w:space="0" w:color="auto"/>
            <w:bottom w:val="none" w:sz="0" w:space="0" w:color="auto"/>
            <w:right w:val="none" w:sz="0" w:space="0" w:color="auto"/>
          </w:divBdr>
          <w:divsChild>
            <w:div w:id="20184621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00261793">
      <w:marLeft w:val="0"/>
      <w:marRight w:val="0"/>
      <w:marTop w:val="120"/>
      <w:marBottom w:val="0"/>
      <w:divBdr>
        <w:top w:val="none" w:sz="0" w:space="0" w:color="auto"/>
        <w:left w:val="none" w:sz="0" w:space="0" w:color="auto"/>
        <w:bottom w:val="none" w:sz="0" w:space="0" w:color="auto"/>
        <w:right w:val="none" w:sz="0" w:space="0" w:color="auto"/>
      </w:divBdr>
    </w:div>
    <w:div w:id="1601063526">
      <w:marLeft w:val="0"/>
      <w:marRight w:val="0"/>
      <w:marTop w:val="120"/>
      <w:marBottom w:val="0"/>
      <w:divBdr>
        <w:top w:val="none" w:sz="0" w:space="0" w:color="auto"/>
        <w:left w:val="none" w:sz="0" w:space="0" w:color="auto"/>
        <w:bottom w:val="none" w:sz="0" w:space="0" w:color="auto"/>
        <w:right w:val="none" w:sz="0" w:space="0" w:color="auto"/>
      </w:divBdr>
    </w:div>
    <w:div w:id="1601790899">
      <w:marLeft w:val="0"/>
      <w:marRight w:val="0"/>
      <w:marTop w:val="240"/>
      <w:marBottom w:val="0"/>
      <w:divBdr>
        <w:top w:val="none" w:sz="0" w:space="0" w:color="auto"/>
        <w:left w:val="none" w:sz="0" w:space="0" w:color="auto"/>
        <w:bottom w:val="none" w:sz="0" w:space="0" w:color="auto"/>
        <w:right w:val="none" w:sz="0" w:space="0" w:color="auto"/>
      </w:divBdr>
    </w:div>
    <w:div w:id="1605646989">
      <w:marLeft w:val="0"/>
      <w:marRight w:val="0"/>
      <w:marTop w:val="120"/>
      <w:marBottom w:val="0"/>
      <w:divBdr>
        <w:top w:val="none" w:sz="0" w:space="0" w:color="auto"/>
        <w:left w:val="none" w:sz="0" w:space="0" w:color="auto"/>
        <w:bottom w:val="none" w:sz="0" w:space="0" w:color="auto"/>
        <w:right w:val="none" w:sz="0" w:space="0" w:color="auto"/>
      </w:divBdr>
    </w:div>
    <w:div w:id="1605766043">
      <w:marLeft w:val="0"/>
      <w:marRight w:val="0"/>
      <w:marTop w:val="120"/>
      <w:marBottom w:val="0"/>
      <w:divBdr>
        <w:top w:val="none" w:sz="0" w:space="0" w:color="auto"/>
        <w:left w:val="none" w:sz="0" w:space="0" w:color="auto"/>
        <w:bottom w:val="none" w:sz="0" w:space="0" w:color="auto"/>
        <w:right w:val="none" w:sz="0" w:space="0" w:color="auto"/>
      </w:divBdr>
    </w:div>
    <w:div w:id="1606225471">
      <w:marLeft w:val="0"/>
      <w:marRight w:val="0"/>
      <w:marTop w:val="120"/>
      <w:marBottom w:val="0"/>
      <w:divBdr>
        <w:top w:val="none" w:sz="0" w:space="0" w:color="auto"/>
        <w:left w:val="none" w:sz="0" w:space="0" w:color="auto"/>
        <w:bottom w:val="none" w:sz="0" w:space="0" w:color="auto"/>
        <w:right w:val="none" w:sz="0" w:space="0" w:color="auto"/>
      </w:divBdr>
    </w:div>
    <w:div w:id="1606424443">
      <w:marLeft w:val="0"/>
      <w:marRight w:val="0"/>
      <w:marTop w:val="120"/>
      <w:marBottom w:val="0"/>
      <w:divBdr>
        <w:top w:val="none" w:sz="0" w:space="0" w:color="auto"/>
        <w:left w:val="none" w:sz="0" w:space="0" w:color="auto"/>
        <w:bottom w:val="none" w:sz="0" w:space="0" w:color="auto"/>
        <w:right w:val="none" w:sz="0" w:space="0" w:color="auto"/>
      </w:divBdr>
    </w:div>
    <w:div w:id="1608349493">
      <w:marLeft w:val="0"/>
      <w:marRight w:val="0"/>
      <w:marTop w:val="120"/>
      <w:marBottom w:val="0"/>
      <w:divBdr>
        <w:top w:val="none" w:sz="0" w:space="0" w:color="auto"/>
        <w:left w:val="none" w:sz="0" w:space="0" w:color="auto"/>
        <w:bottom w:val="none" w:sz="0" w:space="0" w:color="auto"/>
        <w:right w:val="none" w:sz="0" w:space="0" w:color="auto"/>
      </w:divBdr>
    </w:div>
    <w:div w:id="1623266073">
      <w:marLeft w:val="0"/>
      <w:marRight w:val="0"/>
      <w:marTop w:val="120"/>
      <w:marBottom w:val="0"/>
      <w:divBdr>
        <w:top w:val="none" w:sz="0" w:space="0" w:color="auto"/>
        <w:left w:val="none" w:sz="0" w:space="0" w:color="auto"/>
        <w:bottom w:val="none" w:sz="0" w:space="0" w:color="auto"/>
        <w:right w:val="none" w:sz="0" w:space="0" w:color="auto"/>
      </w:divBdr>
    </w:div>
    <w:div w:id="1623807299">
      <w:marLeft w:val="0"/>
      <w:marRight w:val="0"/>
      <w:marTop w:val="0"/>
      <w:marBottom w:val="0"/>
      <w:divBdr>
        <w:top w:val="none" w:sz="0" w:space="0" w:color="auto"/>
        <w:left w:val="none" w:sz="0" w:space="0" w:color="auto"/>
        <w:bottom w:val="none" w:sz="0" w:space="0" w:color="auto"/>
        <w:right w:val="none" w:sz="0" w:space="0" w:color="auto"/>
      </w:divBdr>
    </w:div>
    <w:div w:id="1627001903">
      <w:marLeft w:val="0"/>
      <w:marRight w:val="0"/>
      <w:marTop w:val="120"/>
      <w:marBottom w:val="0"/>
      <w:divBdr>
        <w:top w:val="none" w:sz="0" w:space="0" w:color="auto"/>
        <w:left w:val="none" w:sz="0" w:space="0" w:color="auto"/>
        <w:bottom w:val="none" w:sz="0" w:space="0" w:color="auto"/>
        <w:right w:val="none" w:sz="0" w:space="0" w:color="auto"/>
      </w:divBdr>
    </w:div>
    <w:div w:id="1630090332">
      <w:marLeft w:val="0"/>
      <w:marRight w:val="0"/>
      <w:marTop w:val="120"/>
      <w:marBottom w:val="0"/>
      <w:divBdr>
        <w:top w:val="none" w:sz="0" w:space="0" w:color="auto"/>
        <w:left w:val="none" w:sz="0" w:space="0" w:color="auto"/>
        <w:bottom w:val="none" w:sz="0" w:space="0" w:color="auto"/>
        <w:right w:val="none" w:sz="0" w:space="0" w:color="auto"/>
      </w:divBdr>
    </w:div>
    <w:div w:id="1635479088">
      <w:marLeft w:val="0"/>
      <w:marRight w:val="0"/>
      <w:marTop w:val="120"/>
      <w:marBottom w:val="0"/>
      <w:divBdr>
        <w:top w:val="none" w:sz="0" w:space="0" w:color="auto"/>
        <w:left w:val="none" w:sz="0" w:space="0" w:color="auto"/>
        <w:bottom w:val="none" w:sz="0" w:space="0" w:color="auto"/>
        <w:right w:val="none" w:sz="0" w:space="0" w:color="auto"/>
      </w:divBdr>
    </w:div>
    <w:div w:id="1639535264">
      <w:marLeft w:val="0"/>
      <w:marRight w:val="0"/>
      <w:marTop w:val="120"/>
      <w:marBottom w:val="0"/>
      <w:divBdr>
        <w:top w:val="none" w:sz="0" w:space="0" w:color="auto"/>
        <w:left w:val="none" w:sz="0" w:space="0" w:color="auto"/>
        <w:bottom w:val="none" w:sz="0" w:space="0" w:color="auto"/>
        <w:right w:val="none" w:sz="0" w:space="0" w:color="auto"/>
      </w:divBdr>
    </w:div>
    <w:div w:id="1643386682">
      <w:marLeft w:val="0"/>
      <w:marRight w:val="0"/>
      <w:marTop w:val="120"/>
      <w:marBottom w:val="0"/>
      <w:divBdr>
        <w:top w:val="none" w:sz="0" w:space="0" w:color="auto"/>
        <w:left w:val="none" w:sz="0" w:space="0" w:color="auto"/>
        <w:bottom w:val="none" w:sz="0" w:space="0" w:color="auto"/>
        <w:right w:val="none" w:sz="0" w:space="0" w:color="auto"/>
      </w:divBdr>
    </w:div>
    <w:div w:id="1644694160">
      <w:marLeft w:val="0"/>
      <w:marRight w:val="0"/>
      <w:marTop w:val="120"/>
      <w:marBottom w:val="0"/>
      <w:divBdr>
        <w:top w:val="none" w:sz="0" w:space="0" w:color="auto"/>
        <w:left w:val="none" w:sz="0" w:space="0" w:color="auto"/>
        <w:bottom w:val="none" w:sz="0" w:space="0" w:color="auto"/>
        <w:right w:val="none" w:sz="0" w:space="0" w:color="auto"/>
      </w:divBdr>
    </w:div>
    <w:div w:id="1647665056">
      <w:marLeft w:val="0"/>
      <w:marRight w:val="0"/>
      <w:marTop w:val="360"/>
      <w:marBottom w:val="0"/>
      <w:divBdr>
        <w:top w:val="none" w:sz="0" w:space="0" w:color="auto"/>
        <w:left w:val="none" w:sz="0" w:space="0" w:color="auto"/>
        <w:bottom w:val="none" w:sz="0" w:space="0" w:color="auto"/>
        <w:right w:val="none" w:sz="0" w:space="0" w:color="auto"/>
      </w:divBdr>
    </w:div>
    <w:div w:id="1648706245">
      <w:marLeft w:val="0"/>
      <w:marRight w:val="0"/>
      <w:marTop w:val="120"/>
      <w:marBottom w:val="0"/>
      <w:divBdr>
        <w:top w:val="none" w:sz="0" w:space="0" w:color="auto"/>
        <w:left w:val="none" w:sz="0" w:space="0" w:color="auto"/>
        <w:bottom w:val="none" w:sz="0" w:space="0" w:color="auto"/>
        <w:right w:val="none" w:sz="0" w:space="0" w:color="auto"/>
      </w:divBdr>
    </w:div>
    <w:div w:id="1650674014">
      <w:marLeft w:val="0"/>
      <w:marRight w:val="0"/>
      <w:marTop w:val="120"/>
      <w:marBottom w:val="0"/>
      <w:divBdr>
        <w:top w:val="none" w:sz="0" w:space="0" w:color="auto"/>
        <w:left w:val="none" w:sz="0" w:space="0" w:color="auto"/>
        <w:bottom w:val="none" w:sz="0" w:space="0" w:color="auto"/>
        <w:right w:val="none" w:sz="0" w:space="0" w:color="auto"/>
      </w:divBdr>
    </w:div>
    <w:div w:id="1655642408">
      <w:marLeft w:val="0"/>
      <w:marRight w:val="0"/>
      <w:marTop w:val="120"/>
      <w:marBottom w:val="0"/>
      <w:divBdr>
        <w:top w:val="none" w:sz="0" w:space="0" w:color="auto"/>
        <w:left w:val="none" w:sz="0" w:space="0" w:color="auto"/>
        <w:bottom w:val="none" w:sz="0" w:space="0" w:color="auto"/>
        <w:right w:val="none" w:sz="0" w:space="0" w:color="auto"/>
      </w:divBdr>
    </w:div>
    <w:div w:id="1661500497">
      <w:marLeft w:val="0"/>
      <w:marRight w:val="0"/>
      <w:marTop w:val="120"/>
      <w:marBottom w:val="0"/>
      <w:divBdr>
        <w:top w:val="none" w:sz="0" w:space="0" w:color="auto"/>
        <w:left w:val="none" w:sz="0" w:space="0" w:color="auto"/>
        <w:bottom w:val="none" w:sz="0" w:space="0" w:color="auto"/>
        <w:right w:val="none" w:sz="0" w:space="0" w:color="auto"/>
      </w:divBdr>
    </w:div>
    <w:div w:id="1662542576">
      <w:marLeft w:val="0"/>
      <w:marRight w:val="0"/>
      <w:marTop w:val="120"/>
      <w:marBottom w:val="0"/>
      <w:divBdr>
        <w:top w:val="none" w:sz="0" w:space="0" w:color="auto"/>
        <w:left w:val="none" w:sz="0" w:space="0" w:color="auto"/>
        <w:bottom w:val="none" w:sz="0" w:space="0" w:color="auto"/>
        <w:right w:val="none" w:sz="0" w:space="0" w:color="auto"/>
      </w:divBdr>
    </w:div>
    <w:div w:id="1662926108">
      <w:marLeft w:val="0"/>
      <w:marRight w:val="0"/>
      <w:marTop w:val="120"/>
      <w:marBottom w:val="0"/>
      <w:divBdr>
        <w:top w:val="none" w:sz="0" w:space="0" w:color="auto"/>
        <w:left w:val="none" w:sz="0" w:space="0" w:color="auto"/>
        <w:bottom w:val="none" w:sz="0" w:space="0" w:color="auto"/>
        <w:right w:val="none" w:sz="0" w:space="0" w:color="auto"/>
      </w:divBdr>
    </w:div>
    <w:div w:id="1662998672">
      <w:marLeft w:val="0"/>
      <w:marRight w:val="0"/>
      <w:marTop w:val="120"/>
      <w:marBottom w:val="0"/>
      <w:divBdr>
        <w:top w:val="none" w:sz="0" w:space="0" w:color="auto"/>
        <w:left w:val="none" w:sz="0" w:space="0" w:color="auto"/>
        <w:bottom w:val="none" w:sz="0" w:space="0" w:color="auto"/>
        <w:right w:val="none" w:sz="0" w:space="0" w:color="auto"/>
      </w:divBdr>
    </w:div>
    <w:div w:id="1668171180">
      <w:marLeft w:val="0"/>
      <w:marRight w:val="0"/>
      <w:marTop w:val="120"/>
      <w:marBottom w:val="0"/>
      <w:divBdr>
        <w:top w:val="none" w:sz="0" w:space="0" w:color="auto"/>
        <w:left w:val="none" w:sz="0" w:space="0" w:color="auto"/>
        <w:bottom w:val="none" w:sz="0" w:space="0" w:color="auto"/>
        <w:right w:val="none" w:sz="0" w:space="0" w:color="auto"/>
      </w:divBdr>
    </w:div>
    <w:div w:id="1669091778">
      <w:marLeft w:val="0"/>
      <w:marRight w:val="0"/>
      <w:marTop w:val="120"/>
      <w:marBottom w:val="0"/>
      <w:divBdr>
        <w:top w:val="none" w:sz="0" w:space="0" w:color="auto"/>
        <w:left w:val="none" w:sz="0" w:space="0" w:color="auto"/>
        <w:bottom w:val="none" w:sz="0" w:space="0" w:color="auto"/>
        <w:right w:val="none" w:sz="0" w:space="0" w:color="auto"/>
      </w:divBdr>
    </w:div>
    <w:div w:id="1669601426">
      <w:marLeft w:val="0"/>
      <w:marRight w:val="0"/>
      <w:marTop w:val="120"/>
      <w:marBottom w:val="0"/>
      <w:divBdr>
        <w:top w:val="none" w:sz="0" w:space="0" w:color="auto"/>
        <w:left w:val="none" w:sz="0" w:space="0" w:color="auto"/>
        <w:bottom w:val="none" w:sz="0" w:space="0" w:color="auto"/>
        <w:right w:val="none" w:sz="0" w:space="0" w:color="auto"/>
      </w:divBdr>
    </w:div>
    <w:div w:id="1669674422">
      <w:marLeft w:val="0"/>
      <w:marRight w:val="0"/>
      <w:marTop w:val="120"/>
      <w:marBottom w:val="0"/>
      <w:divBdr>
        <w:top w:val="none" w:sz="0" w:space="0" w:color="auto"/>
        <w:left w:val="none" w:sz="0" w:space="0" w:color="auto"/>
        <w:bottom w:val="none" w:sz="0" w:space="0" w:color="auto"/>
        <w:right w:val="none" w:sz="0" w:space="0" w:color="auto"/>
      </w:divBdr>
    </w:div>
    <w:div w:id="1673950026">
      <w:marLeft w:val="0"/>
      <w:marRight w:val="0"/>
      <w:marTop w:val="120"/>
      <w:marBottom w:val="0"/>
      <w:divBdr>
        <w:top w:val="none" w:sz="0" w:space="0" w:color="auto"/>
        <w:left w:val="none" w:sz="0" w:space="0" w:color="auto"/>
        <w:bottom w:val="none" w:sz="0" w:space="0" w:color="auto"/>
        <w:right w:val="none" w:sz="0" w:space="0" w:color="auto"/>
      </w:divBdr>
    </w:div>
    <w:div w:id="1676565906">
      <w:marLeft w:val="0"/>
      <w:marRight w:val="0"/>
      <w:marTop w:val="120"/>
      <w:marBottom w:val="0"/>
      <w:divBdr>
        <w:top w:val="none" w:sz="0" w:space="0" w:color="auto"/>
        <w:left w:val="none" w:sz="0" w:space="0" w:color="auto"/>
        <w:bottom w:val="none" w:sz="0" w:space="0" w:color="auto"/>
        <w:right w:val="none" w:sz="0" w:space="0" w:color="auto"/>
      </w:divBdr>
    </w:div>
    <w:div w:id="1678194589">
      <w:marLeft w:val="0"/>
      <w:marRight w:val="0"/>
      <w:marTop w:val="0"/>
      <w:marBottom w:val="0"/>
      <w:divBdr>
        <w:top w:val="none" w:sz="0" w:space="0" w:color="auto"/>
        <w:left w:val="none" w:sz="0" w:space="0" w:color="auto"/>
        <w:bottom w:val="none" w:sz="0" w:space="0" w:color="auto"/>
        <w:right w:val="none" w:sz="0" w:space="0" w:color="auto"/>
      </w:divBdr>
      <w:divsChild>
        <w:div w:id="1220432604">
          <w:marLeft w:val="0"/>
          <w:marRight w:val="0"/>
          <w:marTop w:val="360"/>
          <w:marBottom w:val="0"/>
          <w:divBdr>
            <w:top w:val="none" w:sz="0" w:space="0" w:color="auto"/>
            <w:left w:val="none" w:sz="0" w:space="0" w:color="auto"/>
            <w:bottom w:val="none" w:sz="0" w:space="0" w:color="auto"/>
            <w:right w:val="none" w:sz="0" w:space="0" w:color="auto"/>
          </w:divBdr>
        </w:div>
      </w:divsChild>
    </w:div>
    <w:div w:id="1679456909">
      <w:marLeft w:val="0"/>
      <w:marRight w:val="0"/>
      <w:marTop w:val="120"/>
      <w:marBottom w:val="0"/>
      <w:divBdr>
        <w:top w:val="none" w:sz="0" w:space="0" w:color="auto"/>
        <w:left w:val="none" w:sz="0" w:space="0" w:color="auto"/>
        <w:bottom w:val="none" w:sz="0" w:space="0" w:color="auto"/>
        <w:right w:val="none" w:sz="0" w:space="0" w:color="auto"/>
      </w:divBdr>
    </w:div>
    <w:div w:id="1679699447">
      <w:marLeft w:val="0"/>
      <w:marRight w:val="0"/>
      <w:marTop w:val="120"/>
      <w:marBottom w:val="0"/>
      <w:divBdr>
        <w:top w:val="none" w:sz="0" w:space="0" w:color="auto"/>
        <w:left w:val="none" w:sz="0" w:space="0" w:color="auto"/>
        <w:bottom w:val="none" w:sz="0" w:space="0" w:color="auto"/>
        <w:right w:val="none" w:sz="0" w:space="0" w:color="auto"/>
      </w:divBdr>
    </w:div>
    <w:div w:id="1681926995">
      <w:marLeft w:val="0"/>
      <w:marRight w:val="0"/>
      <w:marTop w:val="120"/>
      <w:marBottom w:val="0"/>
      <w:divBdr>
        <w:top w:val="none" w:sz="0" w:space="0" w:color="auto"/>
        <w:left w:val="none" w:sz="0" w:space="0" w:color="auto"/>
        <w:bottom w:val="none" w:sz="0" w:space="0" w:color="auto"/>
        <w:right w:val="none" w:sz="0" w:space="0" w:color="auto"/>
      </w:divBdr>
    </w:div>
    <w:div w:id="1681931163">
      <w:marLeft w:val="0"/>
      <w:marRight w:val="0"/>
      <w:marTop w:val="0"/>
      <w:marBottom w:val="0"/>
      <w:divBdr>
        <w:top w:val="none" w:sz="0" w:space="0" w:color="auto"/>
        <w:left w:val="none" w:sz="0" w:space="0" w:color="auto"/>
        <w:bottom w:val="none" w:sz="0" w:space="0" w:color="auto"/>
        <w:right w:val="none" w:sz="0" w:space="0" w:color="auto"/>
      </w:divBdr>
      <w:divsChild>
        <w:div w:id="1515727337">
          <w:marLeft w:val="0"/>
          <w:marRight w:val="0"/>
          <w:marTop w:val="360"/>
          <w:marBottom w:val="0"/>
          <w:divBdr>
            <w:top w:val="none" w:sz="0" w:space="0" w:color="auto"/>
            <w:left w:val="none" w:sz="0" w:space="0" w:color="auto"/>
            <w:bottom w:val="none" w:sz="0" w:space="0" w:color="auto"/>
            <w:right w:val="none" w:sz="0" w:space="0" w:color="auto"/>
          </w:divBdr>
        </w:div>
      </w:divsChild>
    </w:div>
    <w:div w:id="1682243620">
      <w:marLeft w:val="0"/>
      <w:marRight w:val="0"/>
      <w:marTop w:val="120"/>
      <w:marBottom w:val="0"/>
      <w:divBdr>
        <w:top w:val="none" w:sz="0" w:space="0" w:color="auto"/>
        <w:left w:val="none" w:sz="0" w:space="0" w:color="auto"/>
        <w:bottom w:val="none" w:sz="0" w:space="0" w:color="auto"/>
        <w:right w:val="none" w:sz="0" w:space="0" w:color="auto"/>
      </w:divBdr>
    </w:div>
    <w:div w:id="1685784084">
      <w:marLeft w:val="0"/>
      <w:marRight w:val="0"/>
      <w:marTop w:val="120"/>
      <w:marBottom w:val="0"/>
      <w:divBdr>
        <w:top w:val="none" w:sz="0" w:space="0" w:color="auto"/>
        <w:left w:val="none" w:sz="0" w:space="0" w:color="auto"/>
        <w:bottom w:val="none" w:sz="0" w:space="0" w:color="auto"/>
        <w:right w:val="none" w:sz="0" w:space="0" w:color="auto"/>
      </w:divBdr>
    </w:div>
    <w:div w:id="1687948273">
      <w:marLeft w:val="0"/>
      <w:marRight w:val="0"/>
      <w:marTop w:val="120"/>
      <w:marBottom w:val="0"/>
      <w:divBdr>
        <w:top w:val="none" w:sz="0" w:space="0" w:color="auto"/>
        <w:left w:val="none" w:sz="0" w:space="0" w:color="auto"/>
        <w:bottom w:val="none" w:sz="0" w:space="0" w:color="auto"/>
        <w:right w:val="none" w:sz="0" w:space="0" w:color="auto"/>
      </w:divBdr>
    </w:div>
    <w:div w:id="1688172244">
      <w:marLeft w:val="0"/>
      <w:marRight w:val="0"/>
      <w:marTop w:val="120"/>
      <w:marBottom w:val="0"/>
      <w:divBdr>
        <w:top w:val="none" w:sz="0" w:space="0" w:color="auto"/>
        <w:left w:val="none" w:sz="0" w:space="0" w:color="auto"/>
        <w:bottom w:val="none" w:sz="0" w:space="0" w:color="auto"/>
        <w:right w:val="none" w:sz="0" w:space="0" w:color="auto"/>
      </w:divBdr>
    </w:div>
    <w:div w:id="1690177410">
      <w:marLeft w:val="0"/>
      <w:marRight w:val="0"/>
      <w:marTop w:val="120"/>
      <w:marBottom w:val="0"/>
      <w:divBdr>
        <w:top w:val="none" w:sz="0" w:space="0" w:color="auto"/>
        <w:left w:val="none" w:sz="0" w:space="0" w:color="auto"/>
        <w:bottom w:val="none" w:sz="0" w:space="0" w:color="auto"/>
        <w:right w:val="none" w:sz="0" w:space="0" w:color="auto"/>
      </w:divBdr>
    </w:div>
    <w:div w:id="1690987081">
      <w:marLeft w:val="0"/>
      <w:marRight w:val="0"/>
      <w:marTop w:val="120"/>
      <w:marBottom w:val="0"/>
      <w:divBdr>
        <w:top w:val="none" w:sz="0" w:space="0" w:color="auto"/>
        <w:left w:val="none" w:sz="0" w:space="0" w:color="auto"/>
        <w:bottom w:val="none" w:sz="0" w:space="0" w:color="auto"/>
        <w:right w:val="none" w:sz="0" w:space="0" w:color="auto"/>
      </w:divBdr>
    </w:div>
    <w:div w:id="1691107422">
      <w:marLeft w:val="0"/>
      <w:marRight w:val="0"/>
      <w:marTop w:val="120"/>
      <w:marBottom w:val="0"/>
      <w:divBdr>
        <w:top w:val="none" w:sz="0" w:space="0" w:color="auto"/>
        <w:left w:val="none" w:sz="0" w:space="0" w:color="auto"/>
        <w:bottom w:val="none" w:sz="0" w:space="0" w:color="auto"/>
        <w:right w:val="none" w:sz="0" w:space="0" w:color="auto"/>
      </w:divBdr>
    </w:div>
    <w:div w:id="1692950938">
      <w:marLeft w:val="0"/>
      <w:marRight w:val="0"/>
      <w:marTop w:val="120"/>
      <w:marBottom w:val="0"/>
      <w:divBdr>
        <w:top w:val="none" w:sz="0" w:space="0" w:color="auto"/>
        <w:left w:val="none" w:sz="0" w:space="0" w:color="auto"/>
        <w:bottom w:val="none" w:sz="0" w:space="0" w:color="auto"/>
        <w:right w:val="none" w:sz="0" w:space="0" w:color="auto"/>
      </w:divBdr>
    </w:div>
    <w:div w:id="1695230174">
      <w:marLeft w:val="0"/>
      <w:marRight w:val="0"/>
      <w:marTop w:val="0"/>
      <w:marBottom w:val="0"/>
      <w:divBdr>
        <w:top w:val="none" w:sz="0" w:space="0" w:color="auto"/>
        <w:left w:val="none" w:sz="0" w:space="0" w:color="auto"/>
        <w:bottom w:val="none" w:sz="0" w:space="0" w:color="auto"/>
        <w:right w:val="none" w:sz="0" w:space="0" w:color="auto"/>
      </w:divBdr>
      <w:divsChild>
        <w:div w:id="2085637585">
          <w:marLeft w:val="0"/>
          <w:marRight w:val="0"/>
          <w:marTop w:val="0"/>
          <w:marBottom w:val="0"/>
          <w:divBdr>
            <w:top w:val="none" w:sz="0" w:space="0" w:color="auto"/>
            <w:left w:val="none" w:sz="0" w:space="0" w:color="auto"/>
            <w:bottom w:val="none" w:sz="0" w:space="0" w:color="auto"/>
            <w:right w:val="none" w:sz="0" w:space="0" w:color="auto"/>
          </w:divBdr>
        </w:div>
      </w:divsChild>
    </w:div>
    <w:div w:id="1695307317">
      <w:marLeft w:val="0"/>
      <w:marRight w:val="0"/>
      <w:marTop w:val="120"/>
      <w:marBottom w:val="0"/>
      <w:divBdr>
        <w:top w:val="none" w:sz="0" w:space="0" w:color="auto"/>
        <w:left w:val="none" w:sz="0" w:space="0" w:color="auto"/>
        <w:bottom w:val="none" w:sz="0" w:space="0" w:color="auto"/>
        <w:right w:val="none" w:sz="0" w:space="0" w:color="auto"/>
      </w:divBdr>
    </w:div>
    <w:div w:id="1699164826">
      <w:marLeft w:val="0"/>
      <w:marRight w:val="0"/>
      <w:marTop w:val="120"/>
      <w:marBottom w:val="0"/>
      <w:divBdr>
        <w:top w:val="none" w:sz="0" w:space="0" w:color="auto"/>
        <w:left w:val="none" w:sz="0" w:space="0" w:color="auto"/>
        <w:bottom w:val="none" w:sz="0" w:space="0" w:color="auto"/>
        <w:right w:val="none" w:sz="0" w:space="0" w:color="auto"/>
      </w:divBdr>
    </w:div>
    <w:div w:id="1704478740">
      <w:marLeft w:val="0"/>
      <w:marRight w:val="0"/>
      <w:marTop w:val="120"/>
      <w:marBottom w:val="0"/>
      <w:divBdr>
        <w:top w:val="none" w:sz="0" w:space="0" w:color="auto"/>
        <w:left w:val="none" w:sz="0" w:space="0" w:color="auto"/>
        <w:bottom w:val="none" w:sz="0" w:space="0" w:color="auto"/>
        <w:right w:val="none" w:sz="0" w:space="0" w:color="auto"/>
      </w:divBdr>
    </w:div>
    <w:div w:id="1705863829">
      <w:marLeft w:val="0"/>
      <w:marRight w:val="0"/>
      <w:marTop w:val="120"/>
      <w:marBottom w:val="0"/>
      <w:divBdr>
        <w:top w:val="none" w:sz="0" w:space="0" w:color="auto"/>
        <w:left w:val="none" w:sz="0" w:space="0" w:color="auto"/>
        <w:bottom w:val="none" w:sz="0" w:space="0" w:color="auto"/>
        <w:right w:val="none" w:sz="0" w:space="0" w:color="auto"/>
      </w:divBdr>
    </w:div>
    <w:div w:id="1707095674">
      <w:marLeft w:val="0"/>
      <w:marRight w:val="0"/>
      <w:marTop w:val="120"/>
      <w:marBottom w:val="0"/>
      <w:divBdr>
        <w:top w:val="none" w:sz="0" w:space="0" w:color="auto"/>
        <w:left w:val="none" w:sz="0" w:space="0" w:color="auto"/>
        <w:bottom w:val="none" w:sz="0" w:space="0" w:color="auto"/>
        <w:right w:val="none" w:sz="0" w:space="0" w:color="auto"/>
      </w:divBdr>
    </w:div>
    <w:div w:id="1709454074">
      <w:marLeft w:val="0"/>
      <w:marRight w:val="0"/>
      <w:marTop w:val="120"/>
      <w:marBottom w:val="0"/>
      <w:divBdr>
        <w:top w:val="none" w:sz="0" w:space="0" w:color="auto"/>
        <w:left w:val="none" w:sz="0" w:space="0" w:color="auto"/>
        <w:bottom w:val="none" w:sz="0" w:space="0" w:color="auto"/>
        <w:right w:val="none" w:sz="0" w:space="0" w:color="auto"/>
      </w:divBdr>
    </w:div>
    <w:div w:id="1712264562">
      <w:marLeft w:val="0"/>
      <w:marRight w:val="0"/>
      <w:marTop w:val="0"/>
      <w:marBottom w:val="0"/>
      <w:divBdr>
        <w:top w:val="none" w:sz="0" w:space="0" w:color="auto"/>
        <w:left w:val="none" w:sz="0" w:space="0" w:color="auto"/>
        <w:bottom w:val="none" w:sz="0" w:space="0" w:color="auto"/>
        <w:right w:val="none" w:sz="0" w:space="0" w:color="auto"/>
      </w:divBdr>
      <w:divsChild>
        <w:div w:id="801115009">
          <w:marLeft w:val="0"/>
          <w:marRight w:val="0"/>
          <w:marTop w:val="360"/>
          <w:marBottom w:val="0"/>
          <w:divBdr>
            <w:top w:val="none" w:sz="0" w:space="0" w:color="auto"/>
            <w:left w:val="none" w:sz="0" w:space="0" w:color="auto"/>
            <w:bottom w:val="none" w:sz="0" w:space="0" w:color="auto"/>
            <w:right w:val="none" w:sz="0" w:space="0" w:color="auto"/>
          </w:divBdr>
        </w:div>
      </w:divsChild>
    </w:div>
    <w:div w:id="1716202320">
      <w:marLeft w:val="0"/>
      <w:marRight w:val="0"/>
      <w:marTop w:val="360"/>
      <w:marBottom w:val="0"/>
      <w:divBdr>
        <w:top w:val="none" w:sz="0" w:space="0" w:color="auto"/>
        <w:left w:val="none" w:sz="0" w:space="0" w:color="auto"/>
        <w:bottom w:val="none" w:sz="0" w:space="0" w:color="auto"/>
        <w:right w:val="none" w:sz="0" w:space="0" w:color="auto"/>
      </w:divBdr>
    </w:div>
    <w:div w:id="1720127902">
      <w:marLeft w:val="0"/>
      <w:marRight w:val="0"/>
      <w:marTop w:val="120"/>
      <w:marBottom w:val="0"/>
      <w:divBdr>
        <w:top w:val="none" w:sz="0" w:space="0" w:color="auto"/>
        <w:left w:val="none" w:sz="0" w:space="0" w:color="auto"/>
        <w:bottom w:val="none" w:sz="0" w:space="0" w:color="auto"/>
        <w:right w:val="none" w:sz="0" w:space="0" w:color="auto"/>
      </w:divBdr>
    </w:div>
    <w:div w:id="1720281897">
      <w:marLeft w:val="0"/>
      <w:marRight w:val="0"/>
      <w:marTop w:val="120"/>
      <w:marBottom w:val="0"/>
      <w:divBdr>
        <w:top w:val="none" w:sz="0" w:space="0" w:color="auto"/>
        <w:left w:val="none" w:sz="0" w:space="0" w:color="auto"/>
        <w:bottom w:val="none" w:sz="0" w:space="0" w:color="auto"/>
        <w:right w:val="none" w:sz="0" w:space="0" w:color="auto"/>
      </w:divBdr>
    </w:div>
    <w:div w:id="1720546987">
      <w:marLeft w:val="0"/>
      <w:marRight w:val="0"/>
      <w:marTop w:val="120"/>
      <w:marBottom w:val="0"/>
      <w:divBdr>
        <w:top w:val="none" w:sz="0" w:space="0" w:color="auto"/>
        <w:left w:val="none" w:sz="0" w:space="0" w:color="auto"/>
        <w:bottom w:val="none" w:sz="0" w:space="0" w:color="auto"/>
        <w:right w:val="none" w:sz="0" w:space="0" w:color="auto"/>
      </w:divBdr>
    </w:div>
    <w:div w:id="1723481181">
      <w:marLeft w:val="0"/>
      <w:marRight w:val="0"/>
      <w:marTop w:val="120"/>
      <w:marBottom w:val="0"/>
      <w:divBdr>
        <w:top w:val="none" w:sz="0" w:space="0" w:color="auto"/>
        <w:left w:val="none" w:sz="0" w:space="0" w:color="auto"/>
        <w:bottom w:val="none" w:sz="0" w:space="0" w:color="auto"/>
        <w:right w:val="none" w:sz="0" w:space="0" w:color="auto"/>
      </w:divBdr>
    </w:div>
    <w:div w:id="1725131998">
      <w:marLeft w:val="0"/>
      <w:marRight w:val="0"/>
      <w:marTop w:val="120"/>
      <w:marBottom w:val="0"/>
      <w:divBdr>
        <w:top w:val="none" w:sz="0" w:space="0" w:color="auto"/>
        <w:left w:val="none" w:sz="0" w:space="0" w:color="auto"/>
        <w:bottom w:val="none" w:sz="0" w:space="0" w:color="auto"/>
        <w:right w:val="none" w:sz="0" w:space="0" w:color="auto"/>
      </w:divBdr>
    </w:div>
    <w:div w:id="1725714386">
      <w:marLeft w:val="0"/>
      <w:marRight w:val="0"/>
      <w:marTop w:val="120"/>
      <w:marBottom w:val="0"/>
      <w:divBdr>
        <w:top w:val="none" w:sz="0" w:space="0" w:color="auto"/>
        <w:left w:val="none" w:sz="0" w:space="0" w:color="auto"/>
        <w:bottom w:val="none" w:sz="0" w:space="0" w:color="auto"/>
        <w:right w:val="none" w:sz="0" w:space="0" w:color="auto"/>
      </w:divBdr>
    </w:div>
    <w:div w:id="1730297938">
      <w:marLeft w:val="0"/>
      <w:marRight w:val="0"/>
      <w:marTop w:val="120"/>
      <w:marBottom w:val="0"/>
      <w:divBdr>
        <w:top w:val="none" w:sz="0" w:space="0" w:color="auto"/>
        <w:left w:val="none" w:sz="0" w:space="0" w:color="auto"/>
        <w:bottom w:val="none" w:sz="0" w:space="0" w:color="auto"/>
        <w:right w:val="none" w:sz="0" w:space="0" w:color="auto"/>
      </w:divBdr>
    </w:div>
    <w:div w:id="1731688953">
      <w:marLeft w:val="0"/>
      <w:marRight w:val="0"/>
      <w:marTop w:val="0"/>
      <w:marBottom w:val="0"/>
      <w:divBdr>
        <w:top w:val="none" w:sz="0" w:space="0" w:color="auto"/>
        <w:left w:val="none" w:sz="0" w:space="0" w:color="auto"/>
        <w:bottom w:val="none" w:sz="0" w:space="0" w:color="auto"/>
        <w:right w:val="none" w:sz="0" w:space="0" w:color="auto"/>
      </w:divBdr>
      <w:divsChild>
        <w:div w:id="1576277129">
          <w:marLeft w:val="0"/>
          <w:marRight w:val="0"/>
          <w:marTop w:val="360"/>
          <w:marBottom w:val="0"/>
          <w:divBdr>
            <w:top w:val="none" w:sz="0" w:space="0" w:color="auto"/>
            <w:left w:val="none" w:sz="0" w:space="0" w:color="auto"/>
            <w:bottom w:val="none" w:sz="0" w:space="0" w:color="auto"/>
            <w:right w:val="none" w:sz="0" w:space="0" w:color="auto"/>
          </w:divBdr>
        </w:div>
      </w:divsChild>
    </w:div>
    <w:div w:id="1732460627">
      <w:marLeft w:val="0"/>
      <w:marRight w:val="0"/>
      <w:marTop w:val="120"/>
      <w:marBottom w:val="0"/>
      <w:divBdr>
        <w:top w:val="none" w:sz="0" w:space="0" w:color="auto"/>
        <w:left w:val="none" w:sz="0" w:space="0" w:color="auto"/>
        <w:bottom w:val="none" w:sz="0" w:space="0" w:color="auto"/>
        <w:right w:val="none" w:sz="0" w:space="0" w:color="auto"/>
      </w:divBdr>
    </w:div>
    <w:div w:id="1735620452">
      <w:marLeft w:val="0"/>
      <w:marRight w:val="0"/>
      <w:marTop w:val="40"/>
      <w:marBottom w:val="0"/>
      <w:divBdr>
        <w:top w:val="none" w:sz="0" w:space="0" w:color="auto"/>
        <w:left w:val="none" w:sz="0" w:space="0" w:color="auto"/>
        <w:bottom w:val="none" w:sz="0" w:space="0" w:color="auto"/>
        <w:right w:val="none" w:sz="0" w:space="0" w:color="auto"/>
      </w:divBdr>
    </w:div>
    <w:div w:id="1741101317">
      <w:marLeft w:val="0"/>
      <w:marRight w:val="0"/>
      <w:marTop w:val="120"/>
      <w:marBottom w:val="0"/>
      <w:divBdr>
        <w:top w:val="none" w:sz="0" w:space="0" w:color="auto"/>
        <w:left w:val="none" w:sz="0" w:space="0" w:color="auto"/>
        <w:bottom w:val="none" w:sz="0" w:space="0" w:color="auto"/>
        <w:right w:val="none" w:sz="0" w:space="0" w:color="auto"/>
      </w:divBdr>
    </w:div>
    <w:div w:id="1741633935">
      <w:marLeft w:val="0"/>
      <w:marRight w:val="0"/>
      <w:marTop w:val="120"/>
      <w:marBottom w:val="0"/>
      <w:divBdr>
        <w:top w:val="none" w:sz="0" w:space="0" w:color="auto"/>
        <w:left w:val="none" w:sz="0" w:space="0" w:color="auto"/>
        <w:bottom w:val="none" w:sz="0" w:space="0" w:color="auto"/>
        <w:right w:val="none" w:sz="0" w:space="0" w:color="auto"/>
      </w:divBdr>
    </w:div>
    <w:div w:id="1741948211">
      <w:marLeft w:val="0"/>
      <w:marRight w:val="0"/>
      <w:marTop w:val="120"/>
      <w:marBottom w:val="0"/>
      <w:divBdr>
        <w:top w:val="none" w:sz="0" w:space="0" w:color="auto"/>
        <w:left w:val="none" w:sz="0" w:space="0" w:color="auto"/>
        <w:bottom w:val="none" w:sz="0" w:space="0" w:color="auto"/>
        <w:right w:val="none" w:sz="0" w:space="0" w:color="auto"/>
      </w:divBdr>
    </w:div>
    <w:div w:id="1744182680">
      <w:marLeft w:val="0"/>
      <w:marRight w:val="0"/>
      <w:marTop w:val="360"/>
      <w:marBottom w:val="0"/>
      <w:divBdr>
        <w:top w:val="none" w:sz="0" w:space="0" w:color="auto"/>
        <w:left w:val="none" w:sz="0" w:space="0" w:color="auto"/>
        <w:bottom w:val="none" w:sz="0" w:space="0" w:color="auto"/>
        <w:right w:val="none" w:sz="0" w:space="0" w:color="auto"/>
      </w:divBdr>
    </w:div>
    <w:div w:id="1749031953">
      <w:marLeft w:val="0"/>
      <w:marRight w:val="0"/>
      <w:marTop w:val="120"/>
      <w:marBottom w:val="0"/>
      <w:divBdr>
        <w:top w:val="none" w:sz="0" w:space="0" w:color="auto"/>
        <w:left w:val="none" w:sz="0" w:space="0" w:color="auto"/>
        <w:bottom w:val="none" w:sz="0" w:space="0" w:color="auto"/>
        <w:right w:val="none" w:sz="0" w:space="0" w:color="auto"/>
      </w:divBdr>
    </w:div>
    <w:div w:id="1754163946">
      <w:marLeft w:val="0"/>
      <w:marRight w:val="0"/>
      <w:marTop w:val="120"/>
      <w:marBottom w:val="0"/>
      <w:divBdr>
        <w:top w:val="none" w:sz="0" w:space="0" w:color="auto"/>
        <w:left w:val="none" w:sz="0" w:space="0" w:color="auto"/>
        <w:bottom w:val="none" w:sz="0" w:space="0" w:color="auto"/>
        <w:right w:val="none" w:sz="0" w:space="0" w:color="auto"/>
      </w:divBdr>
    </w:div>
    <w:div w:id="1760716303">
      <w:marLeft w:val="0"/>
      <w:marRight w:val="0"/>
      <w:marTop w:val="120"/>
      <w:marBottom w:val="0"/>
      <w:divBdr>
        <w:top w:val="none" w:sz="0" w:space="0" w:color="auto"/>
        <w:left w:val="none" w:sz="0" w:space="0" w:color="auto"/>
        <w:bottom w:val="none" w:sz="0" w:space="0" w:color="auto"/>
        <w:right w:val="none" w:sz="0" w:space="0" w:color="auto"/>
      </w:divBdr>
    </w:div>
    <w:div w:id="1763145451">
      <w:marLeft w:val="0"/>
      <w:marRight w:val="0"/>
      <w:marTop w:val="120"/>
      <w:marBottom w:val="0"/>
      <w:divBdr>
        <w:top w:val="none" w:sz="0" w:space="0" w:color="auto"/>
        <w:left w:val="none" w:sz="0" w:space="0" w:color="auto"/>
        <w:bottom w:val="none" w:sz="0" w:space="0" w:color="auto"/>
        <w:right w:val="none" w:sz="0" w:space="0" w:color="auto"/>
      </w:divBdr>
    </w:div>
    <w:div w:id="1766412939">
      <w:marLeft w:val="0"/>
      <w:marRight w:val="0"/>
      <w:marTop w:val="0"/>
      <w:marBottom w:val="0"/>
      <w:divBdr>
        <w:top w:val="none" w:sz="0" w:space="0" w:color="auto"/>
        <w:left w:val="none" w:sz="0" w:space="0" w:color="auto"/>
        <w:bottom w:val="none" w:sz="0" w:space="0" w:color="auto"/>
        <w:right w:val="none" w:sz="0" w:space="0" w:color="auto"/>
      </w:divBdr>
      <w:divsChild>
        <w:div w:id="833256950">
          <w:marLeft w:val="0"/>
          <w:marRight w:val="0"/>
          <w:marTop w:val="360"/>
          <w:marBottom w:val="0"/>
          <w:divBdr>
            <w:top w:val="none" w:sz="0" w:space="0" w:color="auto"/>
            <w:left w:val="none" w:sz="0" w:space="0" w:color="auto"/>
            <w:bottom w:val="none" w:sz="0" w:space="0" w:color="auto"/>
            <w:right w:val="none" w:sz="0" w:space="0" w:color="auto"/>
          </w:divBdr>
        </w:div>
      </w:divsChild>
    </w:div>
    <w:div w:id="1766420038">
      <w:marLeft w:val="0"/>
      <w:marRight w:val="0"/>
      <w:marTop w:val="120"/>
      <w:marBottom w:val="0"/>
      <w:divBdr>
        <w:top w:val="none" w:sz="0" w:space="0" w:color="auto"/>
        <w:left w:val="none" w:sz="0" w:space="0" w:color="auto"/>
        <w:bottom w:val="none" w:sz="0" w:space="0" w:color="auto"/>
        <w:right w:val="none" w:sz="0" w:space="0" w:color="auto"/>
      </w:divBdr>
    </w:div>
    <w:div w:id="1770348493">
      <w:marLeft w:val="0"/>
      <w:marRight w:val="0"/>
      <w:marTop w:val="120"/>
      <w:marBottom w:val="0"/>
      <w:divBdr>
        <w:top w:val="none" w:sz="0" w:space="0" w:color="auto"/>
        <w:left w:val="none" w:sz="0" w:space="0" w:color="auto"/>
        <w:bottom w:val="none" w:sz="0" w:space="0" w:color="auto"/>
        <w:right w:val="none" w:sz="0" w:space="0" w:color="auto"/>
      </w:divBdr>
    </w:div>
    <w:div w:id="1770468702">
      <w:marLeft w:val="0"/>
      <w:marRight w:val="0"/>
      <w:marTop w:val="120"/>
      <w:marBottom w:val="0"/>
      <w:divBdr>
        <w:top w:val="none" w:sz="0" w:space="0" w:color="auto"/>
        <w:left w:val="none" w:sz="0" w:space="0" w:color="auto"/>
        <w:bottom w:val="none" w:sz="0" w:space="0" w:color="auto"/>
        <w:right w:val="none" w:sz="0" w:space="0" w:color="auto"/>
      </w:divBdr>
    </w:div>
    <w:div w:id="1771311591">
      <w:marLeft w:val="0"/>
      <w:marRight w:val="0"/>
      <w:marTop w:val="120"/>
      <w:marBottom w:val="0"/>
      <w:divBdr>
        <w:top w:val="none" w:sz="0" w:space="0" w:color="auto"/>
        <w:left w:val="none" w:sz="0" w:space="0" w:color="auto"/>
        <w:bottom w:val="none" w:sz="0" w:space="0" w:color="auto"/>
        <w:right w:val="none" w:sz="0" w:space="0" w:color="auto"/>
      </w:divBdr>
    </w:div>
    <w:div w:id="1771898680">
      <w:marLeft w:val="0"/>
      <w:marRight w:val="0"/>
      <w:marTop w:val="120"/>
      <w:marBottom w:val="0"/>
      <w:divBdr>
        <w:top w:val="none" w:sz="0" w:space="0" w:color="auto"/>
        <w:left w:val="none" w:sz="0" w:space="0" w:color="auto"/>
        <w:bottom w:val="none" w:sz="0" w:space="0" w:color="auto"/>
        <w:right w:val="none" w:sz="0" w:space="0" w:color="auto"/>
      </w:divBdr>
    </w:div>
    <w:div w:id="1772314266">
      <w:marLeft w:val="0"/>
      <w:marRight w:val="0"/>
      <w:marTop w:val="120"/>
      <w:marBottom w:val="0"/>
      <w:divBdr>
        <w:top w:val="none" w:sz="0" w:space="0" w:color="auto"/>
        <w:left w:val="none" w:sz="0" w:space="0" w:color="auto"/>
        <w:bottom w:val="none" w:sz="0" w:space="0" w:color="auto"/>
        <w:right w:val="none" w:sz="0" w:space="0" w:color="auto"/>
      </w:divBdr>
    </w:div>
    <w:div w:id="1773934464">
      <w:marLeft w:val="0"/>
      <w:marRight w:val="0"/>
      <w:marTop w:val="120"/>
      <w:marBottom w:val="0"/>
      <w:divBdr>
        <w:top w:val="none" w:sz="0" w:space="0" w:color="auto"/>
        <w:left w:val="none" w:sz="0" w:space="0" w:color="auto"/>
        <w:bottom w:val="none" w:sz="0" w:space="0" w:color="auto"/>
        <w:right w:val="none" w:sz="0" w:space="0" w:color="auto"/>
      </w:divBdr>
    </w:div>
    <w:div w:id="1775050480">
      <w:marLeft w:val="0"/>
      <w:marRight w:val="0"/>
      <w:marTop w:val="240"/>
      <w:marBottom w:val="0"/>
      <w:divBdr>
        <w:top w:val="none" w:sz="0" w:space="0" w:color="auto"/>
        <w:left w:val="none" w:sz="0" w:space="0" w:color="auto"/>
        <w:bottom w:val="none" w:sz="0" w:space="0" w:color="auto"/>
        <w:right w:val="none" w:sz="0" w:space="0" w:color="auto"/>
      </w:divBdr>
    </w:div>
    <w:div w:id="1775131696">
      <w:marLeft w:val="0"/>
      <w:marRight w:val="0"/>
      <w:marTop w:val="0"/>
      <w:marBottom w:val="0"/>
      <w:divBdr>
        <w:top w:val="none" w:sz="0" w:space="0" w:color="auto"/>
        <w:left w:val="none" w:sz="0" w:space="0" w:color="auto"/>
        <w:bottom w:val="none" w:sz="0" w:space="0" w:color="auto"/>
        <w:right w:val="none" w:sz="0" w:space="0" w:color="auto"/>
      </w:divBdr>
      <w:divsChild>
        <w:div w:id="289286239">
          <w:marLeft w:val="0"/>
          <w:marRight w:val="0"/>
          <w:marTop w:val="360"/>
          <w:marBottom w:val="0"/>
          <w:divBdr>
            <w:top w:val="none" w:sz="0" w:space="0" w:color="auto"/>
            <w:left w:val="none" w:sz="0" w:space="0" w:color="auto"/>
            <w:bottom w:val="none" w:sz="0" w:space="0" w:color="auto"/>
            <w:right w:val="none" w:sz="0" w:space="0" w:color="auto"/>
          </w:divBdr>
        </w:div>
      </w:divsChild>
    </w:div>
    <w:div w:id="1778208651">
      <w:marLeft w:val="0"/>
      <w:marRight w:val="0"/>
      <w:marTop w:val="120"/>
      <w:marBottom w:val="0"/>
      <w:divBdr>
        <w:top w:val="none" w:sz="0" w:space="0" w:color="auto"/>
        <w:left w:val="none" w:sz="0" w:space="0" w:color="auto"/>
        <w:bottom w:val="none" w:sz="0" w:space="0" w:color="auto"/>
        <w:right w:val="none" w:sz="0" w:space="0" w:color="auto"/>
      </w:divBdr>
    </w:div>
    <w:div w:id="1781222214">
      <w:marLeft w:val="0"/>
      <w:marRight w:val="0"/>
      <w:marTop w:val="120"/>
      <w:marBottom w:val="0"/>
      <w:divBdr>
        <w:top w:val="none" w:sz="0" w:space="0" w:color="auto"/>
        <w:left w:val="none" w:sz="0" w:space="0" w:color="auto"/>
        <w:bottom w:val="none" w:sz="0" w:space="0" w:color="auto"/>
        <w:right w:val="none" w:sz="0" w:space="0" w:color="auto"/>
      </w:divBdr>
    </w:div>
    <w:div w:id="1781680609">
      <w:marLeft w:val="0"/>
      <w:marRight w:val="0"/>
      <w:marTop w:val="120"/>
      <w:marBottom w:val="0"/>
      <w:divBdr>
        <w:top w:val="none" w:sz="0" w:space="0" w:color="auto"/>
        <w:left w:val="none" w:sz="0" w:space="0" w:color="auto"/>
        <w:bottom w:val="none" w:sz="0" w:space="0" w:color="auto"/>
        <w:right w:val="none" w:sz="0" w:space="0" w:color="auto"/>
      </w:divBdr>
    </w:div>
    <w:div w:id="1786847297">
      <w:marLeft w:val="0"/>
      <w:marRight w:val="0"/>
      <w:marTop w:val="120"/>
      <w:marBottom w:val="0"/>
      <w:divBdr>
        <w:top w:val="none" w:sz="0" w:space="0" w:color="auto"/>
        <w:left w:val="none" w:sz="0" w:space="0" w:color="auto"/>
        <w:bottom w:val="none" w:sz="0" w:space="0" w:color="auto"/>
        <w:right w:val="none" w:sz="0" w:space="0" w:color="auto"/>
      </w:divBdr>
    </w:div>
    <w:div w:id="1790931063">
      <w:marLeft w:val="0"/>
      <w:marRight w:val="0"/>
      <w:marTop w:val="120"/>
      <w:marBottom w:val="0"/>
      <w:divBdr>
        <w:top w:val="none" w:sz="0" w:space="0" w:color="auto"/>
        <w:left w:val="none" w:sz="0" w:space="0" w:color="auto"/>
        <w:bottom w:val="none" w:sz="0" w:space="0" w:color="auto"/>
        <w:right w:val="none" w:sz="0" w:space="0" w:color="auto"/>
      </w:divBdr>
    </w:div>
    <w:div w:id="1793017012">
      <w:marLeft w:val="0"/>
      <w:marRight w:val="0"/>
      <w:marTop w:val="120"/>
      <w:marBottom w:val="0"/>
      <w:divBdr>
        <w:top w:val="none" w:sz="0" w:space="0" w:color="auto"/>
        <w:left w:val="none" w:sz="0" w:space="0" w:color="auto"/>
        <w:bottom w:val="none" w:sz="0" w:space="0" w:color="auto"/>
        <w:right w:val="none" w:sz="0" w:space="0" w:color="auto"/>
      </w:divBdr>
    </w:div>
    <w:div w:id="1795252881">
      <w:marLeft w:val="0"/>
      <w:marRight w:val="0"/>
      <w:marTop w:val="0"/>
      <w:marBottom w:val="0"/>
      <w:divBdr>
        <w:top w:val="none" w:sz="0" w:space="0" w:color="auto"/>
        <w:left w:val="none" w:sz="0" w:space="0" w:color="auto"/>
        <w:bottom w:val="none" w:sz="0" w:space="0" w:color="auto"/>
        <w:right w:val="none" w:sz="0" w:space="0" w:color="auto"/>
      </w:divBdr>
      <w:divsChild>
        <w:div w:id="739401897">
          <w:marLeft w:val="0"/>
          <w:marRight w:val="0"/>
          <w:marTop w:val="0"/>
          <w:marBottom w:val="0"/>
          <w:divBdr>
            <w:top w:val="none" w:sz="0" w:space="0" w:color="auto"/>
            <w:left w:val="none" w:sz="0" w:space="0" w:color="auto"/>
            <w:bottom w:val="none" w:sz="0" w:space="0" w:color="auto"/>
            <w:right w:val="none" w:sz="0" w:space="0" w:color="auto"/>
          </w:divBdr>
        </w:div>
      </w:divsChild>
    </w:div>
    <w:div w:id="1796287302">
      <w:marLeft w:val="0"/>
      <w:marRight w:val="0"/>
      <w:marTop w:val="360"/>
      <w:marBottom w:val="0"/>
      <w:divBdr>
        <w:top w:val="none" w:sz="0" w:space="0" w:color="auto"/>
        <w:left w:val="none" w:sz="0" w:space="0" w:color="auto"/>
        <w:bottom w:val="none" w:sz="0" w:space="0" w:color="auto"/>
        <w:right w:val="none" w:sz="0" w:space="0" w:color="auto"/>
      </w:divBdr>
    </w:div>
    <w:div w:id="1796606824">
      <w:marLeft w:val="0"/>
      <w:marRight w:val="0"/>
      <w:marTop w:val="120"/>
      <w:marBottom w:val="0"/>
      <w:divBdr>
        <w:top w:val="none" w:sz="0" w:space="0" w:color="auto"/>
        <w:left w:val="none" w:sz="0" w:space="0" w:color="auto"/>
        <w:bottom w:val="none" w:sz="0" w:space="0" w:color="auto"/>
        <w:right w:val="none" w:sz="0" w:space="0" w:color="auto"/>
      </w:divBdr>
    </w:div>
    <w:div w:id="1796672857">
      <w:marLeft w:val="0"/>
      <w:marRight w:val="0"/>
      <w:marTop w:val="120"/>
      <w:marBottom w:val="0"/>
      <w:divBdr>
        <w:top w:val="none" w:sz="0" w:space="0" w:color="auto"/>
        <w:left w:val="none" w:sz="0" w:space="0" w:color="auto"/>
        <w:bottom w:val="none" w:sz="0" w:space="0" w:color="auto"/>
        <w:right w:val="none" w:sz="0" w:space="0" w:color="auto"/>
      </w:divBdr>
    </w:div>
    <w:div w:id="1800487205">
      <w:marLeft w:val="0"/>
      <w:marRight w:val="0"/>
      <w:marTop w:val="0"/>
      <w:marBottom w:val="0"/>
      <w:divBdr>
        <w:top w:val="none" w:sz="0" w:space="0" w:color="auto"/>
        <w:left w:val="none" w:sz="0" w:space="0" w:color="auto"/>
        <w:bottom w:val="none" w:sz="0" w:space="0" w:color="auto"/>
        <w:right w:val="none" w:sz="0" w:space="0" w:color="auto"/>
      </w:divBdr>
      <w:divsChild>
        <w:div w:id="920141621">
          <w:marLeft w:val="0"/>
          <w:marRight w:val="0"/>
          <w:marTop w:val="360"/>
          <w:marBottom w:val="0"/>
          <w:divBdr>
            <w:top w:val="none" w:sz="0" w:space="0" w:color="auto"/>
            <w:left w:val="none" w:sz="0" w:space="0" w:color="auto"/>
            <w:bottom w:val="none" w:sz="0" w:space="0" w:color="auto"/>
            <w:right w:val="none" w:sz="0" w:space="0" w:color="auto"/>
          </w:divBdr>
        </w:div>
      </w:divsChild>
    </w:div>
    <w:div w:id="1800683221">
      <w:marLeft w:val="0"/>
      <w:marRight w:val="0"/>
      <w:marTop w:val="120"/>
      <w:marBottom w:val="0"/>
      <w:divBdr>
        <w:top w:val="none" w:sz="0" w:space="0" w:color="auto"/>
        <w:left w:val="none" w:sz="0" w:space="0" w:color="auto"/>
        <w:bottom w:val="none" w:sz="0" w:space="0" w:color="auto"/>
        <w:right w:val="none" w:sz="0" w:space="0" w:color="auto"/>
      </w:divBdr>
    </w:div>
    <w:div w:id="1801802688">
      <w:marLeft w:val="0"/>
      <w:marRight w:val="0"/>
      <w:marTop w:val="120"/>
      <w:marBottom w:val="0"/>
      <w:divBdr>
        <w:top w:val="none" w:sz="0" w:space="0" w:color="auto"/>
        <w:left w:val="none" w:sz="0" w:space="0" w:color="auto"/>
        <w:bottom w:val="none" w:sz="0" w:space="0" w:color="auto"/>
        <w:right w:val="none" w:sz="0" w:space="0" w:color="auto"/>
      </w:divBdr>
    </w:div>
    <w:div w:id="1805387364">
      <w:marLeft w:val="0"/>
      <w:marRight w:val="0"/>
      <w:marTop w:val="0"/>
      <w:marBottom w:val="0"/>
      <w:divBdr>
        <w:top w:val="none" w:sz="0" w:space="0" w:color="auto"/>
        <w:left w:val="none" w:sz="0" w:space="0" w:color="auto"/>
        <w:bottom w:val="none" w:sz="0" w:space="0" w:color="auto"/>
        <w:right w:val="none" w:sz="0" w:space="0" w:color="auto"/>
      </w:divBdr>
      <w:divsChild>
        <w:div w:id="865098938">
          <w:marLeft w:val="0"/>
          <w:marRight w:val="0"/>
          <w:marTop w:val="0"/>
          <w:marBottom w:val="0"/>
          <w:divBdr>
            <w:top w:val="none" w:sz="0" w:space="0" w:color="auto"/>
            <w:left w:val="none" w:sz="0" w:space="0" w:color="auto"/>
            <w:bottom w:val="none" w:sz="0" w:space="0" w:color="auto"/>
            <w:right w:val="none" w:sz="0" w:space="0" w:color="auto"/>
          </w:divBdr>
        </w:div>
      </w:divsChild>
    </w:div>
    <w:div w:id="1810242843">
      <w:marLeft w:val="0"/>
      <w:marRight w:val="0"/>
      <w:marTop w:val="120"/>
      <w:marBottom w:val="0"/>
      <w:divBdr>
        <w:top w:val="none" w:sz="0" w:space="0" w:color="auto"/>
        <w:left w:val="none" w:sz="0" w:space="0" w:color="auto"/>
        <w:bottom w:val="none" w:sz="0" w:space="0" w:color="auto"/>
        <w:right w:val="none" w:sz="0" w:space="0" w:color="auto"/>
      </w:divBdr>
    </w:div>
    <w:div w:id="1810590802">
      <w:marLeft w:val="0"/>
      <w:marRight w:val="0"/>
      <w:marTop w:val="0"/>
      <w:marBottom w:val="0"/>
      <w:divBdr>
        <w:top w:val="none" w:sz="0" w:space="0" w:color="auto"/>
        <w:left w:val="none" w:sz="0" w:space="0" w:color="auto"/>
        <w:bottom w:val="none" w:sz="0" w:space="0" w:color="auto"/>
        <w:right w:val="none" w:sz="0" w:space="0" w:color="auto"/>
      </w:divBdr>
      <w:divsChild>
        <w:div w:id="746538599">
          <w:marLeft w:val="0"/>
          <w:marRight w:val="0"/>
          <w:marTop w:val="0"/>
          <w:marBottom w:val="0"/>
          <w:divBdr>
            <w:top w:val="none" w:sz="0" w:space="0" w:color="auto"/>
            <w:left w:val="none" w:sz="0" w:space="0" w:color="auto"/>
            <w:bottom w:val="none" w:sz="0" w:space="0" w:color="auto"/>
            <w:right w:val="none" w:sz="0" w:space="0" w:color="auto"/>
          </w:divBdr>
        </w:div>
      </w:divsChild>
    </w:div>
    <w:div w:id="1811820074">
      <w:marLeft w:val="0"/>
      <w:marRight w:val="0"/>
      <w:marTop w:val="120"/>
      <w:marBottom w:val="0"/>
      <w:divBdr>
        <w:top w:val="none" w:sz="0" w:space="0" w:color="auto"/>
        <w:left w:val="none" w:sz="0" w:space="0" w:color="auto"/>
        <w:bottom w:val="none" w:sz="0" w:space="0" w:color="auto"/>
        <w:right w:val="none" w:sz="0" w:space="0" w:color="auto"/>
      </w:divBdr>
    </w:div>
    <w:div w:id="1812596862">
      <w:marLeft w:val="0"/>
      <w:marRight w:val="0"/>
      <w:marTop w:val="120"/>
      <w:marBottom w:val="0"/>
      <w:divBdr>
        <w:top w:val="none" w:sz="0" w:space="0" w:color="auto"/>
        <w:left w:val="none" w:sz="0" w:space="0" w:color="auto"/>
        <w:bottom w:val="none" w:sz="0" w:space="0" w:color="auto"/>
        <w:right w:val="none" w:sz="0" w:space="0" w:color="auto"/>
      </w:divBdr>
    </w:div>
    <w:div w:id="1813324999">
      <w:marLeft w:val="0"/>
      <w:marRight w:val="0"/>
      <w:marTop w:val="120"/>
      <w:marBottom w:val="0"/>
      <w:divBdr>
        <w:top w:val="none" w:sz="0" w:space="0" w:color="auto"/>
        <w:left w:val="none" w:sz="0" w:space="0" w:color="auto"/>
        <w:bottom w:val="none" w:sz="0" w:space="0" w:color="auto"/>
        <w:right w:val="none" w:sz="0" w:space="0" w:color="auto"/>
      </w:divBdr>
    </w:div>
    <w:div w:id="1816798600">
      <w:marLeft w:val="0"/>
      <w:marRight w:val="0"/>
      <w:marTop w:val="120"/>
      <w:marBottom w:val="0"/>
      <w:divBdr>
        <w:top w:val="none" w:sz="0" w:space="0" w:color="auto"/>
        <w:left w:val="none" w:sz="0" w:space="0" w:color="auto"/>
        <w:bottom w:val="none" w:sz="0" w:space="0" w:color="auto"/>
        <w:right w:val="none" w:sz="0" w:space="0" w:color="auto"/>
      </w:divBdr>
    </w:div>
    <w:div w:id="1817187773">
      <w:marLeft w:val="0"/>
      <w:marRight w:val="0"/>
      <w:marTop w:val="120"/>
      <w:marBottom w:val="0"/>
      <w:divBdr>
        <w:top w:val="none" w:sz="0" w:space="0" w:color="auto"/>
        <w:left w:val="none" w:sz="0" w:space="0" w:color="auto"/>
        <w:bottom w:val="none" w:sz="0" w:space="0" w:color="auto"/>
        <w:right w:val="none" w:sz="0" w:space="0" w:color="auto"/>
      </w:divBdr>
    </w:div>
    <w:div w:id="1819223911">
      <w:marLeft w:val="0"/>
      <w:marRight w:val="0"/>
      <w:marTop w:val="120"/>
      <w:marBottom w:val="0"/>
      <w:divBdr>
        <w:top w:val="none" w:sz="0" w:space="0" w:color="auto"/>
        <w:left w:val="none" w:sz="0" w:space="0" w:color="auto"/>
        <w:bottom w:val="none" w:sz="0" w:space="0" w:color="auto"/>
        <w:right w:val="none" w:sz="0" w:space="0" w:color="auto"/>
      </w:divBdr>
    </w:div>
    <w:div w:id="1828012633">
      <w:marLeft w:val="0"/>
      <w:marRight w:val="0"/>
      <w:marTop w:val="120"/>
      <w:marBottom w:val="0"/>
      <w:divBdr>
        <w:top w:val="none" w:sz="0" w:space="0" w:color="auto"/>
        <w:left w:val="none" w:sz="0" w:space="0" w:color="auto"/>
        <w:bottom w:val="none" w:sz="0" w:space="0" w:color="auto"/>
        <w:right w:val="none" w:sz="0" w:space="0" w:color="auto"/>
      </w:divBdr>
    </w:div>
    <w:div w:id="1832403277">
      <w:marLeft w:val="0"/>
      <w:marRight w:val="0"/>
      <w:marTop w:val="120"/>
      <w:marBottom w:val="0"/>
      <w:divBdr>
        <w:top w:val="none" w:sz="0" w:space="0" w:color="auto"/>
        <w:left w:val="none" w:sz="0" w:space="0" w:color="auto"/>
        <w:bottom w:val="none" w:sz="0" w:space="0" w:color="auto"/>
        <w:right w:val="none" w:sz="0" w:space="0" w:color="auto"/>
      </w:divBdr>
    </w:div>
    <w:div w:id="1833254239">
      <w:marLeft w:val="0"/>
      <w:marRight w:val="0"/>
      <w:marTop w:val="120"/>
      <w:marBottom w:val="0"/>
      <w:divBdr>
        <w:top w:val="none" w:sz="0" w:space="0" w:color="auto"/>
        <w:left w:val="none" w:sz="0" w:space="0" w:color="auto"/>
        <w:bottom w:val="none" w:sz="0" w:space="0" w:color="auto"/>
        <w:right w:val="none" w:sz="0" w:space="0" w:color="auto"/>
      </w:divBdr>
    </w:div>
    <w:div w:id="1835535437">
      <w:marLeft w:val="0"/>
      <w:marRight w:val="0"/>
      <w:marTop w:val="120"/>
      <w:marBottom w:val="0"/>
      <w:divBdr>
        <w:top w:val="none" w:sz="0" w:space="0" w:color="auto"/>
        <w:left w:val="none" w:sz="0" w:space="0" w:color="auto"/>
        <w:bottom w:val="none" w:sz="0" w:space="0" w:color="auto"/>
        <w:right w:val="none" w:sz="0" w:space="0" w:color="auto"/>
      </w:divBdr>
    </w:div>
    <w:div w:id="1835996337">
      <w:marLeft w:val="0"/>
      <w:marRight w:val="0"/>
      <w:marTop w:val="120"/>
      <w:marBottom w:val="0"/>
      <w:divBdr>
        <w:top w:val="none" w:sz="0" w:space="0" w:color="auto"/>
        <w:left w:val="none" w:sz="0" w:space="0" w:color="auto"/>
        <w:bottom w:val="none" w:sz="0" w:space="0" w:color="auto"/>
        <w:right w:val="none" w:sz="0" w:space="0" w:color="auto"/>
      </w:divBdr>
    </w:div>
    <w:div w:id="1838107883">
      <w:marLeft w:val="0"/>
      <w:marRight w:val="0"/>
      <w:marTop w:val="120"/>
      <w:marBottom w:val="0"/>
      <w:divBdr>
        <w:top w:val="none" w:sz="0" w:space="0" w:color="auto"/>
        <w:left w:val="none" w:sz="0" w:space="0" w:color="auto"/>
        <w:bottom w:val="none" w:sz="0" w:space="0" w:color="auto"/>
        <w:right w:val="none" w:sz="0" w:space="0" w:color="auto"/>
      </w:divBdr>
    </w:div>
    <w:div w:id="1843622502">
      <w:marLeft w:val="0"/>
      <w:marRight w:val="0"/>
      <w:marTop w:val="0"/>
      <w:marBottom w:val="0"/>
      <w:divBdr>
        <w:top w:val="none" w:sz="0" w:space="0" w:color="auto"/>
        <w:left w:val="none" w:sz="0" w:space="0" w:color="auto"/>
        <w:bottom w:val="none" w:sz="0" w:space="0" w:color="auto"/>
        <w:right w:val="none" w:sz="0" w:space="0" w:color="auto"/>
      </w:divBdr>
      <w:divsChild>
        <w:div w:id="1727602636">
          <w:marLeft w:val="0"/>
          <w:marRight w:val="0"/>
          <w:marTop w:val="0"/>
          <w:marBottom w:val="0"/>
          <w:divBdr>
            <w:top w:val="none" w:sz="0" w:space="0" w:color="auto"/>
            <w:left w:val="none" w:sz="0" w:space="0" w:color="auto"/>
            <w:bottom w:val="none" w:sz="0" w:space="0" w:color="auto"/>
            <w:right w:val="none" w:sz="0" w:space="0" w:color="auto"/>
          </w:divBdr>
        </w:div>
      </w:divsChild>
    </w:div>
    <w:div w:id="1847162065">
      <w:marLeft w:val="0"/>
      <w:marRight w:val="0"/>
      <w:marTop w:val="120"/>
      <w:marBottom w:val="0"/>
      <w:divBdr>
        <w:top w:val="none" w:sz="0" w:space="0" w:color="auto"/>
        <w:left w:val="none" w:sz="0" w:space="0" w:color="auto"/>
        <w:bottom w:val="none" w:sz="0" w:space="0" w:color="auto"/>
        <w:right w:val="none" w:sz="0" w:space="0" w:color="auto"/>
      </w:divBdr>
    </w:div>
    <w:div w:id="1848328820">
      <w:marLeft w:val="0"/>
      <w:marRight w:val="0"/>
      <w:marTop w:val="120"/>
      <w:marBottom w:val="0"/>
      <w:divBdr>
        <w:top w:val="none" w:sz="0" w:space="0" w:color="auto"/>
        <w:left w:val="none" w:sz="0" w:space="0" w:color="auto"/>
        <w:bottom w:val="none" w:sz="0" w:space="0" w:color="auto"/>
        <w:right w:val="none" w:sz="0" w:space="0" w:color="auto"/>
      </w:divBdr>
    </w:div>
    <w:div w:id="1848715686">
      <w:marLeft w:val="0"/>
      <w:marRight w:val="0"/>
      <w:marTop w:val="120"/>
      <w:marBottom w:val="0"/>
      <w:divBdr>
        <w:top w:val="none" w:sz="0" w:space="0" w:color="auto"/>
        <w:left w:val="none" w:sz="0" w:space="0" w:color="auto"/>
        <w:bottom w:val="none" w:sz="0" w:space="0" w:color="auto"/>
        <w:right w:val="none" w:sz="0" w:space="0" w:color="auto"/>
      </w:divBdr>
    </w:div>
    <w:div w:id="1855999160">
      <w:marLeft w:val="0"/>
      <w:marRight w:val="0"/>
      <w:marTop w:val="120"/>
      <w:marBottom w:val="0"/>
      <w:divBdr>
        <w:top w:val="none" w:sz="0" w:space="0" w:color="auto"/>
        <w:left w:val="none" w:sz="0" w:space="0" w:color="auto"/>
        <w:bottom w:val="none" w:sz="0" w:space="0" w:color="auto"/>
        <w:right w:val="none" w:sz="0" w:space="0" w:color="auto"/>
      </w:divBdr>
    </w:div>
    <w:div w:id="1856186536">
      <w:marLeft w:val="0"/>
      <w:marRight w:val="0"/>
      <w:marTop w:val="0"/>
      <w:marBottom w:val="0"/>
      <w:divBdr>
        <w:top w:val="none" w:sz="0" w:space="0" w:color="auto"/>
        <w:left w:val="none" w:sz="0" w:space="0" w:color="auto"/>
        <w:bottom w:val="none" w:sz="0" w:space="0" w:color="auto"/>
        <w:right w:val="none" w:sz="0" w:space="0" w:color="auto"/>
      </w:divBdr>
      <w:divsChild>
        <w:div w:id="2045402939">
          <w:marLeft w:val="0"/>
          <w:marRight w:val="0"/>
          <w:marTop w:val="0"/>
          <w:marBottom w:val="0"/>
          <w:divBdr>
            <w:top w:val="none" w:sz="0" w:space="0" w:color="auto"/>
            <w:left w:val="none" w:sz="0" w:space="0" w:color="auto"/>
            <w:bottom w:val="none" w:sz="0" w:space="0" w:color="auto"/>
            <w:right w:val="none" w:sz="0" w:space="0" w:color="auto"/>
          </w:divBdr>
        </w:div>
      </w:divsChild>
    </w:div>
    <w:div w:id="1858234136">
      <w:marLeft w:val="0"/>
      <w:marRight w:val="0"/>
      <w:marTop w:val="120"/>
      <w:marBottom w:val="0"/>
      <w:divBdr>
        <w:top w:val="none" w:sz="0" w:space="0" w:color="auto"/>
        <w:left w:val="none" w:sz="0" w:space="0" w:color="auto"/>
        <w:bottom w:val="none" w:sz="0" w:space="0" w:color="auto"/>
        <w:right w:val="none" w:sz="0" w:space="0" w:color="auto"/>
      </w:divBdr>
    </w:div>
    <w:div w:id="1861165930">
      <w:marLeft w:val="0"/>
      <w:marRight w:val="0"/>
      <w:marTop w:val="120"/>
      <w:marBottom w:val="0"/>
      <w:divBdr>
        <w:top w:val="none" w:sz="0" w:space="0" w:color="auto"/>
        <w:left w:val="none" w:sz="0" w:space="0" w:color="auto"/>
        <w:bottom w:val="none" w:sz="0" w:space="0" w:color="auto"/>
        <w:right w:val="none" w:sz="0" w:space="0" w:color="auto"/>
      </w:divBdr>
    </w:div>
    <w:div w:id="1861973103">
      <w:marLeft w:val="0"/>
      <w:marRight w:val="0"/>
      <w:marTop w:val="120"/>
      <w:marBottom w:val="0"/>
      <w:divBdr>
        <w:top w:val="none" w:sz="0" w:space="0" w:color="auto"/>
        <w:left w:val="none" w:sz="0" w:space="0" w:color="auto"/>
        <w:bottom w:val="none" w:sz="0" w:space="0" w:color="auto"/>
        <w:right w:val="none" w:sz="0" w:space="0" w:color="auto"/>
      </w:divBdr>
    </w:div>
    <w:div w:id="1869415837">
      <w:marLeft w:val="0"/>
      <w:marRight w:val="0"/>
      <w:marTop w:val="120"/>
      <w:marBottom w:val="0"/>
      <w:divBdr>
        <w:top w:val="none" w:sz="0" w:space="0" w:color="auto"/>
        <w:left w:val="none" w:sz="0" w:space="0" w:color="auto"/>
        <w:bottom w:val="none" w:sz="0" w:space="0" w:color="auto"/>
        <w:right w:val="none" w:sz="0" w:space="0" w:color="auto"/>
      </w:divBdr>
    </w:div>
    <w:div w:id="1870675726">
      <w:marLeft w:val="0"/>
      <w:marRight w:val="0"/>
      <w:marTop w:val="120"/>
      <w:marBottom w:val="0"/>
      <w:divBdr>
        <w:top w:val="none" w:sz="0" w:space="0" w:color="auto"/>
        <w:left w:val="none" w:sz="0" w:space="0" w:color="auto"/>
        <w:bottom w:val="none" w:sz="0" w:space="0" w:color="auto"/>
        <w:right w:val="none" w:sz="0" w:space="0" w:color="auto"/>
      </w:divBdr>
    </w:div>
    <w:div w:id="1871339021">
      <w:marLeft w:val="0"/>
      <w:marRight w:val="0"/>
      <w:marTop w:val="0"/>
      <w:marBottom w:val="0"/>
      <w:divBdr>
        <w:top w:val="none" w:sz="0" w:space="0" w:color="auto"/>
        <w:left w:val="none" w:sz="0" w:space="0" w:color="auto"/>
        <w:bottom w:val="none" w:sz="0" w:space="0" w:color="auto"/>
        <w:right w:val="none" w:sz="0" w:space="0" w:color="auto"/>
      </w:divBdr>
      <w:divsChild>
        <w:div w:id="1948728968">
          <w:marLeft w:val="0"/>
          <w:marRight w:val="0"/>
          <w:marTop w:val="0"/>
          <w:marBottom w:val="0"/>
          <w:divBdr>
            <w:top w:val="none" w:sz="0" w:space="0" w:color="auto"/>
            <w:left w:val="none" w:sz="0" w:space="0" w:color="auto"/>
            <w:bottom w:val="none" w:sz="0" w:space="0" w:color="auto"/>
            <w:right w:val="none" w:sz="0" w:space="0" w:color="auto"/>
          </w:divBdr>
        </w:div>
      </w:divsChild>
    </w:div>
    <w:div w:id="1872255503">
      <w:marLeft w:val="0"/>
      <w:marRight w:val="0"/>
      <w:marTop w:val="120"/>
      <w:marBottom w:val="0"/>
      <w:divBdr>
        <w:top w:val="none" w:sz="0" w:space="0" w:color="auto"/>
        <w:left w:val="none" w:sz="0" w:space="0" w:color="auto"/>
        <w:bottom w:val="none" w:sz="0" w:space="0" w:color="auto"/>
        <w:right w:val="none" w:sz="0" w:space="0" w:color="auto"/>
      </w:divBdr>
    </w:div>
    <w:div w:id="1873424112">
      <w:marLeft w:val="0"/>
      <w:marRight w:val="0"/>
      <w:marTop w:val="120"/>
      <w:marBottom w:val="0"/>
      <w:divBdr>
        <w:top w:val="none" w:sz="0" w:space="0" w:color="auto"/>
        <w:left w:val="none" w:sz="0" w:space="0" w:color="auto"/>
        <w:bottom w:val="none" w:sz="0" w:space="0" w:color="auto"/>
        <w:right w:val="none" w:sz="0" w:space="0" w:color="auto"/>
      </w:divBdr>
    </w:div>
    <w:div w:id="1874076455">
      <w:marLeft w:val="0"/>
      <w:marRight w:val="0"/>
      <w:marTop w:val="120"/>
      <w:marBottom w:val="0"/>
      <w:divBdr>
        <w:top w:val="none" w:sz="0" w:space="0" w:color="auto"/>
        <w:left w:val="none" w:sz="0" w:space="0" w:color="auto"/>
        <w:bottom w:val="none" w:sz="0" w:space="0" w:color="auto"/>
        <w:right w:val="none" w:sz="0" w:space="0" w:color="auto"/>
      </w:divBdr>
    </w:div>
    <w:div w:id="1876503262">
      <w:marLeft w:val="0"/>
      <w:marRight w:val="0"/>
      <w:marTop w:val="120"/>
      <w:marBottom w:val="0"/>
      <w:divBdr>
        <w:top w:val="none" w:sz="0" w:space="0" w:color="auto"/>
        <w:left w:val="none" w:sz="0" w:space="0" w:color="auto"/>
        <w:bottom w:val="none" w:sz="0" w:space="0" w:color="auto"/>
        <w:right w:val="none" w:sz="0" w:space="0" w:color="auto"/>
      </w:divBdr>
    </w:div>
    <w:div w:id="1883010194">
      <w:marLeft w:val="0"/>
      <w:marRight w:val="0"/>
      <w:marTop w:val="120"/>
      <w:marBottom w:val="0"/>
      <w:divBdr>
        <w:top w:val="none" w:sz="0" w:space="0" w:color="auto"/>
        <w:left w:val="none" w:sz="0" w:space="0" w:color="auto"/>
        <w:bottom w:val="none" w:sz="0" w:space="0" w:color="auto"/>
        <w:right w:val="none" w:sz="0" w:space="0" w:color="auto"/>
      </w:divBdr>
    </w:div>
    <w:div w:id="1883520369">
      <w:marLeft w:val="0"/>
      <w:marRight w:val="0"/>
      <w:marTop w:val="0"/>
      <w:marBottom w:val="0"/>
      <w:divBdr>
        <w:top w:val="none" w:sz="0" w:space="0" w:color="auto"/>
        <w:left w:val="none" w:sz="0" w:space="0" w:color="auto"/>
        <w:bottom w:val="none" w:sz="0" w:space="0" w:color="auto"/>
        <w:right w:val="none" w:sz="0" w:space="0" w:color="auto"/>
      </w:divBdr>
      <w:divsChild>
        <w:div w:id="1772433878">
          <w:marLeft w:val="0"/>
          <w:marRight w:val="0"/>
          <w:marTop w:val="360"/>
          <w:marBottom w:val="0"/>
          <w:divBdr>
            <w:top w:val="none" w:sz="0" w:space="0" w:color="auto"/>
            <w:left w:val="none" w:sz="0" w:space="0" w:color="auto"/>
            <w:bottom w:val="none" w:sz="0" w:space="0" w:color="auto"/>
            <w:right w:val="none" w:sz="0" w:space="0" w:color="auto"/>
          </w:divBdr>
        </w:div>
      </w:divsChild>
    </w:div>
    <w:div w:id="1885167195">
      <w:marLeft w:val="0"/>
      <w:marRight w:val="0"/>
      <w:marTop w:val="120"/>
      <w:marBottom w:val="0"/>
      <w:divBdr>
        <w:top w:val="none" w:sz="0" w:space="0" w:color="auto"/>
        <w:left w:val="none" w:sz="0" w:space="0" w:color="auto"/>
        <w:bottom w:val="none" w:sz="0" w:space="0" w:color="auto"/>
        <w:right w:val="none" w:sz="0" w:space="0" w:color="auto"/>
      </w:divBdr>
    </w:div>
    <w:div w:id="1888374043">
      <w:marLeft w:val="0"/>
      <w:marRight w:val="0"/>
      <w:marTop w:val="120"/>
      <w:marBottom w:val="0"/>
      <w:divBdr>
        <w:top w:val="none" w:sz="0" w:space="0" w:color="auto"/>
        <w:left w:val="none" w:sz="0" w:space="0" w:color="auto"/>
        <w:bottom w:val="none" w:sz="0" w:space="0" w:color="auto"/>
        <w:right w:val="none" w:sz="0" w:space="0" w:color="auto"/>
      </w:divBdr>
    </w:div>
    <w:div w:id="1888448888">
      <w:marLeft w:val="0"/>
      <w:marRight w:val="0"/>
      <w:marTop w:val="120"/>
      <w:marBottom w:val="0"/>
      <w:divBdr>
        <w:top w:val="none" w:sz="0" w:space="0" w:color="auto"/>
        <w:left w:val="none" w:sz="0" w:space="0" w:color="auto"/>
        <w:bottom w:val="none" w:sz="0" w:space="0" w:color="auto"/>
        <w:right w:val="none" w:sz="0" w:space="0" w:color="auto"/>
      </w:divBdr>
    </w:div>
    <w:div w:id="1891069336">
      <w:marLeft w:val="0"/>
      <w:marRight w:val="0"/>
      <w:marTop w:val="120"/>
      <w:marBottom w:val="0"/>
      <w:divBdr>
        <w:top w:val="none" w:sz="0" w:space="0" w:color="auto"/>
        <w:left w:val="none" w:sz="0" w:space="0" w:color="auto"/>
        <w:bottom w:val="none" w:sz="0" w:space="0" w:color="auto"/>
        <w:right w:val="none" w:sz="0" w:space="0" w:color="auto"/>
      </w:divBdr>
    </w:div>
    <w:div w:id="1896118038">
      <w:marLeft w:val="0"/>
      <w:marRight w:val="0"/>
      <w:marTop w:val="120"/>
      <w:marBottom w:val="0"/>
      <w:divBdr>
        <w:top w:val="none" w:sz="0" w:space="0" w:color="auto"/>
        <w:left w:val="none" w:sz="0" w:space="0" w:color="auto"/>
        <w:bottom w:val="none" w:sz="0" w:space="0" w:color="auto"/>
        <w:right w:val="none" w:sz="0" w:space="0" w:color="auto"/>
      </w:divBdr>
    </w:div>
    <w:div w:id="1896315661">
      <w:marLeft w:val="0"/>
      <w:marRight w:val="0"/>
      <w:marTop w:val="120"/>
      <w:marBottom w:val="0"/>
      <w:divBdr>
        <w:top w:val="none" w:sz="0" w:space="0" w:color="auto"/>
        <w:left w:val="none" w:sz="0" w:space="0" w:color="auto"/>
        <w:bottom w:val="none" w:sz="0" w:space="0" w:color="auto"/>
        <w:right w:val="none" w:sz="0" w:space="0" w:color="auto"/>
      </w:divBdr>
    </w:div>
    <w:div w:id="1897203549">
      <w:marLeft w:val="0"/>
      <w:marRight w:val="0"/>
      <w:marTop w:val="120"/>
      <w:marBottom w:val="0"/>
      <w:divBdr>
        <w:top w:val="none" w:sz="0" w:space="0" w:color="auto"/>
        <w:left w:val="none" w:sz="0" w:space="0" w:color="auto"/>
        <w:bottom w:val="none" w:sz="0" w:space="0" w:color="auto"/>
        <w:right w:val="none" w:sz="0" w:space="0" w:color="auto"/>
      </w:divBdr>
    </w:div>
    <w:div w:id="1899436824">
      <w:marLeft w:val="0"/>
      <w:marRight w:val="0"/>
      <w:marTop w:val="0"/>
      <w:marBottom w:val="0"/>
      <w:divBdr>
        <w:top w:val="none" w:sz="0" w:space="0" w:color="auto"/>
        <w:left w:val="none" w:sz="0" w:space="0" w:color="auto"/>
        <w:bottom w:val="none" w:sz="0" w:space="0" w:color="auto"/>
        <w:right w:val="none" w:sz="0" w:space="0" w:color="auto"/>
      </w:divBdr>
      <w:divsChild>
        <w:div w:id="767118821">
          <w:marLeft w:val="0"/>
          <w:marRight w:val="0"/>
          <w:marTop w:val="360"/>
          <w:marBottom w:val="0"/>
          <w:divBdr>
            <w:top w:val="none" w:sz="0" w:space="0" w:color="auto"/>
            <w:left w:val="none" w:sz="0" w:space="0" w:color="auto"/>
            <w:bottom w:val="none" w:sz="0" w:space="0" w:color="auto"/>
            <w:right w:val="none" w:sz="0" w:space="0" w:color="auto"/>
          </w:divBdr>
        </w:div>
      </w:divsChild>
    </w:div>
    <w:div w:id="1900171449">
      <w:marLeft w:val="0"/>
      <w:marRight w:val="0"/>
      <w:marTop w:val="240"/>
      <w:marBottom w:val="0"/>
      <w:divBdr>
        <w:top w:val="none" w:sz="0" w:space="0" w:color="auto"/>
        <w:left w:val="none" w:sz="0" w:space="0" w:color="auto"/>
        <w:bottom w:val="none" w:sz="0" w:space="0" w:color="auto"/>
        <w:right w:val="none" w:sz="0" w:space="0" w:color="auto"/>
      </w:divBdr>
    </w:div>
    <w:div w:id="1901400856">
      <w:marLeft w:val="0"/>
      <w:marRight w:val="0"/>
      <w:marTop w:val="0"/>
      <w:marBottom w:val="0"/>
      <w:divBdr>
        <w:top w:val="none" w:sz="0" w:space="0" w:color="auto"/>
        <w:left w:val="none" w:sz="0" w:space="0" w:color="auto"/>
        <w:bottom w:val="none" w:sz="0" w:space="0" w:color="auto"/>
        <w:right w:val="none" w:sz="0" w:space="0" w:color="auto"/>
      </w:divBdr>
      <w:divsChild>
        <w:div w:id="1003438548">
          <w:marLeft w:val="0"/>
          <w:marRight w:val="0"/>
          <w:marTop w:val="360"/>
          <w:marBottom w:val="0"/>
          <w:divBdr>
            <w:top w:val="none" w:sz="0" w:space="0" w:color="auto"/>
            <w:left w:val="none" w:sz="0" w:space="0" w:color="auto"/>
            <w:bottom w:val="none" w:sz="0" w:space="0" w:color="auto"/>
            <w:right w:val="none" w:sz="0" w:space="0" w:color="auto"/>
          </w:divBdr>
        </w:div>
      </w:divsChild>
    </w:div>
    <w:div w:id="1906137187">
      <w:marLeft w:val="0"/>
      <w:marRight w:val="0"/>
      <w:marTop w:val="120"/>
      <w:marBottom w:val="0"/>
      <w:divBdr>
        <w:top w:val="none" w:sz="0" w:space="0" w:color="auto"/>
        <w:left w:val="none" w:sz="0" w:space="0" w:color="auto"/>
        <w:bottom w:val="none" w:sz="0" w:space="0" w:color="auto"/>
        <w:right w:val="none" w:sz="0" w:space="0" w:color="auto"/>
      </w:divBdr>
    </w:div>
    <w:div w:id="1906378032">
      <w:marLeft w:val="0"/>
      <w:marRight w:val="0"/>
      <w:marTop w:val="0"/>
      <w:marBottom w:val="0"/>
      <w:divBdr>
        <w:top w:val="none" w:sz="0" w:space="0" w:color="auto"/>
        <w:left w:val="none" w:sz="0" w:space="0" w:color="auto"/>
        <w:bottom w:val="none" w:sz="0" w:space="0" w:color="auto"/>
        <w:right w:val="none" w:sz="0" w:space="0" w:color="auto"/>
      </w:divBdr>
      <w:divsChild>
        <w:div w:id="2037581430">
          <w:marLeft w:val="0"/>
          <w:marRight w:val="0"/>
          <w:marTop w:val="0"/>
          <w:marBottom w:val="0"/>
          <w:divBdr>
            <w:top w:val="none" w:sz="0" w:space="0" w:color="auto"/>
            <w:left w:val="none" w:sz="0" w:space="0" w:color="auto"/>
            <w:bottom w:val="none" w:sz="0" w:space="0" w:color="auto"/>
            <w:right w:val="none" w:sz="0" w:space="0" w:color="auto"/>
          </w:divBdr>
        </w:div>
      </w:divsChild>
    </w:div>
    <w:div w:id="1910724327">
      <w:marLeft w:val="0"/>
      <w:marRight w:val="0"/>
      <w:marTop w:val="120"/>
      <w:marBottom w:val="0"/>
      <w:divBdr>
        <w:top w:val="none" w:sz="0" w:space="0" w:color="auto"/>
        <w:left w:val="none" w:sz="0" w:space="0" w:color="auto"/>
        <w:bottom w:val="none" w:sz="0" w:space="0" w:color="auto"/>
        <w:right w:val="none" w:sz="0" w:space="0" w:color="auto"/>
      </w:divBdr>
    </w:div>
    <w:div w:id="1914775185">
      <w:marLeft w:val="0"/>
      <w:marRight w:val="0"/>
      <w:marTop w:val="120"/>
      <w:marBottom w:val="0"/>
      <w:divBdr>
        <w:top w:val="none" w:sz="0" w:space="0" w:color="auto"/>
        <w:left w:val="none" w:sz="0" w:space="0" w:color="auto"/>
        <w:bottom w:val="none" w:sz="0" w:space="0" w:color="auto"/>
        <w:right w:val="none" w:sz="0" w:space="0" w:color="auto"/>
      </w:divBdr>
    </w:div>
    <w:div w:id="1919243247">
      <w:marLeft w:val="0"/>
      <w:marRight w:val="0"/>
      <w:marTop w:val="120"/>
      <w:marBottom w:val="0"/>
      <w:divBdr>
        <w:top w:val="none" w:sz="0" w:space="0" w:color="auto"/>
        <w:left w:val="none" w:sz="0" w:space="0" w:color="auto"/>
        <w:bottom w:val="none" w:sz="0" w:space="0" w:color="auto"/>
        <w:right w:val="none" w:sz="0" w:space="0" w:color="auto"/>
      </w:divBdr>
    </w:div>
    <w:div w:id="1920014822">
      <w:marLeft w:val="0"/>
      <w:marRight w:val="0"/>
      <w:marTop w:val="120"/>
      <w:marBottom w:val="0"/>
      <w:divBdr>
        <w:top w:val="none" w:sz="0" w:space="0" w:color="auto"/>
        <w:left w:val="none" w:sz="0" w:space="0" w:color="auto"/>
        <w:bottom w:val="none" w:sz="0" w:space="0" w:color="auto"/>
        <w:right w:val="none" w:sz="0" w:space="0" w:color="auto"/>
      </w:divBdr>
    </w:div>
    <w:div w:id="1920409007">
      <w:marLeft w:val="0"/>
      <w:marRight w:val="0"/>
      <w:marTop w:val="120"/>
      <w:marBottom w:val="0"/>
      <w:divBdr>
        <w:top w:val="none" w:sz="0" w:space="0" w:color="auto"/>
        <w:left w:val="none" w:sz="0" w:space="0" w:color="auto"/>
        <w:bottom w:val="none" w:sz="0" w:space="0" w:color="auto"/>
        <w:right w:val="none" w:sz="0" w:space="0" w:color="auto"/>
      </w:divBdr>
    </w:div>
    <w:div w:id="1924072398">
      <w:marLeft w:val="0"/>
      <w:marRight w:val="0"/>
      <w:marTop w:val="120"/>
      <w:marBottom w:val="0"/>
      <w:divBdr>
        <w:top w:val="none" w:sz="0" w:space="0" w:color="auto"/>
        <w:left w:val="none" w:sz="0" w:space="0" w:color="auto"/>
        <w:bottom w:val="none" w:sz="0" w:space="0" w:color="auto"/>
        <w:right w:val="none" w:sz="0" w:space="0" w:color="auto"/>
      </w:divBdr>
    </w:div>
    <w:div w:id="1924872176">
      <w:marLeft w:val="0"/>
      <w:marRight w:val="0"/>
      <w:marTop w:val="120"/>
      <w:marBottom w:val="0"/>
      <w:divBdr>
        <w:top w:val="none" w:sz="0" w:space="0" w:color="auto"/>
        <w:left w:val="none" w:sz="0" w:space="0" w:color="auto"/>
        <w:bottom w:val="none" w:sz="0" w:space="0" w:color="auto"/>
        <w:right w:val="none" w:sz="0" w:space="0" w:color="auto"/>
      </w:divBdr>
    </w:div>
    <w:div w:id="1926065714">
      <w:marLeft w:val="0"/>
      <w:marRight w:val="0"/>
      <w:marTop w:val="120"/>
      <w:marBottom w:val="0"/>
      <w:divBdr>
        <w:top w:val="none" w:sz="0" w:space="0" w:color="auto"/>
        <w:left w:val="none" w:sz="0" w:space="0" w:color="auto"/>
        <w:bottom w:val="none" w:sz="0" w:space="0" w:color="auto"/>
        <w:right w:val="none" w:sz="0" w:space="0" w:color="auto"/>
      </w:divBdr>
    </w:div>
    <w:div w:id="1926263175">
      <w:marLeft w:val="0"/>
      <w:marRight w:val="0"/>
      <w:marTop w:val="120"/>
      <w:marBottom w:val="0"/>
      <w:divBdr>
        <w:top w:val="none" w:sz="0" w:space="0" w:color="auto"/>
        <w:left w:val="none" w:sz="0" w:space="0" w:color="auto"/>
        <w:bottom w:val="none" w:sz="0" w:space="0" w:color="auto"/>
        <w:right w:val="none" w:sz="0" w:space="0" w:color="auto"/>
      </w:divBdr>
    </w:div>
    <w:div w:id="1929191021">
      <w:marLeft w:val="0"/>
      <w:marRight w:val="0"/>
      <w:marTop w:val="120"/>
      <w:marBottom w:val="0"/>
      <w:divBdr>
        <w:top w:val="none" w:sz="0" w:space="0" w:color="auto"/>
        <w:left w:val="none" w:sz="0" w:space="0" w:color="auto"/>
        <w:bottom w:val="none" w:sz="0" w:space="0" w:color="auto"/>
        <w:right w:val="none" w:sz="0" w:space="0" w:color="auto"/>
      </w:divBdr>
    </w:div>
    <w:div w:id="1930187456">
      <w:marLeft w:val="0"/>
      <w:marRight w:val="0"/>
      <w:marTop w:val="120"/>
      <w:marBottom w:val="0"/>
      <w:divBdr>
        <w:top w:val="none" w:sz="0" w:space="0" w:color="auto"/>
        <w:left w:val="none" w:sz="0" w:space="0" w:color="auto"/>
        <w:bottom w:val="none" w:sz="0" w:space="0" w:color="auto"/>
        <w:right w:val="none" w:sz="0" w:space="0" w:color="auto"/>
      </w:divBdr>
    </w:div>
    <w:div w:id="1930309845">
      <w:marLeft w:val="0"/>
      <w:marRight w:val="0"/>
      <w:marTop w:val="120"/>
      <w:marBottom w:val="0"/>
      <w:divBdr>
        <w:top w:val="none" w:sz="0" w:space="0" w:color="auto"/>
        <w:left w:val="none" w:sz="0" w:space="0" w:color="auto"/>
        <w:bottom w:val="none" w:sz="0" w:space="0" w:color="auto"/>
        <w:right w:val="none" w:sz="0" w:space="0" w:color="auto"/>
      </w:divBdr>
    </w:div>
    <w:div w:id="1931347820">
      <w:marLeft w:val="0"/>
      <w:marRight w:val="0"/>
      <w:marTop w:val="120"/>
      <w:marBottom w:val="0"/>
      <w:divBdr>
        <w:top w:val="none" w:sz="0" w:space="0" w:color="auto"/>
        <w:left w:val="none" w:sz="0" w:space="0" w:color="auto"/>
        <w:bottom w:val="none" w:sz="0" w:space="0" w:color="auto"/>
        <w:right w:val="none" w:sz="0" w:space="0" w:color="auto"/>
      </w:divBdr>
    </w:div>
    <w:div w:id="1932006848">
      <w:marLeft w:val="0"/>
      <w:marRight w:val="0"/>
      <w:marTop w:val="120"/>
      <w:marBottom w:val="0"/>
      <w:divBdr>
        <w:top w:val="none" w:sz="0" w:space="0" w:color="auto"/>
        <w:left w:val="none" w:sz="0" w:space="0" w:color="auto"/>
        <w:bottom w:val="none" w:sz="0" w:space="0" w:color="auto"/>
        <w:right w:val="none" w:sz="0" w:space="0" w:color="auto"/>
      </w:divBdr>
    </w:div>
    <w:div w:id="1932082143">
      <w:marLeft w:val="0"/>
      <w:marRight w:val="0"/>
      <w:marTop w:val="120"/>
      <w:marBottom w:val="0"/>
      <w:divBdr>
        <w:top w:val="none" w:sz="0" w:space="0" w:color="auto"/>
        <w:left w:val="none" w:sz="0" w:space="0" w:color="auto"/>
        <w:bottom w:val="none" w:sz="0" w:space="0" w:color="auto"/>
        <w:right w:val="none" w:sz="0" w:space="0" w:color="auto"/>
      </w:divBdr>
    </w:div>
    <w:div w:id="1935046849">
      <w:marLeft w:val="0"/>
      <w:marRight w:val="0"/>
      <w:marTop w:val="120"/>
      <w:marBottom w:val="0"/>
      <w:divBdr>
        <w:top w:val="none" w:sz="0" w:space="0" w:color="auto"/>
        <w:left w:val="none" w:sz="0" w:space="0" w:color="auto"/>
        <w:bottom w:val="none" w:sz="0" w:space="0" w:color="auto"/>
        <w:right w:val="none" w:sz="0" w:space="0" w:color="auto"/>
      </w:divBdr>
    </w:div>
    <w:div w:id="1938757314">
      <w:marLeft w:val="0"/>
      <w:marRight w:val="0"/>
      <w:marTop w:val="0"/>
      <w:marBottom w:val="0"/>
      <w:divBdr>
        <w:top w:val="none" w:sz="0" w:space="0" w:color="auto"/>
        <w:left w:val="none" w:sz="0" w:space="0" w:color="auto"/>
        <w:bottom w:val="none" w:sz="0" w:space="0" w:color="auto"/>
        <w:right w:val="none" w:sz="0" w:space="0" w:color="auto"/>
      </w:divBdr>
      <w:divsChild>
        <w:div w:id="77602434">
          <w:marLeft w:val="0"/>
          <w:marRight w:val="0"/>
          <w:marTop w:val="0"/>
          <w:marBottom w:val="0"/>
          <w:divBdr>
            <w:top w:val="none" w:sz="0" w:space="0" w:color="auto"/>
            <w:left w:val="none" w:sz="0" w:space="0" w:color="auto"/>
            <w:bottom w:val="none" w:sz="0" w:space="0" w:color="auto"/>
            <w:right w:val="none" w:sz="0" w:space="0" w:color="auto"/>
          </w:divBdr>
        </w:div>
      </w:divsChild>
    </w:div>
    <w:div w:id="1939171763">
      <w:marLeft w:val="0"/>
      <w:marRight w:val="0"/>
      <w:marTop w:val="0"/>
      <w:marBottom w:val="0"/>
      <w:divBdr>
        <w:top w:val="none" w:sz="0" w:space="0" w:color="auto"/>
        <w:left w:val="none" w:sz="0" w:space="0" w:color="auto"/>
        <w:bottom w:val="none" w:sz="0" w:space="0" w:color="auto"/>
        <w:right w:val="none" w:sz="0" w:space="0" w:color="auto"/>
      </w:divBdr>
      <w:divsChild>
        <w:div w:id="1520507869">
          <w:marLeft w:val="0"/>
          <w:marRight w:val="0"/>
          <w:marTop w:val="360"/>
          <w:marBottom w:val="0"/>
          <w:divBdr>
            <w:top w:val="none" w:sz="0" w:space="0" w:color="auto"/>
            <w:left w:val="none" w:sz="0" w:space="0" w:color="auto"/>
            <w:bottom w:val="none" w:sz="0" w:space="0" w:color="auto"/>
            <w:right w:val="none" w:sz="0" w:space="0" w:color="auto"/>
          </w:divBdr>
        </w:div>
      </w:divsChild>
    </w:div>
    <w:div w:id="1939827387">
      <w:marLeft w:val="0"/>
      <w:marRight w:val="0"/>
      <w:marTop w:val="120"/>
      <w:marBottom w:val="0"/>
      <w:divBdr>
        <w:top w:val="none" w:sz="0" w:space="0" w:color="auto"/>
        <w:left w:val="none" w:sz="0" w:space="0" w:color="auto"/>
        <w:bottom w:val="none" w:sz="0" w:space="0" w:color="auto"/>
        <w:right w:val="none" w:sz="0" w:space="0" w:color="auto"/>
      </w:divBdr>
    </w:div>
    <w:div w:id="1941253587">
      <w:marLeft w:val="0"/>
      <w:marRight w:val="0"/>
      <w:marTop w:val="120"/>
      <w:marBottom w:val="0"/>
      <w:divBdr>
        <w:top w:val="none" w:sz="0" w:space="0" w:color="auto"/>
        <w:left w:val="none" w:sz="0" w:space="0" w:color="auto"/>
        <w:bottom w:val="none" w:sz="0" w:space="0" w:color="auto"/>
        <w:right w:val="none" w:sz="0" w:space="0" w:color="auto"/>
      </w:divBdr>
    </w:div>
    <w:div w:id="1943142958">
      <w:marLeft w:val="0"/>
      <w:marRight w:val="0"/>
      <w:marTop w:val="120"/>
      <w:marBottom w:val="0"/>
      <w:divBdr>
        <w:top w:val="none" w:sz="0" w:space="0" w:color="auto"/>
        <w:left w:val="none" w:sz="0" w:space="0" w:color="auto"/>
        <w:bottom w:val="none" w:sz="0" w:space="0" w:color="auto"/>
        <w:right w:val="none" w:sz="0" w:space="0" w:color="auto"/>
      </w:divBdr>
    </w:div>
    <w:div w:id="1943411397">
      <w:marLeft w:val="0"/>
      <w:marRight w:val="0"/>
      <w:marTop w:val="0"/>
      <w:marBottom w:val="0"/>
      <w:divBdr>
        <w:top w:val="none" w:sz="0" w:space="0" w:color="auto"/>
        <w:left w:val="none" w:sz="0" w:space="0" w:color="auto"/>
        <w:bottom w:val="none" w:sz="0" w:space="0" w:color="auto"/>
        <w:right w:val="none" w:sz="0" w:space="0" w:color="auto"/>
      </w:divBdr>
      <w:divsChild>
        <w:div w:id="1575818104">
          <w:marLeft w:val="0"/>
          <w:marRight w:val="0"/>
          <w:marTop w:val="360"/>
          <w:marBottom w:val="0"/>
          <w:divBdr>
            <w:top w:val="none" w:sz="0" w:space="0" w:color="auto"/>
            <w:left w:val="none" w:sz="0" w:space="0" w:color="auto"/>
            <w:bottom w:val="none" w:sz="0" w:space="0" w:color="auto"/>
            <w:right w:val="none" w:sz="0" w:space="0" w:color="auto"/>
          </w:divBdr>
        </w:div>
      </w:divsChild>
    </w:div>
    <w:div w:id="1947804147">
      <w:marLeft w:val="0"/>
      <w:marRight w:val="0"/>
      <w:marTop w:val="120"/>
      <w:marBottom w:val="0"/>
      <w:divBdr>
        <w:top w:val="none" w:sz="0" w:space="0" w:color="auto"/>
        <w:left w:val="none" w:sz="0" w:space="0" w:color="auto"/>
        <w:bottom w:val="none" w:sz="0" w:space="0" w:color="auto"/>
        <w:right w:val="none" w:sz="0" w:space="0" w:color="auto"/>
      </w:divBdr>
    </w:div>
    <w:div w:id="1954246613">
      <w:marLeft w:val="0"/>
      <w:marRight w:val="0"/>
      <w:marTop w:val="120"/>
      <w:marBottom w:val="0"/>
      <w:divBdr>
        <w:top w:val="none" w:sz="0" w:space="0" w:color="auto"/>
        <w:left w:val="none" w:sz="0" w:space="0" w:color="auto"/>
        <w:bottom w:val="none" w:sz="0" w:space="0" w:color="auto"/>
        <w:right w:val="none" w:sz="0" w:space="0" w:color="auto"/>
      </w:divBdr>
    </w:div>
    <w:div w:id="1956478784">
      <w:marLeft w:val="0"/>
      <w:marRight w:val="0"/>
      <w:marTop w:val="120"/>
      <w:marBottom w:val="0"/>
      <w:divBdr>
        <w:top w:val="none" w:sz="0" w:space="0" w:color="auto"/>
        <w:left w:val="none" w:sz="0" w:space="0" w:color="auto"/>
        <w:bottom w:val="none" w:sz="0" w:space="0" w:color="auto"/>
        <w:right w:val="none" w:sz="0" w:space="0" w:color="auto"/>
      </w:divBdr>
    </w:div>
    <w:div w:id="1960531779">
      <w:marLeft w:val="0"/>
      <w:marRight w:val="0"/>
      <w:marTop w:val="120"/>
      <w:marBottom w:val="0"/>
      <w:divBdr>
        <w:top w:val="none" w:sz="0" w:space="0" w:color="auto"/>
        <w:left w:val="none" w:sz="0" w:space="0" w:color="auto"/>
        <w:bottom w:val="none" w:sz="0" w:space="0" w:color="auto"/>
        <w:right w:val="none" w:sz="0" w:space="0" w:color="auto"/>
      </w:divBdr>
    </w:div>
    <w:div w:id="1963266727">
      <w:marLeft w:val="0"/>
      <w:marRight w:val="0"/>
      <w:marTop w:val="120"/>
      <w:marBottom w:val="0"/>
      <w:divBdr>
        <w:top w:val="none" w:sz="0" w:space="0" w:color="auto"/>
        <w:left w:val="none" w:sz="0" w:space="0" w:color="auto"/>
        <w:bottom w:val="none" w:sz="0" w:space="0" w:color="auto"/>
        <w:right w:val="none" w:sz="0" w:space="0" w:color="auto"/>
      </w:divBdr>
    </w:div>
    <w:div w:id="1964385628">
      <w:marLeft w:val="0"/>
      <w:marRight w:val="0"/>
      <w:marTop w:val="120"/>
      <w:marBottom w:val="0"/>
      <w:divBdr>
        <w:top w:val="none" w:sz="0" w:space="0" w:color="auto"/>
        <w:left w:val="none" w:sz="0" w:space="0" w:color="auto"/>
        <w:bottom w:val="none" w:sz="0" w:space="0" w:color="auto"/>
        <w:right w:val="none" w:sz="0" w:space="0" w:color="auto"/>
      </w:divBdr>
    </w:div>
    <w:div w:id="1966740404">
      <w:marLeft w:val="0"/>
      <w:marRight w:val="0"/>
      <w:marTop w:val="0"/>
      <w:marBottom w:val="0"/>
      <w:divBdr>
        <w:top w:val="none" w:sz="0" w:space="0" w:color="auto"/>
        <w:left w:val="none" w:sz="0" w:space="0" w:color="auto"/>
        <w:bottom w:val="none" w:sz="0" w:space="0" w:color="auto"/>
        <w:right w:val="none" w:sz="0" w:space="0" w:color="auto"/>
      </w:divBdr>
      <w:divsChild>
        <w:div w:id="111367924">
          <w:marLeft w:val="0"/>
          <w:marRight w:val="0"/>
          <w:marTop w:val="360"/>
          <w:marBottom w:val="0"/>
          <w:divBdr>
            <w:top w:val="none" w:sz="0" w:space="0" w:color="auto"/>
            <w:left w:val="none" w:sz="0" w:space="0" w:color="auto"/>
            <w:bottom w:val="none" w:sz="0" w:space="0" w:color="auto"/>
            <w:right w:val="none" w:sz="0" w:space="0" w:color="auto"/>
          </w:divBdr>
        </w:div>
      </w:divsChild>
    </w:div>
    <w:div w:id="1967811222">
      <w:marLeft w:val="0"/>
      <w:marRight w:val="0"/>
      <w:marTop w:val="120"/>
      <w:marBottom w:val="0"/>
      <w:divBdr>
        <w:top w:val="none" w:sz="0" w:space="0" w:color="auto"/>
        <w:left w:val="none" w:sz="0" w:space="0" w:color="auto"/>
        <w:bottom w:val="none" w:sz="0" w:space="0" w:color="auto"/>
        <w:right w:val="none" w:sz="0" w:space="0" w:color="auto"/>
      </w:divBdr>
    </w:div>
    <w:div w:id="1969895634">
      <w:marLeft w:val="0"/>
      <w:marRight w:val="0"/>
      <w:marTop w:val="120"/>
      <w:marBottom w:val="0"/>
      <w:divBdr>
        <w:top w:val="none" w:sz="0" w:space="0" w:color="auto"/>
        <w:left w:val="none" w:sz="0" w:space="0" w:color="auto"/>
        <w:bottom w:val="none" w:sz="0" w:space="0" w:color="auto"/>
        <w:right w:val="none" w:sz="0" w:space="0" w:color="auto"/>
      </w:divBdr>
    </w:div>
    <w:div w:id="1971858603">
      <w:marLeft w:val="0"/>
      <w:marRight w:val="0"/>
      <w:marTop w:val="120"/>
      <w:marBottom w:val="0"/>
      <w:divBdr>
        <w:top w:val="none" w:sz="0" w:space="0" w:color="auto"/>
        <w:left w:val="none" w:sz="0" w:space="0" w:color="auto"/>
        <w:bottom w:val="none" w:sz="0" w:space="0" w:color="auto"/>
        <w:right w:val="none" w:sz="0" w:space="0" w:color="auto"/>
      </w:divBdr>
      <w:divsChild>
        <w:div w:id="2096397682">
          <w:marLeft w:val="0"/>
          <w:marRight w:val="0"/>
          <w:marTop w:val="0"/>
          <w:marBottom w:val="0"/>
          <w:divBdr>
            <w:top w:val="none" w:sz="0" w:space="0" w:color="auto"/>
            <w:left w:val="none" w:sz="0" w:space="0" w:color="auto"/>
            <w:bottom w:val="none" w:sz="0" w:space="0" w:color="auto"/>
            <w:right w:val="none" w:sz="0" w:space="0" w:color="auto"/>
          </w:divBdr>
        </w:div>
        <w:div w:id="466435028">
          <w:marLeft w:val="0"/>
          <w:marRight w:val="0"/>
          <w:marTop w:val="0"/>
          <w:marBottom w:val="0"/>
          <w:divBdr>
            <w:top w:val="none" w:sz="0" w:space="0" w:color="auto"/>
            <w:left w:val="none" w:sz="0" w:space="0" w:color="auto"/>
            <w:bottom w:val="none" w:sz="0" w:space="0" w:color="auto"/>
            <w:right w:val="none" w:sz="0" w:space="0" w:color="auto"/>
          </w:divBdr>
        </w:div>
      </w:divsChild>
    </w:div>
    <w:div w:id="1973173335">
      <w:marLeft w:val="0"/>
      <w:marRight w:val="0"/>
      <w:marTop w:val="120"/>
      <w:marBottom w:val="0"/>
      <w:divBdr>
        <w:top w:val="none" w:sz="0" w:space="0" w:color="auto"/>
        <w:left w:val="none" w:sz="0" w:space="0" w:color="auto"/>
        <w:bottom w:val="none" w:sz="0" w:space="0" w:color="auto"/>
        <w:right w:val="none" w:sz="0" w:space="0" w:color="auto"/>
      </w:divBdr>
    </w:div>
    <w:div w:id="1974603630">
      <w:marLeft w:val="0"/>
      <w:marRight w:val="0"/>
      <w:marTop w:val="120"/>
      <w:marBottom w:val="0"/>
      <w:divBdr>
        <w:top w:val="none" w:sz="0" w:space="0" w:color="auto"/>
        <w:left w:val="none" w:sz="0" w:space="0" w:color="auto"/>
        <w:bottom w:val="none" w:sz="0" w:space="0" w:color="auto"/>
        <w:right w:val="none" w:sz="0" w:space="0" w:color="auto"/>
      </w:divBdr>
    </w:div>
    <w:div w:id="1975982184">
      <w:marLeft w:val="0"/>
      <w:marRight w:val="0"/>
      <w:marTop w:val="120"/>
      <w:marBottom w:val="0"/>
      <w:divBdr>
        <w:top w:val="none" w:sz="0" w:space="0" w:color="auto"/>
        <w:left w:val="none" w:sz="0" w:space="0" w:color="auto"/>
        <w:bottom w:val="none" w:sz="0" w:space="0" w:color="auto"/>
        <w:right w:val="none" w:sz="0" w:space="0" w:color="auto"/>
      </w:divBdr>
    </w:div>
    <w:div w:id="1982729879">
      <w:marLeft w:val="0"/>
      <w:marRight w:val="0"/>
      <w:marTop w:val="120"/>
      <w:marBottom w:val="0"/>
      <w:divBdr>
        <w:top w:val="none" w:sz="0" w:space="0" w:color="auto"/>
        <w:left w:val="none" w:sz="0" w:space="0" w:color="auto"/>
        <w:bottom w:val="none" w:sz="0" w:space="0" w:color="auto"/>
        <w:right w:val="none" w:sz="0" w:space="0" w:color="auto"/>
      </w:divBdr>
    </w:div>
    <w:div w:id="1983850459">
      <w:marLeft w:val="0"/>
      <w:marRight w:val="0"/>
      <w:marTop w:val="120"/>
      <w:marBottom w:val="0"/>
      <w:divBdr>
        <w:top w:val="none" w:sz="0" w:space="0" w:color="auto"/>
        <w:left w:val="none" w:sz="0" w:space="0" w:color="auto"/>
        <w:bottom w:val="none" w:sz="0" w:space="0" w:color="auto"/>
        <w:right w:val="none" w:sz="0" w:space="0" w:color="auto"/>
      </w:divBdr>
    </w:div>
    <w:div w:id="1984693036">
      <w:marLeft w:val="0"/>
      <w:marRight w:val="0"/>
      <w:marTop w:val="120"/>
      <w:marBottom w:val="0"/>
      <w:divBdr>
        <w:top w:val="none" w:sz="0" w:space="0" w:color="auto"/>
        <w:left w:val="none" w:sz="0" w:space="0" w:color="auto"/>
        <w:bottom w:val="none" w:sz="0" w:space="0" w:color="auto"/>
        <w:right w:val="none" w:sz="0" w:space="0" w:color="auto"/>
      </w:divBdr>
    </w:div>
    <w:div w:id="1987346202">
      <w:marLeft w:val="0"/>
      <w:marRight w:val="0"/>
      <w:marTop w:val="120"/>
      <w:marBottom w:val="0"/>
      <w:divBdr>
        <w:top w:val="none" w:sz="0" w:space="0" w:color="auto"/>
        <w:left w:val="none" w:sz="0" w:space="0" w:color="auto"/>
        <w:bottom w:val="none" w:sz="0" w:space="0" w:color="auto"/>
        <w:right w:val="none" w:sz="0" w:space="0" w:color="auto"/>
      </w:divBdr>
    </w:div>
    <w:div w:id="1990204133">
      <w:marLeft w:val="0"/>
      <w:marRight w:val="0"/>
      <w:marTop w:val="120"/>
      <w:marBottom w:val="0"/>
      <w:divBdr>
        <w:top w:val="none" w:sz="0" w:space="0" w:color="auto"/>
        <w:left w:val="none" w:sz="0" w:space="0" w:color="auto"/>
        <w:bottom w:val="none" w:sz="0" w:space="0" w:color="auto"/>
        <w:right w:val="none" w:sz="0" w:space="0" w:color="auto"/>
      </w:divBdr>
    </w:div>
    <w:div w:id="1991210748">
      <w:marLeft w:val="0"/>
      <w:marRight w:val="0"/>
      <w:marTop w:val="120"/>
      <w:marBottom w:val="0"/>
      <w:divBdr>
        <w:top w:val="none" w:sz="0" w:space="0" w:color="auto"/>
        <w:left w:val="none" w:sz="0" w:space="0" w:color="auto"/>
        <w:bottom w:val="none" w:sz="0" w:space="0" w:color="auto"/>
        <w:right w:val="none" w:sz="0" w:space="0" w:color="auto"/>
      </w:divBdr>
    </w:div>
    <w:div w:id="1992439435">
      <w:marLeft w:val="0"/>
      <w:marRight w:val="0"/>
      <w:marTop w:val="120"/>
      <w:marBottom w:val="0"/>
      <w:divBdr>
        <w:top w:val="none" w:sz="0" w:space="0" w:color="auto"/>
        <w:left w:val="none" w:sz="0" w:space="0" w:color="auto"/>
        <w:bottom w:val="none" w:sz="0" w:space="0" w:color="auto"/>
        <w:right w:val="none" w:sz="0" w:space="0" w:color="auto"/>
      </w:divBdr>
    </w:div>
    <w:div w:id="1992979731">
      <w:marLeft w:val="0"/>
      <w:marRight w:val="0"/>
      <w:marTop w:val="0"/>
      <w:marBottom w:val="0"/>
      <w:divBdr>
        <w:top w:val="none" w:sz="0" w:space="0" w:color="auto"/>
        <w:left w:val="none" w:sz="0" w:space="0" w:color="auto"/>
        <w:bottom w:val="none" w:sz="0" w:space="0" w:color="auto"/>
        <w:right w:val="none" w:sz="0" w:space="0" w:color="auto"/>
      </w:divBdr>
      <w:divsChild>
        <w:div w:id="1801341220">
          <w:marLeft w:val="0"/>
          <w:marRight w:val="0"/>
          <w:marTop w:val="360"/>
          <w:marBottom w:val="0"/>
          <w:divBdr>
            <w:top w:val="none" w:sz="0" w:space="0" w:color="auto"/>
            <w:left w:val="none" w:sz="0" w:space="0" w:color="auto"/>
            <w:bottom w:val="none" w:sz="0" w:space="0" w:color="auto"/>
            <w:right w:val="none" w:sz="0" w:space="0" w:color="auto"/>
          </w:divBdr>
        </w:div>
      </w:divsChild>
    </w:div>
    <w:div w:id="1993100943">
      <w:marLeft w:val="0"/>
      <w:marRight w:val="0"/>
      <w:marTop w:val="120"/>
      <w:marBottom w:val="0"/>
      <w:divBdr>
        <w:top w:val="none" w:sz="0" w:space="0" w:color="auto"/>
        <w:left w:val="none" w:sz="0" w:space="0" w:color="auto"/>
        <w:bottom w:val="none" w:sz="0" w:space="0" w:color="auto"/>
        <w:right w:val="none" w:sz="0" w:space="0" w:color="auto"/>
      </w:divBdr>
    </w:div>
    <w:div w:id="1993750414">
      <w:marLeft w:val="0"/>
      <w:marRight w:val="0"/>
      <w:marTop w:val="120"/>
      <w:marBottom w:val="0"/>
      <w:divBdr>
        <w:top w:val="none" w:sz="0" w:space="0" w:color="auto"/>
        <w:left w:val="none" w:sz="0" w:space="0" w:color="auto"/>
        <w:bottom w:val="none" w:sz="0" w:space="0" w:color="auto"/>
        <w:right w:val="none" w:sz="0" w:space="0" w:color="auto"/>
      </w:divBdr>
    </w:div>
    <w:div w:id="1998923573">
      <w:marLeft w:val="0"/>
      <w:marRight w:val="0"/>
      <w:marTop w:val="120"/>
      <w:marBottom w:val="0"/>
      <w:divBdr>
        <w:top w:val="none" w:sz="0" w:space="0" w:color="auto"/>
        <w:left w:val="none" w:sz="0" w:space="0" w:color="auto"/>
        <w:bottom w:val="none" w:sz="0" w:space="0" w:color="auto"/>
        <w:right w:val="none" w:sz="0" w:space="0" w:color="auto"/>
      </w:divBdr>
    </w:div>
    <w:div w:id="2000501139">
      <w:marLeft w:val="0"/>
      <w:marRight w:val="0"/>
      <w:marTop w:val="360"/>
      <w:marBottom w:val="0"/>
      <w:divBdr>
        <w:top w:val="none" w:sz="0" w:space="0" w:color="auto"/>
        <w:left w:val="none" w:sz="0" w:space="0" w:color="auto"/>
        <w:bottom w:val="none" w:sz="0" w:space="0" w:color="auto"/>
        <w:right w:val="none" w:sz="0" w:space="0" w:color="auto"/>
      </w:divBdr>
    </w:div>
    <w:div w:id="2006199093">
      <w:marLeft w:val="0"/>
      <w:marRight w:val="0"/>
      <w:marTop w:val="120"/>
      <w:marBottom w:val="0"/>
      <w:divBdr>
        <w:top w:val="none" w:sz="0" w:space="0" w:color="auto"/>
        <w:left w:val="none" w:sz="0" w:space="0" w:color="auto"/>
        <w:bottom w:val="none" w:sz="0" w:space="0" w:color="auto"/>
        <w:right w:val="none" w:sz="0" w:space="0" w:color="auto"/>
      </w:divBdr>
    </w:div>
    <w:div w:id="2007635737">
      <w:marLeft w:val="0"/>
      <w:marRight w:val="0"/>
      <w:marTop w:val="120"/>
      <w:marBottom w:val="0"/>
      <w:divBdr>
        <w:top w:val="none" w:sz="0" w:space="0" w:color="auto"/>
        <w:left w:val="none" w:sz="0" w:space="0" w:color="auto"/>
        <w:bottom w:val="none" w:sz="0" w:space="0" w:color="auto"/>
        <w:right w:val="none" w:sz="0" w:space="0" w:color="auto"/>
      </w:divBdr>
    </w:div>
    <w:div w:id="2008819544">
      <w:marLeft w:val="0"/>
      <w:marRight w:val="0"/>
      <w:marTop w:val="120"/>
      <w:marBottom w:val="0"/>
      <w:divBdr>
        <w:top w:val="none" w:sz="0" w:space="0" w:color="auto"/>
        <w:left w:val="none" w:sz="0" w:space="0" w:color="auto"/>
        <w:bottom w:val="none" w:sz="0" w:space="0" w:color="auto"/>
        <w:right w:val="none" w:sz="0" w:space="0" w:color="auto"/>
      </w:divBdr>
    </w:div>
    <w:div w:id="2009363285">
      <w:marLeft w:val="0"/>
      <w:marRight w:val="0"/>
      <w:marTop w:val="120"/>
      <w:marBottom w:val="0"/>
      <w:divBdr>
        <w:top w:val="none" w:sz="0" w:space="0" w:color="auto"/>
        <w:left w:val="none" w:sz="0" w:space="0" w:color="auto"/>
        <w:bottom w:val="none" w:sz="0" w:space="0" w:color="auto"/>
        <w:right w:val="none" w:sz="0" w:space="0" w:color="auto"/>
      </w:divBdr>
    </w:div>
    <w:div w:id="2011105097">
      <w:marLeft w:val="0"/>
      <w:marRight w:val="0"/>
      <w:marTop w:val="120"/>
      <w:marBottom w:val="0"/>
      <w:divBdr>
        <w:top w:val="none" w:sz="0" w:space="0" w:color="auto"/>
        <w:left w:val="none" w:sz="0" w:space="0" w:color="auto"/>
        <w:bottom w:val="none" w:sz="0" w:space="0" w:color="auto"/>
        <w:right w:val="none" w:sz="0" w:space="0" w:color="auto"/>
      </w:divBdr>
    </w:div>
    <w:div w:id="2013220109">
      <w:marLeft w:val="0"/>
      <w:marRight w:val="0"/>
      <w:marTop w:val="60"/>
      <w:marBottom w:val="0"/>
      <w:divBdr>
        <w:top w:val="none" w:sz="0" w:space="0" w:color="auto"/>
        <w:left w:val="none" w:sz="0" w:space="0" w:color="auto"/>
        <w:bottom w:val="none" w:sz="0" w:space="0" w:color="auto"/>
        <w:right w:val="none" w:sz="0" w:space="0" w:color="auto"/>
      </w:divBdr>
    </w:div>
    <w:div w:id="2014795781">
      <w:marLeft w:val="0"/>
      <w:marRight w:val="0"/>
      <w:marTop w:val="120"/>
      <w:marBottom w:val="0"/>
      <w:divBdr>
        <w:top w:val="none" w:sz="0" w:space="0" w:color="auto"/>
        <w:left w:val="none" w:sz="0" w:space="0" w:color="auto"/>
        <w:bottom w:val="none" w:sz="0" w:space="0" w:color="auto"/>
        <w:right w:val="none" w:sz="0" w:space="0" w:color="auto"/>
      </w:divBdr>
    </w:div>
    <w:div w:id="2018120612">
      <w:marLeft w:val="0"/>
      <w:marRight w:val="0"/>
      <w:marTop w:val="120"/>
      <w:marBottom w:val="0"/>
      <w:divBdr>
        <w:top w:val="none" w:sz="0" w:space="0" w:color="auto"/>
        <w:left w:val="none" w:sz="0" w:space="0" w:color="auto"/>
        <w:bottom w:val="none" w:sz="0" w:space="0" w:color="auto"/>
        <w:right w:val="none" w:sz="0" w:space="0" w:color="auto"/>
      </w:divBdr>
    </w:div>
    <w:div w:id="2019458240">
      <w:marLeft w:val="0"/>
      <w:marRight w:val="0"/>
      <w:marTop w:val="120"/>
      <w:marBottom w:val="0"/>
      <w:divBdr>
        <w:top w:val="none" w:sz="0" w:space="0" w:color="auto"/>
        <w:left w:val="none" w:sz="0" w:space="0" w:color="auto"/>
        <w:bottom w:val="none" w:sz="0" w:space="0" w:color="auto"/>
        <w:right w:val="none" w:sz="0" w:space="0" w:color="auto"/>
      </w:divBdr>
    </w:div>
    <w:div w:id="2020037239">
      <w:marLeft w:val="0"/>
      <w:marRight w:val="0"/>
      <w:marTop w:val="0"/>
      <w:marBottom w:val="0"/>
      <w:divBdr>
        <w:top w:val="none" w:sz="0" w:space="0" w:color="auto"/>
        <w:left w:val="none" w:sz="0" w:space="0" w:color="auto"/>
        <w:bottom w:val="none" w:sz="0" w:space="0" w:color="auto"/>
        <w:right w:val="none" w:sz="0" w:space="0" w:color="auto"/>
      </w:divBdr>
      <w:divsChild>
        <w:div w:id="1623226776">
          <w:marLeft w:val="0"/>
          <w:marRight w:val="0"/>
          <w:marTop w:val="360"/>
          <w:marBottom w:val="0"/>
          <w:divBdr>
            <w:top w:val="none" w:sz="0" w:space="0" w:color="auto"/>
            <w:left w:val="none" w:sz="0" w:space="0" w:color="auto"/>
            <w:bottom w:val="none" w:sz="0" w:space="0" w:color="auto"/>
            <w:right w:val="none" w:sz="0" w:space="0" w:color="auto"/>
          </w:divBdr>
        </w:div>
      </w:divsChild>
    </w:div>
    <w:div w:id="2024895388">
      <w:marLeft w:val="0"/>
      <w:marRight w:val="0"/>
      <w:marTop w:val="120"/>
      <w:marBottom w:val="0"/>
      <w:divBdr>
        <w:top w:val="none" w:sz="0" w:space="0" w:color="auto"/>
        <w:left w:val="none" w:sz="0" w:space="0" w:color="auto"/>
        <w:bottom w:val="none" w:sz="0" w:space="0" w:color="auto"/>
        <w:right w:val="none" w:sz="0" w:space="0" w:color="auto"/>
      </w:divBdr>
    </w:div>
    <w:div w:id="2029091891">
      <w:marLeft w:val="0"/>
      <w:marRight w:val="0"/>
      <w:marTop w:val="120"/>
      <w:marBottom w:val="0"/>
      <w:divBdr>
        <w:top w:val="none" w:sz="0" w:space="0" w:color="auto"/>
        <w:left w:val="none" w:sz="0" w:space="0" w:color="auto"/>
        <w:bottom w:val="none" w:sz="0" w:space="0" w:color="auto"/>
        <w:right w:val="none" w:sz="0" w:space="0" w:color="auto"/>
      </w:divBdr>
    </w:div>
    <w:div w:id="2030837525">
      <w:marLeft w:val="0"/>
      <w:marRight w:val="0"/>
      <w:marTop w:val="120"/>
      <w:marBottom w:val="0"/>
      <w:divBdr>
        <w:top w:val="none" w:sz="0" w:space="0" w:color="auto"/>
        <w:left w:val="none" w:sz="0" w:space="0" w:color="auto"/>
        <w:bottom w:val="none" w:sz="0" w:space="0" w:color="auto"/>
        <w:right w:val="none" w:sz="0" w:space="0" w:color="auto"/>
      </w:divBdr>
    </w:div>
    <w:div w:id="2030980488">
      <w:marLeft w:val="0"/>
      <w:marRight w:val="0"/>
      <w:marTop w:val="240"/>
      <w:marBottom w:val="0"/>
      <w:divBdr>
        <w:top w:val="none" w:sz="0" w:space="0" w:color="auto"/>
        <w:left w:val="none" w:sz="0" w:space="0" w:color="auto"/>
        <w:bottom w:val="none" w:sz="0" w:space="0" w:color="auto"/>
        <w:right w:val="none" w:sz="0" w:space="0" w:color="auto"/>
      </w:divBdr>
    </w:div>
    <w:div w:id="2037149408">
      <w:marLeft w:val="0"/>
      <w:marRight w:val="0"/>
      <w:marTop w:val="120"/>
      <w:marBottom w:val="0"/>
      <w:divBdr>
        <w:top w:val="none" w:sz="0" w:space="0" w:color="auto"/>
        <w:left w:val="none" w:sz="0" w:space="0" w:color="auto"/>
        <w:bottom w:val="none" w:sz="0" w:space="0" w:color="auto"/>
        <w:right w:val="none" w:sz="0" w:space="0" w:color="auto"/>
      </w:divBdr>
    </w:div>
    <w:div w:id="2037385165">
      <w:marLeft w:val="0"/>
      <w:marRight w:val="0"/>
      <w:marTop w:val="120"/>
      <w:marBottom w:val="0"/>
      <w:divBdr>
        <w:top w:val="none" w:sz="0" w:space="0" w:color="auto"/>
        <w:left w:val="none" w:sz="0" w:space="0" w:color="auto"/>
        <w:bottom w:val="none" w:sz="0" w:space="0" w:color="auto"/>
        <w:right w:val="none" w:sz="0" w:space="0" w:color="auto"/>
      </w:divBdr>
    </w:div>
    <w:div w:id="2040858559">
      <w:marLeft w:val="0"/>
      <w:marRight w:val="0"/>
      <w:marTop w:val="120"/>
      <w:marBottom w:val="0"/>
      <w:divBdr>
        <w:top w:val="none" w:sz="0" w:space="0" w:color="auto"/>
        <w:left w:val="none" w:sz="0" w:space="0" w:color="auto"/>
        <w:bottom w:val="none" w:sz="0" w:space="0" w:color="auto"/>
        <w:right w:val="none" w:sz="0" w:space="0" w:color="auto"/>
      </w:divBdr>
    </w:div>
    <w:div w:id="2045668967">
      <w:marLeft w:val="0"/>
      <w:marRight w:val="0"/>
      <w:marTop w:val="120"/>
      <w:marBottom w:val="0"/>
      <w:divBdr>
        <w:top w:val="none" w:sz="0" w:space="0" w:color="auto"/>
        <w:left w:val="none" w:sz="0" w:space="0" w:color="auto"/>
        <w:bottom w:val="none" w:sz="0" w:space="0" w:color="auto"/>
        <w:right w:val="none" w:sz="0" w:space="0" w:color="auto"/>
      </w:divBdr>
    </w:div>
    <w:div w:id="2045865021">
      <w:marLeft w:val="0"/>
      <w:marRight w:val="0"/>
      <w:marTop w:val="120"/>
      <w:marBottom w:val="0"/>
      <w:divBdr>
        <w:top w:val="none" w:sz="0" w:space="0" w:color="auto"/>
        <w:left w:val="none" w:sz="0" w:space="0" w:color="auto"/>
        <w:bottom w:val="none" w:sz="0" w:space="0" w:color="auto"/>
        <w:right w:val="none" w:sz="0" w:space="0" w:color="auto"/>
      </w:divBdr>
    </w:div>
    <w:div w:id="2046128236">
      <w:marLeft w:val="0"/>
      <w:marRight w:val="0"/>
      <w:marTop w:val="120"/>
      <w:marBottom w:val="0"/>
      <w:divBdr>
        <w:top w:val="none" w:sz="0" w:space="0" w:color="auto"/>
        <w:left w:val="none" w:sz="0" w:space="0" w:color="auto"/>
        <w:bottom w:val="none" w:sz="0" w:space="0" w:color="auto"/>
        <w:right w:val="none" w:sz="0" w:space="0" w:color="auto"/>
      </w:divBdr>
    </w:div>
    <w:div w:id="2047876532">
      <w:marLeft w:val="0"/>
      <w:marRight w:val="0"/>
      <w:marTop w:val="120"/>
      <w:marBottom w:val="0"/>
      <w:divBdr>
        <w:top w:val="none" w:sz="0" w:space="0" w:color="auto"/>
        <w:left w:val="none" w:sz="0" w:space="0" w:color="auto"/>
        <w:bottom w:val="none" w:sz="0" w:space="0" w:color="auto"/>
        <w:right w:val="none" w:sz="0" w:space="0" w:color="auto"/>
      </w:divBdr>
    </w:div>
    <w:div w:id="2054772565">
      <w:marLeft w:val="0"/>
      <w:marRight w:val="0"/>
      <w:marTop w:val="120"/>
      <w:marBottom w:val="0"/>
      <w:divBdr>
        <w:top w:val="none" w:sz="0" w:space="0" w:color="auto"/>
        <w:left w:val="none" w:sz="0" w:space="0" w:color="auto"/>
        <w:bottom w:val="none" w:sz="0" w:space="0" w:color="auto"/>
        <w:right w:val="none" w:sz="0" w:space="0" w:color="auto"/>
      </w:divBdr>
    </w:div>
    <w:div w:id="2060475022">
      <w:marLeft w:val="0"/>
      <w:marRight w:val="0"/>
      <w:marTop w:val="120"/>
      <w:marBottom w:val="0"/>
      <w:divBdr>
        <w:top w:val="none" w:sz="0" w:space="0" w:color="auto"/>
        <w:left w:val="none" w:sz="0" w:space="0" w:color="auto"/>
        <w:bottom w:val="none" w:sz="0" w:space="0" w:color="auto"/>
        <w:right w:val="none" w:sz="0" w:space="0" w:color="auto"/>
      </w:divBdr>
    </w:div>
    <w:div w:id="2061786644">
      <w:marLeft w:val="0"/>
      <w:marRight w:val="0"/>
      <w:marTop w:val="120"/>
      <w:marBottom w:val="0"/>
      <w:divBdr>
        <w:top w:val="none" w:sz="0" w:space="0" w:color="auto"/>
        <w:left w:val="none" w:sz="0" w:space="0" w:color="auto"/>
        <w:bottom w:val="none" w:sz="0" w:space="0" w:color="auto"/>
        <w:right w:val="none" w:sz="0" w:space="0" w:color="auto"/>
      </w:divBdr>
    </w:div>
    <w:div w:id="2066752722">
      <w:marLeft w:val="0"/>
      <w:marRight w:val="0"/>
      <w:marTop w:val="120"/>
      <w:marBottom w:val="0"/>
      <w:divBdr>
        <w:top w:val="none" w:sz="0" w:space="0" w:color="auto"/>
        <w:left w:val="none" w:sz="0" w:space="0" w:color="auto"/>
        <w:bottom w:val="none" w:sz="0" w:space="0" w:color="auto"/>
        <w:right w:val="none" w:sz="0" w:space="0" w:color="auto"/>
      </w:divBdr>
    </w:div>
    <w:div w:id="2066833109">
      <w:marLeft w:val="0"/>
      <w:marRight w:val="0"/>
      <w:marTop w:val="120"/>
      <w:marBottom w:val="0"/>
      <w:divBdr>
        <w:top w:val="none" w:sz="0" w:space="0" w:color="auto"/>
        <w:left w:val="none" w:sz="0" w:space="0" w:color="auto"/>
        <w:bottom w:val="none" w:sz="0" w:space="0" w:color="auto"/>
        <w:right w:val="none" w:sz="0" w:space="0" w:color="auto"/>
      </w:divBdr>
    </w:div>
    <w:div w:id="2075810084">
      <w:marLeft w:val="0"/>
      <w:marRight w:val="0"/>
      <w:marTop w:val="60"/>
      <w:marBottom w:val="0"/>
      <w:divBdr>
        <w:top w:val="none" w:sz="0" w:space="0" w:color="auto"/>
        <w:left w:val="none" w:sz="0" w:space="0" w:color="auto"/>
        <w:bottom w:val="none" w:sz="0" w:space="0" w:color="auto"/>
        <w:right w:val="none" w:sz="0" w:space="0" w:color="auto"/>
      </w:divBdr>
    </w:div>
    <w:div w:id="2082288338">
      <w:marLeft w:val="0"/>
      <w:marRight w:val="0"/>
      <w:marTop w:val="120"/>
      <w:marBottom w:val="0"/>
      <w:divBdr>
        <w:top w:val="none" w:sz="0" w:space="0" w:color="auto"/>
        <w:left w:val="none" w:sz="0" w:space="0" w:color="auto"/>
        <w:bottom w:val="none" w:sz="0" w:space="0" w:color="auto"/>
        <w:right w:val="none" w:sz="0" w:space="0" w:color="auto"/>
      </w:divBdr>
    </w:div>
    <w:div w:id="2086418908">
      <w:marLeft w:val="0"/>
      <w:marRight w:val="0"/>
      <w:marTop w:val="120"/>
      <w:marBottom w:val="0"/>
      <w:divBdr>
        <w:top w:val="none" w:sz="0" w:space="0" w:color="auto"/>
        <w:left w:val="none" w:sz="0" w:space="0" w:color="auto"/>
        <w:bottom w:val="none" w:sz="0" w:space="0" w:color="auto"/>
        <w:right w:val="none" w:sz="0" w:space="0" w:color="auto"/>
      </w:divBdr>
    </w:div>
    <w:div w:id="2086873512">
      <w:marLeft w:val="0"/>
      <w:marRight w:val="0"/>
      <w:marTop w:val="0"/>
      <w:marBottom w:val="0"/>
      <w:divBdr>
        <w:top w:val="none" w:sz="0" w:space="0" w:color="auto"/>
        <w:left w:val="none" w:sz="0" w:space="0" w:color="auto"/>
        <w:bottom w:val="none" w:sz="0" w:space="0" w:color="auto"/>
        <w:right w:val="none" w:sz="0" w:space="0" w:color="auto"/>
      </w:divBdr>
      <w:divsChild>
        <w:div w:id="1536432086">
          <w:marLeft w:val="0"/>
          <w:marRight w:val="0"/>
          <w:marTop w:val="360"/>
          <w:marBottom w:val="0"/>
          <w:divBdr>
            <w:top w:val="none" w:sz="0" w:space="0" w:color="auto"/>
            <w:left w:val="none" w:sz="0" w:space="0" w:color="auto"/>
            <w:bottom w:val="none" w:sz="0" w:space="0" w:color="auto"/>
            <w:right w:val="none" w:sz="0" w:space="0" w:color="auto"/>
          </w:divBdr>
        </w:div>
      </w:divsChild>
    </w:div>
    <w:div w:id="2087992052">
      <w:marLeft w:val="0"/>
      <w:marRight w:val="0"/>
      <w:marTop w:val="60"/>
      <w:marBottom w:val="0"/>
      <w:divBdr>
        <w:top w:val="none" w:sz="0" w:space="0" w:color="auto"/>
        <w:left w:val="none" w:sz="0" w:space="0" w:color="auto"/>
        <w:bottom w:val="none" w:sz="0" w:space="0" w:color="auto"/>
        <w:right w:val="none" w:sz="0" w:space="0" w:color="auto"/>
      </w:divBdr>
    </w:div>
    <w:div w:id="2089032661">
      <w:marLeft w:val="0"/>
      <w:marRight w:val="0"/>
      <w:marTop w:val="120"/>
      <w:marBottom w:val="0"/>
      <w:divBdr>
        <w:top w:val="none" w:sz="0" w:space="0" w:color="auto"/>
        <w:left w:val="none" w:sz="0" w:space="0" w:color="auto"/>
        <w:bottom w:val="none" w:sz="0" w:space="0" w:color="auto"/>
        <w:right w:val="none" w:sz="0" w:space="0" w:color="auto"/>
      </w:divBdr>
    </w:div>
    <w:div w:id="2091535515">
      <w:marLeft w:val="0"/>
      <w:marRight w:val="0"/>
      <w:marTop w:val="120"/>
      <w:marBottom w:val="0"/>
      <w:divBdr>
        <w:top w:val="none" w:sz="0" w:space="0" w:color="auto"/>
        <w:left w:val="none" w:sz="0" w:space="0" w:color="auto"/>
        <w:bottom w:val="none" w:sz="0" w:space="0" w:color="auto"/>
        <w:right w:val="none" w:sz="0" w:space="0" w:color="auto"/>
      </w:divBdr>
    </w:div>
    <w:div w:id="2096172687">
      <w:marLeft w:val="0"/>
      <w:marRight w:val="0"/>
      <w:marTop w:val="80"/>
      <w:marBottom w:val="0"/>
      <w:divBdr>
        <w:top w:val="none" w:sz="0" w:space="0" w:color="auto"/>
        <w:left w:val="none" w:sz="0" w:space="0" w:color="auto"/>
        <w:bottom w:val="none" w:sz="0" w:space="0" w:color="auto"/>
        <w:right w:val="none" w:sz="0" w:space="0" w:color="auto"/>
      </w:divBdr>
    </w:div>
    <w:div w:id="2096824503">
      <w:marLeft w:val="0"/>
      <w:marRight w:val="0"/>
      <w:marTop w:val="120"/>
      <w:marBottom w:val="0"/>
      <w:divBdr>
        <w:top w:val="none" w:sz="0" w:space="0" w:color="auto"/>
        <w:left w:val="none" w:sz="0" w:space="0" w:color="auto"/>
        <w:bottom w:val="none" w:sz="0" w:space="0" w:color="auto"/>
        <w:right w:val="none" w:sz="0" w:space="0" w:color="auto"/>
      </w:divBdr>
    </w:div>
    <w:div w:id="2098204748">
      <w:marLeft w:val="0"/>
      <w:marRight w:val="0"/>
      <w:marTop w:val="0"/>
      <w:marBottom w:val="0"/>
      <w:divBdr>
        <w:top w:val="none" w:sz="0" w:space="0" w:color="auto"/>
        <w:left w:val="none" w:sz="0" w:space="0" w:color="auto"/>
        <w:bottom w:val="none" w:sz="0" w:space="0" w:color="auto"/>
        <w:right w:val="none" w:sz="0" w:space="0" w:color="auto"/>
      </w:divBdr>
      <w:divsChild>
        <w:div w:id="45417349">
          <w:marLeft w:val="0"/>
          <w:marRight w:val="0"/>
          <w:marTop w:val="0"/>
          <w:marBottom w:val="0"/>
          <w:divBdr>
            <w:top w:val="none" w:sz="0" w:space="0" w:color="auto"/>
            <w:left w:val="none" w:sz="0" w:space="0" w:color="auto"/>
            <w:bottom w:val="none" w:sz="0" w:space="0" w:color="auto"/>
            <w:right w:val="none" w:sz="0" w:space="0" w:color="auto"/>
          </w:divBdr>
        </w:div>
      </w:divsChild>
    </w:div>
    <w:div w:id="2102069908">
      <w:marLeft w:val="0"/>
      <w:marRight w:val="0"/>
      <w:marTop w:val="120"/>
      <w:marBottom w:val="0"/>
      <w:divBdr>
        <w:top w:val="none" w:sz="0" w:space="0" w:color="auto"/>
        <w:left w:val="none" w:sz="0" w:space="0" w:color="auto"/>
        <w:bottom w:val="none" w:sz="0" w:space="0" w:color="auto"/>
        <w:right w:val="none" w:sz="0" w:space="0" w:color="auto"/>
      </w:divBdr>
    </w:div>
    <w:div w:id="2105495726">
      <w:marLeft w:val="0"/>
      <w:marRight w:val="0"/>
      <w:marTop w:val="120"/>
      <w:marBottom w:val="0"/>
      <w:divBdr>
        <w:top w:val="none" w:sz="0" w:space="0" w:color="auto"/>
        <w:left w:val="none" w:sz="0" w:space="0" w:color="auto"/>
        <w:bottom w:val="none" w:sz="0" w:space="0" w:color="auto"/>
        <w:right w:val="none" w:sz="0" w:space="0" w:color="auto"/>
      </w:divBdr>
    </w:div>
    <w:div w:id="2106222925">
      <w:marLeft w:val="0"/>
      <w:marRight w:val="0"/>
      <w:marTop w:val="120"/>
      <w:marBottom w:val="0"/>
      <w:divBdr>
        <w:top w:val="none" w:sz="0" w:space="0" w:color="auto"/>
        <w:left w:val="none" w:sz="0" w:space="0" w:color="auto"/>
        <w:bottom w:val="none" w:sz="0" w:space="0" w:color="auto"/>
        <w:right w:val="none" w:sz="0" w:space="0" w:color="auto"/>
      </w:divBdr>
    </w:div>
    <w:div w:id="2108578651">
      <w:marLeft w:val="0"/>
      <w:marRight w:val="0"/>
      <w:marTop w:val="120"/>
      <w:marBottom w:val="0"/>
      <w:divBdr>
        <w:top w:val="none" w:sz="0" w:space="0" w:color="auto"/>
        <w:left w:val="none" w:sz="0" w:space="0" w:color="auto"/>
        <w:bottom w:val="none" w:sz="0" w:space="0" w:color="auto"/>
        <w:right w:val="none" w:sz="0" w:space="0" w:color="auto"/>
      </w:divBdr>
    </w:div>
    <w:div w:id="2110392265">
      <w:marLeft w:val="0"/>
      <w:marRight w:val="0"/>
      <w:marTop w:val="120"/>
      <w:marBottom w:val="0"/>
      <w:divBdr>
        <w:top w:val="none" w:sz="0" w:space="0" w:color="auto"/>
        <w:left w:val="none" w:sz="0" w:space="0" w:color="auto"/>
        <w:bottom w:val="none" w:sz="0" w:space="0" w:color="auto"/>
        <w:right w:val="none" w:sz="0" w:space="0" w:color="auto"/>
      </w:divBdr>
    </w:div>
    <w:div w:id="2110419469">
      <w:marLeft w:val="0"/>
      <w:marRight w:val="0"/>
      <w:marTop w:val="120"/>
      <w:marBottom w:val="0"/>
      <w:divBdr>
        <w:top w:val="none" w:sz="0" w:space="0" w:color="auto"/>
        <w:left w:val="none" w:sz="0" w:space="0" w:color="auto"/>
        <w:bottom w:val="none" w:sz="0" w:space="0" w:color="auto"/>
        <w:right w:val="none" w:sz="0" w:space="0" w:color="auto"/>
      </w:divBdr>
    </w:div>
    <w:div w:id="2111077659">
      <w:marLeft w:val="0"/>
      <w:marRight w:val="0"/>
      <w:marTop w:val="120"/>
      <w:marBottom w:val="0"/>
      <w:divBdr>
        <w:top w:val="none" w:sz="0" w:space="0" w:color="auto"/>
        <w:left w:val="none" w:sz="0" w:space="0" w:color="auto"/>
        <w:bottom w:val="none" w:sz="0" w:space="0" w:color="auto"/>
        <w:right w:val="none" w:sz="0" w:space="0" w:color="auto"/>
      </w:divBdr>
    </w:div>
    <w:div w:id="2112167402">
      <w:marLeft w:val="0"/>
      <w:marRight w:val="0"/>
      <w:marTop w:val="120"/>
      <w:marBottom w:val="0"/>
      <w:divBdr>
        <w:top w:val="none" w:sz="0" w:space="0" w:color="auto"/>
        <w:left w:val="none" w:sz="0" w:space="0" w:color="auto"/>
        <w:bottom w:val="none" w:sz="0" w:space="0" w:color="auto"/>
        <w:right w:val="none" w:sz="0" w:space="0" w:color="auto"/>
      </w:divBdr>
    </w:div>
    <w:div w:id="2112966703">
      <w:marLeft w:val="0"/>
      <w:marRight w:val="0"/>
      <w:marTop w:val="120"/>
      <w:marBottom w:val="0"/>
      <w:divBdr>
        <w:top w:val="none" w:sz="0" w:space="0" w:color="auto"/>
        <w:left w:val="none" w:sz="0" w:space="0" w:color="auto"/>
        <w:bottom w:val="none" w:sz="0" w:space="0" w:color="auto"/>
        <w:right w:val="none" w:sz="0" w:space="0" w:color="auto"/>
      </w:divBdr>
    </w:div>
    <w:div w:id="2114325507">
      <w:marLeft w:val="0"/>
      <w:marRight w:val="0"/>
      <w:marTop w:val="0"/>
      <w:marBottom w:val="0"/>
      <w:divBdr>
        <w:top w:val="none" w:sz="0" w:space="0" w:color="auto"/>
        <w:left w:val="none" w:sz="0" w:space="0" w:color="auto"/>
        <w:bottom w:val="none" w:sz="0" w:space="0" w:color="auto"/>
        <w:right w:val="none" w:sz="0" w:space="0" w:color="auto"/>
      </w:divBdr>
      <w:divsChild>
        <w:div w:id="388498085">
          <w:marLeft w:val="0"/>
          <w:marRight w:val="0"/>
          <w:marTop w:val="0"/>
          <w:marBottom w:val="0"/>
          <w:divBdr>
            <w:top w:val="none" w:sz="0" w:space="0" w:color="auto"/>
            <w:left w:val="none" w:sz="0" w:space="0" w:color="auto"/>
            <w:bottom w:val="none" w:sz="0" w:space="0" w:color="auto"/>
            <w:right w:val="none" w:sz="0" w:space="0" w:color="auto"/>
          </w:divBdr>
        </w:div>
      </w:divsChild>
    </w:div>
    <w:div w:id="2116049788">
      <w:marLeft w:val="0"/>
      <w:marRight w:val="0"/>
      <w:marTop w:val="120"/>
      <w:marBottom w:val="0"/>
      <w:divBdr>
        <w:top w:val="none" w:sz="0" w:space="0" w:color="auto"/>
        <w:left w:val="none" w:sz="0" w:space="0" w:color="auto"/>
        <w:bottom w:val="none" w:sz="0" w:space="0" w:color="auto"/>
        <w:right w:val="none" w:sz="0" w:space="0" w:color="auto"/>
      </w:divBdr>
    </w:div>
    <w:div w:id="2116896294">
      <w:marLeft w:val="0"/>
      <w:marRight w:val="0"/>
      <w:marTop w:val="120"/>
      <w:marBottom w:val="0"/>
      <w:divBdr>
        <w:top w:val="none" w:sz="0" w:space="0" w:color="auto"/>
        <w:left w:val="none" w:sz="0" w:space="0" w:color="auto"/>
        <w:bottom w:val="none" w:sz="0" w:space="0" w:color="auto"/>
        <w:right w:val="none" w:sz="0" w:space="0" w:color="auto"/>
      </w:divBdr>
    </w:div>
    <w:div w:id="2118600720">
      <w:marLeft w:val="0"/>
      <w:marRight w:val="0"/>
      <w:marTop w:val="120"/>
      <w:marBottom w:val="0"/>
      <w:divBdr>
        <w:top w:val="none" w:sz="0" w:space="0" w:color="auto"/>
        <w:left w:val="none" w:sz="0" w:space="0" w:color="auto"/>
        <w:bottom w:val="none" w:sz="0" w:space="0" w:color="auto"/>
        <w:right w:val="none" w:sz="0" w:space="0" w:color="auto"/>
      </w:divBdr>
    </w:div>
    <w:div w:id="2118980997">
      <w:marLeft w:val="0"/>
      <w:marRight w:val="0"/>
      <w:marTop w:val="120"/>
      <w:marBottom w:val="0"/>
      <w:divBdr>
        <w:top w:val="none" w:sz="0" w:space="0" w:color="auto"/>
        <w:left w:val="none" w:sz="0" w:space="0" w:color="auto"/>
        <w:bottom w:val="none" w:sz="0" w:space="0" w:color="auto"/>
        <w:right w:val="none" w:sz="0" w:space="0" w:color="auto"/>
      </w:divBdr>
    </w:div>
    <w:div w:id="2124568849">
      <w:marLeft w:val="0"/>
      <w:marRight w:val="0"/>
      <w:marTop w:val="120"/>
      <w:marBottom w:val="0"/>
      <w:divBdr>
        <w:top w:val="none" w:sz="0" w:space="0" w:color="auto"/>
        <w:left w:val="none" w:sz="0" w:space="0" w:color="auto"/>
        <w:bottom w:val="none" w:sz="0" w:space="0" w:color="auto"/>
        <w:right w:val="none" w:sz="0" w:space="0" w:color="auto"/>
      </w:divBdr>
    </w:div>
    <w:div w:id="2125422633">
      <w:marLeft w:val="0"/>
      <w:marRight w:val="0"/>
      <w:marTop w:val="360"/>
      <w:marBottom w:val="0"/>
      <w:divBdr>
        <w:top w:val="none" w:sz="0" w:space="0" w:color="auto"/>
        <w:left w:val="none" w:sz="0" w:space="0" w:color="auto"/>
        <w:bottom w:val="none" w:sz="0" w:space="0" w:color="auto"/>
        <w:right w:val="none" w:sz="0" w:space="0" w:color="auto"/>
      </w:divBdr>
    </w:div>
    <w:div w:id="2127775222">
      <w:marLeft w:val="0"/>
      <w:marRight w:val="0"/>
      <w:marTop w:val="120"/>
      <w:marBottom w:val="0"/>
      <w:divBdr>
        <w:top w:val="none" w:sz="0" w:space="0" w:color="auto"/>
        <w:left w:val="none" w:sz="0" w:space="0" w:color="auto"/>
        <w:bottom w:val="none" w:sz="0" w:space="0" w:color="auto"/>
        <w:right w:val="none" w:sz="0" w:space="0" w:color="auto"/>
      </w:divBdr>
    </w:div>
    <w:div w:id="2128349896">
      <w:marLeft w:val="0"/>
      <w:marRight w:val="0"/>
      <w:marTop w:val="120"/>
      <w:marBottom w:val="0"/>
      <w:divBdr>
        <w:top w:val="none" w:sz="0" w:space="0" w:color="auto"/>
        <w:left w:val="none" w:sz="0" w:space="0" w:color="auto"/>
        <w:bottom w:val="none" w:sz="0" w:space="0" w:color="auto"/>
        <w:right w:val="none" w:sz="0" w:space="0" w:color="auto"/>
      </w:divBdr>
    </w:div>
    <w:div w:id="2130930889">
      <w:marLeft w:val="0"/>
      <w:marRight w:val="0"/>
      <w:marTop w:val="120"/>
      <w:marBottom w:val="0"/>
      <w:divBdr>
        <w:top w:val="none" w:sz="0" w:space="0" w:color="auto"/>
        <w:left w:val="none" w:sz="0" w:space="0" w:color="auto"/>
        <w:bottom w:val="none" w:sz="0" w:space="0" w:color="auto"/>
        <w:right w:val="none" w:sz="0" w:space="0" w:color="auto"/>
      </w:divBdr>
    </w:div>
    <w:div w:id="2131972051">
      <w:marLeft w:val="0"/>
      <w:marRight w:val="0"/>
      <w:marTop w:val="360"/>
      <w:marBottom w:val="0"/>
      <w:divBdr>
        <w:top w:val="none" w:sz="0" w:space="0" w:color="auto"/>
        <w:left w:val="none" w:sz="0" w:space="0" w:color="auto"/>
        <w:bottom w:val="none" w:sz="0" w:space="0" w:color="auto"/>
        <w:right w:val="none" w:sz="0" w:space="0" w:color="auto"/>
      </w:divBdr>
    </w:div>
    <w:div w:id="2134053590">
      <w:marLeft w:val="0"/>
      <w:marRight w:val="0"/>
      <w:marTop w:val="0"/>
      <w:marBottom w:val="0"/>
      <w:divBdr>
        <w:top w:val="none" w:sz="0" w:space="0" w:color="auto"/>
        <w:left w:val="none" w:sz="0" w:space="0" w:color="auto"/>
        <w:bottom w:val="none" w:sz="0" w:space="0" w:color="auto"/>
        <w:right w:val="none" w:sz="0" w:space="0" w:color="auto"/>
      </w:divBdr>
      <w:divsChild>
        <w:div w:id="1459105568">
          <w:marLeft w:val="0"/>
          <w:marRight w:val="0"/>
          <w:marTop w:val="0"/>
          <w:marBottom w:val="0"/>
          <w:divBdr>
            <w:top w:val="none" w:sz="0" w:space="0" w:color="auto"/>
            <w:left w:val="none" w:sz="0" w:space="0" w:color="auto"/>
            <w:bottom w:val="none" w:sz="0" w:space="0" w:color="auto"/>
            <w:right w:val="none" w:sz="0" w:space="0" w:color="auto"/>
          </w:divBdr>
        </w:div>
      </w:divsChild>
    </w:div>
    <w:div w:id="2138260658">
      <w:marLeft w:val="0"/>
      <w:marRight w:val="0"/>
      <w:marTop w:val="120"/>
      <w:marBottom w:val="0"/>
      <w:divBdr>
        <w:top w:val="none" w:sz="0" w:space="0" w:color="auto"/>
        <w:left w:val="none" w:sz="0" w:space="0" w:color="auto"/>
        <w:bottom w:val="none" w:sz="0" w:space="0" w:color="auto"/>
        <w:right w:val="none" w:sz="0" w:space="0" w:color="auto"/>
      </w:divBdr>
    </w:div>
    <w:div w:id="2139254944">
      <w:marLeft w:val="0"/>
      <w:marRight w:val="0"/>
      <w:marTop w:val="120"/>
      <w:marBottom w:val="0"/>
      <w:divBdr>
        <w:top w:val="none" w:sz="0" w:space="0" w:color="auto"/>
        <w:left w:val="none" w:sz="0" w:space="0" w:color="auto"/>
        <w:bottom w:val="none" w:sz="0" w:space="0" w:color="auto"/>
        <w:right w:val="none" w:sz="0" w:space="0" w:color="auto"/>
      </w:divBdr>
    </w:div>
    <w:div w:id="2140219155">
      <w:marLeft w:val="0"/>
      <w:marRight w:val="0"/>
      <w:marTop w:val="120"/>
      <w:marBottom w:val="0"/>
      <w:divBdr>
        <w:top w:val="none" w:sz="0" w:space="0" w:color="auto"/>
        <w:left w:val="none" w:sz="0" w:space="0" w:color="auto"/>
        <w:bottom w:val="none" w:sz="0" w:space="0" w:color="auto"/>
        <w:right w:val="none" w:sz="0" w:space="0" w:color="auto"/>
      </w:divBdr>
    </w:div>
    <w:div w:id="2142650887">
      <w:marLeft w:val="0"/>
      <w:marRight w:val="0"/>
      <w:marTop w:val="0"/>
      <w:marBottom w:val="0"/>
      <w:divBdr>
        <w:top w:val="none" w:sz="0" w:space="0" w:color="auto"/>
        <w:left w:val="none" w:sz="0" w:space="0" w:color="auto"/>
        <w:bottom w:val="none" w:sz="0" w:space="0" w:color="auto"/>
        <w:right w:val="none" w:sz="0" w:space="0" w:color="auto"/>
      </w:divBdr>
      <w:divsChild>
        <w:div w:id="5333719">
          <w:marLeft w:val="0"/>
          <w:marRight w:val="0"/>
          <w:marTop w:val="0"/>
          <w:marBottom w:val="0"/>
          <w:divBdr>
            <w:top w:val="none" w:sz="0" w:space="0" w:color="auto"/>
            <w:left w:val="none" w:sz="0" w:space="0" w:color="auto"/>
            <w:bottom w:val="none" w:sz="0" w:space="0" w:color="auto"/>
            <w:right w:val="none" w:sz="0" w:space="0" w:color="auto"/>
          </w:divBdr>
        </w:div>
      </w:divsChild>
    </w:div>
    <w:div w:id="2145081094">
      <w:marLeft w:val="0"/>
      <w:marRight w:val="0"/>
      <w:marTop w:val="0"/>
      <w:marBottom w:val="0"/>
      <w:divBdr>
        <w:top w:val="none" w:sz="0" w:space="0" w:color="auto"/>
        <w:left w:val="none" w:sz="0" w:space="0" w:color="auto"/>
        <w:bottom w:val="none" w:sz="0" w:space="0" w:color="auto"/>
        <w:right w:val="none" w:sz="0" w:space="0" w:color="auto"/>
      </w:divBdr>
      <w:divsChild>
        <w:div w:id="889154060">
          <w:marLeft w:val="0"/>
          <w:marRight w:val="0"/>
          <w:marTop w:val="0"/>
          <w:marBottom w:val="0"/>
          <w:divBdr>
            <w:top w:val="none" w:sz="0" w:space="0" w:color="auto"/>
            <w:left w:val="none" w:sz="0" w:space="0" w:color="auto"/>
            <w:bottom w:val="none" w:sz="0" w:space="0" w:color="auto"/>
            <w:right w:val="none" w:sz="0" w:space="0" w:color="auto"/>
          </w:divBdr>
        </w:div>
      </w:divsChild>
    </w:div>
    <w:div w:id="2146579867">
      <w:marLeft w:val="0"/>
      <w:marRight w:val="0"/>
      <w:marTop w:val="120"/>
      <w:marBottom w:val="0"/>
      <w:divBdr>
        <w:top w:val="none" w:sz="0" w:space="0" w:color="auto"/>
        <w:left w:val="none" w:sz="0" w:space="0" w:color="auto"/>
        <w:bottom w:val="none" w:sz="0" w:space="0" w:color="auto"/>
        <w:right w:val="none" w:sz="0" w:space="0" w:color="auto"/>
      </w:divBdr>
    </w:div>
    <w:div w:id="2146651894">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36651/000119312517135563/d286200dex41.htm" TargetMode="External"/><Relationship Id="rId13" Type="http://schemas.openxmlformats.org/officeDocument/2006/relationships/hyperlink" Target="ovid-20220630xexx321.htm" TargetMode="External"/><Relationship Id="rId3" Type="http://schemas.openxmlformats.org/officeDocument/2006/relationships/webSettings" Target="webSettings.xml"/><Relationship Id="rId7" Type="http://schemas.openxmlformats.org/officeDocument/2006/relationships/hyperlink" Target="https://www.sec.gov/Archives/edgar/data/1636651/000119312517166080/d382437dex32.htm" TargetMode="External"/><Relationship Id="rId12" Type="http://schemas.openxmlformats.org/officeDocument/2006/relationships/hyperlink" Target="ovid-20220630xex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636651/000156459019035235/ovid-ex31_6.htm" TargetMode="External"/><Relationship Id="rId11" Type="http://schemas.openxmlformats.org/officeDocument/2006/relationships/hyperlink" Target="ovid-20220630xexx311.htm" TargetMode="External"/><Relationship Id="rId5" Type="http://schemas.openxmlformats.org/officeDocument/2006/relationships/hyperlink" Target="https://www.sec.gov/Archives/edgar/data/1636651/000119312517166080/d382437dex31.htm" TargetMode="External"/><Relationship Id="rId15" Type="http://schemas.openxmlformats.org/officeDocument/2006/relationships/theme" Target="theme/theme1.xml"/><Relationship Id="rId10" Type="http://schemas.openxmlformats.org/officeDocument/2006/relationships/hyperlink" Target="https://www.sec.gov/Archives/edgar/data/1636651/000119312517118846/d286200dex42.htm" TargetMode="External"/><Relationship Id="rId4" Type="http://schemas.openxmlformats.org/officeDocument/2006/relationships/image" Target="file:///E:\projects\LLMs\new_data_collection\data_new\htm\Ovid%20Therapeutics%20Inc\ovid-20220630_g1.jpg" TargetMode="External"/><Relationship Id="rId9" Type="http://schemas.openxmlformats.org/officeDocument/2006/relationships/hyperlink" Target="https://www.sec.gov/Archives/edgar/data/1636651/000119312519047109/d714860dex4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48633</Words>
  <Characters>277213</Characters>
  <Application>Microsoft Office Word</Application>
  <DocSecurity>0</DocSecurity>
  <Lines>2310</Lines>
  <Paragraphs>650</Paragraphs>
  <ScaleCrop>false</ScaleCrop>
  <Company/>
  <LinksUpToDate>false</LinksUpToDate>
  <CharactersWithSpaces>325196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ovid-20220630</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