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9012B9">
      <w:pPr>
        <w:divId w:val="1733694051"/>
        <w:rPr>
          <w:rFonts w:eastAsia="Times New Roman"/>
          <w:vanish/>
        </w:rPr>
      </w:pPr>
      <w:r>
        <w:rPr>
          <w:rFonts w:eastAsia="Times New Roman"/>
          <w:vanish/>
        </w:rPr>
        <w:t>false2021Q1000174647312-310.13986014P1Y0.08333300017464732021-01-012021-03-31xbrli:shares00017464732021-05-06iso4217:USD00017464732021-03-3100017464732020-12-31iso4217:USDxbrli:shares00017464732020-01-012020-03-310001746473</w:t>
      </w:r>
      <w:r>
        <w:rPr>
          <w:rFonts w:eastAsia="Times New Roman"/>
          <w:vanish/>
        </w:rPr>
        <w:t>plrx:SeriesARedeemableConvertiblePreferredStockMember2020-12-310001746473plrx:SeriesBRedeemableConvertiblePreferredStockMember2020-12-310001746473plrx:SeriesCRedeemableConvertiblePreferredStockMember2020-12-310001746473us-gaap:CommonStockMember2020-12-3100</w:t>
      </w:r>
      <w:r>
        <w:rPr>
          <w:rFonts w:eastAsia="Times New Roman"/>
          <w:vanish/>
        </w:rPr>
        <w:t>01746473us-gaap:AdditionalPaidInCapitalMember2020-12-310001746473us-gaap:AccumulatedOtherComprehensiveIncomeMember2020-12-310001746473us-gaap:RetainedEarningsMember2020-12-310001746473us-gaap:CommonStockMember2021-01-012021-03-310001746473us-gaap:Additiona</w:t>
      </w:r>
      <w:r>
        <w:rPr>
          <w:rFonts w:eastAsia="Times New Roman"/>
          <w:vanish/>
        </w:rPr>
        <w:t>lPaidInCapitalMember2021-01-012021-03-310001746473us-gaap:AccumulatedOtherComprehensiveIncomeMember2021-01-012021-03-310001746473us-gaap:RetainedEarningsMember2021-01-012021-03-310001746473plrx:SeriesARedeemableConvertiblePreferredStockMember2021-03-310001</w:t>
      </w:r>
      <w:r>
        <w:rPr>
          <w:rFonts w:eastAsia="Times New Roman"/>
          <w:vanish/>
        </w:rPr>
        <w:t>746473plrx:SeriesBRedeemableConvertiblePreferredStockMember2021-03-310001746473plrx:SeriesCRedeemableConvertiblePreferredStockMember2021-03-310001746473us-gaap:CommonStockMember2021-03-310001746473us-gaap:AdditionalPaidInCapitalMember2021-03-310001746473us</w:t>
      </w:r>
      <w:r>
        <w:rPr>
          <w:rFonts w:eastAsia="Times New Roman"/>
          <w:vanish/>
        </w:rPr>
        <w:t>-gaap:AccumulatedOtherComprehensiveIncomeMember2021-03-310001746473us-gaap:RetainedEarningsMember2021-03-310001746473plrx:SeriesARedeemableConvertiblePreferredStockMember2019-12-310001746473plrx:SeriesBRedeemableConvertiblePreferredStockMember2019-12-31000</w:t>
      </w:r>
      <w:r>
        <w:rPr>
          <w:rFonts w:eastAsia="Times New Roman"/>
          <w:vanish/>
        </w:rPr>
        <w:t>1746473plrx:SeriesCRedeemableConvertiblePreferredStockMember2019-12-310001746473us-gaap:CommonStockMember2019-12-310001746473us-gaap:AdditionalPaidInCapitalMember2019-12-310001746473us-gaap:AccumulatedOtherComprehensiveIncomeMember2019-12-310001746473us-ga</w:t>
      </w:r>
      <w:r>
        <w:rPr>
          <w:rFonts w:eastAsia="Times New Roman"/>
          <w:vanish/>
        </w:rPr>
        <w:t>ap:RetainedEarningsMember2019-12-3100017464732019-12-310001746473plrx:SeriesCRedeemableConvertiblePreferredStockMember2020-01-012020-03-310001746473us-gaap:CommonStockMember2020-01-012020-03-310001746473us-gaap:AdditionalPaidInCapitalMember2020-01-012020-0</w:t>
      </w:r>
      <w:r>
        <w:rPr>
          <w:rFonts w:eastAsia="Times New Roman"/>
          <w:vanish/>
        </w:rPr>
        <w:t>3-310001746473us-gaap:AccumulatedOtherComprehensiveIncomeMember2020-01-012020-03-310001746473us-gaap:RetainedEarningsMember2020-01-012020-03-310001746473plrx:SeriesARedeemableConvertiblePreferredStockMember2020-03-310001746473plrx:SeriesBRedeemableConverti</w:t>
      </w:r>
      <w:r>
        <w:rPr>
          <w:rFonts w:eastAsia="Times New Roman"/>
          <w:vanish/>
        </w:rPr>
        <w:t>blePreferredStockMember2020-03-310001746473plrx:SeriesCRedeemableConvertiblePreferredStockMember2020-03-310001746473us-gaap:CommonStockMember2020-03-310001746473us-gaap:AdditionalPaidInCapitalMember2020-03-310001746473us-gaap:AccumulatedOtherComprehensiveI</w:t>
      </w:r>
      <w:r>
        <w:rPr>
          <w:rFonts w:eastAsia="Times New Roman"/>
          <w:vanish/>
        </w:rPr>
        <w:t>ncomeMember2020-03-310001746473us-gaap:RetainedEarningsMember2020-03-3100017464732020-03-310001746473us-gaap:SeriesCPreferredStockMember2021-01-012021-03-310001746473us-gaap:SeriesCPreferredStockMember2020-01-012020-03-310001746473us-gaap:IPOMember2020-06-</w:t>
      </w:r>
      <w:r>
        <w:rPr>
          <w:rFonts w:eastAsia="Times New Roman"/>
          <w:vanish/>
        </w:rPr>
        <w:t>012020-06-300001746473us-gaap:CommonStockMemberus-gaap:IPOMember2020-06-012020-06-300001746473us-gaap:IPOMemberplrx:UnderwritersMember2020-06-012020-06-300001746473us-gaap:IPOMember2020-06-30xbrli:pure0001746473us-gaap:PrivatePlacementMemberplrx:NovartisMe</w:t>
      </w:r>
      <w:r>
        <w:rPr>
          <w:rFonts w:eastAsia="Times New Roman"/>
          <w:vanish/>
        </w:rPr>
        <w:t>mber2020-06-300001746473us-gaap:PrivatePlacementMemberplrx:NovartisMember2020-06-012020-06-300001746473us-gaap:PrivatePlacementMemberplrx:NovartisMemberplrx:PliantTherapeuticsIncMember2020-06-3000017464732020-05-222020-05-220001746473us-gaap:MoneyMarketFun</w:t>
      </w:r>
      <w:r>
        <w:rPr>
          <w:rFonts w:eastAsia="Times New Roman"/>
          <w:vanish/>
        </w:rPr>
        <w:t>dsMemberus-gaap:FairValueInputsLevel1Member2021-03-310001746473us-gaap:MoneyMarketFundsMemberus-gaap:FairValueInputsLevel1Member2021-01-012021-03-310001746473us-gaap:FairValueInputsLevel2Memberus-gaap:USTreasurySecuritiesMember2021-03-310001746473us-gaap:F</w:t>
      </w:r>
      <w:r>
        <w:rPr>
          <w:rFonts w:eastAsia="Times New Roman"/>
          <w:vanish/>
        </w:rPr>
        <w:t>airValueInputsLevel2Memberus-gaap:USTreasurySecuritiesMember2021-01-012021-03-310001746473us-gaap:FairValueInputsLevel2Memberus-gaap:USGovernmentCorporationsAndAgenciesSecuritiesMember2021-03-310001746473us-gaap:FairValueInputsLevel2Memberus-gaap:USGovernm</w:t>
      </w:r>
      <w:r>
        <w:rPr>
          <w:rFonts w:eastAsia="Times New Roman"/>
          <w:vanish/>
        </w:rPr>
        <w:t>entCorporationsAndAgenciesSecuritiesMember2021-01-012021-03-310001746473us-gaap:FairValueInputsLevel2Memberus-gaap:CorporateDebtSecuritiesMember2021-03-310001746473us-gaap:FairValueInputsLevel2Memberus-gaap:CorporateDebtSecuritiesMember2021-01-012021-03-31</w:t>
      </w:r>
      <w:r>
        <w:rPr>
          <w:rFonts w:eastAsia="Times New Roman"/>
          <w:vanish/>
        </w:rPr>
        <w:t>0001746473us-gaap:MoneyMarketFundsMemberus-gaap:FairValueInputsLevel1Member2020-12-310001746473us-gaap:MoneyMarketFundsMemberus-gaap:FairValueInputsLevel1Member2020-01-012020-12-310001746473us-gaap:FairValueInputsLevel2Memberus-gaap:USTreasurySecuritiesMem</w:t>
      </w:r>
      <w:r>
        <w:rPr>
          <w:rFonts w:eastAsia="Times New Roman"/>
          <w:vanish/>
        </w:rPr>
        <w:t>ber2020-12-310001746473us-gaap:FairValueInputsLevel2Memberus-gaap:USTreasurySecuritiesMember2020-01-012020-12-310001746473us-gaap:FairValueInputsLevel2Memberus-gaap:USGovernmentCorporationsAndAgenciesSecuritiesMember2020-12-310001746473us-gaap:FairValueInp</w:t>
      </w:r>
      <w:r>
        <w:rPr>
          <w:rFonts w:eastAsia="Times New Roman"/>
          <w:vanish/>
        </w:rPr>
        <w:t>utsLevel2Memberus-gaap:USGovernmentCorporationsAndAgenciesSecuritiesMember2020-01-012020-12-310001746473us-gaap:FairValueInputsLevel2Memberus-gaap:CorporateDebtSecuritiesMember2020-12-310001746473us-gaap:FairValueInputsLevel2Memberus-gaap:CorporateDebtSecu</w:t>
      </w:r>
      <w:r>
        <w:rPr>
          <w:rFonts w:eastAsia="Times New Roman"/>
          <w:vanish/>
        </w:rPr>
        <w:t>ritiesMember2020-01-012020-12-3100017464732020-01-012020-12-310001746473us-gaap:FairValueMeasurementsNonrecurringMember2021-03-310001746473us-gaap:FairValueMeasurementsNonrecurringMember2020-12-310001746473plrx:ComputerEquipmentAndSoftwareMember2021-03-310</w:t>
      </w:r>
      <w:r>
        <w:rPr>
          <w:rFonts w:eastAsia="Times New Roman"/>
          <w:vanish/>
        </w:rPr>
        <w:t>001746473plrx:ComputerEquipmentAndSoftwareMember2020-12-310001746473us-gaap:EquipmentMember2021-03-310001746473us-gaap:EquipmentMember2020-12-310001746473us-gaap:LeaseholdImprovementsMember2021-03-310001746473us-gaap:LeaseholdImprovementsMember2020-12-3100</w:t>
      </w:r>
      <w:r>
        <w:rPr>
          <w:rFonts w:eastAsia="Times New Roman"/>
          <w:vanish/>
        </w:rPr>
        <w:t>01746473us-gaap:ConstructionInProgressMember2021-03-310001746473us-gaap:ConstructionInProgressMember2020-12-31plrx:research0001746473srt:MaximumMemberplrx:NovartisMemberplrx:NovartisAgreementMember2019-10-012019-10-310001746473plrx:NovartisMemberplrx:Novar</w:t>
      </w:r>
      <w:r>
        <w:rPr>
          <w:rFonts w:eastAsia="Times New Roman"/>
          <w:vanish/>
        </w:rPr>
        <w:t>tisAgreementMember2019-01-012019-12-310001746473srt:MaximumMemberplrx:NovartisMemberplrx:NovartisAgreementMember2019-01-012019-12-310001746473plrx:NovartisAgreementRDForPLN1474Memberplrx:NovartisMemberus-gaap:ResearchAndDevelopmentExpenseMember2019-01-0120</w:t>
      </w:r>
      <w:r>
        <w:rPr>
          <w:rFonts w:eastAsia="Times New Roman"/>
          <w:vanish/>
        </w:rPr>
        <w:t>19-12-310001746473plrx:NovartisAgreementRDForIntegrinResearchTargetsMemberplrx:NovartisMemberus-gaap:ResearchAndDevelopmentExpenseMember2019-01-012019-12-310001746473plrx:NovartisMemberplrx:AchievementOfFirstPatientDosingMilestoneMemberplrx:NovartisAgreeme</w:t>
      </w:r>
      <w:r>
        <w:rPr>
          <w:rFonts w:eastAsia="Times New Roman"/>
          <w:vanish/>
        </w:rPr>
        <w:t>ntMember2020-01-012020-03-310001746473plrx:NovartisMemberplrx:AchievementOfFirstPatientDosingMilestoneMemberplrx:NovartisAgreementMember2021-01-012021-03-310001746473plrx:NovartisMemberplrx:NovartisAgreementMember2021-01-012021-03-310001746473plrx:Novartis</w:t>
      </w:r>
      <w:r>
        <w:rPr>
          <w:rFonts w:eastAsia="Times New Roman"/>
          <w:vanish/>
        </w:rPr>
        <w:t>Memberplrx:NovartisAgreementMember2020-01-012020-03-310001746473plrx:UCRegentsMemberus-gaap:LicensingAgreementsMember2021-01-012021-03-310001746473plrx:AdimabAgreementMember2021-01-012021-03-310001746473plrx:AdimabAgreementMember2020-01-012020-03-31plrx:st</w:t>
      </w:r>
      <w:r>
        <w:rPr>
          <w:rFonts w:eastAsia="Times New Roman"/>
          <w:vanish/>
        </w:rPr>
        <w:t>ockClass0001746473us-gaap:RedeemablePreferredStockMember2021-03-3100017464732015-06-092021-03-310001746473us-gaap:EmployeeStockOptionMember2021-03-310001746473us-gaap:EmployeeStockOptionMember2020-12-310001746473plrx:TwoThousandTwentyEquityIncentivePlanMem</w:t>
      </w:r>
      <w:r>
        <w:rPr>
          <w:rFonts w:eastAsia="Times New Roman"/>
          <w:vanish/>
        </w:rPr>
        <w:t>ber2021-03-310001746473plrx:TwoThousandTwentyEquityIncentivePlanMember2020-12-310001746473plrx:TwoThousandAndTwentyEmployeeStockPurchasePlanMember2021-03-310001746473plrx:TwoThousandAndTwentyEmployeeStockPurchasePlanMember2020-12-310001746473srt:MaximumMem</w:t>
      </w:r>
      <w:r>
        <w:rPr>
          <w:rFonts w:eastAsia="Times New Roman"/>
          <w:vanish/>
        </w:rPr>
        <w:t>berplrx:TwoThousandFifteenEquityIncentivePlanMember2015-08-310001746473plrx:TwoThousandFifteenEquityIncentivePlanMember2018-07-012018-07-310001746473plrx:TwoThousandFifteenEquityIncentivePlanMember2019-01-012019-01-310001746473plrx:TwoThousandFifteenEquity</w:t>
      </w:r>
      <w:r>
        <w:rPr>
          <w:rFonts w:eastAsia="Times New Roman"/>
          <w:vanish/>
        </w:rPr>
        <w:t>IncentivePlanMember2020-03-012020-03-310001746473srt:MaximumMemberplrx:TwoThousandAndTwentyStockOptionsAndIncentivePlanMember2020-05-310001746473plrx:TwoThousandAndTwentyStockOptionsAndIncentivePlanMember2020-05-012020-05-310001746473plrx:TwoThousandAndTwe</w:t>
      </w:r>
      <w:r>
        <w:rPr>
          <w:rFonts w:eastAsia="Times New Roman"/>
          <w:vanish/>
        </w:rPr>
        <w:t>ntyStockOptionsAndIncentivePlanMember2021-03-310001746473srt:MaximumMemberplrx:TwoThousandFifteenEquityIncentivePlanMember2015-08-012015-08-310001746473plrx:TwoThousandFifteenEquityIncentivePlanMember2015-08-012015-08-310001746473srt:MaximumMemberplrx:TwoT</w:t>
      </w:r>
      <w:r>
        <w:rPr>
          <w:rFonts w:eastAsia="Times New Roman"/>
          <w:vanish/>
        </w:rPr>
        <w:t>housandAndTwentyStockOptionsAndIncentivePlanMember2021-01-012021-03-310001746473plrx:TwoThousandAndTwentyStockOptionsAndIncentivePlanMember2021-01-012021-03-310001746473srt:MinimumMemberplrx:RestrictedCommonStockAwardsMember2021-01-012021-03-310001746473sr</w:t>
      </w:r>
      <w:r>
        <w:rPr>
          <w:rFonts w:eastAsia="Times New Roman"/>
          <w:vanish/>
        </w:rPr>
        <w:t>t:MaximumMemberplrx:RestrictedCommonStockAwardsMember2021-01-012021-03-310001746473plrx:RestrictedCommonStockAwardsMemberplrx:AccruedExpensesAndOtherLiabilitiesMember2021-03-310001746473plrx:RestrictedCommonStockAwardsMemberplrx:AccruedExpensesAndOtherLiab</w:t>
      </w:r>
      <w:r>
        <w:rPr>
          <w:rFonts w:eastAsia="Times New Roman"/>
          <w:vanish/>
        </w:rPr>
        <w:t>ilitiesMember2020-12-310001746473plrx:RestrictedCommonStockAwardsMember2021-01-012021-03-310001746473plrx:RestrictedCommonStockAwardsMember2020-01-012020-03-310001746473plrx:RestrictedCommonStockAwardsMember2020-12-310001746473plrx:RestrictedCommonStockAwa</w:t>
      </w:r>
      <w:r>
        <w:rPr>
          <w:rFonts w:eastAsia="Times New Roman"/>
          <w:vanish/>
        </w:rPr>
        <w:t>rdsMember2021-03-310001746473plrx:TwoThousandFifteenAndTwoThousandTwentyEquityIncentivePlanMember2021-01-012021-03-310001746473plrx:IncentiveStockOptionsAndNonqualifiedStockOptionsMember2021-01-012021-03-310001746473plrx:IncentiveStockOptionsAndNonqualifie</w:t>
      </w:r>
      <w:r>
        <w:rPr>
          <w:rFonts w:eastAsia="Times New Roman"/>
          <w:vanish/>
        </w:rPr>
        <w:t>dStockOptionsMember2020-01-012020-03-310001746473srt:MinimumMemberplrx:IncentiveStockOptionsAndNonqualifiedStockOptionsMember2021-01-012021-03-310001746473srt:MaximumMemberplrx:IncentiveStockOptionsAndNonqualifiedStockOptionsMember2021-01-012021-03-3100017</w:t>
      </w:r>
      <w:r>
        <w:rPr>
          <w:rFonts w:eastAsia="Times New Roman"/>
          <w:vanish/>
        </w:rPr>
        <w:t>46473srt:MinimumMemberplrx:IncentiveStockOptionsAndNonqualifiedStockOptionsMember2020-01-012020-03-310001746473srt:MaximumMemberplrx:IncentiveStockOptionsAndNonqualifiedStockOptionsMember2020-01-012020-03-310001746473plrx:TwoThousandAndTwentyStockOptionsAn</w:t>
      </w:r>
      <w:r>
        <w:rPr>
          <w:rFonts w:eastAsia="Times New Roman"/>
          <w:vanish/>
        </w:rPr>
        <w:t>dIncentivePlanMemberplrx:IncentiveStockOptionsAndNonqualifiedStockOptionsMember2021-01-012021-03-310001746473plrx:TwoThousandFifteenAndTwoThousandTwentyEquityIncentivePlanMemberplrx:IncentiveStockOptionsAndNonqualifiedStockOptionsMember2020-12-310001746473</w:t>
      </w:r>
      <w:r>
        <w:rPr>
          <w:rFonts w:eastAsia="Times New Roman"/>
          <w:vanish/>
        </w:rPr>
        <w:t>plrx:TwoThousandFifteenAndTwoThousandTwentyEquityIncentivePlanMemberplrx:IncentiveStockOptionsAndNonqualifiedStockOptionsMember2020-01-012020-12-310001746473plrx:TwoThousandFifteenAndTwoThousandTwentyEquityIncentivePlanMemberplrx:IncentiveStockOptionsAndNo</w:t>
      </w:r>
      <w:r>
        <w:rPr>
          <w:rFonts w:eastAsia="Times New Roman"/>
          <w:vanish/>
        </w:rPr>
        <w:t>nqualifiedStockOptionsMember2021-01-012021-03-310001746473plrx:TwoThousandFifteenAndTwoThousandTwentyEquityIncentivePlanMemberplrx:IncentiveStockOptionsAndNonqualifiedStockOptionsMember2021-03-310001746473plrx:RestrictedCommonStockAwardsMember2021-01-01202</w:t>
      </w:r>
      <w:r>
        <w:rPr>
          <w:rFonts w:eastAsia="Times New Roman"/>
          <w:vanish/>
        </w:rPr>
        <w:t>1-03-310001746473plrx:RestrictedCommonStockAwardsMember2020-01-012020-03-310001746473plrx:EmployeeStockOptionAndPurchasePlanMember2021-01-012021-03-310001746473plrx:EmployeeStockOptionAndPurchasePlanMember2020-01-012020-03-310001746473us-gaap:ResearchAndDe</w:t>
      </w:r>
      <w:r>
        <w:rPr>
          <w:rFonts w:eastAsia="Times New Roman"/>
          <w:vanish/>
        </w:rPr>
        <w:t>velopmentExpenseMember2021-01-012021-03-310001746473us-gaap:ResearchAndDevelopmentExpenseMember2020-01-012020-03-310001746473us-gaap:GeneralAndAdministrativeExpenseMember2021-01-012021-03-310001746473us-gaap:GeneralAndAdministrativeExpenseMember2020-01-012</w:t>
      </w:r>
      <w:r>
        <w:rPr>
          <w:rFonts w:eastAsia="Times New Roman"/>
          <w:vanish/>
        </w:rPr>
        <w:t>020-03-310001746473plrx:RestrictedStockAwardsMember2021-03-310001746473plrx:RestrictedStockAwardsMember2021-01-012021-03-310001746473us-gaap:EmployeeStockOptionMember2021-01-012021-03-310001746473plrx:TwoThousandAndTwentyEmployeeStockPurchasePlanMember2020</w:t>
      </w:r>
      <w:r>
        <w:rPr>
          <w:rFonts w:eastAsia="Times New Roman"/>
          <w:vanish/>
        </w:rPr>
        <w:t>-12-310001746473plrx:TwoThousandAndTwentyEmployeeStockPurchasePlanMember2020-06-012020-06-300001746473plrx:TwoThousandAndTwentyEmployeeStockPurchasePlanMember2021-03-310001746473plrx:TwoThousandAndTwentyEmployeeStockPurchasePlanMember2021-01-012021-03-3100</w:t>
      </w:r>
      <w:r>
        <w:rPr>
          <w:rFonts w:eastAsia="Times New Roman"/>
          <w:vanish/>
        </w:rPr>
        <w:t>01746473plrx:TwoThousandAndTwentyEmployeeStockPurchasePlanMember2020-01-012020-03-31utr:sqft0001746473stpr:CA2018-02-012018-02-280001746473stpr:CA2018-02-2800017464732018-02-012018-02-280001746473us-gaap:OtherNoncurrentAssetsMemberstpr:CA2021-03-3100017464</w:t>
      </w:r>
      <w:r>
        <w:rPr>
          <w:rFonts w:eastAsia="Times New Roman"/>
          <w:vanish/>
        </w:rPr>
        <w:t>73us-gaap:OtherNoncurrentAssetsMemberstpr:CA2020-12-310001746473stpr:CA2021-03-310001746473srt:MaximumMemberstpr:CA2021-01-012021-03-310001746473srt:MinimumMemberstpr:CA2021-01-012021-03-310001746473us-gaap:EmployeeStockOptionMemberplrx:ThirdRockVenturesMe</w:t>
      </w:r>
      <w:r>
        <w:rPr>
          <w:rFonts w:eastAsia="Times New Roman"/>
          <w:vanish/>
        </w:rPr>
        <w:t>mberplrx:NonemployeeDirectorMember2020-03-012020-03-310001746473us-gaap:EmployeeStockOptionMemberplrx:ThirdRockVenturesMemberplrx:NonemployeeDirectorMember2021-01-012021-03-310001746473plrx:UCSFFoundationMember2021-01-012021-03-310001746473plrx:UCSFFoundat</w:t>
      </w:r>
      <w:r>
        <w:rPr>
          <w:rFonts w:eastAsia="Times New Roman"/>
          <w:vanish/>
        </w:rPr>
        <w:t>ionMember2020-01-012020-03-310001746473plrx:NovartisMemberplrx:NovartisAgreementMember2019-10-012019-10-310001746473plrx:NovartisMemberplrx:NovartisAgreementMember2019-10-310001746473plrx:SeriesCRedeemableConvertiblePreferredStockMemberplrx:NovartisMemberp</w:t>
      </w:r>
      <w:r>
        <w:rPr>
          <w:rFonts w:eastAsia="Times New Roman"/>
          <w:vanish/>
        </w:rPr>
        <w:t>lrx:NovartisAgreementMember2019-10-310001746473us-gaap:IPOMemberplrx:NovartisMemberplrx:NovartisAgreementMember2019-10-310001746473plrx:NovartisMemberplrx:NovartisAgreementMember2021-03-310001746473plrx:NovartisMemberplrx:NovartisAgreementMember2020-12-310</w:t>
      </w:r>
      <w:r>
        <w:rPr>
          <w:rFonts w:eastAsia="Times New Roman"/>
          <w:vanish/>
        </w:rPr>
        <w:t>001746473us-gaap:RedeemableConvertiblePreferredStockMember2021-01-012021-03-310001746473us-gaap:RedeemableConvertiblePreferredStockMember2020-01-012020-03-310001746473us-gaap:EmployeeStockOptionMember2021-01-012021-03-310001746473us-gaap:EmployeeStockOptio</w:t>
      </w:r>
      <w:r>
        <w:rPr>
          <w:rFonts w:eastAsia="Times New Roman"/>
          <w:vanish/>
        </w:rPr>
        <w:t>nMember2020-01-012020-03-310001746473plrx:RestrictedStockAwardsGrantedAndNotPurchasedMember2021-01-012021-03-310001746473plrx:RestrictedStockAwardsGrantedAndNotPurchasedMember2020-01-012020-03-310001746473us-gaap:RestrictedStockMember2021-01-012021-03-3100</w:t>
      </w:r>
      <w:r>
        <w:rPr>
          <w:rFonts w:eastAsia="Times New Roman"/>
          <w:vanish/>
        </w:rPr>
        <w:t>01746473us-gaap:RestrictedStockMember2020-01-012020-03-31</w:t>
      </w:r>
    </w:p>
    <w:p w:rsidR="00000000" w:rsidRDefault="009012B9">
      <w:pPr>
        <w:divId w:val="1549878737"/>
        <w:rPr>
          <w:rFonts w:eastAsia="Times New Roman"/>
        </w:rPr>
      </w:pPr>
    </w:p>
    <w:tbl>
      <w:tblPr>
        <w:tblW w:w="4949" w:type="pct"/>
        <w:tblCellMar>
          <w:top w:w="15" w:type="dxa"/>
          <w:left w:w="15" w:type="dxa"/>
          <w:bottom w:w="15" w:type="dxa"/>
          <w:right w:w="15" w:type="dxa"/>
        </w:tblCellMar>
        <w:tblLook w:val="04A0" w:firstRow="1" w:lastRow="0" w:firstColumn="1" w:lastColumn="0" w:noHBand="0" w:noVBand="1"/>
      </w:tblPr>
      <w:tblGrid>
        <w:gridCol w:w="68"/>
        <w:gridCol w:w="8117"/>
        <w:gridCol w:w="36"/>
      </w:tblGrid>
      <w:tr w:rsidR="00000000">
        <w:trPr>
          <w:divId w:val="1758478310"/>
        </w:trPr>
        <w:tc>
          <w:tcPr>
            <w:tcW w:w="50" w:type="pct"/>
            <w:vAlign w:val="center"/>
            <w:hideMark/>
          </w:tcPr>
          <w:p w:rsidR="00000000" w:rsidRDefault="009012B9">
            <w:pPr>
              <w:rPr>
                <w:rFonts w:eastAsia="Times New Roman"/>
              </w:rPr>
            </w:pPr>
          </w:p>
        </w:tc>
        <w:tc>
          <w:tcPr>
            <w:tcW w:w="494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r>
      <w:tr w:rsidR="00000000">
        <w:trPr>
          <w:divId w:val="1758478310"/>
          <w:trHeight w:val="60"/>
        </w:trPr>
        <w:tc>
          <w:tcPr>
            <w:tcW w:w="0" w:type="auto"/>
            <w:gridSpan w:val="3"/>
            <w:tcBorders>
              <w:bottom w:val="double" w:sz="6" w:space="0" w:color="000000"/>
            </w:tcBorders>
            <w:tcMar>
              <w:top w:w="0" w:type="dxa"/>
              <w:left w:w="20" w:type="dxa"/>
              <w:bottom w:w="0" w:type="dxa"/>
              <w:right w:w="20" w:type="dxa"/>
            </w:tcMar>
            <w:vAlign w:val="center"/>
            <w:hideMark/>
          </w:tcPr>
          <w:p w:rsidR="00000000" w:rsidRDefault="009012B9">
            <w:pPr>
              <w:spacing w:after="100"/>
              <w:rPr>
                <w:rFonts w:eastAsia="Times New Roman"/>
                <w:sz w:val="20"/>
                <w:szCs w:val="20"/>
              </w:rPr>
            </w:pPr>
          </w:p>
        </w:tc>
      </w:tr>
    </w:tbl>
    <w:p w:rsidR="00000000" w:rsidRDefault="009012B9">
      <w:pPr>
        <w:jc w:val="center"/>
        <w:divId w:val="2035573375"/>
        <w:rPr>
          <w:rFonts w:eastAsia="Times New Roman"/>
        </w:rPr>
      </w:pPr>
      <w:r>
        <w:rPr>
          <w:rFonts w:eastAsia="Times New Roman"/>
          <w:b/>
          <w:bCs/>
          <w:color w:val="000000"/>
          <w:sz w:val="32"/>
          <w:szCs w:val="32"/>
        </w:rPr>
        <w:t>UNITED STATES</w:t>
      </w:r>
    </w:p>
    <w:p w:rsidR="00000000" w:rsidRDefault="009012B9">
      <w:pPr>
        <w:jc w:val="center"/>
        <w:rPr>
          <w:rFonts w:eastAsia="Times New Roman"/>
        </w:rPr>
      </w:pPr>
      <w:r>
        <w:rPr>
          <w:rFonts w:eastAsia="Times New Roman"/>
          <w:b/>
          <w:bCs/>
          <w:color w:val="000000"/>
          <w:sz w:val="32"/>
          <w:szCs w:val="32"/>
        </w:rPr>
        <w:t>SECURITIES AND EXCHANGE COMMISSION</w:t>
      </w:r>
    </w:p>
    <w:p w:rsidR="00000000" w:rsidRDefault="009012B9">
      <w:pPr>
        <w:jc w:val="center"/>
        <w:rPr>
          <w:rFonts w:eastAsia="Times New Roman"/>
        </w:rPr>
      </w:pPr>
      <w:r>
        <w:rPr>
          <w:rFonts w:eastAsia="Times New Roman"/>
          <w:b/>
          <w:bCs/>
          <w:color w:val="000000"/>
        </w:rPr>
        <w:t>WASHINGTON, D.C. 20549</w:t>
      </w:r>
    </w:p>
    <w:p w:rsidR="00000000" w:rsidRDefault="009012B9">
      <w:pPr>
        <w:jc w:val="center"/>
        <w:rPr>
          <w:rFonts w:eastAsia="Times New Roman"/>
        </w:rPr>
      </w:pPr>
      <w:r>
        <w:rPr>
          <w:rFonts w:eastAsia="Times New Roman"/>
          <w:b/>
          <w:bCs/>
          <w:color w:val="000000"/>
          <w:sz w:val="32"/>
          <w:szCs w:val="32"/>
        </w:rPr>
        <w:t>FORM 10-Q</w:t>
      </w:r>
    </w:p>
    <w:p w:rsidR="00000000" w:rsidRDefault="009012B9">
      <w:pPr>
        <w:divId w:val="1456407613"/>
        <w:rPr>
          <w:rFonts w:eastAsia="Times New Roman"/>
        </w:rPr>
      </w:pPr>
    </w:p>
    <w:tbl>
      <w:tblPr>
        <w:tblW w:w="4942" w:type="pct"/>
        <w:tblCellMar>
          <w:top w:w="15" w:type="dxa"/>
          <w:left w:w="15" w:type="dxa"/>
          <w:bottom w:w="15" w:type="dxa"/>
          <w:right w:w="15" w:type="dxa"/>
        </w:tblCellMar>
        <w:tblLook w:val="04A0" w:firstRow="1" w:lastRow="0" w:firstColumn="1" w:lastColumn="0" w:noHBand="0" w:noVBand="1"/>
      </w:tblPr>
      <w:tblGrid>
        <w:gridCol w:w="68"/>
        <w:gridCol w:w="485"/>
        <w:gridCol w:w="36"/>
        <w:gridCol w:w="68"/>
        <w:gridCol w:w="7517"/>
        <w:gridCol w:w="36"/>
      </w:tblGrid>
      <w:tr w:rsidR="00000000">
        <w:trPr>
          <w:divId w:val="492725405"/>
        </w:trPr>
        <w:tc>
          <w:tcPr>
            <w:tcW w:w="50" w:type="pct"/>
            <w:vAlign w:val="center"/>
            <w:hideMark/>
          </w:tcPr>
          <w:p w:rsidR="00000000" w:rsidRDefault="009012B9">
            <w:pPr>
              <w:rPr>
                <w:rFonts w:eastAsia="Times New Roman"/>
              </w:rPr>
            </w:pPr>
          </w:p>
        </w:tc>
        <w:tc>
          <w:tcPr>
            <w:tcW w:w="304"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458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r>
      <w:tr w:rsidR="00000000">
        <w:trPr>
          <w:divId w:val="492725405"/>
        </w:trPr>
        <w:tc>
          <w:tcPr>
            <w:tcW w:w="0" w:type="auto"/>
            <w:gridSpan w:val="3"/>
            <w:tcMar>
              <w:top w:w="30" w:type="dxa"/>
              <w:left w:w="20" w:type="dxa"/>
              <w:bottom w:w="30" w:type="dxa"/>
              <w:right w:w="20" w:type="dxa"/>
            </w:tcMar>
            <w:vAlign w:val="center"/>
            <w:hideMark/>
          </w:tcPr>
          <w:p w:rsidR="00000000" w:rsidRDefault="009012B9">
            <w:pPr>
              <w:spacing w:after="100"/>
              <w:divId w:val="441220181"/>
              <w:rPr>
                <w:rFonts w:eastAsia="Times New Roman"/>
              </w:rPr>
            </w:pPr>
            <w:r>
              <w:rPr>
                <w:rFonts w:ascii="Wingdings" w:eastAsia="Times New Roman" w:hAnsi="Wingdings"/>
                <w:color w:val="000000"/>
                <w:sz w:val="20"/>
                <w:szCs w:val="20"/>
              </w:rPr>
              <w:t>☒</w:t>
            </w:r>
          </w:p>
        </w:tc>
        <w:tc>
          <w:tcPr>
            <w:tcW w:w="0" w:type="auto"/>
            <w:gridSpan w:val="3"/>
            <w:tcMar>
              <w:top w:w="30" w:type="dxa"/>
              <w:left w:w="20" w:type="dxa"/>
              <w:bottom w:w="30" w:type="dxa"/>
              <w:right w:w="20" w:type="dxa"/>
            </w:tcMar>
            <w:vAlign w:val="center"/>
            <w:hideMark/>
          </w:tcPr>
          <w:p w:rsidR="00000000" w:rsidRDefault="009012B9">
            <w:pPr>
              <w:spacing w:after="100"/>
              <w:rPr>
                <w:rFonts w:eastAsia="Times New Roman"/>
              </w:rPr>
            </w:pPr>
            <w:r>
              <w:rPr>
                <w:rFonts w:eastAsia="Times New Roman"/>
                <w:b/>
                <w:bCs/>
                <w:color w:val="000000"/>
                <w:sz w:val="20"/>
                <w:szCs w:val="20"/>
              </w:rPr>
              <w:t>QUARTERLY REPORT PURSUANT TO SECTION 13 OR 15(d) OF THE SECURITIES EXCHANGE ACT OF 1934</w:t>
            </w:r>
          </w:p>
        </w:tc>
      </w:tr>
    </w:tbl>
    <w:p w:rsidR="00000000" w:rsidRDefault="009012B9">
      <w:pPr>
        <w:jc w:val="center"/>
        <w:divId w:val="2014256963"/>
        <w:rPr>
          <w:rFonts w:eastAsia="Times New Roman"/>
        </w:rPr>
      </w:pPr>
      <w:r>
        <w:rPr>
          <w:rFonts w:eastAsia="Times New Roman"/>
          <w:b/>
          <w:bCs/>
          <w:color w:val="000000"/>
          <w:sz w:val="20"/>
          <w:szCs w:val="20"/>
        </w:rPr>
        <w:t xml:space="preserve">For the quarterly period ended March 31, 2021 </w:t>
      </w:r>
    </w:p>
    <w:tbl>
      <w:tblPr>
        <w:tblW w:w="4942" w:type="pct"/>
        <w:tblCellMar>
          <w:top w:w="15" w:type="dxa"/>
          <w:left w:w="15" w:type="dxa"/>
          <w:bottom w:w="15" w:type="dxa"/>
          <w:right w:w="15" w:type="dxa"/>
        </w:tblCellMar>
        <w:tblLook w:val="04A0" w:firstRow="1" w:lastRow="0" w:firstColumn="1" w:lastColumn="0" w:noHBand="0" w:noVBand="1"/>
      </w:tblPr>
      <w:tblGrid>
        <w:gridCol w:w="68"/>
        <w:gridCol w:w="485"/>
        <w:gridCol w:w="36"/>
        <w:gridCol w:w="68"/>
        <w:gridCol w:w="7517"/>
        <w:gridCol w:w="36"/>
      </w:tblGrid>
      <w:tr w:rsidR="00000000">
        <w:trPr>
          <w:divId w:val="615908393"/>
        </w:trPr>
        <w:tc>
          <w:tcPr>
            <w:tcW w:w="50" w:type="pct"/>
            <w:vAlign w:val="center"/>
            <w:hideMark/>
          </w:tcPr>
          <w:p w:rsidR="00000000" w:rsidRDefault="009012B9">
            <w:pPr>
              <w:jc w:val="center"/>
              <w:rPr>
                <w:rFonts w:eastAsia="Times New Roman"/>
              </w:rPr>
            </w:pPr>
          </w:p>
        </w:tc>
        <w:tc>
          <w:tcPr>
            <w:tcW w:w="304"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458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r>
      <w:tr w:rsidR="00000000">
        <w:trPr>
          <w:divId w:val="615908393"/>
        </w:trPr>
        <w:tc>
          <w:tcPr>
            <w:tcW w:w="0" w:type="auto"/>
            <w:gridSpan w:val="3"/>
            <w:tcMar>
              <w:top w:w="30" w:type="dxa"/>
              <w:left w:w="20" w:type="dxa"/>
              <w:bottom w:w="30" w:type="dxa"/>
              <w:right w:w="20" w:type="dxa"/>
            </w:tcMar>
            <w:vAlign w:val="center"/>
            <w:hideMark/>
          </w:tcPr>
          <w:p w:rsidR="00000000" w:rsidRDefault="009012B9">
            <w:pPr>
              <w:spacing w:after="100"/>
              <w:rPr>
                <w:rFonts w:eastAsia="Times New Roman"/>
              </w:rPr>
            </w:pPr>
            <w:r>
              <w:rPr>
                <w:rFonts w:ascii="Wingdings" w:eastAsia="Times New Roman" w:hAnsi="Wingdings"/>
                <w:color w:val="000000"/>
                <w:sz w:val="20"/>
                <w:szCs w:val="20"/>
              </w:rPr>
              <w:t>☐</w:t>
            </w:r>
          </w:p>
        </w:tc>
        <w:tc>
          <w:tcPr>
            <w:tcW w:w="0" w:type="auto"/>
            <w:gridSpan w:val="3"/>
            <w:tcMar>
              <w:top w:w="30" w:type="dxa"/>
              <w:left w:w="20" w:type="dxa"/>
              <w:bottom w:w="30" w:type="dxa"/>
              <w:right w:w="20" w:type="dxa"/>
            </w:tcMar>
            <w:vAlign w:val="center"/>
            <w:hideMark/>
          </w:tcPr>
          <w:p w:rsidR="00000000" w:rsidRDefault="009012B9">
            <w:pPr>
              <w:spacing w:after="100"/>
              <w:rPr>
                <w:rFonts w:eastAsia="Times New Roman"/>
              </w:rPr>
            </w:pPr>
            <w:r>
              <w:rPr>
                <w:rFonts w:eastAsia="Times New Roman"/>
                <w:b/>
                <w:bCs/>
                <w:color w:val="000000"/>
                <w:sz w:val="20"/>
                <w:szCs w:val="20"/>
              </w:rPr>
              <w:t>TRANSITION REPORT PURSUANT TO SECTION 13 OR 15(d) OF THE SECURITIES EXCHANGE ACT OF 1934</w:t>
            </w:r>
          </w:p>
        </w:tc>
      </w:tr>
    </w:tbl>
    <w:p w:rsidR="00000000" w:rsidRDefault="009012B9">
      <w:pPr>
        <w:jc w:val="center"/>
        <w:divId w:val="744957540"/>
        <w:rPr>
          <w:rFonts w:eastAsia="Times New Roman"/>
        </w:rPr>
      </w:pPr>
      <w:r>
        <w:rPr>
          <w:rFonts w:eastAsia="Times New Roman"/>
          <w:b/>
          <w:bCs/>
          <w:color w:val="000000"/>
          <w:sz w:val="20"/>
          <w:szCs w:val="20"/>
        </w:rPr>
        <w:t>For the transition period from</w:t>
      </w:r>
      <w:r>
        <w:rPr>
          <w:rFonts w:eastAsia="Times New Roman"/>
          <w:b/>
          <w:bCs/>
          <w:color w:val="000000"/>
          <w:sz w:val="20"/>
          <w:szCs w:val="20"/>
          <w:u w:val="single"/>
        </w:rPr>
        <w:t>           </w:t>
      </w:r>
      <w:r>
        <w:rPr>
          <w:rFonts w:eastAsia="Times New Roman"/>
          <w:b/>
          <w:bCs/>
          <w:color w:val="000000"/>
          <w:sz w:val="20"/>
          <w:szCs w:val="20"/>
        </w:rPr>
        <w:t>to</w:t>
      </w:r>
      <w:r>
        <w:rPr>
          <w:rFonts w:eastAsia="Times New Roman"/>
          <w:b/>
          <w:bCs/>
          <w:color w:val="000000"/>
          <w:sz w:val="20"/>
          <w:szCs w:val="20"/>
          <w:u w:val="single"/>
        </w:rPr>
        <w:t>           </w:t>
      </w:r>
    </w:p>
    <w:p w:rsidR="00000000" w:rsidRDefault="009012B9">
      <w:pPr>
        <w:jc w:val="center"/>
        <w:divId w:val="1667778847"/>
        <w:rPr>
          <w:rFonts w:eastAsia="Times New Roman"/>
        </w:rPr>
      </w:pPr>
      <w:r>
        <w:rPr>
          <w:rFonts w:eastAsia="Times New Roman"/>
          <w:b/>
          <w:bCs/>
          <w:color w:val="000000"/>
          <w:sz w:val="20"/>
          <w:szCs w:val="20"/>
        </w:rPr>
        <w:t>Commission File Number: 001-39303</w:t>
      </w:r>
    </w:p>
    <w:p w:rsidR="00000000" w:rsidRDefault="009012B9">
      <w:pPr>
        <w:jc w:val="center"/>
        <w:divId w:val="1399548278"/>
        <w:rPr>
          <w:rFonts w:eastAsia="Times New Roman"/>
        </w:rPr>
      </w:pPr>
      <w:r>
        <w:rPr>
          <w:rFonts w:eastAsia="Times New Roman"/>
          <w:b/>
          <w:bCs/>
          <w:color w:val="000000"/>
          <w:sz w:val="36"/>
          <w:szCs w:val="36"/>
        </w:rPr>
        <w:t>PLIANT THERAPEUTICS, INC.</w:t>
      </w:r>
    </w:p>
    <w:p w:rsidR="00000000" w:rsidRDefault="009012B9">
      <w:pPr>
        <w:jc w:val="center"/>
        <w:rPr>
          <w:rFonts w:eastAsia="Times New Roman"/>
        </w:rPr>
      </w:pPr>
      <w:r>
        <w:rPr>
          <w:rFonts w:eastAsia="Times New Roman"/>
          <w:b/>
          <w:bCs/>
          <w:color w:val="000000"/>
          <w:sz w:val="20"/>
          <w:szCs w:val="20"/>
        </w:rPr>
        <w:t>(Exact Name of Registrant as Specified in its Charter)</w:t>
      </w:r>
    </w:p>
    <w:tbl>
      <w:tblPr>
        <w:tblW w:w="4949" w:type="pct"/>
        <w:tblCellMar>
          <w:top w:w="15" w:type="dxa"/>
          <w:left w:w="15" w:type="dxa"/>
          <w:bottom w:w="15" w:type="dxa"/>
          <w:right w:w="15" w:type="dxa"/>
        </w:tblCellMar>
        <w:tblLook w:val="04A0" w:firstRow="1" w:lastRow="0" w:firstColumn="1" w:lastColumn="0" w:noHBand="0" w:noVBand="1"/>
      </w:tblPr>
      <w:tblGrid>
        <w:gridCol w:w="68"/>
        <w:gridCol w:w="3855"/>
        <w:gridCol w:w="38"/>
        <w:gridCol w:w="68"/>
        <w:gridCol w:w="196"/>
        <w:gridCol w:w="36"/>
        <w:gridCol w:w="68"/>
        <w:gridCol w:w="3855"/>
        <w:gridCol w:w="37"/>
      </w:tblGrid>
      <w:tr w:rsidR="00000000">
        <w:trPr>
          <w:divId w:val="2112898511"/>
        </w:trPr>
        <w:tc>
          <w:tcPr>
            <w:tcW w:w="50" w:type="pct"/>
            <w:vAlign w:val="center"/>
            <w:hideMark/>
          </w:tcPr>
          <w:p w:rsidR="00000000" w:rsidRDefault="009012B9">
            <w:pPr>
              <w:jc w:val="center"/>
              <w:rPr>
                <w:rFonts w:eastAsia="Times New Roman"/>
              </w:rPr>
            </w:pPr>
          </w:p>
        </w:tc>
        <w:tc>
          <w:tcPr>
            <w:tcW w:w="2353"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128"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2353"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r>
      <w:tr w:rsidR="00000000">
        <w:trPr>
          <w:divId w:val="2112898511"/>
        </w:trPr>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20"/>
                <w:szCs w:val="20"/>
              </w:rPr>
              <w:t>Delaware</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20"/>
                <w:szCs w:val="20"/>
              </w:rPr>
              <w:t>47-4272481</w:t>
            </w:r>
          </w:p>
        </w:tc>
      </w:tr>
      <w:tr w:rsidR="00000000">
        <w:trPr>
          <w:divId w:val="2112898511"/>
        </w:trPr>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(State or other jurisdiction of</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(I.R.S. Employer</w:t>
            </w:r>
          </w:p>
        </w:tc>
      </w:tr>
      <w:tr w:rsidR="00000000">
        <w:trPr>
          <w:divId w:val="2112898511"/>
        </w:trPr>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incorporation or organization)</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Identification No.)</w:t>
            </w:r>
          </w:p>
        </w:tc>
      </w:tr>
      <w:tr w:rsidR="00000000">
        <w:trPr>
          <w:divId w:val="2112898511"/>
        </w:trPr>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20"/>
                <w:szCs w:val="20"/>
              </w:rPr>
              <w:t>260 Littlefield Avenue</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color w:val="000000"/>
                <w:sz w:val="20"/>
                <w:szCs w:val="20"/>
              </w:rPr>
              <w:t> </w:t>
            </w:r>
          </w:p>
        </w:tc>
      </w:tr>
      <w:tr w:rsidR="00000000">
        <w:trPr>
          <w:divId w:val="2112898511"/>
        </w:trPr>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ascii="Arial" w:eastAsia="Times New Roman" w:hAnsi="Arial" w:cs="Arial"/>
                <w:b/>
                <w:bCs/>
                <w:color w:val="000000"/>
                <w:sz w:val="20"/>
                <w:szCs w:val="20"/>
              </w:rPr>
              <w:t>South San Francisco,</w:t>
            </w:r>
            <w:r>
              <w:rPr>
                <w:rFonts w:eastAsia="Times New Roman"/>
                <w:b/>
                <w:bCs/>
                <w:color w:val="000000"/>
                <w:sz w:val="20"/>
                <w:szCs w:val="20"/>
              </w:rPr>
              <w:t xml:space="preserve"> </w:t>
            </w:r>
            <w:r>
              <w:rPr>
                <w:rFonts w:ascii="Arial" w:eastAsia="Times New Roman" w:hAnsi="Arial" w:cs="Arial"/>
                <w:b/>
                <w:bCs/>
                <w:color w:val="000000"/>
                <w:sz w:val="20"/>
                <w:szCs w:val="20"/>
              </w:rPr>
              <w:t>CA</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20"/>
                <w:szCs w:val="20"/>
              </w:rPr>
              <w:t>94080</w:t>
            </w:r>
          </w:p>
        </w:tc>
      </w:tr>
      <w:tr w:rsidR="00000000">
        <w:trPr>
          <w:divId w:val="2112898511"/>
        </w:trPr>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(Address of principal executive offices)</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(Zip Code)</w:t>
            </w:r>
          </w:p>
        </w:tc>
      </w:tr>
    </w:tbl>
    <w:p w:rsidR="00000000" w:rsidRDefault="009012B9">
      <w:pPr>
        <w:jc w:val="center"/>
        <w:divId w:val="714895123"/>
        <w:rPr>
          <w:rFonts w:eastAsia="Times New Roman"/>
        </w:rPr>
      </w:pPr>
      <w:r>
        <w:rPr>
          <w:rFonts w:eastAsia="Times New Roman"/>
          <w:b/>
          <w:bCs/>
          <w:color w:val="000000"/>
          <w:sz w:val="16"/>
          <w:szCs w:val="16"/>
        </w:rPr>
        <w:t>Registrant’s telephone number, including area code: (650) 481-6770</w:t>
      </w:r>
    </w:p>
    <w:p w:rsidR="00000000" w:rsidRDefault="009012B9">
      <w:pPr>
        <w:divId w:val="1244727629"/>
        <w:rPr>
          <w:rFonts w:eastAsia="Times New Roman"/>
        </w:rPr>
      </w:pPr>
      <w:r>
        <w:rPr>
          <w:rFonts w:eastAsia="Times New Roman"/>
          <w:color w:val="000000"/>
          <w:sz w:val="20"/>
          <w:szCs w:val="20"/>
        </w:rPr>
        <w:t>Securities registered pursuant to Section 12(b) of the Act:</w:t>
      </w:r>
    </w:p>
    <w:tbl>
      <w:tblPr>
        <w:tblW w:w="4949" w:type="pct"/>
        <w:tblCellMar>
          <w:top w:w="15" w:type="dxa"/>
          <w:left w:w="15" w:type="dxa"/>
          <w:bottom w:w="15" w:type="dxa"/>
          <w:right w:w="15" w:type="dxa"/>
        </w:tblCellMar>
        <w:tblLook w:val="04A0" w:firstRow="1" w:lastRow="0" w:firstColumn="1" w:lastColumn="0" w:noHBand="0" w:noVBand="1"/>
      </w:tblPr>
      <w:tblGrid>
        <w:gridCol w:w="68"/>
        <w:gridCol w:w="3362"/>
        <w:gridCol w:w="37"/>
        <w:gridCol w:w="68"/>
        <w:gridCol w:w="1183"/>
        <w:gridCol w:w="36"/>
        <w:gridCol w:w="68"/>
        <w:gridCol w:w="3363"/>
        <w:gridCol w:w="36"/>
      </w:tblGrid>
      <w:tr w:rsidR="00000000">
        <w:trPr>
          <w:divId w:val="421144660"/>
        </w:trPr>
        <w:tc>
          <w:tcPr>
            <w:tcW w:w="50" w:type="pct"/>
            <w:vAlign w:val="center"/>
            <w:hideMark/>
          </w:tcPr>
          <w:p w:rsidR="00000000" w:rsidRDefault="009012B9">
            <w:pPr>
              <w:rPr>
                <w:rFonts w:eastAsia="Times New Roman"/>
              </w:rPr>
            </w:pPr>
          </w:p>
        </w:tc>
        <w:tc>
          <w:tcPr>
            <w:tcW w:w="2053"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728"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2053"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r>
      <w:tr w:rsidR="00000000">
        <w:trPr>
          <w:divId w:val="421144660"/>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20"/>
                <w:szCs w:val="20"/>
              </w:rPr>
              <w:t>Title of Each Class</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20"/>
                <w:szCs w:val="20"/>
              </w:rPr>
              <w:t>Trading</w:t>
            </w:r>
            <w:r>
              <w:rPr>
                <w:rFonts w:eastAsia="Times New Roman"/>
                <w:b/>
                <w:bCs/>
                <w:color w:val="000000"/>
                <w:sz w:val="20"/>
                <w:szCs w:val="20"/>
              </w:rPr>
              <w:br/>
              <w:t>Symbol</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20"/>
                <w:szCs w:val="20"/>
              </w:rPr>
              <w:t>Name of Each Exchange on which Registered</w:t>
            </w:r>
          </w:p>
        </w:tc>
      </w:tr>
      <w:tr w:rsidR="00000000">
        <w:trPr>
          <w:divId w:val="421144660"/>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color w:val="000000"/>
                <w:sz w:val="16"/>
                <w:szCs w:val="16"/>
              </w:rPr>
              <w:t>Common Stock, par value $0.0001 per share</w:t>
            </w: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color w:val="000000"/>
                <w:sz w:val="16"/>
                <w:szCs w:val="16"/>
              </w:rPr>
              <w:t>PLRX</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color w:val="000000"/>
                <w:sz w:val="16"/>
                <w:szCs w:val="16"/>
              </w:rPr>
              <w:t>The Nasdaq Stock Market LLC</w:t>
            </w:r>
          </w:p>
        </w:tc>
      </w:tr>
    </w:tbl>
    <w:p w:rsidR="00000000" w:rsidRDefault="009012B9">
      <w:pPr>
        <w:ind w:firstLine="540"/>
        <w:divId w:val="1025908290"/>
        <w:rPr>
          <w:rFonts w:eastAsia="Times New Roman"/>
        </w:rPr>
      </w:pPr>
      <w:r>
        <w:rPr>
          <w:rFonts w:eastAsia="Times New Roman"/>
          <w:color w:val="00000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20"/>
          <w:szCs w:val="20"/>
        </w:rPr>
        <w:t xml:space="preserve">uch reports), and (2) has been subject to such filing requirements for the past 90 days.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rsidR="00000000" w:rsidRDefault="009012B9">
      <w:pPr>
        <w:ind w:firstLine="540"/>
        <w:divId w:val="1570964757"/>
        <w:rPr>
          <w:rFonts w:eastAsia="Times New Roman"/>
        </w:rPr>
      </w:pPr>
      <w:r>
        <w:rPr>
          <w:rFonts w:eastAsia="Times New Roman"/>
          <w:color w:val="000000"/>
          <w:sz w:val="20"/>
          <w:szCs w:val="20"/>
        </w:rPr>
        <w:t>Indicate by check mark whether the registrant has submitted electronically every Interactive Data File required to be submitted pursuant to Rule 405 of Regu</w:t>
      </w:r>
      <w:r>
        <w:rPr>
          <w:rFonts w:eastAsia="Times New Roman"/>
          <w:color w:val="000000"/>
          <w:sz w:val="20"/>
          <w:szCs w:val="20"/>
        </w:rPr>
        <w:t xml:space="preserve">lation S-T (§232.405 of this chapter) during the preceding 12 months (or for such shorter period that the registrant was required to submit such files).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rsidR="00000000" w:rsidRDefault="009012B9">
      <w:pPr>
        <w:ind w:firstLine="540"/>
        <w:divId w:val="2035228809"/>
        <w:rPr>
          <w:rFonts w:eastAsia="Times New Roman"/>
        </w:rPr>
      </w:pPr>
      <w:r>
        <w:rPr>
          <w:rFonts w:eastAsia="Times New Roman"/>
          <w:color w:val="000000"/>
          <w:sz w:val="20"/>
          <w:szCs w:val="20"/>
        </w:rPr>
        <w:t>Indicate by check mark whether the registrant is a large accelerated filer, an accelerated f</w:t>
      </w:r>
      <w:r>
        <w:rPr>
          <w:rFonts w:eastAsia="Times New Roman"/>
          <w:color w:val="000000"/>
          <w:sz w:val="20"/>
          <w:szCs w:val="20"/>
        </w:rPr>
        <w:t>iler, a non-accelerated filer, smaller reporting company, or an emerging growth company. See the definitions of “large accelerated filer,” “accelerated filer,” “smaller reporting company,” and “emerging growth company” in Rule 12b-2 of the Exchange Act.</w:t>
      </w:r>
    </w:p>
    <w:tbl>
      <w:tblPr>
        <w:tblW w:w="4659" w:type="pct"/>
        <w:tblCellMar>
          <w:top w:w="15" w:type="dxa"/>
          <w:left w:w="15" w:type="dxa"/>
          <w:bottom w:w="15" w:type="dxa"/>
          <w:right w:w="15" w:type="dxa"/>
        </w:tblCellMar>
        <w:tblLook w:val="04A0" w:firstRow="1" w:lastRow="0" w:firstColumn="1" w:lastColumn="0" w:noHBand="0" w:noVBand="1"/>
      </w:tblPr>
      <w:tblGrid>
        <w:gridCol w:w="38"/>
        <w:gridCol w:w="1729"/>
        <w:gridCol w:w="36"/>
        <w:gridCol w:w="113"/>
        <w:gridCol w:w="556"/>
        <w:gridCol w:w="36"/>
        <w:gridCol w:w="36"/>
        <w:gridCol w:w="2650"/>
        <w:gridCol w:w="36"/>
        <w:gridCol w:w="40"/>
        <w:gridCol w:w="1729"/>
        <w:gridCol w:w="36"/>
        <w:gridCol w:w="113"/>
        <w:gridCol w:w="556"/>
        <w:gridCol w:w="36"/>
      </w:tblGrid>
      <w:tr w:rsidR="00000000">
        <w:trPr>
          <w:divId w:val="756441661"/>
        </w:trPr>
        <w:tc>
          <w:tcPr>
            <w:tcW w:w="50" w:type="pct"/>
            <w:vAlign w:val="center"/>
            <w:hideMark/>
          </w:tcPr>
          <w:p w:rsidR="00000000" w:rsidRDefault="009012B9">
            <w:pPr>
              <w:ind w:firstLine="540"/>
              <w:rPr>
                <w:rFonts w:eastAsia="Times New Roman"/>
              </w:rPr>
            </w:pPr>
          </w:p>
        </w:tc>
        <w:tc>
          <w:tcPr>
            <w:tcW w:w="1212"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248"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1803"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1212"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248"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r>
      <w:tr w:rsidR="00000000">
        <w:trPr>
          <w:divId w:val="756441661"/>
        </w:trPr>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lastRenderedPageBreak/>
              <w:t>Large accelerated filer</w:t>
            </w:r>
          </w:p>
        </w:tc>
        <w:tc>
          <w:tcPr>
            <w:tcW w:w="0" w:type="auto"/>
            <w:gridSpan w:val="3"/>
            <w:tcMar>
              <w:top w:w="30" w:type="dxa"/>
              <w:left w:w="20" w:type="dxa"/>
              <w:bottom w:w="30" w:type="dxa"/>
              <w:right w:w="20" w:type="dxa"/>
            </w:tcMar>
            <w:hideMark/>
          </w:tcPr>
          <w:p w:rsidR="00000000" w:rsidRDefault="009012B9">
            <w:pPr>
              <w:spacing w:after="100"/>
              <w:ind w:firstLine="540"/>
              <w:jc w:val="center"/>
              <w:divId w:val="958729313"/>
              <w:rPr>
                <w:rFonts w:eastAsia="Times New Roman"/>
              </w:rPr>
            </w:pPr>
            <w:r>
              <w:rPr>
                <w:rFonts w:ascii="Wingdings" w:eastAsia="Times New Roman" w:hAnsi="Wingdings"/>
                <w:color w:val="000000"/>
                <w:sz w:val="20"/>
                <w:szCs w:val="20"/>
              </w:rPr>
              <w:t>☐</w:t>
            </w:r>
          </w:p>
        </w:tc>
        <w:tc>
          <w:tcPr>
            <w:tcW w:w="0" w:type="auto"/>
            <w:gridSpan w:val="3"/>
            <w:tcMar>
              <w:top w:w="0" w:type="dxa"/>
              <w:left w:w="20" w:type="dxa"/>
              <w:bottom w:w="0" w:type="dxa"/>
              <w:right w:w="20" w:type="dxa"/>
            </w:tcMar>
            <w:vAlign w:val="center"/>
            <w:hideMark/>
          </w:tcPr>
          <w:p w:rsidR="00000000" w:rsidRDefault="009012B9">
            <w:pPr>
              <w:spacing w:after="100"/>
              <w:ind w:firstLine="540"/>
              <w:jc w:val="center"/>
              <w:rPr>
                <w:rFonts w:eastAsia="Times New Roman"/>
              </w:rPr>
            </w:pPr>
          </w:p>
        </w:tc>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hideMark/>
          </w:tcPr>
          <w:p w:rsidR="00000000" w:rsidRDefault="009012B9">
            <w:pPr>
              <w:spacing w:after="100"/>
              <w:ind w:firstLine="540"/>
              <w:jc w:val="center"/>
              <w:divId w:val="1961715289"/>
              <w:rPr>
                <w:rFonts w:eastAsia="Times New Roman"/>
              </w:rPr>
            </w:pPr>
            <w:r>
              <w:rPr>
                <w:rFonts w:ascii="Wingdings" w:eastAsia="Times New Roman" w:hAnsi="Wingdings"/>
                <w:color w:val="000000"/>
                <w:sz w:val="20"/>
                <w:szCs w:val="20"/>
              </w:rPr>
              <w:t>☐</w:t>
            </w:r>
          </w:p>
        </w:tc>
      </w:tr>
      <w:tr w:rsidR="00000000">
        <w:trPr>
          <w:divId w:val="756441661"/>
        </w:trPr>
        <w:tc>
          <w:tcPr>
            <w:tcW w:w="0" w:type="auto"/>
            <w:gridSpan w:val="3"/>
            <w:tcMar>
              <w:top w:w="30" w:type="dxa"/>
              <w:left w:w="20" w:type="dxa"/>
              <w:bottom w:w="30" w:type="dxa"/>
              <w:right w:w="20" w:type="dxa"/>
            </w:tcMar>
            <w:vAlign w:val="bottom"/>
            <w:hideMark/>
          </w:tcPr>
          <w:p w:rsidR="00000000" w:rsidRDefault="009012B9">
            <w:pPr>
              <w:spacing w:after="100"/>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bottom"/>
            <w:hideMark/>
          </w:tcPr>
          <w:p w:rsidR="00000000" w:rsidRDefault="009012B9">
            <w:pPr>
              <w:spacing w:after="100"/>
              <w:ind w:firstLine="540"/>
              <w:jc w:val="center"/>
              <w:divId w:val="439839521"/>
              <w:rPr>
                <w:rFonts w:eastAsia="Times New Roman"/>
              </w:rPr>
            </w:pPr>
            <w:r>
              <w:rPr>
                <w:rFonts w:ascii="Wingdings" w:eastAsia="Times New Roman" w:hAnsi="Wingdings"/>
                <w:color w:val="000000"/>
                <w:sz w:val="20"/>
                <w:szCs w:val="20"/>
              </w:rPr>
              <w:t>☒</w:t>
            </w:r>
          </w:p>
        </w:tc>
        <w:tc>
          <w:tcPr>
            <w:tcW w:w="0" w:type="auto"/>
            <w:gridSpan w:val="3"/>
            <w:tcMar>
              <w:top w:w="0" w:type="dxa"/>
              <w:left w:w="20" w:type="dxa"/>
              <w:bottom w:w="0" w:type="dxa"/>
              <w:right w:w="20" w:type="dxa"/>
            </w:tcMar>
            <w:vAlign w:val="center"/>
            <w:hideMark/>
          </w:tcPr>
          <w:p w:rsidR="00000000" w:rsidRDefault="009012B9">
            <w:pPr>
              <w:spacing w:after="100"/>
              <w:ind w:firstLine="54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12B9">
            <w:pPr>
              <w:spacing w:after="100"/>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hideMark/>
          </w:tcPr>
          <w:p w:rsidR="00000000" w:rsidRDefault="009012B9">
            <w:pPr>
              <w:spacing w:after="100"/>
              <w:ind w:firstLine="540"/>
              <w:jc w:val="center"/>
              <w:divId w:val="184371009"/>
              <w:rPr>
                <w:rFonts w:eastAsia="Times New Roman"/>
              </w:rPr>
            </w:pPr>
            <w:r>
              <w:rPr>
                <w:rFonts w:ascii="Wingdings" w:eastAsia="Times New Roman" w:hAnsi="Wingdings"/>
                <w:color w:val="000000"/>
                <w:sz w:val="20"/>
                <w:szCs w:val="20"/>
              </w:rPr>
              <w:t>☐</w:t>
            </w:r>
          </w:p>
        </w:tc>
      </w:tr>
      <w:tr w:rsidR="00000000">
        <w:trPr>
          <w:divId w:val="756441661"/>
        </w:trPr>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hideMark/>
          </w:tcPr>
          <w:p w:rsidR="00000000" w:rsidRDefault="009012B9">
            <w:pPr>
              <w:spacing w:after="100"/>
              <w:ind w:firstLine="540"/>
              <w:jc w:val="center"/>
              <w:divId w:val="823161488"/>
              <w:rPr>
                <w:rFonts w:eastAsia="Times New Roman"/>
              </w:rPr>
            </w:pPr>
            <w:r>
              <w:rPr>
                <w:rFonts w:ascii="Wingdings" w:eastAsia="Times New Roman" w:hAnsi="Wingdings"/>
                <w:color w:val="000000"/>
                <w:sz w:val="20"/>
                <w:szCs w:val="20"/>
              </w:rPr>
              <w:t>☒</w:t>
            </w:r>
          </w:p>
        </w:tc>
        <w:tc>
          <w:tcPr>
            <w:tcW w:w="0" w:type="auto"/>
            <w:gridSpan w:val="3"/>
            <w:tcMar>
              <w:top w:w="0" w:type="dxa"/>
              <w:left w:w="20" w:type="dxa"/>
              <w:bottom w:w="0" w:type="dxa"/>
              <w:right w:w="20" w:type="dxa"/>
            </w:tcMar>
            <w:vAlign w:val="center"/>
            <w:hideMark/>
          </w:tcPr>
          <w:p w:rsidR="00000000" w:rsidRDefault="009012B9">
            <w:pPr>
              <w:spacing w:after="100"/>
              <w:ind w:firstLine="540"/>
              <w:jc w:val="center"/>
              <w:rPr>
                <w:rFonts w:eastAsia="Times New Roman"/>
              </w:rPr>
            </w:pPr>
          </w:p>
        </w:tc>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r>
    </w:tbl>
    <w:p w:rsidR="00000000" w:rsidRDefault="009012B9">
      <w:pPr>
        <w:ind w:firstLine="540"/>
        <w:divId w:val="1823571674"/>
        <w:rPr>
          <w:rFonts w:eastAsia="Times New Roman"/>
        </w:rPr>
      </w:pPr>
      <w:r>
        <w:rPr>
          <w:rFonts w:eastAsia="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p>
    <w:p w:rsidR="00000000" w:rsidRDefault="009012B9">
      <w:pPr>
        <w:ind w:firstLine="180"/>
        <w:divId w:val="650789602"/>
        <w:rPr>
          <w:rFonts w:eastAsia="Times New Roman"/>
        </w:rPr>
      </w:pPr>
      <w:r>
        <w:rPr>
          <w:rFonts w:eastAsia="Times New Roman"/>
          <w:color w:val="000000"/>
          <w:sz w:val="20"/>
          <w:szCs w:val="20"/>
        </w:rPr>
        <w:t>Ind</w:t>
      </w:r>
      <w:r>
        <w:rPr>
          <w:rFonts w:eastAsia="Times New Roman"/>
          <w:color w:val="000000"/>
          <w:sz w:val="20"/>
          <w:szCs w:val="20"/>
        </w:rPr>
        <w:t xml:space="preserve">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r>
        <w:rPr>
          <w:rFonts w:eastAsia="Times New Roman"/>
          <w:color w:val="000000"/>
          <w:sz w:val="20"/>
          <w:szCs w:val="20"/>
        </w:rPr>
        <w:t xml:space="preserve"> </w:t>
      </w:r>
    </w:p>
    <w:p w:rsidR="00000000" w:rsidRDefault="009012B9">
      <w:pPr>
        <w:ind w:firstLine="540"/>
        <w:divId w:val="2128085683"/>
        <w:rPr>
          <w:rFonts w:eastAsia="Times New Roman"/>
        </w:rPr>
      </w:pPr>
      <w:r>
        <w:rPr>
          <w:rFonts w:eastAsia="Times New Roman"/>
          <w:color w:val="000000"/>
          <w:sz w:val="20"/>
          <w:szCs w:val="20"/>
        </w:rPr>
        <w:t>As of May 6, 2021, the registrant had 35,894,459 shares of common stock, $0.0001 par value per share, outstanding.</w:t>
      </w:r>
    </w:p>
    <w:tbl>
      <w:tblPr>
        <w:tblW w:w="4949" w:type="pct"/>
        <w:tblCellMar>
          <w:top w:w="15" w:type="dxa"/>
          <w:left w:w="15" w:type="dxa"/>
          <w:bottom w:w="15" w:type="dxa"/>
          <w:right w:w="15" w:type="dxa"/>
        </w:tblCellMar>
        <w:tblLook w:val="04A0" w:firstRow="1" w:lastRow="0" w:firstColumn="1" w:lastColumn="0" w:noHBand="0" w:noVBand="1"/>
      </w:tblPr>
      <w:tblGrid>
        <w:gridCol w:w="68"/>
        <w:gridCol w:w="8117"/>
        <w:gridCol w:w="36"/>
      </w:tblGrid>
      <w:tr w:rsidR="00000000">
        <w:trPr>
          <w:divId w:val="658309791"/>
        </w:trPr>
        <w:tc>
          <w:tcPr>
            <w:tcW w:w="50" w:type="pct"/>
            <w:vAlign w:val="center"/>
            <w:hideMark/>
          </w:tcPr>
          <w:p w:rsidR="00000000" w:rsidRDefault="009012B9">
            <w:pPr>
              <w:ind w:firstLine="540"/>
              <w:rPr>
                <w:rFonts w:eastAsia="Times New Roman"/>
              </w:rPr>
            </w:pPr>
          </w:p>
        </w:tc>
        <w:tc>
          <w:tcPr>
            <w:tcW w:w="494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r>
      <w:tr w:rsidR="00000000">
        <w:trPr>
          <w:divId w:val="658309791"/>
          <w:trHeight w:val="60"/>
        </w:trPr>
        <w:tc>
          <w:tcPr>
            <w:tcW w:w="0" w:type="auto"/>
            <w:gridSpan w:val="3"/>
            <w:tcBorders>
              <w:bottom w:val="double" w:sz="6" w:space="0" w:color="000000"/>
            </w:tcBorders>
            <w:tcMar>
              <w:top w:w="0" w:type="dxa"/>
              <w:left w:w="20" w:type="dxa"/>
              <w:bottom w:w="0" w:type="dxa"/>
              <w:right w:w="20" w:type="dxa"/>
            </w:tcMar>
            <w:vAlign w:val="center"/>
            <w:hideMark/>
          </w:tcPr>
          <w:p w:rsidR="00000000" w:rsidRDefault="009012B9">
            <w:pPr>
              <w:spacing w:after="100"/>
              <w:rPr>
                <w:rFonts w:eastAsia="Times New Roman"/>
                <w:sz w:val="20"/>
                <w:szCs w:val="20"/>
              </w:rPr>
            </w:pPr>
          </w:p>
        </w:tc>
      </w:tr>
    </w:tbl>
    <w:p w:rsidR="00000000" w:rsidRDefault="009012B9">
      <w:pPr>
        <w:divId w:val="205070248"/>
        <w:rPr>
          <w:rFonts w:eastAsia="Times New Roman"/>
        </w:rPr>
      </w:pPr>
    </w:p>
    <w:p w:rsidR="00000000" w:rsidRDefault="009012B9">
      <w:pPr>
        <w:rPr>
          <w:rFonts w:eastAsia="Times New Roman"/>
        </w:rPr>
      </w:pPr>
      <w:r>
        <w:rPr>
          <w:rFonts w:eastAsia="Times New Roman"/>
        </w:rPr>
        <w:pict>
          <v:rect id="_x0000_i1025" style="width:0;height:1.5pt" o:hralign="center" o:hrstd="t" o:hr="t" fillcolor="#a0a0a0" stroked="f"/>
        </w:pict>
      </w:r>
    </w:p>
    <w:p w:rsidR="00000000" w:rsidRDefault="009012B9">
      <w:pPr>
        <w:divId w:val="1646659125"/>
        <w:rPr>
          <w:rFonts w:eastAsia="Times New Roman"/>
        </w:rPr>
      </w:pPr>
    </w:p>
    <w:p w:rsidR="00000000" w:rsidRDefault="009012B9">
      <w:pPr>
        <w:jc w:val="center"/>
        <w:rPr>
          <w:rFonts w:eastAsia="Times New Roman"/>
        </w:rPr>
      </w:pPr>
      <w:r>
        <w:rPr>
          <w:rFonts w:eastAsia="Times New Roman"/>
          <w:b/>
          <w:bCs/>
          <w:color w:val="000000"/>
          <w:sz w:val="20"/>
          <w:szCs w:val="20"/>
        </w:rPr>
        <w:t>Table of Contents</w:t>
      </w:r>
    </w:p>
    <w:tbl>
      <w:tblPr>
        <w:tblW w:w="4985" w:type="pct"/>
        <w:tblCellMar>
          <w:top w:w="15" w:type="dxa"/>
          <w:left w:w="15" w:type="dxa"/>
          <w:bottom w:w="15" w:type="dxa"/>
          <w:right w:w="15" w:type="dxa"/>
        </w:tblCellMar>
        <w:tblLook w:val="04A0" w:firstRow="1" w:lastRow="0" w:firstColumn="1" w:lastColumn="0" w:noHBand="0" w:noVBand="1"/>
      </w:tblPr>
      <w:tblGrid>
        <w:gridCol w:w="83"/>
        <w:gridCol w:w="794"/>
        <w:gridCol w:w="36"/>
        <w:gridCol w:w="50"/>
        <w:gridCol w:w="6984"/>
        <w:gridCol w:w="36"/>
        <w:gridCol w:w="66"/>
        <w:gridCol w:w="196"/>
        <w:gridCol w:w="36"/>
      </w:tblGrid>
      <w:tr w:rsidR="00000000">
        <w:trPr>
          <w:divId w:val="1980572434"/>
        </w:trPr>
        <w:tc>
          <w:tcPr>
            <w:tcW w:w="50" w:type="pct"/>
            <w:vAlign w:val="center"/>
            <w:hideMark/>
          </w:tcPr>
          <w:p w:rsidR="00000000" w:rsidRDefault="009012B9">
            <w:pPr>
              <w:jc w:val="center"/>
              <w:rPr>
                <w:rFonts w:eastAsia="Times New Roman"/>
              </w:rPr>
            </w:pPr>
          </w:p>
        </w:tc>
        <w:tc>
          <w:tcPr>
            <w:tcW w:w="480"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4226"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128"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r>
      <w:tr w:rsidR="00000000">
        <w:trPr>
          <w:divId w:val="1980572434"/>
        </w:trPr>
        <w:tc>
          <w:tcPr>
            <w:tcW w:w="0" w:type="auto"/>
            <w:gridSpan w:val="3"/>
            <w:tcMar>
              <w:top w:w="30" w:type="dxa"/>
              <w:left w:w="20" w:type="dxa"/>
              <w:bottom w:w="30" w:type="dxa"/>
              <w:right w:w="20" w:type="dxa"/>
            </w:tcMar>
            <w:vAlign w:val="bottom"/>
            <w:hideMark/>
          </w:tcPr>
          <w:p w:rsidR="00000000" w:rsidRDefault="009012B9">
            <w:pPr>
              <w:spacing w:after="100"/>
              <w:divId w:val="523714685"/>
              <w:rPr>
                <w:rFonts w:eastAsia="Times New Roman"/>
              </w:rPr>
            </w:pPr>
            <w:hyperlink w:anchor="i8f7834183417467aa4a1dcb714c5c192_10" w:history="1">
              <w:r>
                <w:rPr>
                  <w:rStyle w:val="a3"/>
                  <w:rFonts w:eastAsia="Times New Roman"/>
                  <w:b/>
                  <w:bCs/>
                  <w:color w:val="000000"/>
                  <w:sz w:val="20"/>
                  <w:szCs w:val="20"/>
                  <w:u w:val="none"/>
                </w:rPr>
                <w:t>PART I.</w:t>
              </w:r>
            </w:hyperlink>
          </w:p>
        </w:tc>
        <w:tc>
          <w:tcPr>
            <w:tcW w:w="0" w:type="auto"/>
            <w:gridSpan w:val="3"/>
            <w:tcMar>
              <w:top w:w="30" w:type="dxa"/>
              <w:left w:w="20" w:type="dxa"/>
              <w:bottom w:w="30" w:type="dxa"/>
              <w:right w:w="20" w:type="dxa"/>
            </w:tcMar>
            <w:vAlign w:val="bottom"/>
            <w:hideMark/>
          </w:tcPr>
          <w:p w:rsidR="00000000" w:rsidRDefault="009012B9">
            <w:pPr>
              <w:spacing w:after="100"/>
              <w:divId w:val="599794518"/>
              <w:rPr>
                <w:rFonts w:eastAsia="Times New Roman"/>
              </w:rPr>
            </w:pPr>
            <w:hyperlink w:anchor="i8f7834183417467aa4a1dcb714c5c192_10" w:history="1">
              <w:r>
                <w:rPr>
                  <w:rStyle w:val="a3"/>
                  <w:rFonts w:eastAsia="Times New Roman"/>
                  <w:sz w:val="20"/>
                  <w:szCs w:val="20"/>
                </w:rPr>
                <w:t>FINANCIAL INFORMATION</w:t>
              </w:r>
            </w:hyperlink>
          </w:p>
        </w:tc>
        <w:tc>
          <w:tcPr>
            <w:tcW w:w="0" w:type="auto"/>
            <w:gridSpan w:val="3"/>
            <w:tcMar>
              <w:top w:w="30" w:type="dxa"/>
              <w:left w:w="20" w:type="dxa"/>
              <w:bottom w:w="30" w:type="dxa"/>
              <w:right w:w="20" w:type="dxa"/>
            </w:tcMar>
            <w:hideMark/>
          </w:tcPr>
          <w:p w:rsidR="00000000" w:rsidRDefault="009012B9">
            <w:pPr>
              <w:spacing w:after="100"/>
              <w:jc w:val="right"/>
              <w:rPr>
                <w:rFonts w:eastAsia="Times New Roman"/>
              </w:rPr>
            </w:pPr>
            <w:hyperlink w:anchor="i8f7834183417467aa4a1dcb714c5c192_10" w:history="1">
              <w:r>
                <w:rPr>
                  <w:rStyle w:val="a3"/>
                  <w:rFonts w:eastAsia="Times New Roman"/>
                  <w:color w:val="000000"/>
                  <w:sz w:val="20"/>
                  <w:szCs w:val="20"/>
                  <w:u w:val="none"/>
                </w:rPr>
                <w:t>6</w:t>
              </w:r>
            </w:hyperlink>
          </w:p>
        </w:tc>
      </w:tr>
      <w:tr w:rsidR="00000000">
        <w:trPr>
          <w:divId w:val="1980572434"/>
        </w:trPr>
        <w:tc>
          <w:tcPr>
            <w:tcW w:w="0" w:type="auto"/>
            <w:gridSpan w:val="3"/>
            <w:tcMar>
              <w:top w:w="30" w:type="dxa"/>
              <w:left w:w="20" w:type="dxa"/>
              <w:bottom w:w="30" w:type="dxa"/>
              <w:right w:w="20" w:type="dxa"/>
            </w:tcMar>
            <w:vAlign w:val="bottom"/>
            <w:hideMark/>
          </w:tcPr>
          <w:p w:rsidR="00000000" w:rsidRDefault="009012B9">
            <w:pPr>
              <w:spacing w:after="100"/>
              <w:rPr>
                <w:rFonts w:eastAsia="Times New Roman"/>
              </w:rPr>
            </w:pPr>
            <w:r>
              <w:rPr>
                <w:rFonts w:eastAsia="Times New Roman"/>
                <w:color w:val="000000"/>
                <w:sz w:val="12"/>
                <w:szCs w:val="12"/>
              </w:rPr>
              <w:t> </w:t>
            </w:r>
          </w:p>
        </w:tc>
        <w:tc>
          <w:tcPr>
            <w:tcW w:w="0" w:type="auto"/>
            <w:gridSpan w:val="3"/>
            <w:tcMar>
              <w:top w:w="30" w:type="dxa"/>
              <w:left w:w="20" w:type="dxa"/>
              <w:bottom w:w="30" w:type="dxa"/>
              <w:right w:w="20" w:type="dxa"/>
            </w:tcMar>
            <w:vAlign w:val="bottom"/>
            <w:hideMark/>
          </w:tcPr>
          <w:p w:rsidR="00000000" w:rsidRDefault="009012B9">
            <w:pPr>
              <w:spacing w:after="100"/>
              <w:rPr>
                <w:rFonts w:eastAsia="Times New Roman"/>
              </w:rPr>
            </w:pPr>
            <w:r>
              <w:rPr>
                <w:rFonts w:eastAsia="Times New Roman"/>
                <w:color w:val="000000"/>
                <w:sz w:val="12"/>
                <w:szCs w:val="12"/>
              </w:rPr>
              <w:t> </w:t>
            </w: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r>
      <w:tr w:rsidR="00000000">
        <w:trPr>
          <w:divId w:val="1980572434"/>
        </w:trPr>
        <w:tc>
          <w:tcPr>
            <w:tcW w:w="0" w:type="auto"/>
            <w:gridSpan w:val="3"/>
            <w:tcMar>
              <w:top w:w="30" w:type="dxa"/>
              <w:left w:w="20" w:type="dxa"/>
              <w:bottom w:w="30" w:type="dxa"/>
              <w:right w:w="20" w:type="dxa"/>
            </w:tcMar>
            <w:vAlign w:val="bottom"/>
            <w:hideMark/>
          </w:tcPr>
          <w:p w:rsidR="00000000" w:rsidRDefault="009012B9">
            <w:pPr>
              <w:spacing w:after="100"/>
              <w:divId w:val="818690060"/>
              <w:rPr>
                <w:rFonts w:eastAsia="Times New Roman"/>
              </w:rPr>
            </w:pPr>
            <w:hyperlink w:anchor="i8f7834183417467aa4a1dcb714c5c192_13" w:history="1">
              <w:r>
                <w:rPr>
                  <w:rStyle w:val="a3"/>
                  <w:rFonts w:eastAsia="Times New Roman"/>
                  <w:color w:val="000000"/>
                  <w:sz w:val="20"/>
                  <w:szCs w:val="20"/>
                  <w:u w:val="none"/>
                </w:rPr>
                <w:t>Item 1.</w:t>
              </w:r>
            </w:hyperlink>
          </w:p>
        </w:tc>
        <w:tc>
          <w:tcPr>
            <w:tcW w:w="0" w:type="auto"/>
            <w:gridSpan w:val="3"/>
            <w:tcMar>
              <w:top w:w="30" w:type="dxa"/>
              <w:left w:w="20" w:type="dxa"/>
              <w:bottom w:w="30" w:type="dxa"/>
              <w:right w:w="20" w:type="dxa"/>
            </w:tcMar>
            <w:vAlign w:val="bottom"/>
            <w:hideMark/>
          </w:tcPr>
          <w:p w:rsidR="00000000" w:rsidRDefault="009012B9">
            <w:pPr>
              <w:spacing w:after="100"/>
              <w:divId w:val="1320427547"/>
              <w:rPr>
                <w:rFonts w:eastAsia="Times New Roman"/>
              </w:rPr>
            </w:pPr>
            <w:hyperlink w:anchor="i8f7834183417467aa4a1dcb714c5c192_13" w:history="1">
              <w:r>
                <w:rPr>
                  <w:rStyle w:val="a3"/>
                  <w:rFonts w:eastAsia="Times New Roman"/>
                  <w:sz w:val="20"/>
                  <w:szCs w:val="20"/>
                </w:rPr>
                <w:t>Condensed F</w:t>
              </w:r>
            </w:hyperlink>
            <w:hyperlink w:anchor="i8f7834183417467aa4a1dcb714c5c192_13" w:history="1">
              <w:r>
                <w:rPr>
                  <w:rStyle w:val="a3"/>
                  <w:rFonts w:eastAsia="Times New Roman"/>
                  <w:sz w:val="20"/>
                  <w:szCs w:val="20"/>
                </w:rPr>
                <w:t>inancial Statements</w:t>
              </w:r>
            </w:hyperlink>
          </w:p>
        </w:tc>
        <w:tc>
          <w:tcPr>
            <w:tcW w:w="0" w:type="auto"/>
            <w:gridSpan w:val="3"/>
            <w:tcMar>
              <w:top w:w="30" w:type="dxa"/>
              <w:left w:w="20" w:type="dxa"/>
              <w:bottom w:w="30" w:type="dxa"/>
              <w:right w:w="20" w:type="dxa"/>
            </w:tcMar>
            <w:hideMark/>
          </w:tcPr>
          <w:p w:rsidR="00000000" w:rsidRDefault="009012B9">
            <w:pPr>
              <w:spacing w:after="100"/>
              <w:jc w:val="right"/>
              <w:rPr>
                <w:rFonts w:eastAsia="Times New Roman"/>
              </w:rPr>
            </w:pPr>
            <w:hyperlink w:anchor="i8f7834183417467aa4a1dcb714c5c192_13" w:history="1">
              <w:r>
                <w:rPr>
                  <w:rStyle w:val="a3"/>
                  <w:rFonts w:eastAsia="Times New Roman"/>
                  <w:color w:val="000000"/>
                  <w:sz w:val="20"/>
                  <w:szCs w:val="20"/>
                  <w:u w:val="none"/>
                </w:rPr>
                <w:t>6</w:t>
              </w:r>
            </w:hyperlink>
          </w:p>
        </w:tc>
      </w:tr>
      <w:tr w:rsidR="00000000">
        <w:trPr>
          <w:divId w:val="1980572434"/>
        </w:trPr>
        <w:tc>
          <w:tcPr>
            <w:tcW w:w="0" w:type="auto"/>
            <w:gridSpan w:val="3"/>
            <w:tcMar>
              <w:top w:w="30" w:type="dxa"/>
              <w:left w:w="20" w:type="dxa"/>
              <w:bottom w:w="30" w:type="dxa"/>
              <w:right w:w="20" w:type="dxa"/>
            </w:tcMar>
            <w:vAlign w:val="bottom"/>
            <w:hideMark/>
          </w:tcPr>
          <w:p w:rsidR="00000000" w:rsidRDefault="009012B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9012B9">
            <w:pPr>
              <w:spacing w:after="100"/>
              <w:divId w:val="1222134219"/>
              <w:rPr>
                <w:rFonts w:eastAsia="Times New Roman"/>
              </w:rPr>
            </w:pPr>
            <w:hyperlink w:anchor="i8f7834183417467aa4a1dcb714c5c192_16" w:history="1">
              <w:r>
                <w:rPr>
                  <w:rStyle w:val="a3"/>
                  <w:rFonts w:eastAsia="Times New Roman"/>
                  <w:sz w:val="20"/>
                  <w:szCs w:val="20"/>
                </w:rPr>
                <w:t xml:space="preserve">Condensed Balance Sheets as </w:t>
              </w:r>
            </w:hyperlink>
            <w:hyperlink w:anchor="i8f7834183417467aa4a1dcb714c5c192_16" w:history="1">
              <w:r>
                <w:rPr>
                  <w:rStyle w:val="a3"/>
                  <w:rFonts w:eastAsia="Times New Roman"/>
                  <w:sz w:val="20"/>
                  <w:szCs w:val="20"/>
                </w:rPr>
                <w:t>March 31</w:t>
              </w:r>
            </w:hyperlink>
            <w:hyperlink w:anchor="i8f7834183417467aa4a1dcb714c5c192_16" w:history="1">
              <w:r>
                <w:rPr>
                  <w:rStyle w:val="a3"/>
                  <w:rFonts w:eastAsia="Times New Roman"/>
                  <w:sz w:val="20"/>
                  <w:szCs w:val="20"/>
                </w:rPr>
                <w:t>, 202</w:t>
              </w:r>
            </w:hyperlink>
            <w:hyperlink w:anchor="i8f7834183417467aa4a1dcb714c5c192_16" w:history="1">
              <w:r>
                <w:rPr>
                  <w:rStyle w:val="a3"/>
                  <w:rFonts w:eastAsia="Times New Roman"/>
                  <w:sz w:val="20"/>
                  <w:szCs w:val="20"/>
                </w:rPr>
                <w:t>1</w:t>
              </w:r>
            </w:hyperlink>
            <w:hyperlink w:anchor="i8f7834183417467aa4a1dcb714c5c192_16" w:history="1">
              <w:r>
                <w:rPr>
                  <w:rStyle w:val="a3"/>
                  <w:rFonts w:eastAsia="Times New Roman"/>
                  <w:sz w:val="20"/>
                  <w:szCs w:val="20"/>
                </w:rPr>
                <w:t xml:space="preserve"> (Unaudited) and December 31, 20</w:t>
              </w:r>
            </w:hyperlink>
            <w:hyperlink w:anchor="i8f7834183417467aa4a1dcb714c5c192_16" w:history="1">
              <w:r>
                <w:rPr>
                  <w:rStyle w:val="a3"/>
                  <w:rFonts w:eastAsia="Times New Roman"/>
                  <w:sz w:val="20"/>
                  <w:szCs w:val="20"/>
                </w:rPr>
                <w:t>20</w:t>
              </w:r>
            </w:hyperlink>
          </w:p>
        </w:tc>
        <w:tc>
          <w:tcPr>
            <w:tcW w:w="0" w:type="auto"/>
            <w:gridSpan w:val="3"/>
            <w:tcMar>
              <w:top w:w="30" w:type="dxa"/>
              <w:left w:w="20" w:type="dxa"/>
              <w:bottom w:w="30" w:type="dxa"/>
              <w:right w:w="20" w:type="dxa"/>
            </w:tcMar>
            <w:hideMark/>
          </w:tcPr>
          <w:p w:rsidR="00000000" w:rsidRDefault="009012B9">
            <w:pPr>
              <w:spacing w:after="100"/>
              <w:jc w:val="right"/>
              <w:rPr>
                <w:rFonts w:eastAsia="Times New Roman"/>
              </w:rPr>
            </w:pPr>
            <w:hyperlink w:anchor="i8f7834183417467aa4a1dcb714c5c192_16" w:history="1">
              <w:r>
                <w:rPr>
                  <w:rStyle w:val="a3"/>
                  <w:rFonts w:eastAsia="Times New Roman"/>
                  <w:color w:val="000000"/>
                  <w:sz w:val="20"/>
                  <w:szCs w:val="20"/>
                  <w:u w:val="none"/>
                </w:rPr>
                <w:t>6</w:t>
              </w:r>
            </w:hyperlink>
          </w:p>
        </w:tc>
      </w:tr>
      <w:tr w:rsidR="00000000">
        <w:trPr>
          <w:divId w:val="1980572434"/>
        </w:trPr>
        <w:tc>
          <w:tcPr>
            <w:tcW w:w="0" w:type="auto"/>
            <w:gridSpan w:val="3"/>
            <w:tcMar>
              <w:top w:w="30" w:type="dxa"/>
              <w:left w:w="20" w:type="dxa"/>
              <w:bottom w:w="30" w:type="dxa"/>
              <w:right w:w="20" w:type="dxa"/>
            </w:tcMar>
            <w:vAlign w:val="bottom"/>
            <w:hideMark/>
          </w:tcPr>
          <w:p w:rsidR="00000000" w:rsidRDefault="009012B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9012B9">
            <w:pPr>
              <w:spacing w:after="100"/>
              <w:divId w:val="114450684"/>
              <w:rPr>
                <w:rFonts w:eastAsia="Times New Roman"/>
              </w:rPr>
            </w:pPr>
            <w:hyperlink w:anchor="i8f7834183417467aa4a1dcb714c5c192_22" w:history="1">
              <w:r>
                <w:rPr>
                  <w:rStyle w:val="a3"/>
                  <w:rFonts w:eastAsia="Times New Roman"/>
                  <w:sz w:val="20"/>
                  <w:szCs w:val="20"/>
                </w:rPr>
                <w:t xml:space="preserve">Condensed Statements of Operations and Comprehensive Loss for the three </w:t>
              </w:r>
            </w:hyperlink>
            <w:hyperlink w:anchor="i8f7834183417467aa4a1dcb714c5c192_22" w:history="1">
              <w:r>
                <w:rPr>
                  <w:rStyle w:val="a3"/>
                  <w:rFonts w:eastAsia="Times New Roman"/>
                  <w:sz w:val="20"/>
                  <w:szCs w:val="20"/>
                </w:rPr>
                <w:t xml:space="preserve">months ended </w:t>
              </w:r>
            </w:hyperlink>
            <w:hyperlink w:anchor="i8f7834183417467aa4a1dcb714c5c192_22" w:history="1">
              <w:r>
                <w:rPr>
                  <w:rStyle w:val="a3"/>
                  <w:rFonts w:eastAsia="Times New Roman"/>
                  <w:sz w:val="20"/>
                  <w:szCs w:val="20"/>
                </w:rPr>
                <w:t>March 31</w:t>
              </w:r>
            </w:hyperlink>
            <w:hyperlink w:anchor="i8f7834183417467aa4a1dcb714c5c192_22" w:history="1">
              <w:r>
                <w:rPr>
                  <w:rStyle w:val="a3"/>
                  <w:rFonts w:eastAsia="Times New Roman"/>
                  <w:sz w:val="20"/>
                  <w:szCs w:val="20"/>
                </w:rPr>
                <w:t>, 202</w:t>
              </w:r>
            </w:hyperlink>
            <w:hyperlink w:anchor="i8f7834183417467aa4a1dcb714c5c192_22" w:history="1">
              <w:r>
                <w:rPr>
                  <w:rStyle w:val="a3"/>
                  <w:rFonts w:eastAsia="Times New Roman"/>
                  <w:sz w:val="20"/>
                  <w:szCs w:val="20"/>
                </w:rPr>
                <w:t>1</w:t>
              </w:r>
            </w:hyperlink>
            <w:hyperlink w:anchor="i8f7834183417467aa4a1dcb714c5c192_22" w:history="1">
              <w:r>
                <w:rPr>
                  <w:rStyle w:val="a3"/>
                  <w:rFonts w:eastAsia="Times New Roman"/>
                  <w:sz w:val="20"/>
                  <w:szCs w:val="20"/>
                </w:rPr>
                <w:t xml:space="preserve"> and 20</w:t>
              </w:r>
            </w:hyperlink>
            <w:hyperlink w:anchor="i8f7834183417467aa4a1dcb714c5c192_22" w:history="1">
              <w:r>
                <w:rPr>
                  <w:rStyle w:val="a3"/>
                  <w:rFonts w:eastAsia="Times New Roman"/>
                  <w:sz w:val="20"/>
                  <w:szCs w:val="20"/>
                </w:rPr>
                <w:t>20</w:t>
              </w:r>
            </w:hyperlink>
            <w:hyperlink w:anchor="i8f7834183417467aa4a1dcb714c5c192_22" w:history="1">
              <w:r>
                <w:rPr>
                  <w:rStyle w:val="a3"/>
                  <w:rFonts w:eastAsia="Times New Roman"/>
                  <w:sz w:val="20"/>
                  <w:szCs w:val="20"/>
                </w:rPr>
                <w:t xml:space="preserve"> (Unaudited)</w:t>
              </w:r>
            </w:hyperlink>
          </w:p>
        </w:tc>
        <w:tc>
          <w:tcPr>
            <w:tcW w:w="0" w:type="auto"/>
            <w:gridSpan w:val="3"/>
            <w:tcMar>
              <w:top w:w="30" w:type="dxa"/>
              <w:left w:w="20" w:type="dxa"/>
              <w:bottom w:w="30" w:type="dxa"/>
              <w:right w:w="20" w:type="dxa"/>
            </w:tcMar>
            <w:hideMark/>
          </w:tcPr>
          <w:p w:rsidR="00000000" w:rsidRDefault="009012B9">
            <w:pPr>
              <w:spacing w:after="100"/>
              <w:jc w:val="right"/>
              <w:rPr>
                <w:rFonts w:eastAsia="Times New Roman"/>
              </w:rPr>
            </w:pPr>
            <w:hyperlink w:anchor="i8f7834183417467aa4a1dcb714c5c192_22" w:history="1">
              <w:r>
                <w:rPr>
                  <w:rStyle w:val="a3"/>
                  <w:rFonts w:eastAsia="Times New Roman"/>
                  <w:color w:val="000000"/>
                  <w:sz w:val="20"/>
                  <w:szCs w:val="20"/>
                  <w:u w:val="none"/>
                </w:rPr>
                <w:t>7</w:t>
              </w:r>
            </w:hyperlink>
          </w:p>
        </w:tc>
      </w:tr>
      <w:tr w:rsidR="00000000">
        <w:trPr>
          <w:divId w:val="1980572434"/>
        </w:trPr>
        <w:tc>
          <w:tcPr>
            <w:tcW w:w="0" w:type="auto"/>
            <w:gridSpan w:val="3"/>
            <w:tcMar>
              <w:top w:w="30" w:type="dxa"/>
              <w:left w:w="20" w:type="dxa"/>
              <w:bottom w:w="30" w:type="dxa"/>
              <w:right w:w="20" w:type="dxa"/>
            </w:tcMar>
            <w:vAlign w:val="bottom"/>
            <w:hideMark/>
          </w:tcPr>
          <w:p w:rsidR="00000000" w:rsidRDefault="009012B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9012B9">
            <w:pPr>
              <w:spacing w:after="100"/>
              <w:divId w:val="1521385314"/>
              <w:rPr>
                <w:rFonts w:eastAsia="Times New Roman"/>
              </w:rPr>
            </w:pPr>
            <w:hyperlink w:anchor="i8f7834183417467aa4a1dcb714c5c192_25" w:history="1">
              <w:r>
                <w:rPr>
                  <w:rStyle w:val="a3"/>
                  <w:rFonts w:eastAsia="Times New Roman"/>
                  <w:sz w:val="20"/>
                  <w:szCs w:val="20"/>
                </w:rPr>
                <w:t xml:space="preserve">Condensed Statements of Redeemable Convertible Preferred Stock and Stockholders’ Equity (Deficit) for the three </w:t>
              </w:r>
            </w:hyperlink>
            <w:hyperlink w:anchor="i8f7834183417467aa4a1dcb714c5c192_25" w:history="1">
              <w:r>
                <w:rPr>
                  <w:rStyle w:val="a3"/>
                  <w:rFonts w:eastAsia="Times New Roman"/>
                  <w:sz w:val="20"/>
                  <w:szCs w:val="20"/>
                </w:rPr>
                <w:t xml:space="preserve">months ended </w:t>
              </w:r>
            </w:hyperlink>
            <w:hyperlink w:anchor="i8f7834183417467aa4a1dcb714c5c192_25" w:history="1">
              <w:r>
                <w:rPr>
                  <w:rStyle w:val="a3"/>
                  <w:rFonts w:eastAsia="Times New Roman"/>
                  <w:sz w:val="20"/>
                  <w:szCs w:val="20"/>
                </w:rPr>
                <w:t>March 31</w:t>
              </w:r>
            </w:hyperlink>
            <w:hyperlink w:anchor="i8f7834183417467aa4a1dcb714c5c192_25" w:history="1">
              <w:r>
                <w:rPr>
                  <w:rStyle w:val="a3"/>
                  <w:rFonts w:eastAsia="Times New Roman"/>
                  <w:sz w:val="20"/>
                  <w:szCs w:val="20"/>
                </w:rPr>
                <w:t>, 202</w:t>
              </w:r>
            </w:hyperlink>
            <w:hyperlink w:anchor="i8f7834183417467aa4a1dcb714c5c192_25" w:history="1">
              <w:r>
                <w:rPr>
                  <w:rStyle w:val="a3"/>
                  <w:rFonts w:eastAsia="Times New Roman"/>
                  <w:sz w:val="20"/>
                  <w:szCs w:val="20"/>
                </w:rPr>
                <w:t>1</w:t>
              </w:r>
            </w:hyperlink>
            <w:hyperlink w:anchor="i8f7834183417467aa4a1dcb714c5c192_25" w:history="1">
              <w:r>
                <w:rPr>
                  <w:rStyle w:val="a3"/>
                  <w:rFonts w:eastAsia="Times New Roman"/>
                  <w:sz w:val="20"/>
                  <w:szCs w:val="20"/>
                </w:rPr>
                <w:t xml:space="preserve"> and 20</w:t>
              </w:r>
            </w:hyperlink>
            <w:hyperlink w:anchor="i8f7834183417467aa4a1dcb714c5c192_25" w:history="1">
              <w:r>
                <w:rPr>
                  <w:rStyle w:val="a3"/>
                  <w:rFonts w:eastAsia="Times New Roman"/>
                  <w:sz w:val="20"/>
                  <w:szCs w:val="20"/>
                </w:rPr>
                <w:t>20</w:t>
              </w:r>
            </w:hyperlink>
            <w:hyperlink w:anchor="i8f7834183417467aa4a1dcb714c5c192_25" w:history="1">
              <w:r>
                <w:rPr>
                  <w:rStyle w:val="a3"/>
                  <w:rFonts w:eastAsia="Times New Roman"/>
                  <w:sz w:val="20"/>
                  <w:szCs w:val="20"/>
                </w:rPr>
                <w:t xml:space="preserve"> (Unaudited)</w:t>
              </w:r>
            </w:hyperlink>
          </w:p>
        </w:tc>
        <w:tc>
          <w:tcPr>
            <w:tcW w:w="0" w:type="auto"/>
            <w:gridSpan w:val="3"/>
            <w:tcMar>
              <w:top w:w="30" w:type="dxa"/>
              <w:left w:w="20" w:type="dxa"/>
              <w:bottom w:w="30" w:type="dxa"/>
              <w:right w:w="20" w:type="dxa"/>
            </w:tcMar>
            <w:hideMark/>
          </w:tcPr>
          <w:p w:rsidR="00000000" w:rsidRDefault="009012B9">
            <w:pPr>
              <w:spacing w:after="100"/>
              <w:jc w:val="right"/>
              <w:rPr>
                <w:rFonts w:eastAsia="Times New Roman"/>
              </w:rPr>
            </w:pPr>
            <w:hyperlink w:anchor="i8f7834183417467aa4a1dcb714c5c192_25" w:history="1">
              <w:r>
                <w:rPr>
                  <w:rStyle w:val="a3"/>
                  <w:rFonts w:eastAsia="Times New Roman"/>
                  <w:color w:val="000000"/>
                  <w:sz w:val="20"/>
                  <w:szCs w:val="20"/>
                  <w:u w:val="none"/>
                </w:rPr>
                <w:t>8</w:t>
              </w:r>
            </w:hyperlink>
          </w:p>
        </w:tc>
      </w:tr>
      <w:tr w:rsidR="00000000">
        <w:trPr>
          <w:divId w:val="1980572434"/>
        </w:trPr>
        <w:tc>
          <w:tcPr>
            <w:tcW w:w="0" w:type="auto"/>
            <w:gridSpan w:val="3"/>
            <w:tcMar>
              <w:top w:w="30" w:type="dxa"/>
              <w:left w:w="20" w:type="dxa"/>
              <w:bottom w:w="30" w:type="dxa"/>
              <w:right w:w="20" w:type="dxa"/>
            </w:tcMar>
            <w:vAlign w:val="bottom"/>
            <w:hideMark/>
          </w:tcPr>
          <w:p w:rsidR="00000000" w:rsidRDefault="009012B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9012B9">
            <w:pPr>
              <w:spacing w:after="100"/>
              <w:divId w:val="2101753699"/>
              <w:rPr>
                <w:rFonts w:eastAsia="Times New Roman"/>
              </w:rPr>
            </w:pPr>
            <w:hyperlink w:anchor="i8f7834183417467aa4a1dcb714c5c192_31" w:history="1">
              <w:r>
                <w:rPr>
                  <w:rStyle w:val="a3"/>
                  <w:rFonts w:eastAsia="Times New Roman"/>
                  <w:sz w:val="20"/>
                  <w:szCs w:val="20"/>
                </w:rPr>
                <w:t>Condensed Statements of Cash Flows for the</w:t>
              </w:r>
            </w:hyperlink>
            <w:hyperlink w:anchor="i8f7834183417467aa4a1dcb714c5c192_31" w:history="1">
              <w:r>
                <w:rPr>
                  <w:rStyle w:val="a3"/>
                  <w:rFonts w:eastAsia="Times New Roman"/>
                  <w:sz w:val="20"/>
                  <w:szCs w:val="20"/>
                </w:rPr>
                <w:t xml:space="preserve"> three months</w:t>
              </w:r>
            </w:hyperlink>
            <w:hyperlink w:anchor="i8f7834183417467aa4a1dcb714c5c192_31" w:history="1">
              <w:r>
                <w:rPr>
                  <w:rStyle w:val="a3"/>
                  <w:rFonts w:eastAsia="Times New Roman"/>
                  <w:sz w:val="20"/>
                  <w:szCs w:val="20"/>
                </w:rPr>
                <w:t xml:space="preserve"> ended </w:t>
              </w:r>
            </w:hyperlink>
            <w:hyperlink w:anchor="i8f7834183417467aa4a1dcb714c5c192_31" w:history="1">
              <w:r>
                <w:rPr>
                  <w:rStyle w:val="a3"/>
                  <w:rFonts w:eastAsia="Times New Roman"/>
                  <w:sz w:val="20"/>
                  <w:szCs w:val="20"/>
                </w:rPr>
                <w:t>March 31</w:t>
              </w:r>
            </w:hyperlink>
            <w:hyperlink w:anchor="i8f7834183417467aa4a1dcb714c5c192_31" w:history="1">
              <w:r>
                <w:rPr>
                  <w:rStyle w:val="a3"/>
                  <w:rFonts w:eastAsia="Times New Roman"/>
                  <w:sz w:val="20"/>
                  <w:szCs w:val="20"/>
                </w:rPr>
                <w:t>, 202</w:t>
              </w:r>
            </w:hyperlink>
            <w:hyperlink w:anchor="i8f7834183417467aa4a1dcb714c5c192_31" w:history="1">
              <w:r>
                <w:rPr>
                  <w:rStyle w:val="a3"/>
                  <w:rFonts w:eastAsia="Times New Roman"/>
                  <w:sz w:val="20"/>
                  <w:szCs w:val="20"/>
                </w:rPr>
                <w:t>1</w:t>
              </w:r>
            </w:hyperlink>
            <w:hyperlink w:anchor="i8f7834183417467aa4a1dcb714c5c192_31" w:history="1">
              <w:r>
                <w:rPr>
                  <w:rStyle w:val="a3"/>
                  <w:rFonts w:eastAsia="Times New Roman"/>
                  <w:sz w:val="20"/>
                  <w:szCs w:val="20"/>
                </w:rPr>
                <w:t xml:space="preserve"> and 20</w:t>
              </w:r>
            </w:hyperlink>
            <w:hyperlink w:anchor="i8f7834183417467aa4a1dcb714c5c192_31" w:history="1">
              <w:r>
                <w:rPr>
                  <w:rStyle w:val="a3"/>
                  <w:rFonts w:eastAsia="Times New Roman"/>
                  <w:sz w:val="20"/>
                  <w:szCs w:val="20"/>
                </w:rPr>
                <w:t>20</w:t>
              </w:r>
            </w:hyperlink>
            <w:hyperlink w:anchor="i8f7834183417467aa4a1dcb714c5c192_31" w:history="1">
              <w:r>
                <w:rPr>
                  <w:rStyle w:val="a3"/>
                  <w:rFonts w:eastAsia="Times New Roman"/>
                  <w:sz w:val="20"/>
                  <w:szCs w:val="20"/>
                </w:rPr>
                <w:t xml:space="preserve"> (Unaudited)</w:t>
              </w:r>
            </w:hyperlink>
          </w:p>
        </w:tc>
        <w:tc>
          <w:tcPr>
            <w:tcW w:w="0" w:type="auto"/>
            <w:gridSpan w:val="3"/>
            <w:tcMar>
              <w:top w:w="30" w:type="dxa"/>
              <w:left w:w="20" w:type="dxa"/>
              <w:bottom w:w="30" w:type="dxa"/>
              <w:right w:w="20" w:type="dxa"/>
            </w:tcMar>
            <w:hideMark/>
          </w:tcPr>
          <w:p w:rsidR="00000000" w:rsidRDefault="009012B9">
            <w:pPr>
              <w:spacing w:after="100"/>
              <w:jc w:val="right"/>
              <w:rPr>
                <w:rFonts w:eastAsia="Times New Roman"/>
              </w:rPr>
            </w:pPr>
            <w:hyperlink w:anchor="i8f7834183417467aa4a1dcb714c5c192_31" w:history="1">
              <w:r>
                <w:rPr>
                  <w:rStyle w:val="a3"/>
                  <w:rFonts w:eastAsia="Times New Roman"/>
                  <w:color w:val="000000"/>
                  <w:sz w:val="20"/>
                  <w:szCs w:val="20"/>
                  <w:u w:val="none"/>
                </w:rPr>
                <w:t>10</w:t>
              </w:r>
            </w:hyperlink>
          </w:p>
        </w:tc>
      </w:tr>
      <w:tr w:rsidR="00000000">
        <w:trPr>
          <w:divId w:val="1980572434"/>
        </w:trPr>
        <w:tc>
          <w:tcPr>
            <w:tcW w:w="0" w:type="auto"/>
            <w:gridSpan w:val="3"/>
            <w:tcMar>
              <w:top w:w="30" w:type="dxa"/>
              <w:left w:w="20" w:type="dxa"/>
              <w:bottom w:w="30" w:type="dxa"/>
              <w:right w:w="20" w:type="dxa"/>
            </w:tcMar>
            <w:vAlign w:val="bottom"/>
            <w:hideMark/>
          </w:tcPr>
          <w:p w:rsidR="00000000" w:rsidRDefault="009012B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9012B9">
            <w:pPr>
              <w:spacing w:after="100"/>
              <w:divId w:val="1849371825"/>
              <w:rPr>
                <w:rFonts w:eastAsia="Times New Roman"/>
              </w:rPr>
            </w:pPr>
            <w:hyperlink w:anchor="i8f7834183417467aa4a1dcb714c5c192_34" w:history="1">
              <w:r>
                <w:rPr>
                  <w:rStyle w:val="a3"/>
                  <w:rFonts w:eastAsia="Times New Roman"/>
                  <w:sz w:val="20"/>
                  <w:szCs w:val="20"/>
                </w:rPr>
                <w:t>Notes to Condensed Financial Statements (Unaudited)</w:t>
              </w:r>
            </w:hyperlink>
          </w:p>
        </w:tc>
        <w:tc>
          <w:tcPr>
            <w:tcW w:w="0" w:type="auto"/>
            <w:gridSpan w:val="3"/>
            <w:tcMar>
              <w:top w:w="30" w:type="dxa"/>
              <w:left w:w="20" w:type="dxa"/>
              <w:bottom w:w="30" w:type="dxa"/>
              <w:right w:w="20" w:type="dxa"/>
            </w:tcMar>
            <w:hideMark/>
          </w:tcPr>
          <w:p w:rsidR="00000000" w:rsidRDefault="009012B9">
            <w:pPr>
              <w:spacing w:after="100"/>
              <w:jc w:val="right"/>
              <w:rPr>
                <w:rFonts w:eastAsia="Times New Roman"/>
              </w:rPr>
            </w:pPr>
            <w:hyperlink w:anchor="i8f7834183417467aa4a1dcb714c5c192_34" w:history="1">
              <w:r>
                <w:rPr>
                  <w:rStyle w:val="a3"/>
                  <w:rFonts w:eastAsia="Times New Roman"/>
                  <w:color w:val="000000"/>
                  <w:sz w:val="20"/>
                  <w:szCs w:val="20"/>
                  <w:u w:val="none"/>
                </w:rPr>
                <w:t>11</w:t>
              </w:r>
            </w:hyperlink>
          </w:p>
        </w:tc>
      </w:tr>
      <w:tr w:rsidR="00000000">
        <w:trPr>
          <w:divId w:val="1980572434"/>
        </w:trPr>
        <w:tc>
          <w:tcPr>
            <w:tcW w:w="0" w:type="auto"/>
            <w:gridSpan w:val="3"/>
            <w:tcMar>
              <w:top w:w="30" w:type="dxa"/>
              <w:left w:w="20" w:type="dxa"/>
              <w:bottom w:w="30" w:type="dxa"/>
              <w:right w:w="20" w:type="dxa"/>
            </w:tcMar>
            <w:vAlign w:val="bottom"/>
            <w:hideMark/>
          </w:tcPr>
          <w:p w:rsidR="00000000" w:rsidRDefault="009012B9">
            <w:pPr>
              <w:spacing w:after="100"/>
              <w:divId w:val="109470699"/>
              <w:rPr>
                <w:rFonts w:eastAsia="Times New Roman"/>
              </w:rPr>
            </w:pPr>
            <w:hyperlink w:anchor="i8f7834183417467aa4a1dcb714c5c192_127" w:history="1">
              <w:r>
                <w:rPr>
                  <w:rStyle w:val="a3"/>
                  <w:rFonts w:eastAsia="Times New Roman"/>
                  <w:color w:val="000000"/>
                  <w:sz w:val="20"/>
                  <w:szCs w:val="20"/>
                  <w:u w:val="none"/>
                </w:rPr>
                <w:t>Item 2.</w:t>
              </w:r>
            </w:hyperlink>
          </w:p>
        </w:tc>
        <w:tc>
          <w:tcPr>
            <w:tcW w:w="0" w:type="auto"/>
            <w:gridSpan w:val="3"/>
            <w:tcMar>
              <w:top w:w="30" w:type="dxa"/>
              <w:left w:w="20" w:type="dxa"/>
              <w:bottom w:w="30" w:type="dxa"/>
              <w:right w:w="20" w:type="dxa"/>
            </w:tcMar>
            <w:vAlign w:val="bottom"/>
            <w:hideMark/>
          </w:tcPr>
          <w:p w:rsidR="00000000" w:rsidRDefault="009012B9">
            <w:pPr>
              <w:spacing w:after="100"/>
              <w:divId w:val="1264652363"/>
              <w:rPr>
                <w:rFonts w:eastAsia="Times New Roman"/>
              </w:rPr>
            </w:pPr>
            <w:hyperlink w:anchor="i8f7834183417467aa4a1dcb714c5c192_127"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hideMark/>
          </w:tcPr>
          <w:p w:rsidR="00000000" w:rsidRDefault="009012B9">
            <w:pPr>
              <w:spacing w:after="100"/>
              <w:jc w:val="right"/>
              <w:rPr>
                <w:rFonts w:eastAsia="Times New Roman"/>
              </w:rPr>
            </w:pPr>
            <w:hyperlink w:anchor="i8f7834183417467aa4a1dcb714c5c192_127" w:history="1">
              <w:r>
                <w:rPr>
                  <w:rStyle w:val="a3"/>
                  <w:rFonts w:eastAsia="Times New Roman"/>
                  <w:color w:val="000000"/>
                  <w:sz w:val="20"/>
                  <w:szCs w:val="20"/>
                  <w:u w:val="none"/>
                </w:rPr>
                <w:t>22</w:t>
              </w:r>
            </w:hyperlink>
          </w:p>
        </w:tc>
      </w:tr>
      <w:tr w:rsidR="00000000">
        <w:trPr>
          <w:divId w:val="1980572434"/>
        </w:trPr>
        <w:tc>
          <w:tcPr>
            <w:tcW w:w="0" w:type="auto"/>
            <w:gridSpan w:val="3"/>
            <w:tcMar>
              <w:top w:w="30" w:type="dxa"/>
              <w:left w:w="20" w:type="dxa"/>
              <w:bottom w:w="30" w:type="dxa"/>
              <w:right w:w="20" w:type="dxa"/>
            </w:tcMar>
            <w:vAlign w:val="bottom"/>
            <w:hideMark/>
          </w:tcPr>
          <w:p w:rsidR="00000000" w:rsidRDefault="009012B9">
            <w:pPr>
              <w:spacing w:after="100"/>
              <w:divId w:val="427965688"/>
              <w:rPr>
                <w:rFonts w:eastAsia="Times New Roman"/>
              </w:rPr>
            </w:pPr>
            <w:hyperlink w:anchor="i8f7834183417467aa4a1dcb714c5c192_163" w:history="1">
              <w:r>
                <w:rPr>
                  <w:rStyle w:val="a3"/>
                  <w:rFonts w:eastAsia="Times New Roman"/>
                  <w:color w:val="000000"/>
                  <w:sz w:val="20"/>
                  <w:szCs w:val="20"/>
                  <w:u w:val="none"/>
                </w:rPr>
                <w:t>Item 3.</w:t>
              </w:r>
            </w:hyperlink>
          </w:p>
        </w:tc>
        <w:tc>
          <w:tcPr>
            <w:tcW w:w="0" w:type="auto"/>
            <w:gridSpan w:val="3"/>
            <w:tcMar>
              <w:top w:w="30" w:type="dxa"/>
              <w:left w:w="20" w:type="dxa"/>
              <w:bottom w:w="30" w:type="dxa"/>
              <w:right w:w="20" w:type="dxa"/>
            </w:tcMar>
            <w:vAlign w:val="bottom"/>
            <w:hideMark/>
          </w:tcPr>
          <w:p w:rsidR="00000000" w:rsidRDefault="009012B9">
            <w:pPr>
              <w:spacing w:after="100"/>
              <w:divId w:val="245923179"/>
              <w:rPr>
                <w:rFonts w:eastAsia="Times New Roman"/>
              </w:rPr>
            </w:pPr>
            <w:hyperlink w:anchor="i8f7834183417467aa4a1dcb714c5c192_163"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hideMark/>
          </w:tcPr>
          <w:p w:rsidR="00000000" w:rsidRDefault="009012B9">
            <w:pPr>
              <w:spacing w:after="100"/>
              <w:jc w:val="right"/>
              <w:rPr>
                <w:rFonts w:eastAsia="Times New Roman"/>
              </w:rPr>
            </w:pPr>
            <w:hyperlink w:anchor="i8f7834183417467aa4a1dcb714c5c192_163" w:history="1">
              <w:r>
                <w:rPr>
                  <w:rStyle w:val="a3"/>
                  <w:rFonts w:eastAsia="Times New Roman"/>
                  <w:color w:val="000000"/>
                  <w:sz w:val="20"/>
                  <w:szCs w:val="20"/>
                  <w:u w:val="none"/>
                </w:rPr>
                <w:t>28</w:t>
              </w:r>
            </w:hyperlink>
          </w:p>
        </w:tc>
      </w:tr>
      <w:tr w:rsidR="00000000">
        <w:trPr>
          <w:divId w:val="1980572434"/>
        </w:trPr>
        <w:tc>
          <w:tcPr>
            <w:tcW w:w="0" w:type="auto"/>
            <w:gridSpan w:val="3"/>
            <w:tcMar>
              <w:top w:w="30" w:type="dxa"/>
              <w:left w:w="20" w:type="dxa"/>
              <w:bottom w:w="30" w:type="dxa"/>
              <w:right w:w="20" w:type="dxa"/>
            </w:tcMar>
            <w:vAlign w:val="bottom"/>
            <w:hideMark/>
          </w:tcPr>
          <w:p w:rsidR="00000000" w:rsidRDefault="009012B9">
            <w:pPr>
              <w:spacing w:after="100"/>
              <w:divId w:val="803697035"/>
              <w:rPr>
                <w:rFonts w:eastAsia="Times New Roman"/>
              </w:rPr>
            </w:pPr>
            <w:hyperlink w:anchor="i8f7834183417467aa4a1dcb714c5c192_166" w:history="1">
              <w:r>
                <w:rPr>
                  <w:rStyle w:val="a3"/>
                  <w:rFonts w:eastAsia="Times New Roman"/>
                  <w:color w:val="000000"/>
                  <w:sz w:val="20"/>
                  <w:szCs w:val="20"/>
                  <w:u w:val="none"/>
                </w:rPr>
                <w:t>Item 4.</w:t>
              </w:r>
            </w:hyperlink>
          </w:p>
        </w:tc>
        <w:tc>
          <w:tcPr>
            <w:tcW w:w="0" w:type="auto"/>
            <w:gridSpan w:val="3"/>
            <w:tcMar>
              <w:top w:w="30" w:type="dxa"/>
              <w:left w:w="20" w:type="dxa"/>
              <w:bottom w:w="30" w:type="dxa"/>
              <w:right w:w="20" w:type="dxa"/>
            </w:tcMar>
            <w:vAlign w:val="bottom"/>
            <w:hideMark/>
          </w:tcPr>
          <w:p w:rsidR="00000000" w:rsidRDefault="009012B9">
            <w:pPr>
              <w:spacing w:after="100"/>
              <w:divId w:val="350453035"/>
              <w:rPr>
                <w:rFonts w:eastAsia="Times New Roman"/>
              </w:rPr>
            </w:pPr>
            <w:hyperlink w:anchor="i8f7834183417467aa4a1dcb714c5c192_166"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hideMark/>
          </w:tcPr>
          <w:p w:rsidR="00000000" w:rsidRDefault="009012B9">
            <w:pPr>
              <w:spacing w:after="100"/>
              <w:jc w:val="right"/>
              <w:rPr>
                <w:rFonts w:eastAsia="Times New Roman"/>
              </w:rPr>
            </w:pPr>
            <w:hyperlink w:anchor="i8f7834183417467aa4a1dcb714c5c192_166" w:history="1">
              <w:r>
                <w:rPr>
                  <w:rStyle w:val="a3"/>
                  <w:rFonts w:eastAsia="Times New Roman"/>
                  <w:color w:val="000000"/>
                  <w:sz w:val="20"/>
                  <w:szCs w:val="20"/>
                  <w:u w:val="none"/>
                </w:rPr>
                <w:t>28</w:t>
              </w:r>
            </w:hyperlink>
          </w:p>
        </w:tc>
      </w:tr>
      <w:tr w:rsidR="00000000">
        <w:trPr>
          <w:divId w:val="1980572434"/>
        </w:trPr>
        <w:tc>
          <w:tcPr>
            <w:tcW w:w="0" w:type="auto"/>
            <w:gridSpan w:val="3"/>
            <w:tcMar>
              <w:top w:w="30" w:type="dxa"/>
              <w:left w:w="20" w:type="dxa"/>
              <w:bottom w:w="30" w:type="dxa"/>
              <w:right w:w="20" w:type="dxa"/>
            </w:tcMar>
            <w:vAlign w:val="bottom"/>
            <w:hideMark/>
          </w:tcPr>
          <w:p w:rsidR="00000000" w:rsidRDefault="009012B9">
            <w:pPr>
              <w:spacing w:after="100"/>
              <w:rPr>
                <w:rFonts w:eastAsia="Times New Roman"/>
              </w:rPr>
            </w:pPr>
            <w:r>
              <w:rPr>
                <w:rFonts w:eastAsia="Times New Roman"/>
                <w:b/>
                <w:bCs/>
                <w:color w:val="000000"/>
                <w:sz w:val="12"/>
                <w:szCs w:val="12"/>
              </w:rPr>
              <w:t> </w:t>
            </w:r>
          </w:p>
        </w:tc>
        <w:tc>
          <w:tcPr>
            <w:tcW w:w="0" w:type="auto"/>
            <w:gridSpan w:val="3"/>
            <w:tcMar>
              <w:top w:w="30" w:type="dxa"/>
              <w:left w:w="20" w:type="dxa"/>
              <w:bottom w:w="30" w:type="dxa"/>
              <w:right w:w="20" w:type="dxa"/>
            </w:tcMar>
            <w:vAlign w:val="bottom"/>
            <w:hideMark/>
          </w:tcPr>
          <w:p w:rsidR="00000000" w:rsidRDefault="009012B9">
            <w:pPr>
              <w:spacing w:after="100"/>
              <w:rPr>
                <w:rFonts w:eastAsia="Times New Roman"/>
              </w:rPr>
            </w:pPr>
            <w:r>
              <w:rPr>
                <w:rFonts w:eastAsia="Times New Roman"/>
                <w:color w:val="000000"/>
                <w:sz w:val="12"/>
                <w:szCs w:val="12"/>
              </w:rPr>
              <w:t> </w:t>
            </w: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r>
      <w:tr w:rsidR="00000000">
        <w:trPr>
          <w:divId w:val="1980572434"/>
        </w:trPr>
        <w:tc>
          <w:tcPr>
            <w:tcW w:w="0" w:type="auto"/>
            <w:gridSpan w:val="3"/>
            <w:tcMar>
              <w:top w:w="30" w:type="dxa"/>
              <w:left w:w="20" w:type="dxa"/>
              <w:bottom w:w="30" w:type="dxa"/>
              <w:right w:w="20" w:type="dxa"/>
            </w:tcMar>
            <w:vAlign w:val="bottom"/>
            <w:hideMark/>
          </w:tcPr>
          <w:p w:rsidR="00000000" w:rsidRDefault="009012B9">
            <w:pPr>
              <w:spacing w:after="100"/>
              <w:divId w:val="410735217"/>
              <w:rPr>
                <w:rFonts w:eastAsia="Times New Roman"/>
              </w:rPr>
            </w:pPr>
            <w:hyperlink w:anchor="i8f7834183417467aa4a1dcb714c5c192_169" w:history="1">
              <w:r>
                <w:rPr>
                  <w:rStyle w:val="a3"/>
                  <w:rFonts w:eastAsia="Times New Roman"/>
                  <w:b/>
                  <w:bCs/>
                  <w:color w:val="000000"/>
                  <w:sz w:val="20"/>
                  <w:szCs w:val="20"/>
                  <w:u w:val="none"/>
                </w:rPr>
                <w:t>PART II.</w:t>
              </w:r>
            </w:hyperlink>
          </w:p>
        </w:tc>
        <w:tc>
          <w:tcPr>
            <w:tcW w:w="0" w:type="auto"/>
            <w:gridSpan w:val="3"/>
            <w:tcMar>
              <w:top w:w="30" w:type="dxa"/>
              <w:left w:w="20" w:type="dxa"/>
              <w:bottom w:w="30" w:type="dxa"/>
              <w:right w:w="20" w:type="dxa"/>
            </w:tcMar>
            <w:vAlign w:val="bottom"/>
            <w:hideMark/>
          </w:tcPr>
          <w:p w:rsidR="00000000" w:rsidRDefault="009012B9">
            <w:pPr>
              <w:spacing w:after="100"/>
              <w:divId w:val="1502693591"/>
              <w:rPr>
                <w:rFonts w:eastAsia="Times New Roman"/>
              </w:rPr>
            </w:pPr>
            <w:hyperlink w:anchor="i8f7834183417467aa4a1dcb714c5c192_169"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hideMark/>
          </w:tcPr>
          <w:p w:rsidR="00000000" w:rsidRDefault="009012B9">
            <w:pPr>
              <w:spacing w:after="100"/>
              <w:jc w:val="right"/>
              <w:rPr>
                <w:rFonts w:eastAsia="Times New Roman"/>
              </w:rPr>
            </w:pPr>
            <w:hyperlink w:anchor="i8f7834183417467aa4a1dcb714c5c192_169" w:history="1">
              <w:r>
                <w:rPr>
                  <w:rStyle w:val="a3"/>
                  <w:rFonts w:eastAsia="Times New Roman"/>
                  <w:color w:val="000000"/>
                  <w:sz w:val="20"/>
                  <w:szCs w:val="20"/>
                  <w:u w:val="none"/>
                </w:rPr>
                <w:t>29</w:t>
              </w:r>
            </w:hyperlink>
          </w:p>
        </w:tc>
      </w:tr>
      <w:tr w:rsidR="00000000">
        <w:trPr>
          <w:divId w:val="1980572434"/>
        </w:trPr>
        <w:tc>
          <w:tcPr>
            <w:tcW w:w="0" w:type="auto"/>
            <w:gridSpan w:val="3"/>
            <w:tcMar>
              <w:top w:w="30" w:type="dxa"/>
              <w:left w:w="20" w:type="dxa"/>
              <w:bottom w:w="30" w:type="dxa"/>
              <w:right w:w="20" w:type="dxa"/>
            </w:tcMar>
            <w:vAlign w:val="bottom"/>
            <w:hideMark/>
          </w:tcPr>
          <w:p w:rsidR="00000000" w:rsidRDefault="009012B9">
            <w:pPr>
              <w:spacing w:after="100"/>
              <w:rPr>
                <w:rFonts w:eastAsia="Times New Roman"/>
              </w:rPr>
            </w:pPr>
            <w:r>
              <w:rPr>
                <w:rFonts w:eastAsia="Times New Roman"/>
                <w:color w:val="000000"/>
                <w:sz w:val="12"/>
                <w:szCs w:val="12"/>
              </w:rPr>
              <w:t> </w:t>
            </w:r>
          </w:p>
        </w:tc>
        <w:tc>
          <w:tcPr>
            <w:tcW w:w="0" w:type="auto"/>
            <w:gridSpan w:val="3"/>
            <w:tcMar>
              <w:top w:w="30" w:type="dxa"/>
              <w:left w:w="20" w:type="dxa"/>
              <w:bottom w:w="30" w:type="dxa"/>
              <w:right w:w="20" w:type="dxa"/>
            </w:tcMar>
            <w:vAlign w:val="bottom"/>
            <w:hideMark/>
          </w:tcPr>
          <w:p w:rsidR="00000000" w:rsidRDefault="009012B9">
            <w:pPr>
              <w:spacing w:after="100"/>
              <w:rPr>
                <w:rFonts w:eastAsia="Times New Roman"/>
              </w:rPr>
            </w:pPr>
            <w:r>
              <w:rPr>
                <w:rFonts w:eastAsia="Times New Roman"/>
                <w:color w:val="000000"/>
                <w:sz w:val="12"/>
                <w:szCs w:val="12"/>
              </w:rPr>
              <w:t> </w:t>
            </w: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r>
      <w:tr w:rsidR="00000000">
        <w:trPr>
          <w:divId w:val="1980572434"/>
        </w:trPr>
        <w:tc>
          <w:tcPr>
            <w:tcW w:w="0" w:type="auto"/>
            <w:gridSpan w:val="3"/>
            <w:tcMar>
              <w:top w:w="30" w:type="dxa"/>
              <w:left w:w="20" w:type="dxa"/>
              <w:bottom w:w="30" w:type="dxa"/>
              <w:right w:w="20" w:type="dxa"/>
            </w:tcMar>
            <w:vAlign w:val="bottom"/>
            <w:hideMark/>
          </w:tcPr>
          <w:p w:rsidR="00000000" w:rsidRDefault="009012B9">
            <w:pPr>
              <w:spacing w:after="100"/>
              <w:divId w:val="1883133208"/>
              <w:rPr>
                <w:rFonts w:eastAsia="Times New Roman"/>
              </w:rPr>
            </w:pPr>
            <w:hyperlink w:anchor="i8f7834183417467aa4a1dcb714c5c192_172" w:history="1">
              <w:r>
                <w:rPr>
                  <w:rStyle w:val="a3"/>
                  <w:rFonts w:eastAsia="Times New Roman"/>
                  <w:color w:val="000000"/>
                  <w:sz w:val="20"/>
                  <w:szCs w:val="20"/>
                  <w:u w:val="none"/>
                </w:rPr>
                <w:t>Item 1.</w:t>
              </w:r>
            </w:hyperlink>
          </w:p>
        </w:tc>
        <w:tc>
          <w:tcPr>
            <w:tcW w:w="0" w:type="auto"/>
            <w:gridSpan w:val="3"/>
            <w:tcMar>
              <w:top w:w="30" w:type="dxa"/>
              <w:left w:w="20" w:type="dxa"/>
              <w:bottom w:w="30" w:type="dxa"/>
              <w:right w:w="20" w:type="dxa"/>
            </w:tcMar>
            <w:vAlign w:val="bottom"/>
            <w:hideMark/>
          </w:tcPr>
          <w:p w:rsidR="00000000" w:rsidRDefault="009012B9">
            <w:pPr>
              <w:spacing w:after="100"/>
              <w:divId w:val="387656700"/>
              <w:rPr>
                <w:rFonts w:eastAsia="Times New Roman"/>
              </w:rPr>
            </w:pPr>
            <w:hyperlink w:anchor="i8f7834183417467aa4a1dcb714c5c192_172"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hideMark/>
          </w:tcPr>
          <w:p w:rsidR="00000000" w:rsidRDefault="009012B9">
            <w:pPr>
              <w:spacing w:after="100"/>
              <w:jc w:val="right"/>
              <w:rPr>
                <w:rFonts w:eastAsia="Times New Roman"/>
              </w:rPr>
            </w:pPr>
            <w:hyperlink w:anchor="i8f7834183417467aa4a1dcb714c5c192_172" w:history="1">
              <w:r>
                <w:rPr>
                  <w:rStyle w:val="a3"/>
                  <w:rFonts w:eastAsia="Times New Roman"/>
                  <w:color w:val="000000"/>
                  <w:sz w:val="20"/>
                  <w:szCs w:val="20"/>
                  <w:u w:val="none"/>
                </w:rPr>
                <w:t>29</w:t>
              </w:r>
            </w:hyperlink>
          </w:p>
        </w:tc>
      </w:tr>
      <w:tr w:rsidR="00000000">
        <w:trPr>
          <w:divId w:val="1980572434"/>
        </w:trPr>
        <w:tc>
          <w:tcPr>
            <w:tcW w:w="0" w:type="auto"/>
            <w:gridSpan w:val="3"/>
            <w:tcMar>
              <w:top w:w="30" w:type="dxa"/>
              <w:left w:w="20" w:type="dxa"/>
              <w:bottom w:w="30" w:type="dxa"/>
              <w:right w:w="20" w:type="dxa"/>
            </w:tcMar>
            <w:vAlign w:val="bottom"/>
            <w:hideMark/>
          </w:tcPr>
          <w:p w:rsidR="00000000" w:rsidRDefault="009012B9">
            <w:pPr>
              <w:spacing w:after="100"/>
              <w:divId w:val="6295633"/>
              <w:rPr>
                <w:rFonts w:eastAsia="Times New Roman"/>
              </w:rPr>
            </w:pPr>
            <w:hyperlink w:anchor="i8f7834183417467aa4a1dcb714c5c192_175" w:history="1">
              <w:r>
                <w:rPr>
                  <w:rStyle w:val="a3"/>
                  <w:rFonts w:eastAsia="Times New Roman"/>
                  <w:color w:val="000000"/>
                  <w:sz w:val="20"/>
                  <w:szCs w:val="20"/>
                  <w:u w:val="none"/>
                </w:rPr>
                <w:t>Item 1A.</w:t>
              </w:r>
            </w:hyperlink>
          </w:p>
        </w:tc>
        <w:tc>
          <w:tcPr>
            <w:tcW w:w="0" w:type="auto"/>
            <w:gridSpan w:val="3"/>
            <w:tcMar>
              <w:top w:w="30" w:type="dxa"/>
              <w:left w:w="20" w:type="dxa"/>
              <w:bottom w:w="30" w:type="dxa"/>
              <w:right w:w="20" w:type="dxa"/>
            </w:tcMar>
            <w:vAlign w:val="bottom"/>
            <w:hideMark/>
          </w:tcPr>
          <w:p w:rsidR="00000000" w:rsidRDefault="009012B9">
            <w:pPr>
              <w:spacing w:after="100"/>
              <w:divId w:val="148137233"/>
              <w:rPr>
                <w:rFonts w:eastAsia="Times New Roman"/>
              </w:rPr>
            </w:pPr>
            <w:hyperlink w:anchor="i8f7834183417467aa4a1dcb714c5c192_175" w:history="1">
              <w:r>
                <w:rPr>
                  <w:rStyle w:val="a3"/>
                  <w:rFonts w:eastAsia="Times New Roman"/>
                  <w:sz w:val="20"/>
                  <w:szCs w:val="20"/>
                </w:rPr>
                <w:t>Risk Factors</w:t>
              </w:r>
            </w:hyperlink>
          </w:p>
        </w:tc>
        <w:tc>
          <w:tcPr>
            <w:tcW w:w="0" w:type="auto"/>
            <w:gridSpan w:val="3"/>
            <w:tcMar>
              <w:top w:w="30" w:type="dxa"/>
              <w:left w:w="20" w:type="dxa"/>
              <w:bottom w:w="30" w:type="dxa"/>
              <w:right w:w="20" w:type="dxa"/>
            </w:tcMar>
            <w:hideMark/>
          </w:tcPr>
          <w:p w:rsidR="00000000" w:rsidRDefault="009012B9">
            <w:pPr>
              <w:spacing w:after="100"/>
              <w:jc w:val="right"/>
              <w:rPr>
                <w:rFonts w:eastAsia="Times New Roman"/>
              </w:rPr>
            </w:pPr>
            <w:hyperlink w:anchor="i8f7834183417467aa4a1dcb714c5c192_175" w:history="1">
              <w:r>
                <w:rPr>
                  <w:rStyle w:val="a3"/>
                  <w:rFonts w:eastAsia="Times New Roman"/>
                  <w:color w:val="000000"/>
                  <w:sz w:val="20"/>
                  <w:szCs w:val="20"/>
                  <w:u w:val="none"/>
                </w:rPr>
                <w:t>29</w:t>
              </w:r>
            </w:hyperlink>
          </w:p>
        </w:tc>
      </w:tr>
      <w:tr w:rsidR="00000000">
        <w:trPr>
          <w:divId w:val="1980572434"/>
        </w:trPr>
        <w:tc>
          <w:tcPr>
            <w:tcW w:w="0" w:type="auto"/>
            <w:gridSpan w:val="3"/>
            <w:tcMar>
              <w:top w:w="30" w:type="dxa"/>
              <w:left w:w="20" w:type="dxa"/>
              <w:bottom w:w="30" w:type="dxa"/>
              <w:right w:w="20" w:type="dxa"/>
            </w:tcMar>
            <w:vAlign w:val="bottom"/>
            <w:hideMark/>
          </w:tcPr>
          <w:p w:rsidR="00000000" w:rsidRDefault="009012B9">
            <w:pPr>
              <w:spacing w:after="100"/>
              <w:divId w:val="1578904429"/>
              <w:rPr>
                <w:rFonts w:eastAsia="Times New Roman"/>
              </w:rPr>
            </w:pPr>
            <w:hyperlink w:anchor="i8f7834183417467aa4a1dcb714c5c192_178" w:history="1">
              <w:r>
                <w:rPr>
                  <w:rStyle w:val="a3"/>
                  <w:rFonts w:eastAsia="Times New Roman"/>
                  <w:color w:val="000000"/>
                  <w:sz w:val="20"/>
                  <w:szCs w:val="20"/>
                  <w:u w:val="none"/>
                </w:rPr>
                <w:t>Item 2.</w:t>
              </w:r>
            </w:hyperlink>
          </w:p>
        </w:tc>
        <w:tc>
          <w:tcPr>
            <w:tcW w:w="0" w:type="auto"/>
            <w:gridSpan w:val="3"/>
            <w:tcMar>
              <w:top w:w="30" w:type="dxa"/>
              <w:left w:w="20" w:type="dxa"/>
              <w:bottom w:w="30" w:type="dxa"/>
              <w:right w:w="20" w:type="dxa"/>
            </w:tcMar>
            <w:vAlign w:val="bottom"/>
            <w:hideMark/>
          </w:tcPr>
          <w:p w:rsidR="00000000" w:rsidRDefault="009012B9">
            <w:pPr>
              <w:spacing w:after="100"/>
              <w:divId w:val="31923971"/>
              <w:rPr>
                <w:rFonts w:eastAsia="Times New Roman"/>
              </w:rPr>
            </w:pPr>
            <w:hyperlink w:anchor="i8f7834183417467aa4a1dcb714c5c192_178" w:history="1">
              <w:r>
                <w:rPr>
                  <w:rStyle w:val="a3"/>
                  <w:rFonts w:eastAsia="Times New Roman"/>
                  <w:sz w:val="20"/>
                  <w:szCs w:val="20"/>
                </w:rPr>
                <w:t>Unregistered Sales of Eq</w:t>
              </w:r>
              <w:r>
                <w:rPr>
                  <w:rStyle w:val="a3"/>
                  <w:rFonts w:eastAsia="Times New Roman"/>
                  <w:sz w:val="20"/>
                  <w:szCs w:val="20"/>
                </w:rPr>
                <w:t>uity Securities and Use of Proceeds</w:t>
              </w:r>
            </w:hyperlink>
          </w:p>
        </w:tc>
        <w:tc>
          <w:tcPr>
            <w:tcW w:w="0" w:type="auto"/>
            <w:gridSpan w:val="3"/>
            <w:tcMar>
              <w:top w:w="30" w:type="dxa"/>
              <w:left w:w="20" w:type="dxa"/>
              <w:bottom w:w="30" w:type="dxa"/>
              <w:right w:w="20" w:type="dxa"/>
            </w:tcMar>
            <w:hideMark/>
          </w:tcPr>
          <w:p w:rsidR="00000000" w:rsidRDefault="009012B9">
            <w:pPr>
              <w:spacing w:after="100"/>
              <w:jc w:val="right"/>
              <w:rPr>
                <w:rFonts w:eastAsia="Times New Roman"/>
              </w:rPr>
            </w:pPr>
            <w:hyperlink w:anchor="i8f7834183417467aa4a1dcb714c5c192_178" w:history="1">
              <w:r>
                <w:rPr>
                  <w:rStyle w:val="a3"/>
                  <w:rFonts w:eastAsia="Times New Roman"/>
                  <w:color w:val="000000"/>
                  <w:sz w:val="20"/>
                  <w:szCs w:val="20"/>
                  <w:u w:val="none"/>
                </w:rPr>
                <w:t>78</w:t>
              </w:r>
            </w:hyperlink>
          </w:p>
        </w:tc>
      </w:tr>
      <w:tr w:rsidR="00000000">
        <w:trPr>
          <w:divId w:val="1980572434"/>
        </w:trPr>
        <w:tc>
          <w:tcPr>
            <w:tcW w:w="0" w:type="auto"/>
            <w:gridSpan w:val="3"/>
            <w:tcMar>
              <w:top w:w="30" w:type="dxa"/>
              <w:left w:w="20" w:type="dxa"/>
              <w:bottom w:w="30" w:type="dxa"/>
              <w:right w:w="20" w:type="dxa"/>
            </w:tcMar>
            <w:vAlign w:val="bottom"/>
            <w:hideMark/>
          </w:tcPr>
          <w:p w:rsidR="00000000" w:rsidRDefault="009012B9">
            <w:pPr>
              <w:spacing w:after="100"/>
              <w:divId w:val="1189830120"/>
              <w:rPr>
                <w:rFonts w:eastAsia="Times New Roman"/>
              </w:rPr>
            </w:pPr>
            <w:hyperlink w:anchor="i8f7834183417467aa4a1dcb714c5c192_181" w:history="1">
              <w:r>
                <w:rPr>
                  <w:rStyle w:val="a3"/>
                  <w:rFonts w:eastAsia="Times New Roman"/>
                  <w:color w:val="000000"/>
                  <w:sz w:val="20"/>
                  <w:szCs w:val="20"/>
                  <w:u w:val="none"/>
                </w:rPr>
                <w:t>Item 3.</w:t>
              </w:r>
            </w:hyperlink>
          </w:p>
        </w:tc>
        <w:tc>
          <w:tcPr>
            <w:tcW w:w="0" w:type="auto"/>
            <w:gridSpan w:val="3"/>
            <w:tcMar>
              <w:top w:w="30" w:type="dxa"/>
              <w:left w:w="20" w:type="dxa"/>
              <w:bottom w:w="30" w:type="dxa"/>
              <w:right w:w="20" w:type="dxa"/>
            </w:tcMar>
            <w:vAlign w:val="bottom"/>
            <w:hideMark/>
          </w:tcPr>
          <w:p w:rsidR="00000000" w:rsidRDefault="009012B9">
            <w:pPr>
              <w:spacing w:after="100"/>
              <w:divId w:val="551772536"/>
              <w:rPr>
                <w:rFonts w:eastAsia="Times New Roman"/>
              </w:rPr>
            </w:pPr>
            <w:hyperlink w:anchor="i8f7834183417467aa4a1dcb714c5c192_181" w:history="1">
              <w:r>
                <w:rPr>
                  <w:rStyle w:val="a3"/>
                  <w:rFonts w:eastAsia="Times New Roman"/>
                  <w:sz w:val="20"/>
                  <w:szCs w:val="20"/>
                </w:rPr>
                <w:t>Defaults Upon Senior Securities</w:t>
              </w:r>
            </w:hyperlink>
          </w:p>
        </w:tc>
        <w:tc>
          <w:tcPr>
            <w:tcW w:w="0" w:type="auto"/>
            <w:gridSpan w:val="3"/>
            <w:tcMar>
              <w:top w:w="30" w:type="dxa"/>
              <w:left w:w="20" w:type="dxa"/>
              <w:bottom w:w="30" w:type="dxa"/>
              <w:right w:w="20" w:type="dxa"/>
            </w:tcMar>
            <w:hideMark/>
          </w:tcPr>
          <w:p w:rsidR="00000000" w:rsidRDefault="009012B9">
            <w:pPr>
              <w:spacing w:after="100"/>
              <w:jc w:val="right"/>
              <w:rPr>
                <w:rFonts w:eastAsia="Times New Roman"/>
              </w:rPr>
            </w:pPr>
            <w:hyperlink w:anchor="i8f7834183417467aa4a1dcb714c5c192_181" w:history="1">
              <w:r>
                <w:rPr>
                  <w:rStyle w:val="a3"/>
                  <w:rFonts w:eastAsia="Times New Roman"/>
                  <w:color w:val="000000"/>
                  <w:sz w:val="20"/>
                  <w:szCs w:val="20"/>
                  <w:u w:val="none"/>
                </w:rPr>
                <w:t>79</w:t>
              </w:r>
            </w:hyperlink>
          </w:p>
        </w:tc>
      </w:tr>
      <w:tr w:rsidR="00000000">
        <w:trPr>
          <w:divId w:val="1980572434"/>
        </w:trPr>
        <w:tc>
          <w:tcPr>
            <w:tcW w:w="0" w:type="auto"/>
            <w:gridSpan w:val="3"/>
            <w:tcMar>
              <w:top w:w="30" w:type="dxa"/>
              <w:left w:w="20" w:type="dxa"/>
              <w:bottom w:w="30" w:type="dxa"/>
              <w:right w:w="20" w:type="dxa"/>
            </w:tcMar>
            <w:vAlign w:val="bottom"/>
            <w:hideMark/>
          </w:tcPr>
          <w:p w:rsidR="00000000" w:rsidRDefault="009012B9">
            <w:pPr>
              <w:spacing w:after="100"/>
              <w:divId w:val="1536698143"/>
              <w:rPr>
                <w:rFonts w:eastAsia="Times New Roman"/>
              </w:rPr>
            </w:pPr>
            <w:hyperlink w:anchor="i8f7834183417467aa4a1dcb714c5c192_184" w:history="1">
              <w:r>
                <w:rPr>
                  <w:rStyle w:val="a3"/>
                  <w:rFonts w:eastAsia="Times New Roman"/>
                  <w:color w:val="000000"/>
                  <w:sz w:val="20"/>
                  <w:szCs w:val="20"/>
                  <w:u w:val="none"/>
                </w:rPr>
                <w:t>Item 4.</w:t>
              </w:r>
            </w:hyperlink>
          </w:p>
        </w:tc>
        <w:tc>
          <w:tcPr>
            <w:tcW w:w="0" w:type="auto"/>
            <w:gridSpan w:val="3"/>
            <w:tcMar>
              <w:top w:w="30" w:type="dxa"/>
              <w:left w:w="20" w:type="dxa"/>
              <w:bottom w:w="30" w:type="dxa"/>
              <w:right w:w="20" w:type="dxa"/>
            </w:tcMar>
            <w:vAlign w:val="bottom"/>
            <w:hideMark/>
          </w:tcPr>
          <w:p w:rsidR="00000000" w:rsidRDefault="009012B9">
            <w:pPr>
              <w:spacing w:after="100"/>
              <w:divId w:val="1745374504"/>
              <w:rPr>
                <w:rFonts w:eastAsia="Times New Roman"/>
              </w:rPr>
            </w:pPr>
            <w:hyperlink w:anchor="i8f7834183417467aa4a1dcb714c5c192_184"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hideMark/>
          </w:tcPr>
          <w:p w:rsidR="00000000" w:rsidRDefault="009012B9">
            <w:pPr>
              <w:spacing w:after="100"/>
              <w:jc w:val="right"/>
              <w:rPr>
                <w:rFonts w:eastAsia="Times New Roman"/>
              </w:rPr>
            </w:pPr>
            <w:hyperlink w:anchor="i8f7834183417467aa4a1dcb714c5c192_184" w:history="1">
              <w:r>
                <w:rPr>
                  <w:rStyle w:val="a3"/>
                  <w:rFonts w:eastAsia="Times New Roman"/>
                  <w:color w:val="000000"/>
                  <w:sz w:val="20"/>
                  <w:szCs w:val="20"/>
                  <w:u w:val="none"/>
                </w:rPr>
                <w:t>79</w:t>
              </w:r>
            </w:hyperlink>
          </w:p>
        </w:tc>
      </w:tr>
      <w:tr w:rsidR="00000000">
        <w:trPr>
          <w:divId w:val="1980572434"/>
        </w:trPr>
        <w:tc>
          <w:tcPr>
            <w:tcW w:w="0" w:type="auto"/>
            <w:gridSpan w:val="3"/>
            <w:tcMar>
              <w:top w:w="30" w:type="dxa"/>
              <w:left w:w="20" w:type="dxa"/>
              <w:bottom w:w="30" w:type="dxa"/>
              <w:right w:w="20" w:type="dxa"/>
            </w:tcMar>
            <w:vAlign w:val="bottom"/>
            <w:hideMark/>
          </w:tcPr>
          <w:p w:rsidR="00000000" w:rsidRDefault="009012B9">
            <w:pPr>
              <w:spacing w:after="100"/>
              <w:divId w:val="209077878"/>
              <w:rPr>
                <w:rFonts w:eastAsia="Times New Roman"/>
              </w:rPr>
            </w:pPr>
            <w:hyperlink w:anchor="i8f7834183417467aa4a1dcb714c5c192_187" w:history="1">
              <w:r>
                <w:rPr>
                  <w:rStyle w:val="a3"/>
                  <w:rFonts w:eastAsia="Times New Roman"/>
                  <w:color w:val="000000"/>
                  <w:sz w:val="20"/>
                  <w:szCs w:val="20"/>
                  <w:u w:val="none"/>
                </w:rPr>
                <w:t>Item 5.</w:t>
              </w:r>
            </w:hyperlink>
          </w:p>
        </w:tc>
        <w:tc>
          <w:tcPr>
            <w:tcW w:w="0" w:type="auto"/>
            <w:gridSpan w:val="3"/>
            <w:tcMar>
              <w:top w:w="30" w:type="dxa"/>
              <w:left w:w="20" w:type="dxa"/>
              <w:bottom w:w="30" w:type="dxa"/>
              <w:right w:w="20" w:type="dxa"/>
            </w:tcMar>
            <w:vAlign w:val="bottom"/>
            <w:hideMark/>
          </w:tcPr>
          <w:p w:rsidR="00000000" w:rsidRDefault="009012B9">
            <w:pPr>
              <w:spacing w:after="100"/>
              <w:divId w:val="1200900399"/>
              <w:rPr>
                <w:rFonts w:eastAsia="Times New Roman"/>
              </w:rPr>
            </w:pPr>
            <w:hyperlink w:anchor="i8f7834183417467aa4a1dcb714c5c192_187"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hideMark/>
          </w:tcPr>
          <w:p w:rsidR="00000000" w:rsidRDefault="009012B9">
            <w:pPr>
              <w:spacing w:after="100"/>
              <w:jc w:val="right"/>
              <w:rPr>
                <w:rFonts w:eastAsia="Times New Roman"/>
              </w:rPr>
            </w:pPr>
            <w:hyperlink w:anchor="i8f7834183417467aa4a1dcb714c5c192_187" w:history="1">
              <w:r>
                <w:rPr>
                  <w:rStyle w:val="a3"/>
                  <w:rFonts w:eastAsia="Times New Roman"/>
                  <w:color w:val="000000"/>
                  <w:sz w:val="20"/>
                  <w:szCs w:val="20"/>
                  <w:u w:val="none"/>
                </w:rPr>
                <w:t>79</w:t>
              </w:r>
            </w:hyperlink>
          </w:p>
        </w:tc>
      </w:tr>
      <w:tr w:rsidR="00000000">
        <w:trPr>
          <w:divId w:val="1980572434"/>
        </w:trPr>
        <w:tc>
          <w:tcPr>
            <w:tcW w:w="0" w:type="auto"/>
            <w:gridSpan w:val="3"/>
            <w:tcMar>
              <w:top w:w="30" w:type="dxa"/>
              <w:left w:w="20" w:type="dxa"/>
              <w:bottom w:w="30" w:type="dxa"/>
              <w:right w:w="20" w:type="dxa"/>
            </w:tcMar>
            <w:vAlign w:val="bottom"/>
            <w:hideMark/>
          </w:tcPr>
          <w:p w:rsidR="00000000" w:rsidRDefault="009012B9">
            <w:pPr>
              <w:spacing w:after="100"/>
              <w:divId w:val="769617917"/>
              <w:rPr>
                <w:rFonts w:eastAsia="Times New Roman"/>
              </w:rPr>
            </w:pPr>
            <w:hyperlink w:anchor="i8f7834183417467aa4a1dcb714c5c192_190" w:history="1">
              <w:r>
                <w:rPr>
                  <w:rStyle w:val="a3"/>
                  <w:rFonts w:eastAsia="Times New Roman"/>
                  <w:color w:val="000000"/>
                  <w:sz w:val="20"/>
                  <w:szCs w:val="20"/>
                  <w:u w:val="none"/>
                </w:rPr>
                <w:t>Item 6.</w:t>
              </w:r>
            </w:hyperlink>
          </w:p>
        </w:tc>
        <w:tc>
          <w:tcPr>
            <w:tcW w:w="0" w:type="auto"/>
            <w:gridSpan w:val="3"/>
            <w:tcMar>
              <w:top w:w="30" w:type="dxa"/>
              <w:left w:w="20" w:type="dxa"/>
              <w:bottom w:w="30" w:type="dxa"/>
              <w:right w:w="20" w:type="dxa"/>
            </w:tcMar>
            <w:vAlign w:val="bottom"/>
            <w:hideMark/>
          </w:tcPr>
          <w:p w:rsidR="00000000" w:rsidRDefault="009012B9">
            <w:pPr>
              <w:spacing w:after="100"/>
              <w:divId w:val="1862889732"/>
              <w:rPr>
                <w:rFonts w:eastAsia="Times New Roman"/>
              </w:rPr>
            </w:pPr>
            <w:hyperlink w:anchor="i8f7834183417467aa4a1dcb714c5c192_190" w:history="1">
              <w:r>
                <w:rPr>
                  <w:rStyle w:val="a3"/>
                  <w:rFonts w:eastAsia="Times New Roman"/>
                  <w:sz w:val="20"/>
                  <w:szCs w:val="20"/>
                </w:rPr>
                <w:t>Exhibits</w:t>
              </w:r>
            </w:hyperlink>
          </w:p>
        </w:tc>
        <w:tc>
          <w:tcPr>
            <w:tcW w:w="0" w:type="auto"/>
            <w:gridSpan w:val="3"/>
            <w:tcMar>
              <w:top w:w="30" w:type="dxa"/>
              <w:left w:w="20" w:type="dxa"/>
              <w:bottom w:w="30" w:type="dxa"/>
              <w:right w:w="20" w:type="dxa"/>
            </w:tcMar>
            <w:hideMark/>
          </w:tcPr>
          <w:p w:rsidR="00000000" w:rsidRDefault="009012B9">
            <w:pPr>
              <w:spacing w:after="100"/>
              <w:jc w:val="right"/>
              <w:rPr>
                <w:rFonts w:eastAsia="Times New Roman"/>
              </w:rPr>
            </w:pPr>
            <w:hyperlink w:anchor="i8f7834183417467aa4a1dcb714c5c192_190" w:history="1">
              <w:r>
                <w:rPr>
                  <w:rStyle w:val="a3"/>
                  <w:rFonts w:eastAsia="Times New Roman"/>
                  <w:color w:val="000000"/>
                  <w:sz w:val="20"/>
                  <w:szCs w:val="20"/>
                  <w:u w:val="none"/>
                </w:rPr>
                <w:t>79</w:t>
              </w:r>
            </w:hyperlink>
          </w:p>
        </w:tc>
      </w:tr>
      <w:tr w:rsidR="00000000">
        <w:trPr>
          <w:divId w:val="1980572434"/>
        </w:trPr>
        <w:tc>
          <w:tcPr>
            <w:tcW w:w="0" w:type="auto"/>
            <w:gridSpan w:val="3"/>
            <w:tcMar>
              <w:top w:w="30" w:type="dxa"/>
              <w:left w:w="20" w:type="dxa"/>
              <w:bottom w:w="30" w:type="dxa"/>
              <w:right w:w="20" w:type="dxa"/>
            </w:tcMar>
            <w:vAlign w:val="bottom"/>
            <w:hideMark/>
          </w:tcPr>
          <w:p w:rsidR="00000000" w:rsidRDefault="009012B9">
            <w:pPr>
              <w:spacing w:after="100"/>
              <w:divId w:val="1200359898"/>
              <w:rPr>
                <w:rFonts w:eastAsia="Times New Roman"/>
              </w:rPr>
            </w:pPr>
            <w:hyperlink w:anchor="i8f7834183417467aa4a1dcb714c5c192_193" w:history="1">
              <w:r>
                <w:rPr>
                  <w:rStyle w:val="a3"/>
                  <w:rFonts w:eastAsia="Times New Roman"/>
                  <w:sz w:val="20"/>
                  <w:szCs w:val="20"/>
                </w:rPr>
                <w:t>Signatures</w:t>
              </w:r>
            </w:hyperlink>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tcMar>
              <w:top w:w="30" w:type="dxa"/>
              <w:left w:w="20" w:type="dxa"/>
              <w:bottom w:w="30" w:type="dxa"/>
              <w:right w:w="20" w:type="dxa"/>
            </w:tcMar>
            <w:hideMark/>
          </w:tcPr>
          <w:p w:rsidR="00000000" w:rsidRDefault="009012B9">
            <w:pPr>
              <w:spacing w:after="100"/>
              <w:jc w:val="right"/>
              <w:rPr>
                <w:rFonts w:eastAsia="Times New Roman"/>
              </w:rPr>
            </w:pPr>
            <w:hyperlink w:anchor="i8f7834183417467aa4a1dcb714c5c192_193" w:history="1">
              <w:r>
                <w:rPr>
                  <w:rStyle w:val="a3"/>
                  <w:rFonts w:eastAsia="Times New Roman"/>
                  <w:color w:val="000000"/>
                  <w:sz w:val="20"/>
                  <w:szCs w:val="20"/>
                  <w:u w:val="none"/>
                </w:rPr>
                <w:t>80</w:t>
              </w:r>
            </w:hyperlink>
          </w:p>
        </w:tc>
      </w:tr>
    </w:tbl>
    <w:p w:rsidR="00000000" w:rsidRDefault="009012B9">
      <w:pPr>
        <w:divId w:val="1787388422"/>
        <w:rPr>
          <w:rFonts w:eastAsia="Times New Roman"/>
        </w:rPr>
      </w:pPr>
    </w:p>
    <w:p w:rsidR="00000000" w:rsidRDefault="009012B9">
      <w:pPr>
        <w:jc w:val="center"/>
        <w:divId w:val="938215674"/>
        <w:rPr>
          <w:rFonts w:eastAsia="Times New Roman"/>
        </w:rPr>
      </w:pPr>
      <w:r>
        <w:rPr>
          <w:rFonts w:eastAsia="Times New Roman"/>
          <w:color w:val="000000"/>
          <w:sz w:val="20"/>
          <w:szCs w:val="20"/>
        </w:rPr>
        <w:t>2</w:t>
      </w:r>
    </w:p>
    <w:p w:rsidR="00000000" w:rsidRDefault="009012B9">
      <w:pPr>
        <w:rPr>
          <w:rFonts w:eastAsia="Times New Roman"/>
        </w:rPr>
      </w:pPr>
      <w:r>
        <w:rPr>
          <w:rFonts w:eastAsia="Times New Roman"/>
        </w:rPr>
        <w:pict>
          <v:rect id="_x0000_i1026" style="width:0;height:1.5pt" o:hralign="center" o:hrstd="t" o:hr="t" fillcolor="#a0a0a0" stroked="f"/>
        </w:pict>
      </w:r>
    </w:p>
    <w:p w:rsidR="00000000" w:rsidRDefault="009012B9">
      <w:pPr>
        <w:divId w:val="1555848172"/>
        <w:rPr>
          <w:rFonts w:eastAsia="Times New Roman"/>
        </w:rPr>
      </w:pPr>
    </w:p>
    <w:p w:rsidR="00000000" w:rsidRDefault="009012B9">
      <w:pPr>
        <w:jc w:val="center"/>
        <w:divId w:val="1682967713"/>
        <w:rPr>
          <w:rFonts w:eastAsia="Times New Roman"/>
        </w:rPr>
      </w:pPr>
      <w:r>
        <w:rPr>
          <w:rFonts w:eastAsia="Times New Roman"/>
          <w:b/>
          <w:bCs/>
          <w:color w:val="000000"/>
          <w:sz w:val="20"/>
          <w:szCs w:val="20"/>
        </w:rPr>
        <w:t>SPECIAL NOTE REGARDING FORWARD-LOOKING STATEMENTS</w:t>
      </w:r>
    </w:p>
    <w:p w:rsidR="00000000" w:rsidRDefault="009012B9">
      <w:pPr>
        <w:ind w:firstLine="1260"/>
        <w:divId w:val="108277232"/>
        <w:rPr>
          <w:rFonts w:eastAsia="Times New Roman"/>
        </w:rPr>
      </w:pPr>
      <w:r>
        <w:rPr>
          <w:rFonts w:eastAsia="Times New Roman"/>
          <w:color w:val="000000"/>
          <w:sz w:val="20"/>
          <w:szCs w:val="20"/>
        </w:rPr>
        <w:t>This Quarterly Report on Form 10-Q (the "Report") contains forward-looking statements that involve risks, uncertainties, and assumptions that, if they never materialize</w:t>
      </w:r>
      <w:r>
        <w:rPr>
          <w:rFonts w:eastAsia="Times New Roman"/>
          <w:color w:val="000000"/>
          <w:sz w:val="20"/>
          <w:szCs w:val="20"/>
        </w:rPr>
        <w:t xml:space="preserve"> or prove incorrect, could cause our results to differ materially from those expressed or implied by such forward-looking statements. The statements contained in this Report that are not purely historical are forward-looking statements within the meaning o</w:t>
      </w:r>
      <w:r>
        <w:rPr>
          <w:rFonts w:eastAsia="Times New Roman"/>
          <w:color w:val="000000"/>
          <w:sz w:val="20"/>
          <w:szCs w:val="20"/>
        </w:rPr>
        <w:t>f Section 27A of the Securities Act of 1933, as amended, or the Securities Act, and Section 21E of the Securities Exchange Act of 1934, as amended, or the Exchange Act. Forward-looking statements are often identified by the use of words such as, but not li</w:t>
      </w:r>
      <w:r>
        <w:rPr>
          <w:rFonts w:eastAsia="Times New Roman"/>
          <w:color w:val="000000"/>
          <w:sz w:val="20"/>
          <w:szCs w:val="20"/>
        </w:rPr>
        <w:t>mited to, “anticipate,” “believe,” “could,” “estimate,” “expect,” “intend,” “may,” “plan,” “potential,” “predict,” “project,” “should,” “will,” “would” or the negative of those terms, and similar expressions that convey uncertainty of future events or outc</w:t>
      </w:r>
      <w:r>
        <w:rPr>
          <w:rFonts w:eastAsia="Times New Roman"/>
          <w:color w:val="000000"/>
          <w:sz w:val="20"/>
          <w:szCs w:val="20"/>
        </w:rPr>
        <w:t>omes to identify these forward-looking statements. Any statements contained herein that are not statements of historical facts may be deemed to be forward-looking statements. Forward-looking statements in this Report include, but are not limited to, statem</w:t>
      </w:r>
      <w:r>
        <w:rPr>
          <w:rFonts w:eastAsia="Times New Roman"/>
          <w:color w:val="000000"/>
          <w:sz w:val="20"/>
          <w:szCs w:val="20"/>
        </w:rPr>
        <w:t>ents about:</w:t>
      </w:r>
    </w:p>
    <w:p w:rsidR="00000000" w:rsidRDefault="009012B9">
      <w:pPr>
        <w:ind w:hanging="1260"/>
        <w:divId w:val="1794513922"/>
        <w:rPr>
          <w:rFonts w:eastAsia="Times New Roman"/>
        </w:rPr>
      </w:pPr>
      <w:r>
        <w:rPr>
          <w:rFonts w:eastAsia="Times New Roman"/>
          <w:color w:val="000000"/>
          <w:sz w:val="20"/>
          <w:szCs w:val="20"/>
        </w:rPr>
        <w:t>•    Our estimates regarding expenses, future revenue, capital requirements and needs for additional financing;</w:t>
      </w:r>
    </w:p>
    <w:p w:rsidR="00000000" w:rsidRDefault="009012B9">
      <w:pPr>
        <w:ind w:hanging="1260"/>
        <w:divId w:val="2091385318"/>
        <w:rPr>
          <w:rFonts w:eastAsia="Times New Roman"/>
        </w:rPr>
      </w:pPr>
      <w:r>
        <w:rPr>
          <w:rFonts w:eastAsia="Times New Roman"/>
          <w:color w:val="000000"/>
          <w:sz w:val="20"/>
          <w:szCs w:val="20"/>
        </w:rPr>
        <w:t>•    </w:t>
      </w:r>
      <w:r>
        <w:rPr>
          <w:rFonts w:eastAsia="Times New Roman"/>
          <w:color w:val="000000"/>
          <w:sz w:val="20"/>
          <w:szCs w:val="20"/>
        </w:rPr>
        <w:t>The success, cost and timing of our product development activities and clinical trials of our lead product candidate, PLN-74809, as well as PLN-1474 and our other product candidates;</w:t>
      </w:r>
    </w:p>
    <w:p w:rsidR="00000000" w:rsidRDefault="009012B9">
      <w:pPr>
        <w:ind w:hanging="1260"/>
        <w:divId w:val="1369062939"/>
        <w:rPr>
          <w:rFonts w:eastAsia="Times New Roman"/>
        </w:rPr>
      </w:pPr>
      <w:r>
        <w:rPr>
          <w:rFonts w:eastAsia="Times New Roman"/>
          <w:color w:val="000000"/>
          <w:sz w:val="20"/>
          <w:szCs w:val="20"/>
        </w:rPr>
        <w:t>•    The outbreak of the novel coronavirus disease, COVID-19, pandemic wh</w:t>
      </w:r>
      <w:r>
        <w:rPr>
          <w:rFonts w:eastAsia="Times New Roman"/>
          <w:color w:val="000000"/>
          <w:sz w:val="20"/>
          <w:szCs w:val="20"/>
        </w:rPr>
        <w:t>ich has had an adverse impact on our business, including our preclinical studies and clinical trials;</w:t>
      </w:r>
    </w:p>
    <w:p w:rsidR="00000000" w:rsidRDefault="009012B9">
      <w:pPr>
        <w:ind w:hanging="1260"/>
        <w:divId w:val="1041055844"/>
        <w:rPr>
          <w:rFonts w:eastAsia="Times New Roman"/>
        </w:rPr>
      </w:pPr>
      <w:r>
        <w:rPr>
          <w:rFonts w:eastAsia="Times New Roman"/>
          <w:color w:val="000000"/>
          <w:sz w:val="20"/>
          <w:szCs w:val="20"/>
        </w:rPr>
        <w:t>•    Ours or our current or future collaborators plans to initiate, recruit and enroll patients in, and conduct our clinical trials at the pace that we pr</w:t>
      </w:r>
      <w:r>
        <w:rPr>
          <w:rFonts w:eastAsia="Times New Roman"/>
          <w:color w:val="000000"/>
          <w:sz w:val="20"/>
          <w:szCs w:val="20"/>
        </w:rPr>
        <w:t>oject;</w:t>
      </w:r>
    </w:p>
    <w:p w:rsidR="00000000" w:rsidRDefault="009012B9">
      <w:pPr>
        <w:ind w:hanging="1260"/>
        <w:divId w:val="1385563721"/>
        <w:rPr>
          <w:rFonts w:eastAsia="Times New Roman"/>
        </w:rPr>
      </w:pPr>
      <w:r>
        <w:rPr>
          <w:rFonts w:eastAsia="Times New Roman"/>
          <w:color w:val="000000"/>
          <w:sz w:val="20"/>
          <w:szCs w:val="20"/>
        </w:rPr>
        <w:t>•    Our plans and strategy to obtain and maintain regulatory approvals of our product candidates;</w:t>
      </w:r>
    </w:p>
    <w:p w:rsidR="00000000" w:rsidRDefault="009012B9">
      <w:pPr>
        <w:ind w:hanging="1260"/>
        <w:divId w:val="831409766"/>
        <w:rPr>
          <w:rFonts w:eastAsia="Times New Roman"/>
        </w:rPr>
      </w:pPr>
      <w:r>
        <w:rPr>
          <w:rFonts w:eastAsia="Times New Roman"/>
          <w:color w:val="000000"/>
          <w:sz w:val="20"/>
          <w:szCs w:val="20"/>
        </w:rPr>
        <w:t xml:space="preserve">•    Our plans and strategy to obtain </w:t>
      </w:r>
      <w:r>
        <w:rPr>
          <w:rFonts w:eastAsia="Times New Roman"/>
          <w:color w:val="000000"/>
          <w:sz w:val="20"/>
          <w:szCs w:val="20"/>
        </w:rPr>
        <w:t>funding for our operations, including funding necessary to complete further development and, upon successful development, if approved, commercialize any of our product candidates;</w:t>
      </w:r>
    </w:p>
    <w:p w:rsidR="00000000" w:rsidRDefault="009012B9">
      <w:pPr>
        <w:ind w:hanging="1260"/>
        <w:divId w:val="875891154"/>
        <w:rPr>
          <w:rFonts w:eastAsia="Times New Roman"/>
        </w:rPr>
      </w:pPr>
      <w:r>
        <w:rPr>
          <w:rFonts w:eastAsia="Times New Roman"/>
          <w:color w:val="000000"/>
          <w:sz w:val="20"/>
          <w:szCs w:val="20"/>
        </w:rPr>
        <w:t>•    The potential benefit of orphan drug designations for PLN-74809;</w:t>
      </w:r>
    </w:p>
    <w:p w:rsidR="00000000" w:rsidRDefault="009012B9">
      <w:pPr>
        <w:ind w:hanging="1260"/>
        <w:divId w:val="1059135934"/>
        <w:rPr>
          <w:rFonts w:eastAsia="Times New Roman"/>
        </w:rPr>
      </w:pPr>
      <w:r>
        <w:rPr>
          <w:rFonts w:eastAsia="Times New Roman"/>
          <w:color w:val="000000"/>
          <w:sz w:val="20"/>
          <w:szCs w:val="20"/>
        </w:rPr>
        <w:t>•    O</w:t>
      </w:r>
      <w:r>
        <w:rPr>
          <w:rFonts w:eastAsia="Times New Roman"/>
          <w:color w:val="000000"/>
          <w:sz w:val="20"/>
          <w:szCs w:val="20"/>
        </w:rPr>
        <w:t>ur ability to compete with companies currently marketing or engaged in the development of treatments for fibrosis;</w:t>
      </w:r>
    </w:p>
    <w:p w:rsidR="00000000" w:rsidRDefault="009012B9">
      <w:pPr>
        <w:ind w:hanging="1260"/>
        <w:divId w:val="1999771114"/>
        <w:rPr>
          <w:rFonts w:eastAsia="Times New Roman"/>
        </w:rPr>
      </w:pPr>
      <w:r>
        <w:rPr>
          <w:rFonts w:eastAsia="Times New Roman"/>
          <w:color w:val="000000"/>
          <w:sz w:val="20"/>
          <w:szCs w:val="20"/>
        </w:rPr>
        <w:t xml:space="preserve">•    Our plans and strategy regarding obtaining and maintaining intellectual property protection for our product candidates and the duration </w:t>
      </w:r>
      <w:r>
        <w:rPr>
          <w:rFonts w:eastAsia="Times New Roman"/>
          <w:color w:val="000000"/>
          <w:sz w:val="20"/>
          <w:szCs w:val="20"/>
        </w:rPr>
        <w:t>of such protection;</w:t>
      </w:r>
    </w:p>
    <w:p w:rsidR="00000000" w:rsidRDefault="009012B9">
      <w:pPr>
        <w:ind w:hanging="1260"/>
        <w:divId w:val="971640690"/>
        <w:rPr>
          <w:rFonts w:eastAsia="Times New Roman"/>
        </w:rPr>
      </w:pPr>
      <w:r>
        <w:rPr>
          <w:rFonts w:eastAsia="Times New Roman"/>
          <w:color w:val="000000"/>
          <w:sz w:val="20"/>
          <w:szCs w:val="20"/>
        </w:rPr>
        <w:t>•    Our plans and strategy regarding the manufacture of our product candidates for clinical trials and for commercial use, if approved;</w:t>
      </w:r>
    </w:p>
    <w:p w:rsidR="00000000" w:rsidRDefault="009012B9">
      <w:pPr>
        <w:ind w:hanging="1260"/>
        <w:divId w:val="195317458"/>
        <w:rPr>
          <w:rFonts w:eastAsia="Times New Roman"/>
        </w:rPr>
      </w:pPr>
      <w:r>
        <w:rPr>
          <w:rFonts w:eastAsia="Times New Roman"/>
          <w:color w:val="000000"/>
          <w:sz w:val="20"/>
          <w:szCs w:val="20"/>
        </w:rPr>
        <w:t>•    Our dependence on current and future collaborators for developing, obtaining regulatory approv</w:t>
      </w:r>
      <w:r>
        <w:rPr>
          <w:rFonts w:eastAsia="Times New Roman"/>
          <w:color w:val="000000"/>
          <w:sz w:val="20"/>
          <w:szCs w:val="20"/>
        </w:rPr>
        <w:t>al for and commercializing product candidates in the collaboration;</w:t>
      </w:r>
    </w:p>
    <w:p w:rsidR="00000000" w:rsidRDefault="009012B9">
      <w:pPr>
        <w:ind w:hanging="1260"/>
        <w:divId w:val="2066484807"/>
        <w:rPr>
          <w:rFonts w:eastAsia="Times New Roman"/>
        </w:rPr>
      </w:pPr>
      <w:r>
        <w:rPr>
          <w:rFonts w:eastAsia="Times New Roman"/>
          <w:color w:val="000000"/>
          <w:sz w:val="20"/>
          <w:szCs w:val="20"/>
        </w:rPr>
        <w:t>•    Our receipt and timing of any milestone payments or royalties under any current of future research collaboration or license agreements or arrangements;</w:t>
      </w:r>
    </w:p>
    <w:p w:rsidR="00000000" w:rsidRDefault="009012B9">
      <w:pPr>
        <w:ind w:hanging="1260"/>
        <w:divId w:val="1232739626"/>
        <w:rPr>
          <w:rFonts w:eastAsia="Times New Roman"/>
        </w:rPr>
      </w:pPr>
      <w:r>
        <w:rPr>
          <w:rFonts w:eastAsia="Times New Roman"/>
          <w:color w:val="000000"/>
          <w:sz w:val="20"/>
          <w:szCs w:val="20"/>
        </w:rPr>
        <w:t>•    Our plans and strategy reg</w:t>
      </w:r>
      <w:r>
        <w:rPr>
          <w:rFonts w:eastAsia="Times New Roman"/>
          <w:color w:val="000000"/>
          <w:sz w:val="20"/>
          <w:szCs w:val="20"/>
        </w:rPr>
        <w:t>arding the commercialization of any products that are approved for marketing and our ability to establish adequate pricing in the U.S. and international markets;</w:t>
      </w:r>
    </w:p>
    <w:p w:rsidR="00000000" w:rsidRDefault="009012B9">
      <w:pPr>
        <w:ind w:hanging="1260"/>
        <w:divId w:val="1792748652"/>
        <w:rPr>
          <w:rFonts w:eastAsia="Times New Roman"/>
        </w:rPr>
      </w:pPr>
      <w:r>
        <w:rPr>
          <w:rFonts w:eastAsia="Times New Roman"/>
          <w:color w:val="000000"/>
          <w:sz w:val="20"/>
          <w:szCs w:val="20"/>
        </w:rPr>
        <w:t xml:space="preserve">•    The size and growth potential of the markets for our product candidates, and our ability </w:t>
      </w:r>
      <w:r>
        <w:rPr>
          <w:rFonts w:eastAsia="Times New Roman"/>
          <w:color w:val="000000"/>
          <w:sz w:val="20"/>
          <w:szCs w:val="20"/>
        </w:rPr>
        <w:t>to serve those markets, either alone or in combination with others;</w:t>
      </w:r>
    </w:p>
    <w:p w:rsidR="00000000" w:rsidRDefault="009012B9">
      <w:pPr>
        <w:ind w:hanging="1260"/>
        <w:divId w:val="1318462392"/>
        <w:rPr>
          <w:rFonts w:eastAsia="Times New Roman"/>
        </w:rPr>
      </w:pPr>
      <w:r>
        <w:rPr>
          <w:rFonts w:eastAsia="Times New Roman"/>
          <w:color w:val="000000"/>
          <w:sz w:val="20"/>
          <w:szCs w:val="20"/>
        </w:rPr>
        <w:t>•    Our ability to attract and retain qualified employees and key personnel; and</w:t>
      </w:r>
    </w:p>
    <w:p w:rsidR="00000000" w:rsidRDefault="009012B9">
      <w:pPr>
        <w:ind w:hanging="1260"/>
        <w:divId w:val="1593202344"/>
        <w:rPr>
          <w:rFonts w:eastAsia="Times New Roman"/>
        </w:rPr>
      </w:pPr>
      <w:r>
        <w:rPr>
          <w:rFonts w:eastAsia="Times New Roman"/>
          <w:color w:val="000000"/>
          <w:sz w:val="20"/>
          <w:szCs w:val="20"/>
        </w:rPr>
        <w:t>•    Our expectations regarding government and third-party payor coverage and reimbursement.</w:t>
      </w:r>
    </w:p>
    <w:p w:rsidR="00000000" w:rsidRDefault="009012B9">
      <w:pPr>
        <w:ind w:firstLine="1260"/>
        <w:divId w:val="179003915"/>
        <w:rPr>
          <w:rFonts w:eastAsia="Times New Roman"/>
        </w:rPr>
      </w:pPr>
      <w:r>
        <w:rPr>
          <w:rFonts w:eastAsia="Times New Roman"/>
          <w:color w:val="000000"/>
          <w:sz w:val="20"/>
          <w:szCs w:val="20"/>
        </w:rPr>
        <w:lastRenderedPageBreak/>
        <w:t>These stateme</w:t>
      </w:r>
      <w:r>
        <w:rPr>
          <w:rFonts w:eastAsia="Times New Roman"/>
          <w:color w:val="000000"/>
          <w:sz w:val="20"/>
          <w:szCs w:val="20"/>
        </w:rPr>
        <w:t>nts are based on the beliefs and assumptions of our management, which are in turn based on information currently available to management. Such forward-looking statements are subject to risks, uncertainties and other important factors that could cause actua</w:t>
      </w:r>
      <w:r>
        <w:rPr>
          <w:rFonts w:eastAsia="Times New Roman"/>
          <w:color w:val="000000"/>
          <w:sz w:val="20"/>
          <w:szCs w:val="20"/>
        </w:rPr>
        <w:t xml:space="preserve">l results and the timing of certain events to differ materially from future results expressed or implied by such forward-looking statements. Factors that could cause or contribute to such differences include, but are not limited to, those discussed in the </w:t>
      </w:r>
      <w:r>
        <w:rPr>
          <w:rFonts w:eastAsia="Times New Roman"/>
          <w:color w:val="000000"/>
          <w:sz w:val="20"/>
          <w:szCs w:val="20"/>
        </w:rPr>
        <w:t>section entitled “Risk Factors” included under Part II, Item 1A in this Report. Furthermore, such forward-looking statements speak only as of the date of this Report. Except as required by law, we undertake no obligation to update any forward-looking state</w:t>
      </w:r>
      <w:r>
        <w:rPr>
          <w:rFonts w:eastAsia="Times New Roman"/>
          <w:color w:val="000000"/>
          <w:sz w:val="20"/>
          <w:szCs w:val="20"/>
        </w:rPr>
        <w:t>ments to reflect events or circumstances after the date of such statements.</w:t>
      </w:r>
    </w:p>
    <w:p w:rsidR="00000000" w:rsidRDefault="009012B9">
      <w:pPr>
        <w:divId w:val="1575890148"/>
        <w:rPr>
          <w:rFonts w:eastAsia="Times New Roman"/>
        </w:rPr>
      </w:pPr>
    </w:p>
    <w:p w:rsidR="00000000" w:rsidRDefault="009012B9">
      <w:pPr>
        <w:divId w:val="1241335219"/>
        <w:rPr>
          <w:rFonts w:eastAsia="Times New Roman"/>
        </w:rPr>
      </w:pPr>
    </w:p>
    <w:p w:rsidR="00000000" w:rsidRDefault="009012B9">
      <w:pPr>
        <w:divId w:val="151143810"/>
        <w:rPr>
          <w:rFonts w:eastAsia="Times New Roman"/>
        </w:rPr>
      </w:pPr>
    </w:p>
    <w:p w:rsidR="00000000" w:rsidRDefault="009012B9">
      <w:pPr>
        <w:jc w:val="center"/>
        <w:divId w:val="832795100"/>
        <w:rPr>
          <w:rFonts w:eastAsia="Times New Roman"/>
        </w:rPr>
      </w:pPr>
      <w:r>
        <w:rPr>
          <w:rFonts w:eastAsia="Times New Roman"/>
          <w:color w:val="000000"/>
          <w:sz w:val="20"/>
          <w:szCs w:val="20"/>
        </w:rPr>
        <w:t>3</w:t>
      </w:r>
    </w:p>
    <w:p w:rsidR="00000000" w:rsidRDefault="009012B9">
      <w:pPr>
        <w:rPr>
          <w:rFonts w:eastAsia="Times New Roman"/>
        </w:rPr>
      </w:pPr>
      <w:r>
        <w:rPr>
          <w:rFonts w:eastAsia="Times New Roman"/>
        </w:rPr>
        <w:pict>
          <v:rect id="_x0000_i1027" style="width:0;height:1.5pt" o:hralign="center" o:hrstd="t" o:hr="t" fillcolor="#a0a0a0" stroked="f"/>
        </w:pict>
      </w:r>
    </w:p>
    <w:p w:rsidR="00000000" w:rsidRDefault="009012B9">
      <w:pPr>
        <w:divId w:val="680475249"/>
        <w:rPr>
          <w:rFonts w:eastAsia="Times New Roman"/>
        </w:rPr>
      </w:pPr>
    </w:p>
    <w:p w:rsidR="00000000" w:rsidRDefault="009012B9">
      <w:pPr>
        <w:jc w:val="center"/>
        <w:rPr>
          <w:rFonts w:eastAsia="Times New Roman"/>
        </w:rPr>
      </w:pPr>
      <w:r>
        <w:rPr>
          <w:rFonts w:eastAsia="Times New Roman"/>
          <w:b/>
          <w:bCs/>
          <w:color w:val="000000"/>
          <w:sz w:val="20"/>
          <w:szCs w:val="20"/>
        </w:rPr>
        <w:t>SUMMARY OF RISKS ASSOCIATED WITH OUR BUSINESS</w:t>
      </w:r>
    </w:p>
    <w:p w:rsidR="00000000" w:rsidRDefault="009012B9">
      <w:pPr>
        <w:ind w:firstLine="1260"/>
        <w:divId w:val="1347903092"/>
        <w:rPr>
          <w:rFonts w:eastAsia="Times New Roman"/>
        </w:rPr>
      </w:pPr>
      <w:r>
        <w:rPr>
          <w:rFonts w:eastAsia="Times New Roman"/>
          <w:color w:val="000000"/>
          <w:sz w:val="20"/>
          <w:szCs w:val="20"/>
        </w:rPr>
        <w:t>Our business involves significant risks, some of which are summarized below. The summary</w:t>
      </w:r>
      <w:r>
        <w:rPr>
          <w:rFonts w:eastAsia="Times New Roman"/>
          <w:color w:val="000000"/>
          <w:sz w:val="20"/>
          <w:szCs w:val="20"/>
        </w:rPr>
        <w:t xml:space="preserve"> risk factors listed below should be read together with the text of the full risk factors discussed in "Part II, Item 1A. Risk Factors" in this Report. You should carefully consider the risks described below, as well as the other information in this Report</w:t>
      </w:r>
      <w:r>
        <w:rPr>
          <w:rFonts w:eastAsia="Times New Roman"/>
          <w:color w:val="000000"/>
          <w:sz w:val="20"/>
          <w:szCs w:val="20"/>
        </w:rPr>
        <w:t>, including our financial statements and the related notes, “Management’s Discussion and Analysis of Financial Condition and Results of Operations” as well as in other documents that we file with the SEC. The occurrence of any of the events or developments</w:t>
      </w:r>
      <w:r>
        <w:rPr>
          <w:rFonts w:eastAsia="Times New Roman"/>
          <w:color w:val="000000"/>
          <w:sz w:val="20"/>
          <w:szCs w:val="20"/>
        </w:rPr>
        <w:t xml:space="preserve"> described in this Report could have a material adverse effect on our business, financial condition, results of operations, growth prospects and stock price. In such an event, the market price of our common stock could decline, and you may lose all or part</w:t>
      </w:r>
      <w:r>
        <w:rPr>
          <w:rFonts w:eastAsia="Times New Roman"/>
          <w:color w:val="000000"/>
          <w:sz w:val="20"/>
          <w:szCs w:val="20"/>
        </w:rPr>
        <w:t xml:space="preserve"> of your investment. Additional risks and uncertainties not presently known to us or that we currently deem immaterial may also impair our business operations and the market price of our common stock.</w:t>
      </w:r>
    </w:p>
    <w:p w:rsidR="00000000" w:rsidRDefault="009012B9">
      <w:pPr>
        <w:ind w:firstLine="1260"/>
        <w:divId w:val="434979512"/>
        <w:rPr>
          <w:rFonts w:eastAsia="Times New Roman"/>
        </w:rPr>
      </w:pPr>
    </w:p>
    <w:p w:rsidR="00000000" w:rsidRDefault="009012B9">
      <w:pPr>
        <w:divId w:val="761488146"/>
        <w:rPr>
          <w:rFonts w:eastAsia="Times New Roman"/>
        </w:rPr>
      </w:pPr>
      <w:r>
        <w:rPr>
          <w:rFonts w:eastAsia="Times New Roman"/>
          <w:b/>
          <w:bCs/>
          <w:i/>
          <w:iCs/>
          <w:color w:val="000000"/>
          <w:sz w:val="20"/>
          <w:szCs w:val="20"/>
        </w:rPr>
        <w:t xml:space="preserve">Risks Related to Our Financial Position and Need for </w:t>
      </w:r>
      <w:r>
        <w:rPr>
          <w:rFonts w:eastAsia="Times New Roman"/>
          <w:b/>
          <w:bCs/>
          <w:i/>
          <w:iCs/>
          <w:color w:val="000000"/>
          <w:sz w:val="20"/>
          <w:szCs w:val="20"/>
        </w:rPr>
        <w:t>Additional Capital</w:t>
      </w:r>
    </w:p>
    <w:p w:rsidR="00000000" w:rsidRDefault="009012B9">
      <w:pPr>
        <w:ind w:hanging="1260"/>
        <w:divId w:val="1544053055"/>
        <w:rPr>
          <w:rFonts w:eastAsia="Times New Roman"/>
        </w:rPr>
      </w:pPr>
      <w:r>
        <w:rPr>
          <w:rFonts w:eastAsia="Times New Roman"/>
          <w:color w:val="000000"/>
          <w:sz w:val="20"/>
          <w:szCs w:val="20"/>
        </w:rPr>
        <w:t>•    </w:t>
      </w:r>
      <w:r>
        <w:rPr>
          <w:rFonts w:eastAsia="Times New Roman"/>
          <w:color w:val="000000"/>
          <w:sz w:val="20"/>
          <w:szCs w:val="20"/>
        </w:rPr>
        <w:t>We have incurred significant net losses since inception, and we expect to continue to incur significant net losses for the foreseeable future.</w:t>
      </w:r>
    </w:p>
    <w:p w:rsidR="00000000" w:rsidRDefault="009012B9">
      <w:pPr>
        <w:ind w:hanging="1260"/>
        <w:divId w:val="1077166233"/>
        <w:rPr>
          <w:rFonts w:eastAsia="Times New Roman"/>
        </w:rPr>
      </w:pPr>
      <w:r>
        <w:rPr>
          <w:rFonts w:eastAsia="Times New Roman"/>
          <w:color w:val="000000"/>
          <w:sz w:val="20"/>
          <w:szCs w:val="20"/>
        </w:rPr>
        <w:t>•    We will require substantial additional capital to finance our operations. If we are unable to raise such cap</w:t>
      </w:r>
      <w:r>
        <w:rPr>
          <w:rFonts w:eastAsia="Times New Roman"/>
          <w:color w:val="000000"/>
          <w:sz w:val="20"/>
          <w:szCs w:val="20"/>
        </w:rPr>
        <w:t>ital when needed, or on acceptable terms, we may be forced to delay, reduce and/or eliminate one or more of our research and drug development programs, future commercialization efforts or other operations.</w:t>
      </w:r>
    </w:p>
    <w:p w:rsidR="00000000" w:rsidRDefault="009012B9">
      <w:pPr>
        <w:ind w:hanging="1260"/>
        <w:divId w:val="1292008588"/>
        <w:rPr>
          <w:rFonts w:eastAsia="Times New Roman"/>
        </w:rPr>
      </w:pPr>
    </w:p>
    <w:p w:rsidR="00000000" w:rsidRDefault="009012B9">
      <w:pPr>
        <w:divId w:val="809369711"/>
        <w:rPr>
          <w:rFonts w:eastAsia="Times New Roman"/>
        </w:rPr>
      </w:pPr>
      <w:r>
        <w:rPr>
          <w:rFonts w:eastAsia="Times New Roman"/>
          <w:b/>
          <w:bCs/>
          <w:i/>
          <w:iCs/>
          <w:color w:val="000000"/>
          <w:sz w:val="20"/>
          <w:szCs w:val="20"/>
        </w:rPr>
        <w:t>Risks Related to Research and Development and th</w:t>
      </w:r>
      <w:r>
        <w:rPr>
          <w:rFonts w:eastAsia="Times New Roman"/>
          <w:b/>
          <w:bCs/>
          <w:i/>
          <w:iCs/>
          <w:color w:val="000000"/>
          <w:sz w:val="20"/>
          <w:szCs w:val="20"/>
        </w:rPr>
        <w:t>e Biopharmaceutical Industry</w:t>
      </w:r>
    </w:p>
    <w:p w:rsidR="00000000" w:rsidRDefault="009012B9">
      <w:pPr>
        <w:ind w:hanging="1260"/>
        <w:divId w:val="954217025"/>
        <w:rPr>
          <w:rFonts w:eastAsia="Times New Roman"/>
        </w:rPr>
      </w:pPr>
      <w:r>
        <w:rPr>
          <w:rFonts w:eastAsia="Times New Roman"/>
          <w:color w:val="000000"/>
          <w:sz w:val="20"/>
          <w:szCs w:val="20"/>
        </w:rPr>
        <w:t>•    We have a limited operating history, which may make it difficult to evaluate our prospects and likelihood of success.</w:t>
      </w:r>
    </w:p>
    <w:p w:rsidR="00000000" w:rsidRDefault="009012B9">
      <w:pPr>
        <w:ind w:hanging="1260"/>
        <w:divId w:val="1884907654"/>
        <w:rPr>
          <w:rFonts w:eastAsia="Times New Roman"/>
        </w:rPr>
      </w:pPr>
      <w:r>
        <w:rPr>
          <w:rFonts w:eastAsia="Times New Roman"/>
          <w:color w:val="000000"/>
          <w:sz w:val="20"/>
          <w:szCs w:val="20"/>
        </w:rPr>
        <w:t>•    Our business is highly dependent on the success of our lead product candidate, PLN-74809, as well a</w:t>
      </w:r>
      <w:r>
        <w:rPr>
          <w:rFonts w:eastAsia="Times New Roman"/>
          <w:color w:val="000000"/>
          <w:sz w:val="20"/>
          <w:szCs w:val="20"/>
        </w:rPr>
        <w:t>s PLN-1474 and any other product candidates that we advance into the clinic. All of our product candidates will require significant additional preclinical and clinical development before we may be able to seek regulatory approval for and launch a product c</w:t>
      </w:r>
      <w:r>
        <w:rPr>
          <w:rFonts w:eastAsia="Times New Roman"/>
          <w:color w:val="000000"/>
          <w:sz w:val="20"/>
          <w:szCs w:val="20"/>
        </w:rPr>
        <w:t>ommercially.</w:t>
      </w:r>
    </w:p>
    <w:p w:rsidR="00000000" w:rsidRDefault="009012B9">
      <w:pPr>
        <w:ind w:hanging="1260"/>
        <w:divId w:val="1914922695"/>
        <w:rPr>
          <w:rFonts w:eastAsia="Times New Roman"/>
        </w:rPr>
      </w:pPr>
      <w:r>
        <w:rPr>
          <w:rFonts w:eastAsia="Times New Roman"/>
          <w:color w:val="000000"/>
          <w:sz w:val="20"/>
          <w:szCs w:val="20"/>
        </w:rPr>
        <w:t>•Our approach to drug discovery and development in the area of fibrotic diseases is unproven and may not result in marketable products</w:t>
      </w:r>
    </w:p>
    <w:p w:rsidR="00000000" w:rsidRDefault="009012B9">
      <w:pPr>
        <w:ind w:hanging="1260"/>
        <w:divId w:val="348457707"/>
        <w:rPr>
          <w:rFonts w:eastAsia="Times New Roman"/>
        </w:rPr>
      </w:pPr>
      <w:r>
        <w:rPr>
          <w:rFonts w:eastAsia="Times New Roman"/>
          <w:color w:val="000000"/>
          <w:sz w:val="20"/>
          <w:szCs w:val="20"/>
        </w:rPr>
        <w:t>•    Clinical development involves a lengthy, complex, and expensive process, with an uncertain outcome.</w:t>
      </w:r>
    </w:p>
    <w:p w:rsidR="00000000" w:rsidRDefault="009012B9">
      <w:pPr>
        <w:ind w:hanging="1260"/>
        <w:divId w:val="1879931198"/>
        <w:rPr>
          <w:rFonts w:eastAsia="Times New Roman"/>
        </w:rPr>
      </w:pPr>
      <w:r>
        <w:rPr>
          <w:rFonts w:eastAsia="Times New Roman"/>
          <w:color w:val="000000"/>
          <w:sz w:val="20"/>
          <w:szCs w:val="20"/>
        </w:rPr>
        <w:t>•  </w:t>
      </w:r>
      <w:r>
        <w:rPr>
          <w:rFonts w:eastAsia="Times New Roman"/>
          <w:color w:val="000000"/>
          <w:sz w:val="20"/>
          <w:szCs w:val="20"/>
        </w:rPr>
        <w:t>  We may incur additional costs or experience delays in completing, or ultimately be unable to complete, the development and commercialization of PLN-74809 or any other product candidates.</w:t>
      </w:r>
    </w:p>
    <w:p w:rsidR="00000000" w:rsidRDefault="009012B9">
      <w:pPr>
        <w:ind w:hanging="1260"/>
        <w:divId w:val="1890258758"/>
        <w:rPr>
          <w:rFonts w:eastAsia="Times New Roman"/>
        </w:rPr>
      </w:pPr>
      <w:r>
        <w:rPr>
          <w:rFonts w:eastAsia="Times New Roman"/>
          <w:color w:val="000000"/>
          <w:sz w:val="20"/>
          <w:szCs w:val="20"/>
        </w:rPr>
        <w:t>•Our ongoing and future clinical trials may reveal significant adve</w:t>
      </w:r>
      <w:r>
        <w:rPr>
          <w:rFonts w:eastAsia="Times New Roman"/>
          <w:color w:val="000000"/>
          <w:sz w:val="20"/>
          <w:szCs w:val="20"/>
        </w:rPr>
        <w:t>rse events or unexpected drug-drug interactions not seen in our preclinical studies and may result in a safety profile that could delay or prevent regulatory approval or market acceptance of any of our product candidates.</w:t>
      </w:r>
    </w:p>
    <w:p w:rsidR="00000000" w:rsidRDefault="009012B9">
      <w:pPr>
        <w:ind w:hanging="1260"/>
        <w:divId w:val="37752332"/>
        <w:rPr>
          <w:rFonts w:eastAsia="Times New Roman"/>
        </w:rPr>
      </w:pPr>
      <w:r>
        <w:rPr>
          <w:rFonts w:eastAsia="Times New Roman"/>
          <w:color w:val="000000"/>
          <w:sz w:val="20"/>
          <w:szCs w:val="20"/>
        </w:rPr>
        <w:t xml:space="preserve">•    If we encounter difficulties </w:t>
      </w:r>
      <w:r>
        <w:rPr>
          <w:rFonts w:eastAsia="Times New Roman"/>
          <w:color w:val="000000"/>
          <w:sz w:val="20"/>
          <w:szCs w:val="20"/>
        </w:rPr>
        <w:t>enrolling patients in our clinical trials, our clinical development activities could be delayed or otherwise adversely affected.</w:t>
      </w:r>
    </w:p>
    <w:p w:rsidR="00000000" w:rsidRDefault="009012B9">
      <w:pPr>
        <w:ind w:hanging="1260"/>
        <w:divId w:val="1860461289"/>
        <w:rPr>
          <w:rFonts w:eastAsia="Times New Roman"/>
        </w:rPr>
      </w:pPr>
      <w:r>
        <w:rPr>
          <w:rFonts w:eastAsia="Times New Roman"/>
          <w:color w:val="000000"/>
          <w:sz w:val="20"/>
          <w:szCs w:val="20"/>
        </w:rPr>
        <w:lastRenderedPageBreak/>
        <w:t>•    We face substantial competition, which may result in others discovering, developing, or commercializing products before or</w:t>
      </w:r>
      <w:r>
        <w:rPr>
          <w:rFonts w:eastAsia="Times New Roman"/>
          <w:color w:val="000000"/>
          <w:sz w:val="20"/>
          <w:szCs w:val="20"/>
        </w:rPr>
        <w:t xml:space="preserve"> more successfully than us.</w:t>
      </w:r>
    </w:p>
    <w:p w:rsidR="00000000" w:rsidRDefault="009012B9">
      <w:pPr>
        <w:ind w:hanging="2520"/>
        <w:divId w:val="674115949"/>
        <w:rPr>
          <w:rFonts w:eastAsia="Times New Roman"/>
        </w:rPr>
      </w:pPr>
      <w:r>
        <w:rPr>
          <w:rFonts w:eastAsia="Times New Roman"/>
          <w:b/>
          <w:bCs/>
          <w:i/>
          <w:iCs/>
          <w:color w:val="000000"/>
          <w:sz w:val="20"/>
          <w:szCs w:val="20"/>
        </w:rPr>
        <w:t>Risks Related to Our Intellectual Property</w:t>
      </w:r>
    </w:p>
    <w:p w:rsidR="00000000" w:rsidRDefault="009012B9">
      <w:pPr>
        <w:ind w:hanging="1260"/>
        <w:divId w:val="1276592453"/>
        <w:rPr>
          <w:rFonts w:eastAsia="Times New Roman"/>
        </w:rPr>
      </w:pPr>
      <w:r>
        <w:rPr>
          <w:rFonts w:eastAsia="Times New Roman"/>
          <w:color w:val="000000"/>
          <w:sz w:val="20"/>
          <w:szCs w:val="20"/>
        </w:rPr>
        <w:t>•    Our success depends in part on our ability to protect our intellectual property. It is difficult and costly to protect our proprietary rights and technology, and we may not be able</w:t>
      </w:r>
      <w:r>
        <w:rPr>
          <w:rFonts w:eastAsia="Times New Roman"/>
          <w:color w:val="000000"/>
          <w:sz w:val="20"/>
          <w:szCs w:val="20"/>
        </w:rPr>
        <w:t xml:space="preserve"> to ensure their protection.</w:t>
      </w:r>
    </w:p>
    <w:p w:rsidR="00000000" w:rsidRDefault="009012B9">
      <w:pPr>
        <w:ind w:hanging="1260"/>
        <w:divId w:val="114954543"/>
        <w:rPr>
          <w:rFonts w:eastAsia="Times New Roman"/>
        </w:rPr>
      </w:pPr>
      <w:r>
        <w:rPr>
          <w:rFonts w:eastAsia="Times New Roman"/>
          <w:color w:val="000000"/>
          <w:sz w:val="20"/>
          <w:szCs w:val="20"/>
        </w:rPr>
        <w:t>•    Our collaborators may assert ownership or commercial rights to inventions they develop from research we support or that we develop from our use of the tissue samples or other biological materials, which they provide to us,</w:t>
      </w:r>
      <w:r>
        <w:rPr>
          <w:rFonts w:eastAsia="Times New Roman"/>
          <w:color w:val="000000"/>
          <w:sz w:val="20"/>
          <w:szCs w:val="20"/>
        </w:rPr>
        <w:t xml:space="preserve"> or otherwise arising from the collaboration.</w:t>
      </w:r>
    </w:p>
    <w:p w:rsidR="00000000" w:rsidRDefault="009012B9">
      <w:pPr>
        <w:ind w:hanging="1260"/>
        <w:divId w:val="1083796245"/>
        <w:rPr>
          <w:rFonts w:eastAsia="Times New Roman"/>
        </w:rPr>
      </w:pPr>
    </w:p>
    <w:p w:rsidR="00000000" w:rsidRDefault="009012B9">
      <w:pPr>
        <w:divId w:val="665790685"/>
        <w:rPr>
          <w:rFonts w:eastAsia="Times New Roman"/>
        </w:rPr>
      </w:pPr>
      <w:r>
        <w:rPr>
          <w:rFonts w:eastAsia="Times New Roman"/>
          <w:b/>
          <w:bCs/>
          <w:i/>
          <w:iCs/>
          <w:color w:val="000000"/>
          <w:sz w:val="20"/>
          <w:szCs w:val="20"/>
        </w:rPr>
        <w:t>Risks Related to Our Reliance on Third Parties</w:t>
      </w:r>
    </w:p>
    <w:p w:rsidR="00000000" w:rsidRDefault="009012B9">
      <w:pPr>
        <w:ind w:hanging="1260"/>
        <w:divId w:val="898826881"/>
        <w:rPr>
          <w:rFonts w:eastAsia="Times New Roman"/>
        </w:rPr>
      </w:pPr>
    </w:p>
    <w:p w:rsidR="00000000" w:rsidRDefault="009012B9">
      <w:pPr>
        <w:jc w:val="center"/>
        <w:divId w:val="582686650"/>
        <w:rPr>
          <w:rFonts w:eastAsia="Times New Roman"/>
        </w:rPr>
      </w:pPr>
      <w:r>
        <w:rPr>
          <w:rFonts w:eastAsia="Times New Roman"/>
          <w:color w:val="000000"/>
          <w:sz w:val="20"/>
          <w:szCs w:val="20"/>
        </w:rPr>
        <w:t>4</w:t>
      </w:r>
    </w:p>
    <w:p w:rsidR="00000000" w:rsidRDefault="009012B9">
      <w:pPr>
        <w:rPr>
          <w:rFonts w:eastAsia="Times New Roman"/>
        </w:rPr>
      </w:pPr>
      <w:r>
        <w:rPr>
          <w:rFonts w:eastAsia="Times New Roman"/>
        </w:rPr>
        <w:pict>
          <v:rect id="_x0000_i1028" style="width:0;height:1.5pt" o:hralign="center" o:hrstd="t" o:hr="t" fillcolor="#a0a0a0" stroked="f"/>
        </w:pict>
      </w:r>
    </w:p>
    <w:p w:rsidR="00000000" w:rsidRDefault="009012B9">
      <w:pPr>
        <w:divId w:val="1323047959"/>
        <w:rPr>
          <w:rFonts w:eastAsia="Times New Roman"/>
        </w:rPr>
      </w:pPr>
    </w:p>
    <w:p w:rsidR="00000000" w:rsidRDefault="009012B9">
      <w:pPr>
        <w:ind w:hanging="1260"/>
        <w:divId w:val="1807047073"/>
        <w:rPr>
          <w:rFonts w:eastAsia="Times New Roman"/>
        </w:rPr>
      </w:pPr>
      <w:r>
        <w:rPr>
          <w:rFonts w:eastAsia="Times New Roman"/>
          <w:color w:val="000000"/>
          <w:sz w:val="20"/>
          <w:szCs w:val="20"/>
        </w:rPr>
        <w:t>•    We have entered into a collaboration agreement with Novartis Institutes for Biomedical Research, Inc., or Novarti</w:t>
      </w:r>
      <w:r>
        <w:rPr>
          <w:rFonts w:eastAsia="Times New Roman"/>
          <w:color w:val="000000"/>
          <w:sz w:val="20"/>
          <w:szCs w:val="20"/>
        </w:rPr>
        <w:t>s, for the development of PLN-1474 and may in the future seek to enter into collaborations with third parties for the development and commercialization of other product candidates. If we fail to enter into such collaborations, or our collaborations are not</w:t>
      </w:r>
      <w:r>
        <w:rPr>
          <w:rFonts w:eastAsia="Times New Roman"/>
          <w:color w:val="000000"/>
          <w:sz w:val="20"/>
          <w:szCs w:val="20"/>
        </w:rPr>
        <w:t xml:space="preserve"> successful, we may be unable to continue development of such product candidates, we would not receive any contemplated milestone payments or royalties, and we could fail to capitalize on the market potential of such product candidates</w:t>
      </w:r>
    </w:p>
    <w:p w:rsidR="00000000" w:rsidRDefault="009012B9">
      <w:pPr>
        <w:ind w:hanging="1260"/>
        <w:divId w:val="399061460"/>
        <w:rPr>
          <w:rFonts w:eastAsia="Times New Roman"/>
        </w:rPr>
      </w:pPr>
      <w:r>
        <w:rPr>
          <w:rFonts w:eastAsia="Times New Roman"/>
          <w:color w:val="000000"/>
          <w:sz w:val="20"/>
          <w:szCs w:val="20"/>
        </w:rPr>
        <w:t>•    We rely on thir</w:t>
      </w:r>
      <w:r>
        <w:rPr>
          <w:rFonts w:eastAsia="Times New Roman"/>
          <w:color w:val="000000"/>
          <w:sz w:val="20"/>
          <w:szCs w:val="20"/>
        </w:rPr>
        <w:t xml:space="preserve">d parties to conduct certain aspects of our preclinical studies and clinical trials and for tissue samples and other materials required for our research and development activities. </w:t>
      </w:r>
    </w:p>
    <w:p w:rsidR="00000000" w:rsidRDefault="009012B9">
      <w:pPr>
        <w:divId w:val="497162034"/>
        <w:rPr>
          <w:rFonts w:eastAsia="Times New Roman"/>
        </w:rPr>
      </w:pPr>
    </w:p>
    <w:p w:rsidR="00000000" w:rsidRDefault="009012B9">
      <w:pPr>
        <w:divId w:val="1806581644"/>
        <w:rPr>
          <w:rFonts w:eastAsia="Times New Roman"/>
        </w:rPr>
      </w:pPr>
      <w:r>
        <w:rPr>
          <w:rFonts w:eastAsia="Times New Roman"/>
          <w:b/>
          <w:bCs/>
          <w:i/>
          <w:iCs/>
          <w:color w:val="000000"/>
          <w:sz w:val="20"/>
          <w:szCs w:val="20"/>
        </w:rPr>
        <w:t>Risks Related to Managing Our Business and Operations</w:t>
      </w:r>
    </w:p>
    <w:p w:rsidR="00000000" w:rsidRDefault="009012B9">
      <w:pPr>
        <w:ind w:hanging="1260"/>
        <w:divId w:val="2125153274"/>
        <w:rPr>
          <w:rFonts w:eastAsia="Times New Roman"/>
        </w:rPr>
      </w:pPr>
      <w:r>
        <w:rPr>
          <w:rFonts w:eastAsia="Times New Roman"/>
          <w:color w:val="000000"/>
          <w:sz w:val="20"/>
          <w:szCs w:val="20"/>
        </w:rPr>
        <w:t>•    </w:t>
      </w:r>
      <w:r>
        <w:rPr>
          <w:rFonts w:eastAsia="Times New Roman"/>
          <w:color w:val="000000"/>
          <w:sz w:val="20"/>
          <w:szCs w:val="20"/>
        </w:rPr>
        <w:t>The outbreak of the novel coronavirus disease, COVID-19, could adversely impact our business, including our preclinical studies and clinical trials.</w:t>
      </w:r>
    </w:p>
    <w:p w:rsidR="00000000" w:rsidRDefault="009012B9">
      <w:pPr>
        <w:ind w:hanging="1260"/>
        <w:divId w:val="2074812588"/>
        <w:rPr>
          <w:rFonts w:eastAsia="Times New Roman"/>
        </w:rPr>
      </w:pPr>
      <w:r>
        <w:rPr>
          <w:rFonts w:eastAsia="Times New Roman"/>
          <w:color w:val="000000"/>
          <w:sz w:val="20"/>
          <w:szCs w:val="20"/>
        </w:rPr>
        <w:t>•    If we lose key management personnel, or if we fail to recruit additional highly skilled personnel, our</w:t>
      </w:r>
      <w:r>
        <w:rPr>
          <w:rFonts w:eastAsia="Times New Roman"/>
          <w:color w:val="000000"/>
          <w:sz w:val="20"/>
          <w:szCs w:val="20"/>
        </w:rPr>
        <w:t xml:space="preserve"> ability to develop current product candidates or identify and develop new product candidates will be impaired, could result in loss of markets or market share and could make us less competitive.</w:t>
      </w:r>
    </w:p>
    <w:p w:rsidR="00000000" w:rsidRDefault="009012B9">
      <w:pPr>
        <w:divId w:val="136069857"/>
        <w:rPr>
          <w:rFonts w:eastAsia="Times New Roman"/>
        </w:rPr>
      </w:pPr>
    </w:p>
    <w:p w:rsidR="00000000" w:rsidRDefault="009012B9">
      <w:pPr>
        <w:jc w:val="center"/>
        <w:divId w:val="1383747580"/>
        <w:rPr>
          <w:rFonts w:eastAsia="Times New Roman"/>
        </w:rPr>
      </w:pPr>
      <w:r>
        <w:rPr>
          <w:rFonts w:eastAsia="Times New Roman"/>
          <w:color w:val="000000"/>
          <w:sz w:val="20"/>
          <w:szCs w:val="20"/>
        </w:rPr>
        <w:t>5</w:t>
      </w:r>
    </w:p>
    <w:p w:rsidR="00000000" w:rsidRDefault="009012B9">
      <w:pPr>
        <w:rPr>
          <w:rFonts w:eastAsia="Times New Roman"/>
        </w:rPr>
      </w:pPr>
      <w:r>
        <w:rPr>
          <w:rFonts w:eastAsia="Times New Roman"/>
        </w:rPr>
        <w:pict>
          <v:rect id="_x0000_i1029" style="width:0;height:1.5pt" o:hralign="center" o:hrstd="t" o:hr="t" fillcolor="#a0a0a0" stroked="f"/>
        </w:pict>
      </w:r>
    </w:p>
    <w:p w:rsidR="00000000" w:rsidRDefault="009012B9">
      <w:pPr>
        <w:divId w:val="553271302"/>
        <w:rPr>
          <w:rFonts w:eastAsia="Times New Roman"/>
        </w:rPr>
      </w:pPr>
    </w:p>
    <w:p w:rsidR="00000000" w:rsidRDefault="009012B9">
      <w:pPr>
        <w:jc w:val="center"/>
        <w:rPr>
          <w:rFonts w:eastAsia="Times New Roman"/>
        </w:rPr>
      </w:pPr>
      <w:r>
        <w:rPr>
          <w:rFonts w:eastAsia="Times New Roman"/>
          <w:b/>
          <w:bCs/>
          <w:color w:val="000000"/>
          <w:sz w:val="16"/>
          <w:szCs w:val="16"/>
        </w:rPr>
        <w:t>PART I—FINANCIAL INFORMATION</w:t>
      </w:r>
    </w:p>
    <w:p w:rsidR="00000000" w:rsidRDefault="009012B9">
      <w:pPr>
        <w:divId w:val="270355106"/>
        <w:rPr>
          <w:rFonts w:eastAsia="Times New Roman"/>
        </w:rPr>
      </w:pPr>
      <w:r>
        <w:rPr>
          <w:rFonts w:eastAsia="Times New Roman"/>
          <w:b/>
          <w:bCs/>
          <w:color w:val="000000"/>
          <w:sz w:val="16"/>
          <w:szCs w:val="16"/>
        </w:rPr>
        <w:t>Item 1. Condensed Financial Statements.</w:t>
      </w:r>
    </w:p>
    <w:p w:rsidR="00000000" w:rsidRDefault="009012B9">
      <w:pPr>
        <w:jc w:val="center"/>
        <w:rPr>
          <w:rFonts w:eastAsia="Times New Roman"/>
        </w:rPr>
      </w:pPr>
      <w:r>
        <w:rPr>
          <w:rFonts w:eastAsia="Times New Roman"/>
          <w:b/>
          <w:bCs/>
          <w:color w:val="000000"/>
          <w:sz w:val="16"/>
          <w:szCs w:val="16"/>
        </w:rPr>
        <w:t>Pliant Therapeutics, Inc.</w:t>
      </w:r>
    </w:p>
    <w:p w:rsidR="00000000" w:rsidRDefault="009012B9">
      <w:pPr>
        <w:jc w:val="center"/>
        <w:rPr>
          <w:rFonts w:eastAsia="Times New Roman"/>
        </w:rPr>
      </w:pPr>
      <w:r>
        <w:rPr>
          <w:rFonts w:eastAsia="Times New Roman"/>
          <w:b/>
          <w:bCs/>
          <w:color w:val="000000"/>
          <w:sz w:val="16"/>
          <w:szCs w:val="16"/>
        </w:rPr>
        <w:t>Condensed Balance Sheets</w:t>
      </w:r>
    </w:p>
    <w:p w:rsidR="00000000" w:rsidRDefault="009012B9">
      <w:pPr>
        <w:jc w:val="center"/>
        <w:rPr>
          <w:rFonts w:eastAsia="Times New Roman"/>
        </w:rPr>
      </w:pPr>
      <w:r>
        <w:rPr>
          <w:rFonts w:eastAsia="Times New Roman"/>
          <w:b/>
          <w:bCs/>
          <w:color w:val="000000"/>
          <w:sz w:val="16"/>
          <w:szCs w:val="16"/>
        </w:rPr>
        <w:t>(Unaudited)</w:t>
      </w:r>
    </w:p>
    <w:p w:rsidR="00000000" w:rsidRDefault="009012B9">
      <w:pPr>
        <w:jc w:val="center"/>
        <w:rPr>
          <w:rFonts w:eastAsia="Times New Roman"/>
        </w:rPr>
      </w:pPr>
      <w:r>
        <w:rPr>
          <w:rFonts w:eastAsia="Times New Roman"/>
          <w:i/>
          <w:iCs/>
          <w:color w:val="000000"/>
          <w:sz w:val="16"/>
          <w:szCs w:val="16"/>
        </w:rPr>
        <w:t>(In thousands, except number of shares and per share amounts)</w:t>
      </w:r>
    </w:p>
    <w:tbl>
      <w:tblPr>
        <w:tblW w:w="4926" w:type="pct"/>
        <w:tblCellMar>
          <w:top w:w="15" w:type="dxa"/>
          <w:left w:w="15" w:type="dxa"/>
          <w:bottom w:w="15" w:type="dxa"/>
          <w:right w:w="15" w:type="dxa"/>
        </w:tblCellMar>
        <w:tblLook w:val="04A0" w:firstRow="1" w:lastRow="0" w:firstColumn="1" w:lastColumn="0" w:noHBand="0" w:noVBand="1"/>
      </w:tblPr>
      <w:tblGrid>
        <w:gridCol w:w="43"/>
        <w:gridCol w:w="5564"/>
        <w:gridCol w:w="40"/>
        <w:gridCol w:w="110"/>
        <w:gridCol w:w="1083"/>
        <w:gridCol w:w="36"/>
        <w:gridCol w:w="36"/>
        <w:gridCol w:w="36"/>
        <w:gridCol w:w="36"/>
        <w:gridCol w:w="110"/>
        <w:gridCol w:w="1053"/>
        <w:gridCol w:w="36"/>
      </w:tblGrid>
      <w:tr w:rsidR="00000000">
        <w:trPr>
          <w:divId w:val="2035382714"/>
        </w:trPr>
        <w:tc>
          <w:tcPr>
            <w:tcW w:w="50" w:type="pct"/>
            <w:vAlign w:val="center"/>
            <w:hideMark/>
          </w:tcPr>
          <w:p w:rsidR="00000000" w:rsidRDefault="009012B9">
            <w:pPr>
              <w:jc w:val="center"/>
              <w:rPr>
                <w:rFonts w:eastAsia="Times New Roman"/>
              </w:rPr>
            </w:pPr>
          </w:p>
        </w:tc>
        <w:tc>
          <w:tcPr>
            <w:tcW w:w="3424"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686"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27"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686"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r>
      <w:tr w:rsidR="00000000">
        <w:trPr>
          <w:divId w:val="2035382714"/>
        </w:trPr>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color w:val="000000"/>
              </w:rPr>
              <w:t> </w:t>
            </w:r>
          </w:p>
        </w:tc>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trPr>
          <w:divId w:val="2035382714"/>
        </w:trPr>
        <w:tc>
          <w:tcPr>
            <w:tcW w:w="0" w:type="auto"/>
            <w:gridSpan w:val="3"/>
            <w:shd w:val="clear" w:color="auto" w:fill="CCEEFF"/>
            <w:tcMar>
              <w:top w:w="30" w:type="dxa"/>
              <w:left w:w="20" w:type="dxa"/>
              <w:bottom w:w="30" w:type="dxa"/>
              <w:right w:w="20" w:type="dxa"/>
            </w:tcMar>
            <w:hideMark/>
          </w:tcPr>
          <w:p w:rsidR="00000000" w:rsidRDefault="009012B9">
            <w:pPr>
              <w:spacing w:after="100"/>
              <w:rPr>
                <w:rFonts w:eastAsia="Times New Roman"/>
              </w:rPr>
            </w:pPr>
            <w:r>
              <w:rPr>
                <w:rFonts w:eastAsia="Times New Roman"/>
                <w:b/>
                <w:bCs/>
                <w:color w:val="000000"/>
                <w:sz w:val="18"/>
                <w:szCs w:val="18"/>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012B9">
            <w:pPr>
              <w:spacing w:after="100"/>
              <w:rPr>
                <w:rFonts w:eastAsia="Times New Roman"/>
                <w:sz w:val="20"/>
                <w:szCs w:val="20"/>
              </w:rPr>
            </w:pPr>
          </w:p>
        </w:tc>
      </w:tr>
      <w:tr w:rsidR="00000000">
        <w:trPr>
          <w:divId w:val="2035382714"/>
        </w:trPr>
        <w:tc>
          <w:tcPr>
            <w:tcW w:w="0" w:type="auto"/>
            <w:gridSpan w:val="3"/>
            <w:shd w:val="clear" w:color="auto" w:fill="FFFFFF"/>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18"/>
                <w:szCs w:val="18"/>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rPr>
                <w:rFonts w:eastAsia="Times New Roman"/>
                <w:sz w:val="20"/>
                <w:szCs w:val="20"/>
              </w:rPr>
            </w:pPr>
          </w:p>
        </w:tc>
      </w:tr>
      <w:tr w:rsidR="00000000">
        <w:trPr>
          <w:divId w:val="2035382714"/>
        </w:trPr>
        <w:tc>
          <w:tcPr>
            <w:tcW w:w="0" w:type="auto"/>
            <w:gridSpan w:val="3"/>
            <w:shd w:val="clear" w:color="auto" w:fill="CCEEFF"/>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18"/>
                <w:szCs w:val="18"/>
              </w:rPr>
              <w:t>Cash and cash equivalents</w:t>
            </w:r>
          </w:p>
        </w:tc>
        <w:tc>
          <w:tcPr>
            <w:tcW w:w="0" w:type="auto"/>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50,819 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50,882 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2035382714"/>
        </w:trPr>
        <w:tc>
          <w:tcPr>
            <w:tcW w:w="0" w:type="auto"/>
            <w:gridSpan w:val="3"/>
            <w:shd w:val="clear" w:color="auto" w:fill="FFFFFF"/>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18"/>
                <w:szCs w:val="18"/>
              </w:rPr>
              <w:t>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213,281 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226,012 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2035382714"/>
        </w:trPr>
        <w:tc>
          <w:tcPr>
            <w:tcW w:w="0" w:type="auto"/>
            <w:gridSpan w:val="3"/>
            <w:shd w:val="clear" w:color="auto" w:fill="CCEEFF"/>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18"/>
                <w:szCs w:val="18"/>
              </w:rPr>
              <w:t>Accounts receivable</w:t>
            </w: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2,174 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9,279 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2035382714"/>
        </w:trPr>
        <w:tc>
          <w:tcPr>
            <w:tcW w:w="0" w:type="auto"/>
            <w:gridSpan w:val="3"/>
            <w:shd w:val="clear" w:color="auto" w:fill="FFFFFF"/>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18"/>
                <w:szCs w:val="18"/>
              </w:rPr>
              <w:t>Tax credit receivable</w:t>
            </w: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83 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83 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2035382714"/>
        </w:trPr>
        <w:tc>
          <w:tcPr>
            <w:tcW w:w="0" w:type="auto"/>
            <w:gridSpan w:val="3"/>
            <w:shd w:val="clear" w:color="auto" w:fill="CCEEFF"/>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18"/>
                <w:szCs w:val="18"/>
              </w:rPr>
              <w:t>Prepaid expenses and other current assets</w:t>
            </w: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4,180 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4,498 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2035382714"/>
        </w:trPr>
        <w:tc>
          <w:tcPr>
            <w:tcW w:w="0" w:type="auto"/>
            <w:gridSpan w:val="3"/>
            <w:shd w:val="clear" w:color="auto" w:fill="FFFFFF"/>
            <w:tcMar>
              <w:top w:w="30" w:type="dxa"/>
              <w:left w:w="605" w:type="dxa"/>
              <w:bottom w:w="30" w:type="dxa"/>
              <w:right w:w="20" w:type="dxa"/>
            </w:tcMar>
            <w:hideMark/>
          </w:tcPr>
          <w:p w:rsidR="00000000" w:rsidRDefault="009012B9">
            <w:pPr>
              <w:spacing w:after="100"/>
              <w:rPr>
                <w:rFonts w:eastAsia="Times New Roman"/>
              </w:rPr>
            </w:pPr>
            <w:r>
              <w:rPr>
                <w:rFonts w:eastAsia="Times New Roman"/>
                <w:color w:val="000000"/>
                <w:sz w:val="18"/>
                <w:szCs w:val="18"/>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270,537 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290,754 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2035382714"/>
        </w:trPr>
        <w:tc>
          <w:tcPr>
            <w:tcW w:w="0" w:type="auto"/>
            <w:gridSpan w:val="3"/>
            <w:shd w:val="clear" w:color="auto" w:fill="CCEEFF"/>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18"/>
                <w:szCs w:val="18"/>
              </w:rPr>
              <w:lastRenderedPageBreak/>
              <w:t>Property and equipment, net</w:t>
            </w: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4,266 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4,321 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2035382714"/>
        </w:trPr>
        <w:tc>
          <w:tcPr>
            <w:tcW w:w="0" w:type="auto"/>
            <w:gridSpan w:val="3"/>
            <w:shd w:val="clear" w:color="auto" w:fill="FFFFFF"/>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18"/>
                <w:szCs w:val="18"/>
              </w:rPr>
              <w:t>Other non-current assets</w:t>
            </w: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451 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451 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2035382714"/>
        </w:trPr>
        <w:tc>
          <w:tcPr>
            <w:tcW w:w="0" w:type="auto"/>
            <w:gridSpan w:val="3"/>
            <w:shd w:val="clear" w:color="auto" w:fill="CCEEFF"/>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18"/>
                <w:szCs w:val="18"/>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275,254 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295,526 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2035382714"/>
        </w:trPr>
        <w:tc>
          <w:tcPr>
            <w:tcW w:w="0" w:type="auto"/>
            <w:gridSpan w:val="3"/>
            <w:shd w:val="clear" w:color="auto" w:fill="FFFFFF"/>
            <w:tcMar>
              <w:top w:w="30" w:type="dxa"/>
              <w:left w:w="20" w:type="dxa"/>
              <w:bottom w:w="30" w:type="dxa"/>
              <w:right w:w="20" w:type="dxa"/>
            </w:tcMar>
            <w:hideMark/>
          </w:tcPr>
          <w:p w:rsidR="00000000" w:rsidRDefault="009012B9">
            <w:pPr>
              <w:spacing w:after="100"/>
              <w:rPr>
                <w:rFonts w:eastAsia="Times New Roman"/>
              </w:rPr>
            </w:pPr>
            <w:r>
              <w:rPr>
                <w:rFonts w:eastAsia="Times New Roman"/>
                <w:b/>
                <w:bCs/>
                <w:color w:val="000000"/>
                <w:sz w:val="18"/>
                <w:szCs w:val="18"/>
              </w:rPr>
              <w:t xml:space="preserve">Liabilities and Stockholders’ Equity </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012B9">
            <w:pPr>
              <w:spacing w:after="100"/>
              <w:rPr>
                <w:rFonts w:eastAsia="Times New Roman"/>
                <w:sz w:val="20"/>
                <w:szCs w:val="20"/>
              </w:rPr>
            </w:pPr>
          </w:p>
        </w:tc>
      </w:tr>
      <w:tr w:rsidR="00000000">
        <w:trPr>
          <w:divId w:val="2035382714"/>
        </w:trPr>
        <w:tc>
          <w:tcPr>
            <w:tcW w:w="0" w:type="auto"/>
            <w:gridSpan w:val="3"/>
            <w:shd w:val="clear" w:color="auto" w:fill="CCEEFF"/>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18"/>
                <w:szCs w:val="18"/>
              </w:rPr>
              <w:t>Current liabilities</w:t>
            </w: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rPr>
                <w:rFonts w:eastAsia="Times New Roman"/>
                <w:sz w:val="20"/>
                <w:szCs w:val="20"/>
              </w:rPr>
            </w:pPr>
          </w:p>
        </w:tc>
      </w:tr>
      <w:tr w:rsidR="00000000">
        <w:trPr>
          <w:divId w:val="2035382714"/>
        </w:trPr>
        <w:tc>
          <w:tcPr>
            <w:tcW w:w="0" w:type="auto"/>
            <w:gridSpan w:val="3"/>
            <w:shd w:val="clear" w:color="auto" w:fill="FFFFFF"/>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18"/>
                <w:szCs w:val="18"/>
              </w:rPr>
              <w:t>Accounts payable</w:t>
            </w:r>
          </w:p>
        </w:tc>
        <w:tc>
          <w:tcPr>
            <w:tcW w:w="0" w:type="auto"/>
            <w:shd w:val="clear" w:color="auto" w:fill="FFFF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2,886 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2,023 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2035382714"/>
        </w:trPr>
        <w:tc>
          <w:tcPr>
            <w:tcW w:w="0" w:type="auto"/>
            <w:gridSpan w:val="3"/>
            <w:shd w:val="clear" w:color="auto" w:fill="CCEEFF"/>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18"/>
                <w:szCs w:val="18"/>
              </w:rPr>
              <w:t>Accrued liabilities (Note 5)</w:t>
            </w: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7,364 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9,576 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2035382714"/>
        </w:trPr>
        <w:tc>
          <w:tcPr>
            <w:tcW w:w="0" w:type="auto"/>
            <w:gridSpan w:val="3"/>
            <w:shd w:val="clear" w:color="auto" w:fill="FFFFFF"/>
            <w:tcMar>
              <w:top w:w="30" w:type="dxa"/>
              <w:left w:w="515" w:type="dxa"/>
              <w:bottom w:w="30" w:type="dxa"/>
              <w:right w:w="20" w:type="dxa"/>
            </w:tcMar>
            <w:hideMark/>
          </w:tcPr>
          <w:p w:rsidR="00000000" w:rsidRDefault="009012B9">
            <w:pPr>
              <w:spacing w:after="100"/>
              <w:rPr>
                <w:rFonts w:eastAsia="Times New Roman"/>
              </w:rPr>
            </w:pPr>
            <w:r>
              <w:rPr>
                <w:rFonts w:eastAsia="Times New Roman"/>
                <w:color w:val="000000"/>
                <w:sz w:val="18"/>
                <w:szCs w:val="18"/>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10,250 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11,599 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2035382714"/>
        </w:trPr>
        <w:tc>
          <w:tcPr>
            <w:tcW w:w="0" w:type="auto"/>
            <w:gridSpan w:val="3"/>
            <w:shd w:val="clear" w:color="auto" w:fill="CCEEFF"/>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18"/>
                <w:szCs w:val="18"/>
              </w:rPr>
              <w:t>Other long-term liabilities (Note 5)</w:t>
            </w: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835 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866 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2035382714"/>
        </w:trPr>
        <w:tc>
          <w:tcPr>
            <w:tcW w:w="0" w:type="auto"/>
            <w:gridSpan w:val="3"/>
            <w:shd w:val="clear" w:color="auto" w:fill="FFFFFF"/>
            <w:tcMar>
              <w:top w:w="30" w:type="dxa"/>
              <w:left w:w="605" w:type="dxa"/>
              <w:bottom w:w="30" w:type="dxa"/>
              <w:right w:w="20" w:type="dxa"/>
            </w:tcMar>
            <w:hideMark/>
          </w:tcPr>
          <w:p w:rsidR="00000000" w:rsidRDefault="009012B9">
            <w:pPr>
              <w:spacing w:after="100"/>
              <w:rPr>
                <w:rFonts w:eastAsia="Times New Roman"/>
              </w:rPr>
            </w:pPr>
            <w:r>
              <w:rPr>
                <w:rFonts w:eastAsia="Times New Roman"/>
                <w:color w:val="000000"/>
                <w:sz w:val="18"/>
                <w:szCs w:val="18"/>
              </w:rPr>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11,085 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12,465 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2035382714"/>
        </w:trPr>
        <w:tc>
          <w:tcPr>
            <w:tcW w:w="0" w:type="auto"/>
            <w:gridSpan w:val="3"/>
            <w:shd w:val="clear" w:color="auto" w:fill="CCEEFF"/>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18"/>
                <w:szCs w:val="18"/>
              </w:rPr>
              <w:t xml:space="preserve">Stockholders’ equity </w:t>
            </w: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rPr>
                <w:rFonts w:eastAsia="Times New Roman"/>
                <w:sz w:val="20"/>
                <w:szCs w:val="20"/>
              </w:rPr>
            </w:pPr>
          </w:p>
        </w:tc>
      </w:tr>
      <w:tr w:rsidR="00000000">
        <w:trPr>
          <w:divId w:val="2035382714"/>
        </w:trPr>
        <w:tc>
          <w:tcPr>
            <w:tcW w:w="0" w:type="auto"/>
            <w:gridSpan w:val="3"/>
            <w:shd w:val="clear" w:color="auto" w:fill="FFFFFF"/>
            <w:tcMar>
              <w:top w:w="30" w:type="dxa"/>
              <w:left w:w="20" w:type="dxa"/>
              <w:bottom w:w="30" w:type="dxa"/>
              <w:right w:w="20" w:type="dxa"/>
            </w:tcMar>
            <w:vAlign w:val="bottom"/>
            <w:hideMark/>
          </w:tcPr>
          <w:p w:rsidR="00000000" w:rsidRDefault="009012B9">
            <w:pPr>
              <w:spacing w:after="100"/>
              <w:ind w:hanging="180"/>
              <w:divId w:val="1141506053"/>
              <w:rPr>
                <w:rFonts w:eastAsia="Times New Roman"/>
              </w:rPr>
            </w:pPr>
            <w:r>
              <w:rPr>
                <w:rFonts w:eastAsia="Times New Roman"/>
                <w:color w:val="000000"/>
                <w:sz w:val="18"/>
                <w:szCs w:val="18"/>
              </w:rPr>
              <w:t xml:space="preserve">Common stock, $0.0001 par value; 300,000,000 </w:t>
            </w:r>
            <w:r>
              <w:rPr>
                <w:rFonts w:eastAsia="Times New Roman"/>
                <w:color w:val="000000"/>
                <w:sz w:val="18"/>
                <w:szCs w:val="18"/>
              </w:rPr>
              <w:t>shares authorized at March 31, 2021 and December 31, 2020; and 35,748,336 and 35,552,795 shares issued and outstanding at March 31, 2021 and December 31, 2020, respectively;</w:t>
            </w: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2035382714"/>
        </w:trPr>
        <w:tc>
          <w:tcPr>
            <w:tcW w:w="0" w:type="auto"/>
            <w:gridSpan w:val="3"/>
            <w:shd w:val="clear" w:color="auto" w:fill="CCEEFF"/>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18"/>
                <w:szCs w:val="18"/>
              </w:rPr>
              <w:t>Additional paid-in capital</w:t>
            </w: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404,868 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400,918 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2035382714"/>
        </w:trPr>
        <w:tc>
          <w:tcPr>
            <w:tcW w:w="0" w:type="auto"/>
            <w:gridSpan w:val="3"/>
            <w:shd w:val="clear" w:color="auto" w:fill="FFFFFF"/>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18"/>
                <w:szCs w:val="18"/>
              </w:rPr>
              <w:t>Accumulated deficit</w:t>
            </w: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(140,684)</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(117,828)</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2035382714"/>
        </w:trPr>
        <w:tc>
          <w:tcPr>
            <w:tcW w:w="0" w:type="auto"/>
            <w:gridSpan w:val="3"/>
            <w:shd w:val="clear" w:color="auto" w:fill="CCEEFF"/>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18"/>
                <w:szCs w:val="18"/>
              </w:rPr>
              <w:t>Accumulated other comprehensive loss</w:t>
            </w: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(18)</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(32)</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2035382714"/>
        </w:trPr>
        <w:tc>
          <w:tcPr>
            <w:tcW w:w="0" w:type="auto"/>
            <w:gridSpan w:val="3"/>
            <w:shd w:val="clear" w:color="auto" w:fill="FFFFFF"/>
            <w:tcMar>
              <w:top w:w="30" w:type="dxa"/>
              <w:left w:w="605" w:type="dxa"/>
              <w:bottom w:w="30" w:type="dxa"/>
              <w:right w:w="20" w:type="dxa"/>
            </w:tcMar>
            <w:hideMark/>
          </w:tcPr>
          <w:p w:rsidR="00000000" w:rsidRDefault="009012B9">
            <w:pPr>
              <w:spacing w:after="100"/>
              <w:rPr>
                <w:rFonts w:eastAsia="Times New Roman"/>
              </w:rPr>
            </w:pPr>
            <w:r>
              <w:rPr>
                <w:rFonts w:eastAsia="Times New Roman"/>
                <w:color w:val="000000"/>
                <w:sz w:val="18"/>
                <w:szCs w:val="18"/>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264,169 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283,061 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2035382714"/>
        </w:trPr>
        <w:tc>
          <w:tcPr>
            <w:tcW w:w="0" w:type="auto"/>
            <w:gridSpan w:val="3"/>
            <w:shd w:val="clear" w:color="auto" w:fill="CCEEFF"/>
            <w:tcMar>
              <w:top w:w="30" w:type="dxa"/>
              <w:left w:w="20" w:type="dxa"/>
              <w:bottom w:w="30" w:type="dxa"/>
              <w:right w:w="20" w:type="dxa"/>
            </w:tcMar>
            <w:hideMark/>
          </w:tcPr>
          <w:p w:rsidR="00000000" w:rsidRDefault="009012B9">
            <w:pPr>
              <w:spacing w:after="100"/>
              <w:rPr>
                <w:rFonts w:eastAsia="Times New Roman"/>
              </w:rPr>
            </w:pPr>
            <w:r>
              <w:rPr>
                <w:rFonts w:eastAsia="Times New Roman"/>
                <w:b/>
                <w:bCs/>
                <w:color w:val="000000"/>
                <w:sz w:val="18"/>
                <w:szCs w:val="18"/>
              </w:rPr>
              <w:t>Total liabilities and stockholders’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275,254 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8"/>
                <w:szCs w:val="18"/>
              </w:rPr>
              <w:t>295,526 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r>
    </w:tbl>
    <w:p w:rsidR="00000000" w:rsidRDefault="009012B9">
      <w:pPr>
        <w:ind w:hanging="720"/>
        <w:divId w:val="8945273"/>
        <w:rPr>
          <w:rFonts w:eastAsia="Times New Roman"/>
        </w:rPr>
      </w:pPr>
      <w:r>
        <w:rPr>
          <w:rFonts w:eastAsia="Times New Roman"/>
          <w:color w:val="000000"/>
          <w:sz w:val="20"/>
          <w:szCs w:val="20"/>
        </w:rPr>
        <w:t>*The condensed balance sheet as of December 31, 2020 has been derived from the audited financial statements as of that date</w:t>
      </w:r>
      <w:r>
        <w:rPr>
          <w:rFonts w:eastAsia="Times New Roman"/>
          <w:color w:val="000000"/>
          <w:sz w:val="18"/>
          <w:szCs w:val="18"/>
        </w:rPr>
        <w:t>.</w:t>
      </w:r>
    </w:p>
    <w:p w:rsidR="00000000" w:rsidRDefault="009012B9">
      <w:pPr>
        <w:jc w:val="center"/>
        <w:divId w:val="493684114"/>
        <w:rPr>
          <w:rFonts w:eastAsia="Times New Roman"/>
        </w:rPr>
      </w:pPr>
      <w:r>
        <w:rPr>
          <w:rFonts w:eastAsia="Times New Roman"/>
          <w:i/>
          <w:iCs/>
          <w:color w:val="000000"/>
          <w:sz w:val="20"/>
          <w:szCs w:val="20"/>
        </w:rPr>
        <w:t>The accompanying notes are an integral part of these condensed financial statements</w:t>
      </w:r>
    </w:p>
    <w:p w:rsidR="00000000" w:rsidRDefault="009012B9">
      <w:pPr>
        <w:jc w:val="center"/>
        <w:divId w:val="868762008"/>
        <w:rPr>
          <w:rFonts w:eastAsia="Times New Roman"/>
        </w:rPr>
      </w:pPr>
      <w:r>
        <w:rPr>
          <w:rFonts w:eastAsia="Times New Roman"/>
          <w:color w:val="000000"/>
          <w:sz w:val="20"/>
          <w:szCs w:val="20"/>
        </w:rPr>
        <w:t>6</w:t>
      </w:r>
    </w:p>
    <w:p w:rsidR="00000000" w:rsidRDefault="009012B9">
      <w:pPr>
        <w:rPr>
          <w:rFonts w:eastAsia="Times New Roman"/>
        </w:rPr>
      </w:pPr>
      <w:r>
        <w:rPr>
          <w:rFonts w:eastAsia="Times New Roman"/>
        </w:rPr>
        <w:pict>
          <v:rect id="_x0000_i1030" style="width:0;height:1.5pt" o:hralign="center" o:hrstd="t" o:hr="t" fillcolor="#a0a0a0" stroked="f"/>
        </w:pict>
      </w:r>
    </w:p>
    <w:p w:rsidR="00000000" w:rsidRDefault="009012B9">
      <w:pPr>
        <w:divId w:val="1351486660"/>
        <w:rPr>
          <w:rFonts w:eastAsia="Times New Roman"/>
        </w:rPr>
      </w:pPr>
    </w:p>
    <w:p w:rsidR="00000000" w:rsidRDefault="009012B9">
      <w:pPr>
        <w:jc w:val="center"/>
        <w:rPr>
          <w:rFonts w:eastAsia="Times New Roman"/>
        </w:rPr>
      </w:pPr>
      <w:r>
        <w:rPr>
          <w:rFonts w:eastAsia="Times New Roman"/>
          <w:b/>
          <w:bCs/>
          <w:color w:val="000000"/>
          <w:sz w:val="20"/>
          <w:szCs w:val="20"/>
        </w:rPr>
        <w:t>Pliant Therapeutics, Inc.</w:t>
      </w:r>
    </w:p>
    <w:p w:rsidR="00000000" w:rsidRDefault="009012B9">
      <w:pPr>
        <w:jc w:val="center"/>
        <w:rPr>
          <w:rFonts w:eastAsia="Times New Roman"/>
        </w:rPr>
      </w:pPr>
      <w:r>
        <w:rPr>
          <w:rFonts w:eastAsia="Times New Roman"/>
          <w:b/>
          <w:bCs/>
          <w:color w:val="000000"/>
          <w:sz w:val="20"/>
          <w:szCs w:val="20"/>
        </w:rPr>
        <w:t>Condensed Statements of Operations and Comprehensive Income (Loss)</w:t>
      </w:r>
    </w:p>
    <w:p w:rsidR="00000000" w:rsidRDefault="009012B9">
      <w:pPr>
        <w:jc w:val="center"/>
        <w:rPr>
          <w:rFonts w:eastAsia="Times New Roman"/>
        </w:rPr>
      </w:pPr>
      <w:r>
        <w:rPr>
          <w:rFonts w:eastAsia="Times New Roman"/>
          <w:b/>
          <w:bCs/>
          <w:color w:val="000000"/>
          <w:sz w:val="20"/>
          <w:szCs w:val="20"/>
        </w:rPr>
        <w:t>(Unaudited)</w:t>
      </w:r>
    </w:p>
    <w:p w:rsidR="00000000" w:rsidRDefault="009012B9">
      <w:pPr>
        <w:jc w:val="center"/>
        <w:rPr>
          <w:rFonts w:eastAsia="Times New Roman"/>
        </w:rPr>
      </w:pPr>
      <w:r>
        <w:rPr>
          <w:rFonts w:eastAsia="Times New Roman"/>
          <w:i/>
          <w:iCs/>
          <w:color w:val="000000"/>
          <w:sz w:val="18"/>
          <w:szCs w:val="18"/>
        </w:rPr>
        <w:t>(In thousands, except number of shares and per share amounts)</w:t>
      </w:r>
    </w:p>
    <w:tbl>
      <w:tblPr>
        <w:tblW w:w="4912" w:type="pct"/>
        <w:tblCellMar>
          <w:top w:w="15" w:type="dxa"/>
          <w:left w:w="15" w:type="dxa"/>
          <w:bottom w:w="15" w:type="dxa"/>
          <w:right w:w="15" w:type="dxa"/>
        </w:tblCellMar>
        <w:tblLook w:val="04A0" w:firstRow="1" w:lastRow="0" w:firstColumn="1" w:lastColumn="0" w:noHBand="0" w:noVBand="1"/>
      </w:tblPr>
      <w:tblGrid>
        <w:gridCol w:w="40"/>
        <w:gridCol w:w="5688"/>
        <w:gridCol w:w="39"/>
        <w:gridCol w:w="121"/>
        <w:gridCol w:w="887"/>
        <w:gridCol w:w="36"/>
        <w:gridCol w:w="36"/>
        <w:gridCol w:w="36"/>
        <w:gridCol w:w="36"/>
        <w:gridCol w:w="121"/>
        <w:gridCol w:w="796"/>
        <w:gridCol w:w="36"/>
        <w:gridCol w:w="36"/>
        <w:gridCol w:w="36"/>
        <w:gridCol w:w="36"/>
        <w:gridCol w:w="36"/>
        <w:gridCol w:w="36"/>
        <w:gridCol w:w="36"/>
        <w:gridCol w:w="36"/>
        <w:gridCol w:w="36"/>
      </w:tblGrid>
      <w:tr w:rsidR="00000000">
        <w:trPr>
          <w:divId w:val="1992325067"/>
        </w:trPr>
        <w:tc>
          <w:tcPr>
            <w:tcW w:w="50" w:type="pct"/>
            <w:vAlign w:val="center"/>
            <w:hideMark/>
          </w:tcPr>
          <w:p w:rsidR="00000000" w:rsidRDefault="009012B9">
            <w:pPr>
              <w:jc w:val="center"/>
              <w:rPr>
                <w:rFonts w:eastAsia="Times New Roman"/>
              </w:rPr>
            </w:pPr>
          </w:p>
        </w:tc>
        <w:tc>
          <w:tcPr>
            <w:tcW w:w="3717"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540"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27"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540"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1992325067"/>
        </w:trPr>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March 31,</w:t>
            </w:r>
          </w:p>
        </w:tc>
        <w:tc>
          <w:tcPr>
            <w:tcW w:w="0" w:type="auto"/>
            <w:vAlign w:val="center"/>
            <w:hideMark/>
          </w:tcPr>
          <w:p w:rsidR="00000000" w:rsidRDefault="009012B9">
            <w:pPr>
              <w:spacing w:after="100"/>
              <w:jc w:val="center"/>
              <w:rPr>
                <w:rFonts w:eastAsia="Times New Roman"/>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r>
      <w:tr w:rsidR="00000000">
        <w:trPr>
          <w:divId w:val="1992325067"/>
        </w:trPr>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2020</w:t>
            </w:r>
          </w:p>
        </w:tc>
        <w:tc>
          <w:tcPr>
            <w:tcW w:w="0" w:type="auto"/>
            <w:vAlign w:val="center"/>
            <w:hideMark/>
          </w:tcPr>
          <w:p w:rsidR="00000000" w:rsidRDefault="009012B9">
            <w:pPr>
              <w:spacing w:after="100"/>
              <w:jc w:val="center"/>
              <w:rPr>
                <w:rFonts w:eastAsia="Times New Roman"/>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1992325067"/>
        </w:trPr>
        <w:tc>
          <w:tcPr>
            <w:tcW w:w="0" w:type="auto"/>
            <w:gridSpan w:val="3"/>
            <w:shd w:val="clear" w:color="auto" w:fill="CCEEFF"/>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Revenue — related party</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2,174 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28,938 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vAlign w:val="center"/>
            <w:hideMark/>
          </w:tcPr>
          <w:p w:rsidR="00000000" w:rsidRDefault="009012B9">
            <w:pPr>
              <w:spacing w:after="100"/>
              <w:jc w:val="right"/>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1992325067"/>
        </w:trPr>
        <w:tc>
          <w:tcPr>
            <w:tcW w:w="0" w:type="auto"/>
            <w:gridSpan w:val="3"/>
            <w:shd w:val="clear" w:color="auto" w:fill="FFFFFF"/>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1992325067"/>
        </w:trPr>
        <w:tc>
          <w:tcPr>
            <w:tcW w:w="0" w:type="auto"/>
            <w:gridSpan w:val="3"/>
            <w:shd w:val="clear" w:color="auto" w:fill="CCEEFF"/>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20"/>
                <w:szCs w:val="20"/>
              </w:rPr>
              <w:t>Research and development</w:t>
            </w: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(18,527)</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(13,919)</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vAlign w:val="center"/>
            <w:hideMark/>
          </w:tcPr>
          <w:p w:rsidR="00000000" w:rsidRDefault="009012B9">
            <w:pPr>
              <w:spacing w:after="100"/>
              <w:jc w:val="right"/>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1992325067"/>
        </w:trPr>
        <w:tc>
          <w:tcPr>
            <w:tcW w:w="0" w:type="auto"/>
            <w:gridSpan w:val="3"/>
            <w:shd w:val="clear" w:color="auto" w:fill="FFFFFF"/>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20"/>
                <w:szCs w:val="20"/>
              </w:rPr>
              <w:t>General and administrative</w:t>
            </w: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(6,566)</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(4,011)</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vAlign w:val="center"/>
            <w:hideMark/>
          </w:tcPr>
          <w:p w:rsidR="00000000" w:rsidRDefault="009012B9">
            <w:pPr>
              <w:spacing w:after="100"/>
              <w:jc w:val="right"/>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1992325067"/>
        </w:trPr>
        <w:tc>
          <w:tcPr>
            <w:tcW w:w="0" w:type="auto"/>
            <w:gridSpan w:val="3"/>
            <w:shd w:val="clear" w:color="auto" w:fill="CCEEFF"/>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20"/>
                <w:szCs w:val="20"/>
              </w:rPr>
              <w:t>Total operating expenses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(25,093)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(17,930)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vAlign w:val="center"/>
            <w:hideMark/>
          </w:tcPr>
          <w:p w:rsidR="00000000" w:rsidRDefault="009012B9">
            <w:pPr>
              <w:spacing w:after="100"/>
              <w:jc w:val="right"/>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1992325067"/>
        </w:trPr>
        <w:tc>
          <w:tcPr>
            <w:tcW w:w="0" w:type="auto"/>
            <w:gridSpan w:val="3"/>
            <w:shd w:val="clear" w:color="auto" w:fill="FFFFFF"/>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(Loss) income from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(22,919)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11,008 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vAlign w:val="center"/>
            <w:hideMark/>
          </w:tcPr>
          <w:p w:rsidR="00000000" w:rsidRDefault="009012B9">
            <w:pPr>
              <w:spacing w:after="100"/>
              <w:jc w:val="right"/>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1992325067"/>
        </w:trPr>
        <w:tc>
          <w:tcPr>
            <w:tcW w:w="0" w:type="auto"/>
            <w:gridSpan w:val="3"/>
            <w:shd w:val="clear" w:color="auto" w:fill="CCEEFF"/>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Interest and other income (expense), net</w:t>
            </w: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63 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vAlign w:val="center"/>
            <w:hideMark/>
          </w:tcPr>
          <w:p w:rsidR="00000000" w:rsidRDefault="009012B9">
            <w:pPr>
              <w:spacing w:after="100"/>
              <w:jc w:val="right"/>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1992325067"/>
        </w:trPr>
        <w:tc>
          <w:tcPr>
            <w:tcW w:w="0" w:type="auto"/>
            <w:gridSpan w:val="3"/>
            <w:shd w:val="clear" w:color="auto" w:fill="FFFFFF"/>
            <w:tcMar>
              <w:top w:w="30" w:type="dxa"/>
              <w:left w:w="260" w:type="dxa"/>
              <w:bottom w:w="30" w:type="dxa"/>
              <w:right w:w="20" w:type="dxa"/>
            </w:tcMar>
            <w:hideMark/>
          </w:tcPr>
          <w:p w:rsidR="00000000" w:rsidRDefault="009012B9">
            <w:pPr>
              <w:spacing w:after="100"/>
              <w:rPr>
                <w:rFonts w:eastAsia="Times New Roman"/>
              </w:rPr>
            </w:pPr>
            <w:r>
              <w:rPr>
                <w:rFonts w:eastAsia="Times New Roman"/>
                <w:color w:val="000000"/>
                <w:sz w:val="20"/>
                <w:szCs w:val="20"/>
              </w:rPr>
              <w:t>Net (loss)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(22,856)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11,029 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vAlign w:val="center"/>
            <w:hideMark/>
          </w:tcPr>
          <w:p w:rsidR="00000000" w:rsidRDefault="009012B9">
            <w:pPr>
              <w:spacing w:after="100"/>
              <w:jc w:val="right"/>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1992325067"/>
        </w:trPr>
        <w:tc>
          <w:tcPr>
            <w:tcW w:w="0" w:type="auto"/>
            <w:gridSpan w:val="3"/>
            <w:shd w:val="clear" w:color="auto" w:fill="CCEEFF"/>
            <w:tcMar>
              <w:top w:w="30" w:type="dxa"/>
              <w:left w:w="260" w:type="dxa"/>
              <w:bottom w:w="30" w:type="dxa"/>
              <w:right w:w="20" w:type="dxa"/>
            </w:tcMar>
            <w:vAlign w:val="bottom"/>
            <w:hideMark/>
          </w:tcPr>
          <w:p w:rsidR="00000000" w:rsidRDefault="009012B9">
            <w:pPr>
              <w:spacing w:after="100"/>
              <w:rPr>
                <w:rFonts w:eastAsia="Times New Roman"/>
              </w:rPr>
            </w:pPr>
            <w:r>
              <w:rPr>
                <w:rFonts w:eastAsia="Times New Roman"/>
                <w:color w:val="000000"/>
                <w:sz w:val="20"/>
                <w:szCs w:val="20"/>
              </w:rPr>
              <w:t>Less: Undistributed earnings to preferred stockholders</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(11,029)</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vAlign w:val="center"/>
            <w:hideMark/>
          </w:tcPr>
          <w:p w:rsidR="00000000" w:rsidRDefault="009012B9">
            <w:pPr>
              <w:spacing w:after="100"/>
              <w:jc w:val="right"/>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1992325067"/>
        </w:trPr>
        <w:tc>
          <w:tcPr>
            <w:tcW w:w="0" w:type="auto"/>
            <w:gridSpan w:val="3"/>
            <w:shd w:val="clear" w:color="auto" w:fill="FFFFFF"/>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Net loss attributable to common stockholders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(22,856)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vAlign w:val="center"/>
            <w:hideMark/>
          </w:tcPr>
          <w:p w:rsidR="00000000" w:rsidRDefault="009012B9">
            <w:pPr>
              <w:spacing w:after="100"/>
              <w:jc w:val="right"/>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1992325067"/>
        </w:trPr>
        <w:tc>
          <w:tcPr>
            <w:tcW w:w="0" w:type="auto"/>
            <w:gridSpan w:val="3"/>
            <w:shd w:val="clear" w:color="auto" w:fill="CCEEFF"/>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Net loss per share, attributable to common stockholders: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1992325067"/>
        </w:trPr>
        <w:tc>
          <w:tcPr>
            <w:tcW w:w="0" w:type="auto"/>
            <w:gridSpan w:val="3"/>
            <w:shd w:val="clear" w:color="auto" w:fill="FFFFFF"/>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20"/>
                <w:szCs w:val="20"/>
              </w:rPr>
              <w:t>Basic</w:t>
            </w:r>
          </w:p>
        </w:tc>
        <w:tc>
          <w:tcPr>
            <w:tcW w:w="0" w:type="auto"/>
            <w:shd w:val="clear" w:color="auto" w:fill="FFFF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(0.64)</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vAlign w:val="center"/>
            <w:hideMark/>
          </w:tcPr>
          <w:p w:rsidR="00000000" w:rsidRDefault="009012B9">
            <w:pPr>
              <w:spacing w:after="100"/>
              <w:jc w:val="right"/>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1992325067"/>
        </w:trPr>
        <w:tc>
          <w:tcPr>
            <w:tcW w:w="0" w:type="auto"/>
            <w:gridSpan w:val="3"/>
            <w:shd w:val="clear" w:color="auto" w:fill="CCEEFF"/>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20"/>
                <w:szCs w:val="20"/>
              </w:rPr>
              <w:t>Diluted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(0.64)</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vAlign w:val="center"/>
            <w:hideMark/>
          </w:tcPr>
          <w:p w:rsidR="00000000" w:rsidRDefault="009012B9">
            <w:pPr>
              <w:spacing w:after="100"/>
              <w:jc w:val="right"/>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1992325067"/>
        </w:trPr>
        <w:tc>
          <w:tcPr>
            <w:tcW w:w="0" w:type="auto"/>
            <w:gridSpan w:val="3"/>
            <w:shd w:val="clear" w:color="auto" w:fill="FFFFFF"/>
            <w:tcMar>
              <w:top w:w="30" w:type="dxa"/>
              <w:left w:w="200" w:type="dxa"/>
              <w:bottom w:w="30" w:type="dxa"/>
              <w:right w:w="20" w:type="dxa"/>
            </w:tcMar>
            <w:vAlign w:val="bottom"/>
            <w:hideMark/>
          </w:tcPr>
          <w:p w:rsidR="00000000" w:rsidRDefault="009012B9">
            <w:pPr>
              <w:spacing w:after="100"/>
              <w:rPr>
                <w:rFonts w:eastAsia="Times New Roman"/>
              </w:rPr>
            </w:pPr>
            <w:r>
              <w:rPr>
                <w:rFonts w:eastAsia="Times New Roman"/>
                <w:color w:val="000000"/>
                <w:sz w:val="20"/>
                <w:szCs w:val="20"/>
              </w:rPr>
              <w:t>Shares used in computing net loss per share attributable to common stockholders: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1992325067"/>
        </w:trPr>
        <w:tc>
          <w:tcPr>
            <w:tcW w:w="0" w:type="auto"/>
            <w:gridSpan w:val="3"/>
            <w:shd w:val="clear" w:color="auto" w:fill="CCEEFF"/>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20"/>
                <w:szCs w:val="20"/>
              </w:rPr>
              <w:t>Basic</w:t>
            </w: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35,645,205 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1,897,669 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vAlign w:val="center"/>
            <w:hideMark/>
          </w:tcPr>
          <w:p w:rsidR="00000000" w:rsidRDefault="009012B9">
            <w:pPr>
              <w:spacing w:after="100"/>
              <w:jc w:val="right"/>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1992325067"/>
        </w:trPr>
        <w:tc>
          <w:tcPr>
            <w:tcW w:w="0" w:type="auto"/>
            <w:gridSpan w:val="3"/>
            <w:shd w:val="clear" w:color="auto" w:fill="FFFFFF"/>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20"/>
                <w:szCs w:val="20"/>
              </w:rPr>
              <w:t>Diluted</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35,645,205 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1,897,669 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vAlign w:val="center"/>
            <w:hideMark/>
          </w:tcPr>
          <w:p w:rsidR="00000000" w:rsidRDefault="009012B9">
            <w:pPr>
              <w:spacing w:after="100"/>
              <w:jc w:val="right"/>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1992325067"/>
        </w:trPr>
        <w:tc>
          <w:tcPr>
            <w:tcW w:w="0" w:type="auto"/>
            <w:gridSpan w:val="3"/>
            <w:shd w:val="clear" w:color="auto" w:fill="CCEEFF"/>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Comprehensive income (loss):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1992325067"/>
        </w:trPr>
        <w:tc>
          <w:tcPr>
            <w:tcW w:w="0" w:type="auto"/>
            <w:gridSpan w:val="3"/>
            <w:shd w:val="clear" w:color="auto" w:fill="FFFFFF"/>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20"/>
                <w:szCs w:val="20"/>
              </w:rPr>
              <w:t>Net income (loss)</w:t>
            </w:r>
          </w:p>
        </w:tc>
        <w:tc>
          <w:tcPr>
            <w:tcW w:w="0" w:type="auto"/>
            <w:shd w:val="clear" w:color="auto" w:fill="FFFF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(22,856)</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11,029 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vAlign w:val="center"/>
            <w:hideMark/>
          </w:tcPr>
          <w:p w:rsidR="00000000" w:rsidRDefault="009012B9">
            <w:pPr>
              <w:spacing w:after="100"/>
              <w:jc w:val="right"/>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1992325067"/>
        </w:trPr>
        <w:tc>
          <w:tcPr>
            <w:tcW w:w="0" w:type="auto"/>
            <w:gridSpan w:val="3"/>
            <w:shd w:val="clear" w:color="auto" w:fill="CCEEFF"/>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20"/>
                <w:szCs w:val="20"/>
              </w:rPr>
              <w:t>Net unrealized gain (loss) on short-term investments</w:t>
            </w:r>
          </w:p>
        </w:tc>
        <w:tc>
          <w:tcPr>
            <w:tcW w:w="0" w:type="auto"/>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vAlign w:val="center"/>
            <w:hideMark/>
          </w:tcPr>
          <w:p w:rsidR="00000000" w:rsidRDefault="009012B9">
            <w:pPr>
              <w:spacing w:after="100"/>
              <w:jc w:val="right"/>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1992325067"/>
        </w:trPr>
        <w:tc>
          <w:tcPr>
            <w:tcW w:w="0" w:type="auto"/>
            <w:gridSpan w:val="3"/>
            <w:shd w:val="clear" w:color="auto" w:fill="FFFFFF"/>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 xml:space="preserve">Total other comprehensive income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vAlign w:val="center"/>
            <w:hideMark/>
          </w:tcPr>
          <w:p w:rsidR="00000000" w:rsidRDefault="009012B9">
            <w:pPr>
              <w:spacing w:after="100"/>
              <w:jc w:val="right"/>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1992325067"/>
        </w:trPr>
        <w:tc>
          <w:tcPr>
            <w:tcW w:w="0" w:type="auto"/>
            <w:gridSpan w:val="3"/>
            <w:shd w:val="clear" w:color="auto" w:fill="CCEEFF"/>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Comprehensive income (loss)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(22,842)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11,089 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vAlign w:val="center"/>
            <w:hideMark/>
          </w:tcPr>
          <w:p w:rsidR="00000000" w:rsidRDefault="009012B9">
            <w:pPr>
              <w:spacing w:after="100"/>
              <w:jc w:val="right"/>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bl>
    <w:p w:rsidR="00000000" w:rsidRDefault="009012B9">
      <w:pPr>
        <w:jc w:val="center"/>
        <w:divId w:val="1224874137"/>
        <w:rPr>
          <w:rFonts w:eastAsia="Times New Roman"/>
        </w:rPr>
      </w:pPr>
      <w:r>
        <w:rPr>
          <w:rFonts w:eastAsia="Times New Roman"/>
          <w:i/>
          <w:iCs/>
          <w:color w:val="000000"/>
          <w:sz w:val="20"/>
          <w:szCs w:val="20"/>
        </w:rPr>
        <w:t>The accompanying notes are an integral part of these condensed financial statements.</w:t>
      </w:r>
    </w:p>
    <w:p w:rsidR="00000000" w:rsidRDefault="009012B9">
      <w:pPr>
        <w:jc w:val="center"/>
        <w:divId w:val="733162821"/>
        <w:rPr>
          <w:rFonts w:eastAsia="Times New Roman"/>
        </w:rPr>
      </w:pPr>
      <w:r>
        <w:rPr>
          <w:rFonts w:eastAsia="Times New Roman"/>
          <w:color w:val="000000"/>
          <w:sz w:val="20"/>
          <w:szCs w:val="20"/>
        </w:rPr>
        <w:t>7</w:t>
      </w:r>
    </w:p>
    <w:p w:rsidR="00000000" w:rsidRDefault="009012B9">
      <w:pPr>
        <w:rPr>
          <w:rFonts w:eastAsia="Times New Roman"/>
        </w:rPr>
      </w:pPr>
      <w:r>
        <w:rPr>
          <w:rFonts w:eastAsia="Times New Roman"/>
        </w:rPr>
        <w:pict>
          <v:rect id="_x0000_i1031" style="width:0;height:1.5pt" o:hralign="center" o:hrstd="t" o:hr="t" fillcolor="#a0a0a0" stroked="f"/>
        </w:pict>
      </w:r>
    </w:p>
    <w:p w:rsidR="00000000" w:rsidRDefault="009012B9">
      <w:pPr>
        <w:divId w:val="1187675834"/>
        <w:rPr>
          <w:rFonts w:eastAsia="Times New Roman"/>
        </w:rPr>
      </w:pPr>
    </w:p>
    <w:p w:rsidR="00000000" w:rsidRDefault="009012B9">
      <w:pPr>
        <w:jc w:val="center"/>
        <w:rPr>
          <w:rFonts w:eastAsia="Times New Roman"/>
        </w:rPr>
      </w:pPr>
      <w:r>
        <w:rPr>
          <w:rFonts w:eastAsia="Times New Roman"/>
          <w:b/>
          <w:bCs/>
          <w:color w:val="000000"/>
          <w:sz w:val="20"/>
          <w:szCs w:val="20"/>
        </w:rPr>
        <w:t>Pliant Therapeutics, Inc.</w:t>
      </w:r>
    </w:p>
    <w:p w:rsidR="00000000" w:rsidRDefault="009012B9">
      <w:pPr>
        <w:jc w:val="center"/>
        <w:rPr>
          <w:rFonts w:eastAsia="Times New Roman"/>
        </w:rPr>
      </w:pPr>
      <w:r>
        <w:rPr>
          <w:rFonts w:eastAsia="Times New Roman"/>
          <w:b/>
          <w:bCs/>
          <w:color w:val="000000"/>
          <w:sz w:val="20"/>
          <w:szCs w:val="20"/>
        </w:rPr>
        <w:t>Condensed Statements of Redeemable Convertible Preferred Stock and Stockholders’ Equity (Deficit)</w:t>
      </w:r>
    </w:p>
    <w:p w:rsidR="00000000" w:rsidRDefault="009012B9">
      <w:pPr>
        <w:jc w:val="center"/>
        <w:rPr>
          <w:rFonts w:eastAsia="Times New Roman"/>
        </w:rPr>
      </w:pPr>
      <w:r>
        <w:rPr>
          <w:rFonts w:eastAsia="Times New Roman"/>
          <w:b/>
          <w:bCs/>
          <w:color w:val="000000"/>
          <w:sz w:val="20"/>
          <w:szCs w:val="20"/>
        </w:rPr>
        <w:t>(Unaudited)</w:t>
      </w:r>
    </w:p>
    <w:p w:rsidR="00000000" w:rsidRDefault="009012B9">
      <w:pPr>
        <w:jc w:val="center"/>
        <w:rPr>
          <w:rFonts w:eastAsia="Times New Roman"/>
        </w:rPr>
      </w:pPr>
      <w:r>
        <w:rPr>
          <w:rFonts w:eastAsia="Times New Roman"/>
          <w:i/>
          <w:iCs/>
          <w:color w:val="000000"/>
          <w:sz w:val="18"/>
          <w:szCs w:val="18"/>
        </w:rPr>
        <w:t>(In thousands, except number of shares and per share amounts)</w:t>
      </w:r>
    </w:p>
    <w:tbl>
      <w:tblPr>
        <w:tblW w:w="4978" w:type="pct"/>
        <w:tblCellMar>
          <w:top w:w="15" w:type="dxa"/>
          <w:left w:w="15" w:type="dxa"/>
          <w:bottom w:w="15" w:type="dxa"/>
          <w:right w:w="15" w:type="dxa"/>
        </w:tblCellMar>
        <w:tblLook w:val="04A0" w:firstRow="1" w:lastRow="0" w:firstColumn="1" w:lastColumn="0" w:noHBand="0" w:noVBand="1"/>
      </w:tblPr>
      <w:tblGrid>
        <w:gridCol w:w="37"/>
        <w:gridCol w:w="801"/>
        <w:gridCol w:w="36"/>
        <w:gridCol w:w="75"/>
        <w:gridCol w:w="305"/>
        <w:gridCol w:w="36"/>
        <w:gridCol w:w="36"/>
        <w:gridCol w:w="36"/>
        <w:gridCol w:w="36"/>
        <w:gridCol w:w="89"/>
        <w:gridCol w:w="364"/>
        <w:gridCol w:w="36"/>
        <w:gridCol w:w="36"/>
        <w:gridCol w:w="36"/>
        <w:gridCol w:w="36"/>
        <w:gridCol w:w="75"/>
        <w:gridCol w:w="305"/>
        <w:gridCol w:w="36"/>
        <w:gridCol w:w="36"/>
        <w:gridCol w:w="36"/>
        <w:gridCol w:w="36"/>
        <w:gridCol w:w="89"/>
        <w:gridCol w:w="364"/>
        <w:gridCol w:w="36"/>
        <w:gridCol w:w="36"/>
        <w:gridCol w:w="36"/>
        <w:gridCol w:w="36"/>
        <w:gridCol w:w="75"/>
        <w:gridCol w:w="305"/>
        <w:gridCol w:w="36"/>
        <w:gridCol w:w="36"/>
        <w:gridCol w:w="36"/>
        <w:gridCol w:w="36"/>
        <w:gridCol w:w="89"/>
        <w:gridCol w:w="364"/>
        <w:gridCol w:w="36"/>
        <w:gridCol w:w="36"/>
        <w:gridCol w:w="36"/>
        <w:gridCol w:w="36"/>
        <w:gridCol w:w="36"/>
        <w:gridCol w:w="36"/>
        <w:gridCol w:w="36"/>
        <w:gridCol w:w="116"/>
        <w:gridCol w:w="474"/>
        <w:gridCol w:w="37"/>
        <w:gridCol w:w="37"/>
        <w:gridCol w:w="37"/>
        <w:gridCol w:w="36"/>
        <w:gridCol w:w="89"/>
        <w:gridCol w:w="364"/>
        <w:gridCol w:w="36"/>
        <w:gridCol w:w="36"/>
        <w:gridCol w:w="36"/>
        <w:gridCol w:w="36"/>
        <w:gridCol w:w="113"/>
        <w:gridCol w:w="463"/>
        <w:gridCol w:w="36"/>
        <w:gridCol w:w="36"/>
        <w:gridCol w:w="36"/>
        <w:gridCol w:w="36"/>
        <w:gridCol w:w="129"/>
        <w:gridCol w:w="711"/>
        <w:gridCol w:w="1030"/>
      </w:tblGrid>
      <w:tr w:rsidR="00000000">
        <w:trPr>
          <w:divId w:val="331184614"/>
        </w:trPr>
        <w:tc>
          <w:tcPr>
            <w:tcW w:w="50" w:type="pct"/>
            <w:vAlign w:val="center"/>
            <w:hideMark/>
          </w:tcPr>
          <w:p w:rsidR="00000000" w:rsidRDefault="009012B9">
            <w:pPr>
              <w:jc w:val="center"/>
              <w:rPr>
                <w:rFonts w:eastAsia="Times New Roman"/>
              </w:rPr>
            </w:pPr>
          </w:p>
        </w:tc>
        <w:tc>
          <w:tcPr>
            <w:tcW w:w="1309"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20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17"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20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17"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20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17"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20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17"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20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17"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20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17"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17"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20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28"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20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17"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20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17"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276"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r>
      <w:tr w:rsidR="00000000">
        <w:trPr>
          <w:divId w:val="331184614"/>
          <w:trHeight w:val="220"/>
        </w:trPr>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color w:val="000000"/>
                <w:sz w:val="12"/>
                <w:szCs w:val="12"/>
              </w:rPr>
              <w:t> </w:t>
            </w: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2"/>
                <w:szCs w:val="12"/>
              </w:rPr>
              <w:t>Redeemable Convertible Preferred Stock</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2"/>
                <w:szCs w:val="12"/>
              </w:rPr>
              <w:t> </w:t>
            </w:r>
          </w:p>
        </w:tc>
        <w:tc>
          <w:tcPr>
            <w:tcW w:w="0" w:type="auto"/>
            <w:gridSpan w:val="3"/>
            <w:tcMar>
              <w:top w:w="30" w:type="dxa"/>
              <w:left w:w="20" w:type="dxa"/>
              <w:bottom w:w="30" w:type="dxa"/>
              <w:right w:w="20" w:type="dxa"/>
            </w:tcMar>
            <w:vAlign w:val="bottom"/>
            <w:hideMark/>
          </w:tcPr>
          <w:p w:rsidR="00000000" w:rsidRDefault="009012B9">
            <w:pPr>
              <w:spacing w:after="100"/>
              <w:rPr>
                <w:rFonts w:eastAsia="Times New Roman"/>
              </w:rPr>
            </w:pPr>
            <w:r>
              <w:rPr>
                <w:rFonts w:eastAsia="Times New Roman"/>
                <w:b/>
                <w:bCs/>
                <w:color w:val="000000"/>
                <w:sz w:val="12"/>
                <w:szCs w:val="12"/>
              </w:rPr>
              <w:t> </w:t>
            </w:r>
          </w:p>
        </w:tc>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2"/>
                <w:szCs w:val="12"/>
              </w:rPr>
              <w:t> </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2"/>
                <w:szCs w:val="12"/>
              </w:rPr>
              <w:t>Additional</w:t>
            </w:r>
            <w:r>
              <w:rPr>
                <w:rFonts w:eastAsia="Times New Roman"/>
                <w:b/>
                <w:bCs/>
                <w:color w:val="000000"/>
                <w:sz w:val="12"/>
                <w:szCs w:val="12"/>
              </w:rPr>
              <w:br/>
              <w:t>Paid-In</w:t>
            </w:r>
            <w:r>
              <w:rPr>
                <w:rFonts w:eastAsia="Times New Roman"/>
                <w:b/>
                <w:bCs/>
                <w:color w:val="000000"/>
                <w:sz w:val="12"/>
                <w:szCs w:val="12"/>
              </w:rPr>
              <w:br/>
              <w:t>Capital</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2"/>
                <w:szCs w:val="12"/>
              </w:rPr>
              <w:t>Accumulated</w:t>
            </w:r>
            <w:r>
              <w:rPr>
                <w:rFonts w:eastAsia="Times New Roman"/>
                <w:b/>
                <w:bCs/>
                <w:color w:val="000000"/>
                <w:sz w:val="12"/>
                <w:szCs w:val="12"/>
              </w:rPr>
              <w:br/>
              <w:t>Other</w:t>
            </w:r>
            <w:r>
              <w:rPr>
                <w:rFonts w:eastAsia="Times New Roman"/>
                <w:b/>
                <w:bCs/>
                <w:color w:val="000000"/>
                <w:sz w:val="12"/>
                <w:szCs w:val="12"/>
              </w:rPr>
              <w:br/>
              <w:t>Comprehensive</w:t>
            </w:r>
            <w:r>
              <w:rPr>
                <w:rFonts w:eastAsia="Times New Roman"/>
                <w:b/>
                <w:bCs/>
                <w:color w:val="000000"/>
                <w:sz w:val="12"/>
                <w:szCs w:val="12"/>
              </w:rPr>
              <w:br/>
              <w:t>Gain (Loss)</w:t>
            </w:r>
          </w:p>
        </w:tc>
        <w:tc>
          <w:tcPr>
            <w:tcW w:w="0" w:type="auto"/>
            <w:tcMar>
              <w:top w:w="0" w:type="dxa"/>
              <w:left w:w="20" w:type="dxa"/>
              <w:bottom w:w="0" w:type="dxa"/>
              <w:right w:w="20" w:type="dxa"/>
            </w:tcMar>
            <w:vAlign w:val="center"/>
            <w:hideMark/>
          </w:tcPr>
          <w:p w:rsidR="00000000" w:rsidRDefault="009012B9">
            <w:pPr>
              <w:spacing w:after="100"/>
              <w:jc w:val="center"/>
              <w:rPr>
                <w:rFonts w:eastAsia="Times New Roman"/>
              </w:rPr>
            </w:pPr>
            <w:r>
              <w:rPr>
                <w:rFonts w:eastAsia="Times New Roman"/>
                <w:b/>
                <w:bCs/>
                <w:color w:val="000000"/>
                <w:sz w:val="12"/>
                <w:szCs w:val="12"/>
              </w:rPr>
              <w:t>Accumulated</w:t>
            </w:r>
            <w:r>
              <w:rPr>
                <w:rFonts w:eastAsia="Times New Roman"/>
                <w:b/>
                <w:bCs/>
                <w:color w:val="000000"/>
                <w:sz w:val="12"/>
                <w:szCs w:val="12"/>
              </w:rPr>
              <w:br/>
              <w:t>DeficitTotal</w:t>
            </w:r>
            <w:r>
              <w:rPr>
                <w:rFonts w:eastAsia="Times New Roman"/>
                <w:b/>
                <w:bCs/>
                <w:color w:val="000000"/>
                <w:sz w:val="12"/>
                <w:szCs w:val="12"/>
              </w:rPr>
              <w:br/>
              <w:t>Stockholders’</w:t>
            </w:r>
            <w:r>
              <w:rPr>
                <w:rFonts w:eastAsia="Times New Roman"/>
                <w:b/>
                <w:bCs/>
                <w:color w:val="000000"/>
                <w:sz w:val="12"/>
                <w:szCs w:val="12"/>
              </w:rPr>
              <w:br/>
              <w:t>Equity (Deficit)</w:t>
            </w:r>
          </w:p>
        </w:tc>
      </w:tr>
      <w:tr w:rsidR="00000000">
        <w:trPr>
          <w:divId w:val="331184614"/>
          <w:trHeight w:val="220"/>
        </w:trPr>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2"/>
                <w:szCs w:val="12"/>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2"/>
                <w:szCs w:val="12"/>
              </w:rPr>
              <w:t>Series 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2"/>
                <w:szCs w:val="12"/>
              </w:rPr>
              <w:t>Series B</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2"/>
                <w:szCs w:val="12"/>
              </w:rPr>
              <w:t>Series C</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2"/>
                <w:szCs w:val="12"/>
              </w:rPr>
              <w:t>Common Stock</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vMerge/>
            <w:vAlign w:val="center"/>
            <w:hideMark/>
          </w:tcPr>
          <w:p w:rsidR="00000000" w:rsidRDefault="009012B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2"/>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9012B9">
            <w:pPr>
              <w:spacing w:after="100"/>
              <w:rPr>
                <w:rFonts w:eastAsia="Times New Roman"/>
                <w:sz w:val="20"/>
                <w:szCs w:val="20"/>
              </w:rPr>
            </w:pPr>
          </w:p>
        </w:tc>
      </w:tr>
      <w:tr w:rsidR="00000000">
        <w:trPr>
          <w:divId w:val="331184614"/>
          <w:trHeight w:val="220"/>
        </w:trPr>
        <w:tc>
          <w:tcPr>
            <w:tcW w:w="0" w:type="auto"/>
            <w:gridSpan w:val="3"/>
            <w:tcMar>
              <w:top w:w="30" w:type="dxa"/>
              <w:left w:w="20" w:type="dxa"/>
              <w:bottom w:w="30" w:type="dxa"/>
              <w:right w:w="20" w:type="dxa"/>
            </w:tcMar>
            <w:vAlign w:val="bottom"/>
            <w:hideMark/>
          </w:tcPr>
          <w:p w:rsidR="00000000" w:rsidRDefault="009012B9">
            <w:pPr>
              <w:spacing w:after="100"/>
              <w:rPr>
                <w:rFonts w:eastAsia="Times New Roman"/>
              </w:rPr>
            </w:pPr>
            <w:r>
              <w:rPr>
                <w:rFonts w:eastAsia="Times New Roman"/>
                <w:b/>
                <w:bCs/>
                <w:color w:val="000000"/>
                <w:sz w:val="12"/>
                <w:szCs w:val="1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vMerge/>
            <w:vAlign w:val="center"/>
            <w:hideMark/>
          </w:tcPr>
          <w:p w:rsidR="00000000" w:rsidRDefault="009012B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2"/>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9012B9">
            <w:pPr>
              <w:spacing w:after="100"/>
              <w:rPr>
                <w:rFonts w:eastAsia="Times New Roman"/>
                <w:sz w:val="20"/>
                <w:szCs w:val="20"/>
              </w:rPr>
            </w:pPr>
          </w:p>
        </w:tc>
      </w:tr>
      <w:tr w:rsidR="009012B9">
        <w:trPr>
          <w:divId w:val="331184614"/>
        </w:trPr>
        <w:tc>
          <w:tcPr>
            <w:tcW w:w="0" w:type="auto"/>
            <w:gridSpan w:val="3"/>
            <w:shd w:val="clear" w:color="auto" w:fill="CCEEFF"/>
            <w:tcMar>
              <w:top w:w="30" w:type="dxa"/>
              <w:left w:w="200" w:type="dxa"/>
              <w:bottom w:w="30" w:type="dxa"/>
              <w:right w:w="20" w:type="dxa"/>
            </w:tcMar>
            <w:vAlign w:val="bottom"/>
            <w:hideMark/>
          </w:tcPr>
          <w:p w:rsidR="00000000" w:rsidRDefault="009012B9">
            <w:pPr>
              <w:spacing w:after="100"/>
              <w:rPr>
                <w:rFonts w:eastAsia="Times New Roman"/>
              </w:rPr>
            </w:pPr>
            <w:r>
              <w:rPr>
                <w:rFonts w:eastAsia="Times New Roman"/>
                <w:b/>
                <w:bCs/>
                <w:color w:val="000000"/>
                <w:sz w:val="12"/>
                <w:szCs w:val="12"/>
              </w:rPr>
              <w:t>Balance at December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35,552,795 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400,918 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r>
              <w:rPr>
                <w:rFonts w:eastAsia="Times New Roman"/>
                <w:color w:val="000000"/>
                <w:sz w:val="12"/>
                <w:szCs w:val="12"/>
              </w:rPr>
              <w:t>$(117,828)$283,061 </w:t>
            </w:r>
          </w:p>
        </w:tc>
      </w:tr>
      <w:tr w:rsidR="009012B9">
        <w:trPr>
          <w:divId w:val="331184614"/>
        </w:trPr>
        <w:tc>
          <w:tcPr>
            <w:tcW w:w="0" w:type="auto"/>
            <w:gridSpan w:val="3"/>
            <w:shd w:val="clear" w:color="auto" w:fill="FFFFFF"/>
            <w:tcMar>
              <w:top w:w="30" w:type="dxa"/>
              <w:left w:w="200" w:type="dxa"/>
              <w:bottom w:w="30" w:type="dxa"/>
              <w:right w:w="20" w:type="dxa"/>
            </w:tcMar>
            <w:vAlign w:val="bottom"/>
            <w:hideMark/>
          </w:tcPr>
          <w:p w:rsidR="00000000" w:rsidRDefault="009012B9">
            <w:pPr>
              <w:spacing w:after="100"/>
              <w:ind w:hanging="180"/>
              <w:rPr>
                <w:rFonts w:eastAsia="Times New Roman"/>
              </w:rPr>
            </w:pPr>
            <w:r>
              <w:rPr>
                <w:rFonts w:eastAsia="Times New Roman"/>
                <w:color w:val="000000"/>
                <w:sz w:val="12"/>
                <w:szCs w:val="12"/>
              </w:rPr>
              <w:t>Vesting of restricted stock awards</w:t>
            </w: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30,277 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2 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r>
              <w:rPr>
                <w:rFonts w:eastAsia="Times New Roman"/>
                <w:color w:val="000000"/>
                <w:sz w:val="12"/>
                <w:szCs w:val="12"/>
              </w:rPr>
              <w:t>— 2 </w:t>
            </w:r>
          </w:p>
        </w:tc>
      </w:tr>
      <w:tr w:rsidR="009012B9">
        <w:trPr>
          <w:divId w:val="331184614"/>
        </w:trPr>
        <w:tc>
          <w:tcPr>
            <w:tcW w:w="0" w:type="auto"/>
            <w:gridSpan w:val="3"/>
            <w:shd w:val="clear" w:color="auto" w:fill="CCEEFF"/>
            <w:tcMar>
              <w:top w:w="30" w:type="dxa"/>
              <w:left w:w="20" w:type="dxa"/>
              <w:bottom w:w="30" w:type="dxa"/>
              <w:right w:w="20" w:type="dxa"/>
            </w:tcMar>
            <w:vAlign w:val="bottom"/>
            <w:hideMark/>
          </w:tcPr>
          <w:p w:rsidR="00000000" w:rsidRDefault="009012B9">
            <w:pPr>
              <w:spacing w:after="100"/>
              <w:rPr>
                <w:rFonts w:eastAsia="Times New Roman"/>
              </w:rPr>
            </w:pPr>
            <w:r>
              <w:rPr>
                <w:rFonts w:eastAsia="Times New Roman"/>
                <w:color w:val="000000"/>
                <w:sz w:val="12"/>
                <w:szCs w:val="12"/>
              </w:rPr>
              <w:t>Option exercises</w:t>
            </w: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165,264 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1,370 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r>
              <w:rPr>
                <w:rFonts w:eastAsia="Times New Roman"/>
                <w:color w:val="000000"/>
                <w:sz w:val="12"/>
                <w:szCs w:val="12"/>
              </w:rPr>
              <w:t>— 1,370 </w:t>
            </w:r>
          </w:p>
        </w:tc>
      </w:tr>
      <w:tr w:rsidR="009012B9">
        <w:trPr>
          <w:divId w:val="331184614"/>
        </w:trPr>
        <w:tc>
          <w:tcPr>
            <w:tcW w:w="0" w:type="auto"/>
            <w:gridSpan w:val="3"/>
            <w:shd w:val="clear" w:color="auto" w:fill="FFFFFF"/>
            <w:tcMar>
              <w:top w:w="30" w:type="dxa"/>
              <w:left w:w="20" w:type="dxa"/>
              <w:bottom w:w="30" w:type="dxa"/>
              <w:right w:w="20" w:type="dxa"/>
            </w:tcMar>
            <w:vAlign w:val="bottom"/>
            <w:hideMark/>
          </w:tcPr>
          <w:p w:rsidR="00000000" w:rsidRDefault="009012B9">
            <w:pPr>
              <w:spacing w:after="100"/>
              <w:rPr>
                <w:rFonts w:eastAsia="Times New Roman"/>
              </w:rPr>
            </w:pPr>
            <w:r>
              <w:rPr>
                <w:rFonts w:eastAsia="Times New Roman"/>
                <w:color w:val="000000"/>
                <w:sz w:val="12"/>
                <w:szCs w:val="12"/>
              </w:rPr>
              <w:t>Stock-based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2,578 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r>
              <w:rPr>
                <w:rFonts w:eastAsia="Times New Roman"/>
                <w:color w:val="000000"/>
                <w:sz w:val="12"/>
                <w:szCs w:val="12"/>
              </w:rPr>
              <w:t>— 2,578 </w:t>
            </w:r>
          </w:p>
        </w:tc>
      </w:tr>
      <w:tr w:rsidR="009012B9">
        <w:trPr>
          <w:divId w:val="331184614"/>
        </w:trPr>
        <w:tc>
          <w:tcPr>
            <w:tcW w:w="0" w:type="auto"/>
            <w:gridSpan w:val="3"/>
            <w:shd w:val="clear" w:color="auto" w:fill="CCEEFF"/>
            <w:tcMar>
              <w:top w:w="30" w:type="dxa"/>
              <w:left w:w="20" w:type="dxa"/>
              <w:bottom w:w="30" w:type="dxa"/>
              <w:right w:w="20" w:type="dxa"/>
            </w:tcMar>
            <w:vAlign w:val="bottom"/>
            <w:hideMark/>
          </w:tcPr>
          <w:p w:rsidR="00000000" w:rsidRDefault="009012B9">
            <w:pPr>
              <w:spacing w:after="100"/>
              <w:ind w:hanging="180"/>
              <w:divId w:val="2017997933"/>
              <w:rPr>
                <w:rFonts w:eastAsia="Times New Roman"/>
              </w:rPr>
            </w:pPr>
            <w:r>
              <w:rPr>
                <w:rFonts w:eastAsia="Times New Roman"/>
                <w:color w:val="000000"/>
                <w:sz w:val="12"/>
                <w:szCs w:val="12"/>
              </w:rPr>
              <w:t>Net unrealized gain on 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14 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r>
              <w:rPr>
                <w:rFonts w:eastAsia="Times New Roman"/>
                <w:color w:val="000000"/>
                <w:sz w:val="12"/>
                <w:szCs w:val="12"/>
              </w:rPr>
              <w:t>— 14 </w:t>
            </w:r>
          </w:p>
        </w:tc>
      </w:tr>
      <w:tr w:rsidR="009012B9">
        <w:trPr>
          <w:divId w:val="331184614"/>
        </w:trPr>
        <w:tc>
          <w:tcPr>
            <w:tcW w:w="0" w:type="auto"/>
            <w:gridSpan w:val="3"/>
            <w:shd w:val="clear" w:color="auto" w:fill="FFFFFF"/>
            <w:tcMar>
              <w:top w:w="30" w:type="dxa"/>
              <w:left w:w="200" w:type="dxa"/>
              <w:bottom w:w="30" w:type="dxa"/>
              <w:right w:w="20" w:type="dxa"/>
            </w:tcMar>
            <w:vAlign w:val="bottom"/>
            <w:hideMark/>
          </w:tcPr>
          <w:p w:rsidR="00000000" w:rsidRDefault="009012B9">
            <w:pPr>
              <w:spacing w:after="100"/>
              <w:ind w:hanging="180"/>
              <w:rPr>
                <w:rFonts w:eastAsia="Times New Roman"/>
              </w:rPr>
            </w:pPr>
            <w:r>
              <w:rPr>
                <w:rFonts w:eastAsia="Times New Roman"/>
                <w:color w:val="000000"/>
                <w:sz w:val="12"/>
                <w:szCs w:val="12"/>
              </w:rPr>
              <w:t>Net loss</w:t>
            </w: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r>
              <w:rPr>
                <w:rFonts w:eastAsia="Times New Roman"/>
                <w:color w:val="000000"/>
                <w:sz w:val="12"/>
                <w:szCs w:val="12"/>
              </w:rPr>
              <w:t>(22,856)(22,856)</w:t>
            </w:r>
          </w:p>
        </w:tc>
      </w:tr>
      <w:tr w:rsidR="009012B9">
        <w:trPr>
          <w:divId w:val="331184614"/>
        </w:trPr>
        <w:tc>
          <w:tcPr>
            <w:tcW w:w="0" w:type="auto"/>
            <w:gridSpan w:val="3"/>
            <w:shd w:val="clear" w:color="auto" w:fill="CCEEFF"/>
            <w:tcMar>
              <w:top w:w="30" w:type="dxa"/>
              <w:left w:w="200" w:type="dxa"/>
              <w:bottom w:w="30" w:type="dxa"/>
              <w:right w:w="20" w:type="dxa"/>
            </w:tcMar>
            <w:vAlign w:val="bottom"/>
            <w:hideMark/>
          </w:tcPr>
          <w:p w:rsidR="00000000" w:rsidRDefault="009012B9">
            <w:pPr>
              <w:spacing w:after="100"/>
              <w:ind w:hanging="180"/>
              <w:rPr>
                <w:rFonts w:eastAsia="Times New Roman"/>
              </w:rPr>
            </w:pPr>
            <w:r>
              <w:rPr>
                <w:rFonts w:eastAsia="Times New Roman"/>
                <w:b/>
                <w:bCs/>
                <w:color w:val="000000"/>
                <w:sz w:val="12"/>
                <w:szCs w:val="12"/>
              </w:rPr>
              <w:t>Balance at March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35,748,336 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404,868 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r>
              <w:rPr>
                <w:rFonts w:eastAsia="Times New Roman"/>
                <w:color w:val="000000"/>
                <w:sz w:val="12"/>
                <w:szCs w:val="12"/>
              </w:rPr>
              <w:t>$(</w:t>
            </w:r>
            <w:r>
              <w:rPr>
                <w:rFonts w:eastAsia="Times New Roman"/>
                <w:color w:val="000000"/>
                <w:sz w:val="12"/>
                <w:szCs w:val="12"/>
              </w:rPr>
              <w:t>140,684)$264,169 </w:t>
            </w:r>
          </w:p>
        </w:tc>
      </w:tr>
    </w:tbl>
    <w:p w:rsidR="00000000" w:rsidRDefault="009012B9">
      <w:pPr>
        <w:divId w:val="253511406"/>
        <w:rPr>
          <w:rFonts w:eastAsia="Times New Roman"/>
        </w:rPr>
      </w:pPr>
    </w:p>
    <w:p w:rsidR="00000000" w:rsidRDefault="009012B9">
      <w:pPr>
        <w:jc w:val="center"/>
        <w:divId w:val="976449388"/>
        <w:rPr>
          <w:rFonts w:eastAsia="Times New Roman"/>
        </w:rPr>
      </w:pPr>
      <w:r>
        <w:rPr>
          <w:rFonts w:eastAsia="Times New Roman"/>
          <w:i/>
          <w:iCs/>
          <w:color w:val="000000"/>
          <w:sz w:val="20"/>
          <w:szCs w:val="20"/>
        </w:rPr>
        <w:t>The accompanying notes are an integral part of th</w:t>
      </w:r>
      <w:r>
        <w:rPr>
          <w:rFonts w:eastAsia="Times New Roman"/>
          <w:i/>
          <w:iCs/>
          <w:color w:val="000000"/>
          <w:sz w:val="20"/>
          <w:szCs w:val="20"/>
        </w:rPr>
        <w:t>ese condensed financial statements.</w:t>
      </w:r>
    </w:p>
    <w:p w:rsidR="00000000" w:rsidRDefault="009012B9">
      <w:pPr>
        <w:jc w:val="center"/>
        <w:divId w:val="485632167"/>
        <w:rPr>
          <w:rFonts w:eastAsia="Times New Roman"/>
        </w:rPr>
      </w:pPr>
      <w:r>
        <w:rPr>
          <w:rFonts w:eastAsia="Times New Roman"/>
          <w:color w:val="000000"/>
          <w:sz w:val="20"/>
          <w:szCs w:val="20"/>
        </w:rPr>
        <w:t>8</w:t>
      </w:r>
    </w:p>
    <w:p w:rsidR="00000000" w:rsidRDefault="009012B9">
      <w:pPr>
        <w:rPr>
          <w:rFonts w:eastAsia="Times New Roman"/>
        </w:rPr>
      </w:pPr>
      <w:r>
        <w:rPr>
          <w:rFonts w:eastAsia="Times New Roman"/>
        </w:rPr>
        <w:pict>
          <v:rect id="_x0000_i1032" style="width:0;height:1.5pt" o:hralign="center" o:hrstd="t" o:hr="t" fillcolor="#a0a0a0" stroked="f"/>
        </w:pict>
      </w:r>
    </w:p>
    <w:p w:rsidR="00000000" w:rsidRDefault="009012B9">
      <w:pPr>
        <w:divId w:val="528294858"/>
        <w:rPr>
          <w:rFonts w:eastAsia="Times New Roman"/>
        </w:rPr>
      </w:pPr>
    </w:p>
    <w:p w:rsidR="00000000" w:rsidRDefault="009012B9">
      <w:pPr>
        <w:jc w:val="center"/>
        <w:rPr>
          <w:rFonts w:eastAsia="Times New Roman"/>
        </w:rPr>
      </w:pPr>
      <w:r>
        <w:rPr>
          <w:rFonts w:eastAsia="Times New Roman"/>
          <w:b/>
          <w:bCs/>
          <w:color w:val="000000"/>
          <w:sz w:val="20"/>
          <w:szCs w:val="20"/>
        </w:rPr>
        <w:t>Pliant Therapeutics, Inc.</w:t>
      </w:r>
    </w:p>
    <w:p w:rsidR="00000000" w:rsidRDefault="009012B9">
      <w:pPr>
        <w:jc w:val="center"/>
        <w:rPr>
          <w:rFonts w:eastAsia="Times New Roman"/>
        </w:rPr>
      </w:pPr>
      <w:r>
        <w:rPr>
          <w:rFonts w:eastAsia="Times New Roman"/>
          <w:b/>
          <w:bCs/>
          <w:color w:val="000000"/>
          <w:sz w:val="20"/>
          <w:szCs w:val="20"/>
        </w:rPr>
        <w:t>Condensed Statements of Redeemable Convertible Preferred Stock and Stockholders’ Equity (Deficit)</w:t>
      </w:r>
    </w:p>
    <w:p w:rsidR="00000000" w:rsidRDefault="009012B9">
      <w:pPr>
        <w:jc w:val="center"/>
        <w:rPr>
          <w:rFonts w:eastAsia="Times New Roman"/>
        </w:rPr>
      </w:pPr>
      <w:r>
        <w:rPr>
          <w:rFonts w:eastAsia="Times New Roman"/>
          <w:b/>
          <w:bCs/>
          <w:color w:val="000000"/>
          <w:sz w:val="20"/>
          <w:szCs w:val="20"/>
        </w:rPr>
        <w:t>(Unaudited)</w:t>
      </w:r>
    </w:p>
    <w:p w:rsidR="00000000" w:rsidRDefault="009012B9">
      <w:pPr>
        <w:jc w:val="center"/>
        <w:rPr>
          <w:rFonts w:eastAsia="Times New Roman"/>
        </w:rPr>
      </w:pPr>
      <w:r>
        <w:rPr>
          <w:rFonts w:eastAsia="Times New Roman"/>
          <w:i/>
          <w:iCs/>
          <w:color w:val="000000"/>
          <w:sz w:val="18"/>
          <w:szCs w:val="18"/>
        </w:rPr>
        <w:t>(In thousands, except number of shares and per share amounts)</w:t>
      </w:r>
    </w:p>
    <w:tbl>
      <w:tblPr>
        <w:tblW w:w="4978" w:type="pct"/>
        <w:tblCellMar>
          <w:top w:w="15" w:type="dxa"/>
          <w:left w:w="15" w:type="dxa"/>
          <w:bottom w:w="15" w:type="dxa"/>
          <w:right w:w="15" w:type="dxa"/>
        </w:tblCellMar>
        <w:tblLook w:val="04A0" w:firstRow="1" w:lastRow="0" w:firstColumn="1" w:lastColumn="0" w:noHBand="0" w:noVBand="1"/>
      </w:tblPr>
      <w:tblGrid>
        <w:gridCol w:w="38"/>
        <w:gridCol w:w="958"/>
        <w:gridCol w:w="37"/>
        <w:gridCol w:w="116"/>
        <w:gridCol w:w="474"/>
        <w:gridCol w:w="36"/>
        <w:gridCol w:w="36"/>
        <w:gridCol w:w="36"/>
        <w:gridCol w:w="36"/>
        <w:gridCol w:w="80"/>
        <w:gridCol w:w="360"/>
        <w:gridCol w:w="36"/>
        <w:gridCol w:w="36"/>
        <w:gridCol w:w="36"/>
        <w:gridCol w:w="36"/>
        <w:gridCol w:w="116"/>
        <w:gridCol w:w="474"/>
        <w:gridCol w:w="36"/>
        <w:gridCol w:w="36"/>
        <w:gridCol w:w="36"/>
        <w:gridCol w:w="36"/>
        <w:gridCol w:w="80"/>
        <w:gridCol w:w="360"/>
        <w:gridCol w:w="36"/>
        <w:gridCol w:w="36"/>
        <w:gridCol w:w="36"/>
        <w:gridCol w:w="36"/>
        <w:gridCol w:w="116"/>
        <w:gridCol w:w="474"/>
        <w:gridCol w:w="36"/>
        <w:gridCol w:w="36"/>
        <w:gridCol w:w="36"/>
        <w:gridCol w:w="36"/>
        <w:gridCol w:w="80"/>
        <w:gridCol w:w="360"/>
        <w:gridCol w:w="36"/>
        <w:gridCol w:w="36"/>
        <w:gridCol w:w="36"/>
        <w:gridCol w:w="36"/>
        <w:gridCol w:w="36"/>
        <w:gridCol w:w="36"/>
        <w:gridCol w:w="36"/>
        <w:gridCol w:w="104"/>
        <w:gridCol w:w="426"/>
        <w:gridCol w:w="37"/>
        <w:gridCol w:w="37"/>
        <w:gridCol w:w="37"/>
        <w:gridCol w:w="36"/>
        <w:gridCol w:w="89"/>
        <w:gridCol w:w="364"/>
        <w:gridCol w:w="36"/>
        <w:gridCol w:w="36"/>
        <w:gridCol w:w="36"/>
        <w:gridCol w:w="36"/>
        <w:gridCol w:w="113"/>
        <w:gridCol w:w="463"/>
        <w:gridCol w:w="36"/>
        <w:gridCol w:w="36"/>
        <w:gridCol w:w="36"/>
        <w:gridCol w:w="36"/>
        <w:gridCol w:w="129"/>
        <w:gridCol w:w="711"/>
        <w:gridCol w:w="960"/>
      </w:tblGrid>
      <w:tr w:rsidR="00000000">
        <w:trPr>
          <w:divId w:val="416050598"/>
        </w:trPr>
        <w:tc>
          <w:tcPr>
            <w:tcW w:w="50" w:type="pct"/>
            <w:vAlign w:val="center"/>
            <w:hideMark/>
          </w:tcPr>
          <w:p w:rsidR="00000000" w:rsidRDefault="009012B9">
            <w:pPr>
              <w:jc w:val="center"/>
              <w:rPr>
                <w:rFonts w:eastAsia="Times New Roman"/>
              </w:rPr>
            </w:pPr>
          </w:p>
        </w:tc>
        <w:tc>
          <w:tcPr>
            <w:tcW w:w="1309"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20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17"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20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17"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20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17"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20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17"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20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17"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20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17"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17"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20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28"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20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17"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20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17"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276"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r>
      <w:tr w:rsidR="00000000">
        <w:trPr>
          <w:divId w:val="416050598"/>
          <w:trHeight w:val="300"/>
        </w:trPr>
        <w:tc>
          <w:tcPr>
            <w:tcW w:w="0" w:type="auto"/>
            <w:gridSpan w:val="3"/>
            <w:tcMar>
              <w:top w:w="30" w:type="dxa"/>
              <w:left w:w="20" w:type="dxa"/>
              <w:bottom w:w="30" w:type="dxa"/>
              <w:right w:w="20" w:type="dxa"/>
            </w:tcMar>
            <w:vAlign w:val="bottom"/>
            <w:hideMark/>
          </w:tcPr>
          <w:p w:rsidR="00000000" w:rsidRDefault="009012B9">
            <w:pPr>
              <w:spacing w:after="100"/>
              <w:rPr>
                <w:rFonts w:eastAsia="Times New Roman"/>
              </w:rPr>
            </w:pPr>
            <w:r>
              <w:rPr>
                <w:rFonts w:eastAsia="Times New Roman"/>
                <w:color w:val="000000"/>
              </w:rPr>
              <w:t> </w:t>
            </w: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2"/>
                <w:szCs w:val="12"/>
              </w:rPr>
              <w:t>Redeemable Convertible Preferred Stock</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012B9">
            <w:pPr>
              <w:spacing w:after="100"/>
              <w:rPr>
                <w:rFonts w:eastAsia="Times New Roman"/>
              </w:rPr>
            </w:pPr>
            <w:r>
              <w:rPr>
                <w:rFonts w:eastAsia="Times New Roman"/>
                <w:b/>
                <w:bCs/>
                <w:color w:val="000000"/>
                <w:sz w:val="12"/>
                <w:szCs w:val="12"/>
              </w:rPr>
              <w:t> </w:t>
            </w: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012B9">
            <w:pPr>
              <w:spacing w:after="100"/>
              <w:rPr>
                <w:rFonts w:eastAsia="Times New Roman"/>
              </w:rPr>
            </w:pPr>
            <w:r>
              <w:rPr>
                <w:rFonts w:eastAsia="Times New Roman"/>
                <w:b/>
                <w:bCs/>
                <w:color w:val="000000"/>
                <w:sz w:val="12"/>
                <w:szCs w:val="12"/>
              </w:rPr>
              <w:t> </w:t>
            </w: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2"/>
                <w:szCs w:val="12"/>
              </w:rPr>
              <w:t>Additional</w:t>
            </w:r>
            <w:r>
              <w:rPr>
                <w:rFonts w:eastAsia="Times New Roman"/>
                <w:b/>
                <w:bCs/>
                <w:color w:val="000000"/>
                <w:sz w:val="12"/>
                <w:szCs w:val="12"/>
              </w:rPr>
              <w:br/>
              <w:t>Paid-In</w:t>
            </w:r>
            <w:r>
              <w:rPr>
                <w:rFonts w:eastAsia="Times New Roman"/>
                <w:b/>
                <w:bCs/>
                <w:color w:val="000000"/>
                <w:sz w:val="12"/>
                <w:szCs w:val="12"/>
              </w:rPr>
              <w:br/>
              <w:t>Capital</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2"/>
                <w:szCs w:val="12"/>
              </w:rPr>
              <w:t>Accumulated</w:t>
            </w:r>
            <w:r>
              <w:rPr>
                <w:rFonts w:eastAsia="Times New Roman"/>
                <w:b/>
                <w:bCs/>
                <w:color w:val="000000"/>
                <w:sz w:val="12"/>
                <w:szCs w:val="12"/>
              </w:rPr>
              <w:br/>
              <w:t>Other</w:t>
            </w:r>
            <w:r>
              <w:rPr>
                <w:rFonts w:eastAsia="Times New Roman"/>
                <w:b/>
                <w:bCs/>
                <w:color w:val="000000"/>
                <w:sz w:val="12"/>
                <w:szCs w:val="12"/>
              </w:rPr>
              <w:br/>
              <w:t>Comprehensive</w:t>
            </w:r>
            <w:r>
              <w:rPr>
                <w:rFonts w:eastAsia="Times New Roman"/>
                <w:b/>
                <w:bCs/>
                <w:color w:val="000000"/>
                <w:sz w:val="12"/>
                <w:szCs w:val="12"/>
              </w:rPr>
              <w:br/>
              <w:t>Gain (Loss)</w:t>
            </w:r>
          </w:p>
        </w:tc>
        <w:tc>
          <w:tcPr>
            <w:tcW w:w="0" w:type="auto"/>
            <w:tcMar>
              <w:top w:w="0" w:type="dxa"/>
              <w:left w:w="20" w:type="dxa"/>
              <w:bottom w:w="0" w:type="dxa"/>
              <w:right w:w="20" w:type="dxa"/>
            </w:tcMar>
            <w:vAlign w:val="center"/>
            <w:hideMark/>
          </w:tcPr>
          <w:p w:rsidR="00000000" w:rsidRDefault="009012B9">
            <w:pPr>
              <w:spacing w:after="100"/>
              <w:jc w:val="center"/>
              <w:rPr>
                <w:rFonts w:eastAsia="Times New Roman"/>
              </w:rPr>
            </w:pPr>
            <w:r>
              <w:rPr>
                <w:rFonts w:eastAsia="Times New Roman"/>
                <w:b/>
                <w:bCs/>
                <w:color w:val="000000"/>
                <w:sz w:val="12"/>
                <w:szCs w:val="12"/>
              </w:rPr>
              <w:t>Accumulated</w:t>
            </w:r>
            <w:r>
              <w:rPr>
                <w:rFonts w:eastAsia="Times New Roman"/>
                <w:b/>
                <w:bCs/>
                <w:color w:val="000000"/>
                <w:sz w:val="12"/>
                <w:szCs w:val="12"/>
              </w:rPr>
              <w:br/>
              <w:t>DeficitTotal</w:t>
            </w:r>
            <w:r>
              <w:rPr>
                <w:rFonts w:eastAsia="Times New Roman"/>
                <w:b/>
                <w:bCs/>
                <w:color w:val="000000"/>
                <w:sz w:val="12"/>
                <w:szCs w:val="12"/>
              </w:rPr>
              <w:br/>
            </w:r>
            <w:r>
              <w:rPr>
                <w:rFonts w:eastAsia="Times New Roman"/>
                <w:b/>
                <w:bCs/>
                <w:color w:val="000000"/>
                <w:sz w:val="12"/>
                <w:szCs w:val="12"/>
              </w:rPr>
              <w:t>Stockholders’</w:t>
            </w:r>
            <w:r>
              <w:rPr>
                <w:rFonts w:eastAsia="Times New Roman"/>
                <w:b/>
                <w:bCs/>
                <w:color w:val="000000"/>
                <w:sz w:val="12"/>
                <w:szCs w:val="12"/>
              </w:rPr>
              <w:br/>
              <w:t>Equity (Deficit)</w:t>
            </w:r>
          </w:p>
        </w:tc>
      </w:tr>
      <w:tr w:rsidR="00000000">
        <w:trPr>
          <w:divId w:val="416050598"/>
          <w:trHeight w:val="240"/>
        </w:trPr>
        <w:tc>
          <w:tcPr>
            <w:tcW w:w="0" w:type="auto"/>
            <w:gridSpan w:val="3"/>
            <w:tcMar>
              <w:top w:w="30" w:type="dxa"/>
              <w:left w:w="20" w:type="dxa"/>
              <w:bottom w:w="30" w:type="dxa"/>
              <w:right w:w="20" w:type="dxa"/>
            </w:tcMar>
            <w:vAlign w:val="bottom"/>
            <w:hideMark/>
          </w:tcPr>
          <w:p w:rsidR="00000000" w:rsidRDefault="009012B9">
            <w:pPr>
              <w:spacing w:after="100"/>
              <w:rPr>
                <w:rFonts w:eastAsia="Times New Roman"/>
              </w:rPr>
            </w:pPr>
            <w:r>
              <w:rPr>
                <w:rFonts w:eastAsia="Times New Roman"/>
                <w:b/>
                <w:bCs/>
                <w:color w:val="000000"/>
                <w:sz w:val="14"/>
                <w:szCs w:val="14"/>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2"/>
                <w:szCs w:val="12"/>
              </w:rPr>
              <w:t>Series 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2"/>
                <w:szCs w:val="12"/>
              </w:rPr>
              <w:t>Series B</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2"/>
                <w:szCs w:val="12"/>
              </w:rPr>
              <w:t>Series C</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2"/>
                <w:szCs w:val="12"/>
              </w:rPr>
              <w:t>Common Stock</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vMerge/>
            <w:vAlign w:val="center"/>
            <w:hideMark/>
          </w:tcPr>
          <w:p w:rsidR="00000000" w:rsidRDefault="009012B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2"/>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9012B9">
            <w:pPr>
              <w:spacing w:after="100"/>
              <w:rPr>
                <w:rFonts w:eastAsia="Times New Roman"/>
                <w:sz w:val="20"/>
                <w:szCs w:val="20"/>
              </w:rPr>
            </w:pPr>
          </w:p>
        </w:tc>
      </w:tr>
      <w:tr w:rsidR="00000000">
        <w:trPr>
          <w:divId w:val="416050598"/>
          <w:trHeight w:val="240"/>
        </w:trPr>
        <w:tc>
          <w:tcPr>
            <w:tcW w:w="0" w:type="auto"/>
            <w:gridSpan w:val="3"/>
            <w:tcMar>
              <w:top w:w="30" w:type="dxa"/>
              <w:left w:w="20" w:type="dxa"/>
              <w:bottom w:w="30" w:type="dxa"/>
              <w:right w:w="20" w:type="dxa"/>
            </w:tcMar>
            <w:vAlign w:val="bottom"/>
            <w:hideMark/>
          </w:tcPr>
          <w:p w:rsidR="00000000" w:rsidRDefault="009012B9">
            <w:pPr>
              <w:spacing w:after="100"/>
              <w:rPr>
                <w:rFonts w:eastAsia="Times New Roman"/>
              </w:rPr>
            </w:pPr>
            <w:r>
              <w:rPr>
                <w:rFonts w:eastAsia="Times New Roman"/>
                <w:b/>
                <w:bCs/>
                <w:color w:val="00000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vMerge/>
            <w:vAlign w:val="center"/>
            <w:hideMark/>
          </w:tcPr>
          <w:p w:rsidR="00000000" w:rsidRDefault="009012B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2"/>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9012B9">
            <w:pPr>
              <w:spacing w:after="100"/>
              <w:rPr>
                <w:rFonts w:eastAsia="Times New Roman"/>
                <w:sz w:val="20"/>
                <w:szCs w:val="20"/>
              </w:rPr>
            </w:pPr>
          </w:p>
        </w:tc>
      </w:tr>
      <w:tr w:rsidR="009012B9">
        <w:trPr>
          <w:divId w:val="416050598"/>
        </w:trPr>
        <w:tc>
          <w:tcPr>
            <w:tcW w:w="0" w:type="auto"/>
            <w:gridSpan w:val="3"/>
            <w:shd w:val="clear" w:color="auto" w:fill="CFF0FC"/>
            <w:tcMar>
              <w:top w:w="30" w:type="dxa"/>
              <w:left w:w="200" w:type="dxa"/>
              <w:bottom w:w="30" w:type="dxa"/>
              <w:right w:w="20" w:type="dxa"/>
            </w:tcMar>
            <w:vAlign w:val="bottom"/>
            <w:hideMark/>
          </w:tcPr>
          <w:p w:rsidR="00000000" w:rsidRDefault="009012B9">
            <w:pPr>
              <w:spacing w:after="100"/>
              <w:rPr>
                <w:rFonts w:eastAsia="Times New Roman"/>
              </w:rPr>
            </w:pPr>
            <w:r>
              <w:rPr>
                <w:rFonts w:eastAsia="Times New Roman"/>
                <w:b/>
                <w:bCs/>
                <w:color w:val="000000"/>
                <w:sz w:val="14"/>
                <w:szCs w:val="14"/>
              </w:rPr>
              <w:t>Balance at December 31, 2019</w:t>
            </w: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56,000,000 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62,468 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49,501,221 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75,860 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26,360,745 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47,947 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3"/>
            <w:tcBorders>
              <w:left w:val="single" w:sz="8" w:space="0" w:color="000000"/>
            </w:tcBorders>
            <w:shd w:val="clear" w:color="auto" w:fill="CFF0FC"/>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1,846,024 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1 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(1)</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r>
              <w:rPr>
                <w:rFonts w:eastAsia="Times New Roman"/>
                <w:color w:val="000000"/>
                <w:sz w:val="12"/>
                <w:szCs w:val="12"/>
              </w:rPr>
              <w:t>$(76,295)$(76,295)</w:t>
            </w:r>
          </w:p>
        </w:tc>
      </w:tr>
      <w:tr w:rsidR="009012B9">
        <w:trPr>
          <w:divId w:val="416050598"/>
        </w:trPr>
        <w:tc>
          <w:tcPr>
            <w:tcW w:w="0" w:type="auto"/>
            <w:gridSpan w:val="3"/>
            <w:shd w:val="clear" w:color="auto" w:fill="FFFFFF"/>
            <w:tcMar>
              <w:top w:w="30" w:type="dxa"/>
              <w:left w:w="200" w:type="dxa"/>
              <w:bottom w:w="30" w:type="dxa"/>
              <w:right w:w="20" w:type="dxa"/>
            </w:tcMar>
            <w:vAlign w:val="bottom"/>
            <w:hideMark/>
          </w:tcPr>
          <w:p w:rsidR="00000000" w:rsidRDefault="009012B9">
            <w:pPr>
              <w:spacing w:after="100"/>
              <w:rPr>
                <w:rFonts w:eastAsia="Times New Roman"/>
              </w:rPr>
            </w:pPr>
            <w:r>
              <w:rPr>
                <w:rFonts w:eastAsia="Times New Roman"/>
                <w:color w:val="000000"/>
                <w:sz w:val="14"/>
                <w:szCs w:val="14"/>
              </w:rPr>
              <w:t>Issuance of Series C redeemable preferred stock, net of issuance costs</w:t>
            </w: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28,527,313 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52,038 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r>
              <w:rPr>
                <w:rFonts w:eastAsia="Times New Roman"/>
                <w:color w:val="000000"/>
                <w:sz w:val="12"/>
                <w:szCs w:val="12"/>
              </w:rPr>
              <w:t>— — </w:t>
            </w:r>
          </w:p>
        </w:tc>
      </w:tr>
      <w:tr w:rsidR="009012B9">
        <w:trPr>
          <w:divId w:val="416050598"/>
        </w:trPr>
        <w:tc>
          <w:tcPr>
            <w:tcW w:w="0" w:type="auto"/>
            <w:gridSpan w:val="3"/>
            <w:shd w:val="clear" w:color="auto" w:fill="CCEEFF"/>
            <w:tcMar>
              <w:top w:w="30" w:type="dxa"/>
              <w:left w:w="200" w:type="dxa"/>
              <w:bottom w:w="30" w:type="dxa"/>
              <w:right w:w="20" w:type="dxa"/>
            </w:tcMar>
            <w:vAlign w:val="bottom"/>
            <w:hideMark/>
          </w:tcPr>
          <w:p w:rsidR="00000000" w:rsidRDefault="009012B9">
            <w:pPr>
              <w:spacing w:after="100"/>
              <w:rPr>
                <w:rFonts w:eastAsia="Times New Roman"/>
              </w:rPr>
            </w:pPr>
            <w:r>
              <w:rPr>
                <w:rFonts w:eastAsia="Times New Roman"/>
                <w:color w:val="000000"/>
                <w:sz w:val="14"/>
                <w:szCs w:val="14"/>
              </w:rPr>
              <w:t>Vesting of restricted stock awards</w:t>
            </w: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52,093 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4 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r>
              <w:rPr>
                <w:rFonts w:eastAsia="Times New Roman"/>
                <w:color w:val="000000"/>
                <w:sz w:val="12"/>
                <w:szCs w:val="12"/>
              </w:rPr>
              <w:t>— 4 </w:t>
            </w:r>
          </w:p>
        </w:tc>
      </w:tr>
      <w:tr w:rsidR="009012B9">
        <w:trPr>
          <w:divId w:val="416050598"/>
        </w:trPr>
        <w:tc>
          <w:tcPr>
            <w:tcW w:w="0" w:type="auto"/>
            <w:gridSpan w:val="3"/>
            <w:shd w:val="clear" w:color="auto" w:fill="FFFFFF"/>
            <w:tcMar>
              <w:top w:w="30" w:type="dxa"/>
              <w:left w:w="200" w:type="dxa"/>
              <w:bottom w:w="30" w:type="dxa"/>
              <w:right w:w="20" w:type="dxa"/>
            </w:tcMar>
            <w:vAlign w:val="bottom"/>
            <w:hideMark/>
          </w:tcPr>
          <w:p w:rsidR="00000000" w:rsidRDefault="009012B9">
            <w:pPr>
              <w:spacing w:after="100"/>
              <w:rPr>
                <w:rFonts w:eastAsia="Times New Roman"/>
              </w:rPr>
            </w:pPr>
            <w:r>
              <w:rPr>
                <w:rFonts w:eastAsia="Times New Roman"/>
                <w:color w:val="000000"/>
                <w:sz w:val="14"/>
                <w:szCs w:val="14"/>
              </w:rPr>
              <w:t>Option exercises</w:t>
            </w: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8,232 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26 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r>
              <w:rPr>
                <w:rFonts w:eastAsia="Times New Roman"/>
                <w:color w:val="000000"/>
                <w:sz w:val="12"/>
                <w:szCs w:val="12"/>
              </w:rPr>
              <w:t>— 26 </w:t>
            </w:r>
          </w:p>
        </w:tc>
      </w:tr>
      <w:tr w:rsidR="009012B9">
        <w:trPr>
          <w:divId w:val="416050598"/>
        </w:trPr>
        <w:tc>
          <w:tcPr>
            <w:tcW w:w="0" w:type="auto"/>
            <w:gridSpan w:val="3"/>
            <w:shd w:val="clear" w:color="auto" w:fill="FFFFFF"/>
            <w:tcMar>
              <w:top w:w="30" w:type="dxa"/>
              <w:left w:w="200" w:type="dxa"/>
              <w:bottom w:w="30" w:type="dxa"/>
              <w:right w:w="20" w:type="dxa"/>
            </w:tcMar>
            <w:vAlign w:val="bottom"/>
            <w:hideMark/>
          </w:tcPr>
          <w:p w:rsidR="00000000" w:rsidRDefault="009012B9">
            <w:pPr>
              <w:spacing w:after="100"/>
              <w:rPr>
                <w:rFonts w:eastAsia="Times New Roman"/>
              </w:rPr>
            </w:pPr>
            <w:r>
              <w:rPr>
                <w:rFonts w:eastAsia="Times New Roman"/>
                <w:color w:val="000000"/>
                <w:sz w:val="14"/>
                <w:szCs w:val="14"/>
              </w:rPr>
              <w:t>Stock-based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425 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r>
              <w:rPr>
                <w:rFonts w:eastAsia="Times New Roman"/>
                <w:color w:val="000000"/>
                <w:sz w:val="12"/>
                <w:szCs w:val="12"/>
              </w:rPr>
              <w:t>— 425 </w:t>
            </w:r>
          </w:p>
        </w:tc>
      </w:tr>
      <w:tr w:rsidR="009012B9">
        <w:trPr>
          <w:divId w:val="416050598"/>
        </w:trPr>
        <w:tc>
          <w:tcPr>
            <w:tcW w:w="0" w:type="auto"/>
            <w:gridSpan w:val="3"/>
            <w:shd w:val="clear" w:color="auto" w:fill="CCEEFF"/>
            <w:tcMar>
              <w:top w:w="30" w:type="dxa"/>
              <w:left w:w="200" w:type="dxa"/>
              <w:bottom w:w="30" w:type="dxa"/>
              <w:right w:w="20" w:type="dxa"/>
            </w:tcMar>
            <w:vAlign w:val="bottom"/>
            <w:hideMark/>
          </w:tcPr>
          <w:p w:rsidR="00000000" w:rsidRDefault="009012B9">
            <w:pPr>
              <w:spacing w:after="100"/>
              <w:rPr>
                <w:rFonts w:eastAsia="Times New Roman"/>
              </w:rPr>
            </w:pPr>
            <w:r>
              <w:rPr>
                <w:rFonts w:eastAsia="Times New Roman"/>
                <w:color w:val="000000"/>
                <w:sz w:val="14"/>
                <w:szCs w:val="14"/>
              </w:rPr>
              <w:t>Net unrealized gain on short- term investments</w:t>
            </w: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60 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r>
              <w:rPr>
                <w:rFonts w:eastAsia="Times New Roman"/>
                <w:color w:val="000000"/>
                <w:sz w:val="12"/>
                <w:szCs w:val="12"/>
              </w:rPr>
              <w:t>— 60 </w:t>
            </w:r>
          </w:p>
        </w:tc>
      </w:tr>
      <w:tr w:rsidR="009012B9">
        <w:trPr>
          <w:divId w:val="416050598"/>
        </w:trPr>
        <w:tc>
          <w:tcPr>
            <w:tcW w:w="0" w:type="auto"/>
            <w:gridSpan w:val="3"/>
            <w:shd w:val="clear" w:color="auto" w:fill="FFFFFF"/>
            <w:tcMar>
              <w:top w:w="30" w:type="dxa"/>
              <w:left w:w="200" w:type="dxa"/>
              <w:bottom w:w="30" w:type="dxa"/>
              <w:right w:w="20" w:type="dxa"/>
            </w:tcMar>
            <w:vAlign w:val="bottom"/>
            <w:hideMark/>
          </w:tcPr>
          <w:p w:rsidR="00000000" w:rsidRDefault="009012B9">
            <w:pPr>
              <w:spacing w:after="100"/>
              <w:rPr>
                <w:rFonts w:eastAsia="Times New Roman"/>
              </w:rPr>
            </w:pPr>
            <w:r>
              <w:rPr>
                <w:rFonts w:eastAsia="Times New Roman"/>
                <w:color w:val="000000"/>
                <w:sz w:val="14"/>
                <w:szCs w:val="14"/>
              </w:rPr>
              <w:t>Net income</w:t>
            </w: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r>
              <w:rPr>
                <w:rFonts w:eastAsia="Times New Roman"/>
                <w:color w:val="000000"/>
                <w:sz w:val="12"/>
                <w:szCs w:val="12"/>
              </w:rPr>
              <w:t>11,029 11,029 </w:t>
            </w:r>
          </w:p>
        </w:tc>
      </w:tr>
      <w:tr w:rsidR="009012B9">
        <w:trPr>
          <w:divId w:val="416050598"/>
        </w:trPr>
        <w:tc>
          <w:tcPr>
            <w:tcW w:w="0" w:type="auto"/>
            <w:gridSpan w:val="3"/>
            <w:shd w:val="clear" w:color="auto" w:fill="CCEEFF"/>
            <w:tcMar>
              <w:top w:w="30" w:type="dxa"/>
              <w:left w:w="200" w:type="dxa"/>
              <w:bottom w:w="30" w:type="dxa"/>
              <w:right w:w="20" w:type="dxa"/>
            </w:tcMar>
            <w:vAlign w:val="bottom"/>
            <w:hideMark/>
          </w:tcPr>
          <w:p w:rsidR="00000000" w:rsidRDefault="009012B9">
            <w:pPr>
              <w:spacing w:after="100"/>
              <w:ind w:hanging="180"/>
              <w:rPr>
                <w:rFonts w:eastAsia="Times New Roman"/>
              </w:rPr>
            </w:pPr>
            <w:r>
              <w:rPr>
                <w:rFonts w:eastAsia="Times New Roman"/>
                <w:b/>
                <w:bCs/>
                <w:color w:val="000000"/>
                <w:sz w:val="14"/>
                <w:szCs w:val="14"/>
              </w:rPr>
              <w:t>Balance at March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56,000,000 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62,468 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49,501,221 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75,860 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54,888,058 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99,985 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1,906,349 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455 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12"/>
                <w:szCs w:val="12"/>
              </w:rPr>
              <w:t>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r>
              <w:rPr>
                <w:rFonts w:eastAsia="Times New Roman"/>
                <w:color w:val="000000"/>
                <w:sz w:val="12"/>
                <w:szCs w:val="12"/>
              </w:rPr>
              <w:t>$(65,266)$(64,751)</w:t>
            </w:r>
          </w:p>
        </w:tc>
      </w:tr>
    </w:tbl>
    <w:p w:rsidR="00000000" w:rsidRDefault="009012B9">
      <w:pPr>
        <w:ind w:hanging="360"/>
        <w:jc w:val="center"/>
        <w:divId w:val="474491609"/>
        <w:rPr>
          <w:rFonts w:eastAsia="Times New Roman"/>
        </w:rPr>
      </w:pPr>
      <w:r>
        <w:rPr>
          <w:rFonts w:eastAsia="Times New Roman"/>
          <w:i/>
          <w:iCs/>
          <w:color w:val="000000"/>
          <w:sz w:val="20"/>
          <w:szCs w:val="20"/>
        </w:rPr>
        <w:t>The accompanying notes are an integral part of these condensed financial statements.</w:t>
      </w:r>
    </w:p>
    <w:p w:rsidR="00000000" w:rsidRDefault="009012B9">
      <w:pPr>
        <w:jc w:val="center"/>
        <w:divId w:val="1668097385"/>
        <w:rPr>
          <w:rFonts w:eastAsia="Times New Roman"/>
        </w:rPr>
      </w:pPr>
      <w:r>
        <w:rPr>
          <w:rFonts w:eastAsia="Times New Roman"/>
          <w:color w:val="000000"/>
          <w:sz w:val="20"/>
          <w:szCs w:val="20"/>
        </w:rPr>
        <w:t>9</w:t>
      </w:r>
    </w:p>
    <w:p w:rsidR="00000000" w:rsidRDefault="009012B9">
      <w:pPr>
        <w:rPr>
          <w:rFonts w:eastAsia="Times New Roman"/>
        </w:rPr>
      </w:pPr>
      <w:r>
        <w:rPr>
          <w:rFonts w:eastAsia="Times New Roman"/>
        </w:rPr>
        <w:pict>
          <v:rect id="_x0000_i1033" style="width:0;height:1.5pt" o:hralign="center" o:hrstd="t" o:hr="t" fillcolor="#a0a0a0" stroked="f"/>
        </w:pict>
      </w:r>
    </w:p>
    <w:p w:rsidR="00000000" w:rsidRDefault="009012B9">
      <w:pPr>
        <w:divId w:val="886991666"/>
        <w:rPr>
          <w:rFonts w:eastAsia="Times New Roman"/>
        </w:rPr>
      </w:pPr>
    </w:p>
    <w:p w:rsidR="00000000" w:rsidRDefault="009012B9">
      <w:pPr>
        <w:jc w:val="center"/>
        <w:rPr>
          <w:rFonts w:eastAsia="Times New Roman"/>
        </w:rPr>
      </w:pPr>
      <w:r>
        <w:rPr>
          <w:rFonts w:eastAsia="Times New Roman"/>
          <w:b/>
          <w:bCs/>
          <w:color w:val="000000"/>
          <w:sz w:val="20"/>
          <w:szCs w:val="20"/>
        </w:rPr>
        <w:t>Pliant Therapeutics, Inc.</w:t>
      </w:r>
    </w:p>
    <w:p w:rsidR="00000000" w:rsidRDefault="009012B9">
      <w:pPr>
        <w:jc w:val="center"/>
        <w:rPr>
          <w:rFonts w:eastAsia="Times New Roman"/>
        </w:rPr>
      </w:pPr>
      <w:r>
        <w:rPr>
          <w:rFonts w:eastAsia="Times New Roman"/>
          <w:b/>
          <w:bCs/>
          <w:color w:val="000000"/>
          <w:sz w:val="20"/>
          <w:szCs w:val="20"/>
        </w:rPr>
        <w:t>Condensed Statements of Cash Flows</w:t>
      </w:r>
    </w:p>
    <w:p w:rsidR="00000000" w:rsidRDefault="009012B9">
      <w:pPr>
        <w:jc w:val="center"/>
        <w:rPr>
          <w:rFonts w:eastAsia="Times New Roman"/>
        </w:rPr>
      </w:pPr>
      <w:r>
        <w:rPr>
          <w:rFonts w:eastAsia="Times New Roman"/>
          <w:b/>
          <w:bCs/>
          <w:color w:val="000000"/>
          <w:sz w:val="20"/>
          <w:szCs w:val="20"/>
        </w:rPr>
        <w:t>(Unaudited)</w:t>
      </w:r>
    </w:p>
    <w:tbl>
      <w:tblPr>
        <w:tblW w:w="4985" w:type="pct"/>
        <w:tblCellMar>
          <w:top w:w="15" w:type="dxa"/>
          <w:left w:w="15" w:type="dxa"/>
          <w:bottom w:w="15" w:type="dxa"/>
          <w:right w:w="15" w:type="dxa"/>
        </w:tblCellMar>
        <w:tblLook w:val="04A0" w:firstRow="1" w:lastRow="0" w:firstColumn="1" w:lastColumn="0" w:noHBand="0" w:noVBand="1"/>
      </w:tblPr>
      <w:tblGrid>
        <w:gridCol w:w="43"/>
        <w:gridCol w:w="5654"/>
        <w:gridCol w:w="41"/>
        <w:gridCol w:w="120"/>
        <w:gridCol w:w="1079"/>
        <w:gridCol w:w="36"/>
        <w:gridCol w:w="36"/>
        <w:gridCol w:w="36"/>
        <w:gridCol w:w="36"/>
        <w:gridCol w:w="120"/>
        <w:gridCol w:w="1044"/>
        <w:gridCol w:w="36"/>
      </w:tblGrid>
      <w:tr w:rsidR="00000000">
        <w:trPr>
          <w:divId w:val="633371055"/>
        </w:trPr>
        <w:tc>
          <w:tcPr>
            <w:tcW w:w="50" w:type="pct"/>
            <w:vAlign w:val="center"/>
            <w:hideMark/>
          </w:tcPr>
          <w:p w:rsidR="00000000" w:rsidRDefault="009012B9">
            <w:pPr>
              <w:jc w:val="center"/>
              <w:rPr>
                <w:rFonts w:eastAsia="Times New Roman"/>
              </w:rPr>
            </w:pPr>
          </w:p>
        </w:tc>
        <w:tc>
          <w:tcPr>
            <w:tcW w:w="3442"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678"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26"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678"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r>
      <w:tr w:rsidR="00000000">
        <w:trPr>
          <w:divId w:val="633371055"/>
        </w:trPr>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color w:val="000000"/>
              </w:rPr>
              <w:t>  </w:t>
            </w:r>
          </w:p>
        </w:tc>
        <w:tc>
          <w:tcPr>
            <w:tcW w:w="0" w:type="auto"/>
            <w:gridSpan w:val="9"/>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March 31,</w:t>
            </w:r>
          </w:p>
        </w:tc>
      </w:tr>
      <w:tr w:rsidR="00000000">
        <w:trPr>
          <w:divId w:val="633371055"/>
        </w:trPr>
        <w:tc>
          <w:tcPr>
            <w:tcW w:w="0" w:type="auto"/>
            <w:gridSpan w:val="3"/>
            <w:tcMar>
              <w:top w:w="30" w:type="dxa"/>
              <w:left w:w="20" w:type="dxa"/>
              <w:bottom w:w="30" w:type="dxa"/>
              <w:right w:w="20" w:type="dxa"/>
            </w:tcMar>
            <w:vAlign w:val="bottom"/>
            <w:hideMark/>
          </w:tcPr>
          <w:p w:rsidR="00000000" w:rsidRDefault="009012B9">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2020</w:t>
            </w:r>
          </w:p>
        </w:tc>
      </w:tr>
      <w:tr w:rsidR="00000000">
        <w:trPr>
          <w:divId w:val="633371055"/>
        </w:trPr>
        <w:tc>
          <w:tcPr>
            <w:tcW w:w="0" w:type="auto"/>
            <w:gridSpan w:val="3"/>
            <w:shd w:val="clear" w:color="auto" w:fill="CCEEFF"/>
            <w:tcMar>
              <w:top w:w="30" w:type="dxa"/>
              <w:left w:w="20" w:type="dxa"/>
              <w:bottom w:w="30" w:type="dxa"/>
              <w:right w:w="20" w:type="dxa"/>
            </w:tcMar>
            <w:hideMark/>
          </w:tcPr>
          <w:p w:rsidR="00000000" w:rsidRDefault="009012B9">
            <w:pPr>
              <w:spacing w:after="100"/>
              <w:rPr>
                <w:rFonts w:eastAsia="Times New Roman"/>
              </w:rPr>
            </w:pPr>
            <w:r>
              <w:rPr>
                <w:rFonts w:eastAsia="Times New Roman"/>
                <w:b/>
                <w:bCs/>
                <w:color w:val="000000"/>
                <w:sz w:val="20"/>
                <w:szCs w:val="20"/>
              </w:rPr>
              <w:t>Cash flows from operating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r>
      <w:tr w:rsidR="00000000">
        <w:trPr>
          <w:divId w:val="633371055"/>
        </w:trPr>
        <w:tc>
          <w:tcPr>
            <w:tcW w:w="0" w:type="auto"/>
            <w:gridSpan w:val="3"/>
            <w:shd w:val="clear" w:color="auto" w:fill="FFFFFF"/>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Net income (loss)</w:t>
            </w:r>
          </w:p>
        </w:tc>
        <w:tc>
          <w:tcPr>
            <w:tcW w:w="0" w:type="auto"/>
            <w:shd w:val="clear" w:color="auto" w:fill="FFFF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(22,856)</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11,029 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633371055"/>
        </w:trPr>
        <w:tc>
          <w:tcPr>
            <w:tcW w:w="0" w:type="auto"/>
            <w:gridSpan w:val="3"/>
            <w:shd w:val="clear" w:color="auto" w:fill="CCEEFF"/>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Adjustments to reconcile net income (loss) to net cash used in operating activities:</w:t>
            </w: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rPr>
                <w:rFonts w:eastAsia="Times New Roman"/>
                <w:sz w:val="20"/>
                <w:szCs w:val="20"/>
              </w:rPr>
            </w:pPr>
          </w:p>
        </w:tc>
      </w:tr>
      <w:tr w:rsidR="00000000">
        <w:trPr>
          <w:divId w:val="633371055"/>
        </w:trPr>
        <w:tc>
          <w:tcPr>
            <w:tcW w:w="0" w:type="auto"/>
            <w:gridSpan w:val="3"/>
            <w:shd w:val="clear" w:color="auto" w:fill="FFFFFF"/>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20"/>
                <w:szCs w:val="20"/>
              </w:rPr>
              <w:t>Depreciation expense</w:t>
            </w: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359 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312 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633371055"/>
        </w:trPr>
        <w:tc>
          <w:tcPr>
            <w:tcW w:w="0" w:type="auto"/>
            <w:gridSpan w:val="3"/>
            <w:shd w:val="clear" w:color="auto" w:fill="CCEEFF"/>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20"/>
                <w:szCs w:val="20"/>
              </w:rPr>
              <w:t>Stock-based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2,578 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425 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633371055"/>
        </w:trPr>
        <w:tc>
          <w:tcPr>
            <w:tcW w:w="0" w:type="auto"/>
            <w:gridSpan w:val="3"/>
            <w:shd w:val="clear" w:color="auto" w:fill="FFFFFF"/>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20"/>
                <w:szCs w:val="20"/>
              </w:rPr>
              <w:t xml:space="preserve">Other </w:t>
            </w: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271 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633371055"/>
        </w:trPr>
        <w:tc>
          <w:tcPr>
            <w:tcW w:w="0" w:type="auto"/>
            <w:gridSpan w:val="3"/>
            <w:shd w:val="clear" w:color="auto" w:fill="CCEEFF"/>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20"/>
                <w:szCs w:val="20"/>
              </w:rPr>
              <w:t>Changes in operating assets and liabilities:</w:t>
            </w: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rPr>
                <w:rFonts w:eastAsia="Times New Roman"/>
                <w:sz w:val="20"/>
                <w:szCs w:val="20"/>
              </w:rPr>
            </w:pPr>
          </w:p>
        </w:tc>
      </w:tr>
      <w:tr w:rsidR="00000000">
        <w:trPr>
          <w:divId w:val="633371055"/>
        </w:trPr>
        <w:tc>
          <w:tcPr>
            <w:tcW w:w="0" w:type="auto"/>
            <w:gridSpan w:val="3"/>
            <w:shd w:val="clear" w:color="auto" w:fill="FFFFFF"/>
            <w:tcMar>
              <w:top w:w="30" w:type="dxa"/>
              <w:left w:w="515" w:type="dxa"/>
              <w:bottom w:w="30" w:type="dxa"/>
              <w:right w:w="20" w:type="dxa"/>
            </w:tcMar>
            <w:hideMark/>
          </w:tcPr>
          <w:p w:rsidR="00000000" w:rsidRDefault="009012B9">
            <w:pPr>
              <w:spacing w:after="100"/>
              <w:rPr>
                <w:rFonts w:eastAsia="Times New Roman"/>
              </w:rPr>
            </w:pPr>
            <w:r>
              <w:rPr>
                <w:rFonts w:eastAsia="Times New Roman"/>
                <w:color w:val="000000"/>
                <w:sz w:val="20"/>
                <w:szCs w:val="20"/>
              </w:rPr>
              <w:t>Tax credit receivable</w:t>
            </w: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633371055"/>
        </w:trPr>
        <w:tc>
          <w:tcPr>
            <w:tcW w:w="0" w:type="auto"/>
            <w:gridSpan w:val="3"/>
            <w:shd w:val="clear" w:color="auto" w:fill="CCEEFF"/>
            <w:tcMar>
              <w:top w:w="30" w:type="dxa"/>
              <w:left w:w="515" w:type="dxa"/>
              <w:bottom w:w="30" w:type="dxa"/>
              <w:right w:w="20" w:type="dxa"/>
            </w:tcMar>
            <w:hideMark/>
          </w:tcPr>
          <w:p w:rsidR="00000000" w:rsidRDefault="009012B9">
            <w:pPr>
              <w:spacing w:after="100"/>
              <w:rPr>
                <w:rFonts w:eastAsia="Times New Roman"/>
              </w:rPr>
            </w:pPr>
            <w:r>
              <w:rPr>
                <w:rFonts w:eastAsia="Times New Roman"/>
                <w:color w:val="000000"/>
                <w:sz w:val="20"/>
                <w:szCs w:val="20"/>
              </w:rPr>
              <w:t>Accounts receivable</w:t>
            </w: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7,105 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(24,710)</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633371055"/>
        </w:trPr>
        <w:tc>
          <w:tcPr>
            <w:tcW w:w="0" w:type="auto"/>
            <w:gridSpan w:val="3"/>
            <w:shd w:val="clear" w:color="auto" w:fill="FFFFFF"/>
            <w:tcMar>
              <w:top w:w="30" w:type="dxa"/>
              <w:left w:w="515" w:type="dxa"/>
              <w:bottom w:w="30" w:type="dxa"/>
              <w:right w:w="20" w:type="dxa"/>
            </w:tcMar>
            <w:hideMark/>
          </w:tcPr>
          <w:p w:rsidR="00000000" w:rsidRDefault="009012B9">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318 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(883)</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633371055"/>
        </w:trPr>
        <w:tc>
          <w:tcPr>
            <w:tcW w:w="0" w:type="auto"/>
            <w:gridSpan w:val="3"/>
            <w:shd w:val="clear" w:color="auto" w:fill="CCEEFF"/>
            <w:tcMar>
              <w:top w:w="30" w:type="dxa"/>
              <w:left w:w="515" w:type="dxa"/>
              <w:bottom w:w="30" w:type="dxa"/>
              <w:right w:w="20" w:type="dxa"/>
            </w:tcMar>
            <w:hideMark/>
          </w:tcPr>
          <w:p w:rsidR="00000000" w:rsidRDefault="009012B9">
            <w:pPr>
              <w:spacing w:after="100"/>
              <w:rPr>
                <w:rFonts w:eastAsia="Times New Roman"/>
              </w:rPr>
            </w:pPr>
            <w:r>
              <w:rPr>
                <w:rFonts w:eastAsia="Times New Roman"/>
                <w:color w:val="000000"/>
                <w:sz w:val="20"/>
                <w:szCs w:val="20"/>
              </w:rPr>
              <w:t>Other non-current assets</w:t>
            </w: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233 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633371055"/>
        </w:trPr>
        <w:tc>
          <w:tcPr>
            <w:tcW w:w="0" w:type="auto"/>
            <w:gridSpan w:val="3"/>
            <w:shd w:val="clear" w:color="auto" w:fill="FFFFFF"/>
            <w:tcMar>
              <w:top w:w="30" w:type="dxa"/>
              <w:left w:w="515" w:type="dxa"/>
              <w:bottom w:w="30" w:type="dxa"/>
              <w:right w:w="20" w:type="dxa"/>
            </w:tcMar>
            <w:hideMark/>
          </w:tcPr>
          <w:p w:rsidR="00000000" w:rsidRDefault="009012B9">
            <w:pPr>
              <w:spacing w:after="100"/>
              <w:rPr>
                <w:rFonts w:eastAsia="Times New Roman"/>
              </w:rPr>
            </w:pPr>
            <w:r>
              <w:rPr>
                <w:rFonts w:eastAsia="Times New Roman"/>
                <w:color w:val="000000"/>
                <w:sz w:val="20"/>
                <w:szCs w:val="20"/>
              </w:rPr>
              <w:t>Accounts payable</w:t>
            </w: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665 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1,176 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633371055"/>
        </w:trPr>
        <w:tc>
          <w:tcPr>
            <w:tcW w:w="0" w:type="auto"/>
            <w:gridSpan w:val="3"/>
            <w:shd w:val="clear" w:color="auto" w:fill="CCEEFF"/>
            <w:tcMar>
              <w:top w:w="30" w:type="dxa"/>
              <w:left w:w="515" w:type="dxa"/>
              <w:bottom w:w="30" w:type="dxa"/>
              <w:right w:w="20" w:type="dxa"/>
            </w:tcMar>
            <w:hideMark/>
          </w:tcPr>
          <w:p w:rsidR="00000000" w:rsidRDefault="009012B9">
            <w:pPr>
              <w:spacing w:after="100"/>
              <w:rPr>
                <w:rFonts w:eastAsia="Times New Roman"/>
              </w:rPr>
            </w:pPr>
            <w:r>
              <w:rPr>
                <w:rFonts w:eastAsia="Times New Roman"/>
                <w:color w:val="000000"/>
                <w:sz w:val="20"/>
                <w:szCs w:val="20"/>
              </w:rPr>
              <w:t>Accrued liabilities</w:t>
            </w: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(2,092)</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(424)</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633371055"/>
        </w:trPr>
        <w:tc>
          <w:tcPr>
            <w:tcW w:w="0" w:type="auto"/>
            <w:gridSpan w:val="3"/>
            <w:shd w:val="clear" w:color="auto" w:fill="FFFFFF"/>
            <w:tcMar>
              <w:top w:w="30" w:type="dxa"/>
              <w:left w:w="515" w:type="dxa"/>
              <w:bottom w:w="30" w:type="dxa"/>
              <w:right w:w="20" w:type="dxa"/>
            </w:tcMar>
            <w:hideMark/>
          </w:tcPr>
          <w:p w:rsidR="00000000" w:rsidRDefault="009012B9">
            <w:pPr>
              <w:spacing w:after="100"/>
              <w:rPr>
                <w:rFonts w:eastAsia="Times New Roman"/>
              </w:rPr>
            </w:pPr>
            <w:r>
              <w:rPr>
                <w:rFonts w:eastAsia="Times New Roman"/>
                <w:color w:val="000000"/>
                <w:sz w:val="20"/>
                <w:szCs w:val="20"/>
              </w:rPr>
              <w:t>Other long-term liabilities</w:t>
            </w: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633371055"/>
        </w:trPr>
        <w:tc>
          <w:tcPr>
            <w:tcW w:w="0" w:type="auto"/>
            <w:gridSpan w:val="3"/>
            <w:shd w:val="clear" w:color="auto" w:fill="CCEEFF"/>
            <w:tcMar>
              <w:top w:w="30" w:type="dxa"/>
              <w:left w:w="740" w:type="dxa"/>
              <w:bottom w:w="30" w:type="dxa"/>
              <w:right w:w="20" w:type="dxa"/>
            </w:tcMar>
            <w:hideMark/>
          </w:tcPr>
          <w:p w:rsidR="00000000" w:rsidRDefault="009012B9">
            <w:pPr>
              <w:spacing w:after="100"/>
              <w:rPr>
                <w:rFonts w:eastAsia="Times New Roman"/>
              </w:rPr>
            </w:pPr>
            <w:r>
              <w:rPr>
                <w:rFonts w:eastAsia="Times New Roman"/>
                <w:color w:val="000000"/>
                <w:sz w:val="20"/>
                <w:szCs w:val="20"/>
              </w:rPr>
              <w:t>Net cash used in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(13,665)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(12,766)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633371055"/>
        </w:trPr>
        <w:tc>
          <w:tcPr>
            <w:tcW w:w="0" w:type="auto"/>
            <w:gridSpan w:val="3"/>
            <w:shd w:val="clear" w:color="auto" w:fill="FFFFFF"/>
            <w:tcMar>
              <w:top w:w="30" w:type="dxa"/>
              <w:left w:w="20" w:type="dxa"/>
              <w:bottom w:w="30" w:type="dxa"/>
              <w:right w:w="20" w:type="dxa"/>
            </w:tcMar>
            <w:hideMark/>
          </w:tcPr>
          <w:p w:rsidR="00000000" w:rsidRDefault="009012B9">
            <w:pPr>
              <w:spacing w:after="100"/>
              <w:rPr>
                <w:rFonts w:eastAsia="Times New Roman"/>
              </w:rPr>
            </w:pPr>
            <w:r>
              <w:rPr>
                <w:rFonts w:eastAsia="Times New Roman"/>
                <w:b/>
                <w:bCs/>
                <w:color w:val="000000"/>
                <w:sz w:val="20"/>
                <w:szCs w:val="20"/>
              </w:rPr>
              <w:t>Cash flows from 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012B9">
            <w:pPr>
              <w:spacing w:after="100"/>
              <w:rPr>
                <w:rFonts w:eastAsia="Times New Roman"/>
                <w:sz w:val="20"/>
                <w:szCs w:val="20"/>
              </w:rPr>
            </w:pPr>
          </w:p>
        </w:tc>
      </w:tr>
      <w:tr w:rsidR="00000000">
        <w:trPr>
          <w:divId w:val="633371055"/>
        </w:trPr>
        <w:tc>
          <w:tcPr>
            <w:tcW w:w="0" w:type="auto"/>
            <w:gridSpan w:val="3"/>
            <w:shd w:val="clear" w:color="auto" w:fill="CCEEFF"/>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Purchase of 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(64,806)</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(11,008)</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633371055"/>
        </w:trPr>
        <w:tc>
          <w:tcPr>
            <w:tcW w:w="0" w:type="auto"/>
            <w:gridSpan w:val="3"/>
            <w:shd w:val="clear" w:color="auto" w:fill="FFFFFF"/>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Maturity of 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77,280 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633371055"/>
        </w:trPr>
        <w:tc>
          <w:tcPr>
            <w:tcW w:w="0" w:type="auto"/>
            <w:gridSpan w:val="3"/>
            <w:shd w:val="clear" w:color="auto" w:fill="CCEEFF"/>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Accretion of 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633371055"/>
        </w:trPr>
        <w:tc>
          <w:tcPr>
            <w:tcW w:w="0" w:type="auto"/>
            <w:gridSpan w:val="3"/>
            <w:shd w:val="clear" w:color="auto" w:fill="FFFFFF"/>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Purchase of property and equipment</w:t>
            </w: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(242)</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(336)</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633371055"/>
        </w:trPr>
        <w:tc>
          <w:tcPr>
            <w:tcW w:w="0" w:type="auto"/>
            <w:gridSpan w:val="3"/>
            <w:shd w:val="clear" w:color="auto" w:fill="CCEEFF"/>
            <w:tcMar>
              <w:top w:w="30" w:type="dxa"/>
              <w:left w:w="740" w:type="dxa"/>
              <w:bottom w:w="30" w:type="dxa"/>
              <w:right w:w="20" w:type="dxa"/>
            </w:tcMar>
            <w:hideMark/>
          </w:tcPr>
          <w:p w:rsidR="00000000" w:rsidRDefault="009012B9">
            <w:pPr>
              <w:spacing w:after="100"/>
              <w:rPr>
                <w:rFonts w:eastAsia="Times New Roman"/>
              </w:rPr>
            </w:pPr>
            <w:r>
              <w:rPr>
                <w:rFonts w:eastAsia="Times New Roman"/>
                <w:color w:val="000000"/>
                <w:sz w:val="20"/>
                <w:szCs w:val="20"/>
              </w:rPr>
              <w:t>Net cash provided by/(used in)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12,232 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(11,373)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633371055"/>
        </w:trPr>
        <w:tc>
          <w:tcPr>
            <w:tcW w:w="0" w:type="auto"/>
            <w:gridSpan w:val="3"/>
            <w:shd w:val="clear" w:color="auto" w:fill="FFFFFF"/>
            <w:tcMar>
              <w:top w:w="30" w:type="dxa"/>
              <w:left w:w="20" w:type="dxa"/>
              <w:bottom w:w="30" w:type="dxa"/>
              <w:right w:w="20" w:type="dxa"/>
            </w:tcMar>
            <w:hideMark/>
          </w:tcPr>
          <w:p w:rsidR="00000000" w:rsidRDefault="009012B9">
            <w:pPr>
              <w:spacing w:after="100"/>
              <w:rPr>
                <w:rFonts w:eastAsia="Times New Roman"/>
              </w:rPr>
            </w:pPr>
            <w:r>
              <w:rPr>
                <w:rFonts w:eastAsia="Times New Roman"/>
                <w:b/>
                <w:bCs/>
                <w:color w:val="000000"/>
                <w:sz w:val="20"/>
                <w:szCs w:val="20"/>
              </w:rPr>
              <w:t>Cash flows from 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012B9">
            <w:pPr>
              <w:spacing w:after="100"/>
              <w:rPr>
                <w:rFonts w:eastAsia="Times New Roman"/>
                <w:sz w:val="20"/>
                <w:szCs w:val="20"/>
              </w:rPr>
            </w:pPr>
          </w:p>
        </w:tc>
      </w:tr>
      <w:tr w:rsidR="00000000">
        <w:trPr>
          <w:divId w:val="633371055"/>
        </w:trPr>
        <w:tc>
          <w:tcPr>
            <w:tcW w:w="0" w:type="auto"/>
            <w:gridSpan w:val="3"/>
            <w:shd w:val="clear" w:color="auto" w:fill="CCEEFF"/>
            <w:tcMar>
              <w:top w:w="30" w:type="dxa"/>
              <w:left w:w="20" w:type="dxa"/>
              <w:bottom w:w="30" w:type="dxa"/>
              <w:right w:w="20" w:type="dxa"/>
            </w:tcMar>
            <w:vAlign w:val="bottom"/>
            <w:hideMark/>
          </w:tcPr>
          <w:p w:rsidR="00000000" w:rsidRDefault="009012B9">
            <w:pPr>
              <w:spacing w:after="100"/>
              <w:rPr>
                <w:rFonts w:eastAsia="Times New Roman"/>
              </w:rPr>
            </w:pPr>
            <w:r>
              <w:rPr>
                <w:rFonts w:eastAsia="Times New Roman"/>
                <w:color w:val="000000"/>
                <w:sz w:val="20"/>
                <w:szCs w:val="20"/>
              </w:rPr>
              <w:t>Proceeds from issuance of Series C preferred stock, net of issuance costs</w:t>
            </w: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52,038 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633371055"/>
        </w:trPr>
        <w:tc>
          <w:tcPr>
            <w:tcW w:w="0" w:type="auto"/>
            <w:gridSpan w:val="3"/>
            <w:tcMar>
              <w:top w:w="30" w:type="dxa"/>
              <w:left w:w="20" w:type="dxa"/>
              <w:bottom w:w="30" w:type="dxa"/>
              <w:right w:w="20" w:type="dxa"/>
            </w:tcMar>
            <w:vAlign w:val="bottom"/>
            <w:hideMark/>
          </w:tcPr>
          <w:p w:rsidR="00000000" w:rsidRDefault="009012B9">
            <w:pPr>
              <w:spacing w:after="100"/>
              <w:rPr>
                <w:rFonts w:eastAsia="Times New Roman"/>
              </w:rPr>
            </w:pPr>
            <w:r>
              <w:rPr>
                <w:rFonts w:eastAsia="Times New Roman"/>
                <w:color w:val="000000"/>
                <w:sz w:val="20"/>
                <w:szCs w:val="20"/>
              </w:rPr>
              <w:t>Proceeds from exercise of stock options</w:t>
            </w: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1,370 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26 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633371055"/>
        </w:trPr>
        <w:tc>
          <w:tcPr>
            <w:tcW w:w="0" w:type="auto"/>
            <w:gridSpan w:val="3"/>
            <w:shd w:val="clear" w:color="auto" w:fill="CCEEFF"/>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Payment of deferred offering costs</w:t>
            </w: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(364)</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633371055"/>
        </w:trPr>
        <w:tc>
          <w:tcPr>
            <w:tcW w:w="0" w:type="auto"/>
            <w:gridSpan w:val="3"/>
            <w:shd w:val="clear" w:color="auto" w:fill="FFFFFF"/>
            <w:tcMar>
              <w:top w:w="30" w:type="dxa"/>
              <w:left w:w="740" w:type="dxa"/>
              <w:bottom w:w="30" w:type="dxa"/>
              <w:right w:w="20" w:type="dxa"/>
            </w:tcMar>
            <w:hideMark/>
          </w:tcPr>
          <w:p w:rsidR="00000000" w:rsidRDefault="009012B9">
            <w:pPr>
              <w:spacing w:after="100"/>
              <w:rPr>
                <w:rFonts w:eastAsia="Times New Roman"/>
              </w:rPr>
            </w:pPr>
            <w:r>
              <w:rPr>
                <w:rFonts w:eastAsia="Times New Roman"/>
                <w:color w:val="000000"/>
                <w:sz w:val="20"/>
                <w:szCs w:val="20"/>
              </w:rPr>
              <w:t>Net cash provided by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1,370 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51,700 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633371055"/>
        </w:trPr>
        <w:tc>
          <w:tcPr>
            <w:tcW w:w="0" w:type="auto"/>
            <w:gridSpan w:val="3"/>
            <w:shd w:val="clear" w:color="auto" w:fill="CCEEFF"/>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Net (decrease)/increase in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27,561 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633371055"/>
        </w:trPr>
        <w:tc>
          <w:tcPr>
            <w:tcW w:w="0" w:type="auto"/>
            <w:gridSpan w:val="3"/>
            <w:shd w:val="clear" w:color="auto" w:fill="FFFFFF"/>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Cash and cash equivalents at beginning of period</w:t>
            </w: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50,882 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85,807 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633371055"/>
        </w:trPr>
        <w:tc>
          <w:tcPr>
            <w:tcW w:w="0" w:type="auto"/>
            <w:gridSpan w:val="3"/>
            <w:shd w:val="clear" w:color="auto" w:fill="CCEEFF"/>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Cash and cash equivalents at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50,819 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113,368 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633371055"/>
        </w:trPr>
        <w:tc>
          <w:tcPr>
            <w:tcW w:w="0" w:type="auto"/>
            <w:gridSpan w:val="3"/>
            <w:shd w:val="clear" w:color="auto" w:fill="FFFFFF"/>
            <w:tcMar>
              <w:top w:w="30" w:type="dxa"/>
              <w:left w:w="20" w:type="dxa"/>
              <w:bottom w:w="30" w:type="dxa"/>
              <w:right w:w="20" w:type="dxa"/>
            </w:tcMar>
            <w:hideMark/>
          </w:tcPr>
          <w:p w:rsidR="00000000" w:rsidRDefault="009012B9">
            <w:pPr>
              <w:spacing w:after="100"/>
              <w:rPr>
                <w:rFonts w:eastAsia="Times New Roman"/>
              </w:rPr>
            </w:pPr>
            <w:r>
              <w:rPr>
                <w:rFonts w:eastAsia="Times New Roman"/>
                <w:b/>
                <w:bCs/>
                <w:color w:val="000000"/>
                <w:sz w:val="20"/>
                <w:szCs w:val="20"/>
              </w:rPr>
              <w:t>Supplemental disclosures of noncash investing and 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012B9">
            <w:pPr>
              <w:spacing w:after="100"/>
              <w:rPr>
                <w:rFonts w:eastAsia="Times New Roman"/>
                <w:sz w:val="20"/>
                <w:szCs w:val="20"/>
              </w:rPr>
            </w:pPr>
          </w:p>
        </w:tc>
      </w:tr>
      <w:tr w:rsidR="00000000">
        <w:trPr>
          <w:divId w:val="633371055"/>
        </w:trPr>
        <w:tc>
          <w:tcPr>
            <w:tcW w:w="0" w:type="auto"/>
            <w:gridSpan w:val="3"/>
            <w:shd w:val="clear" w:color="auto" w:fill="CCEEFF"/>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Purchase of property and equipment in accounts payable and accrued liabilities</w:t>
            </w:r>
          </w:p>
        </w:tc>
        <w:tc>
          <w:tcPr>
            <w:tcW w:w="0" w:type="auto"/>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251 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257 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633371055"/>
        </w:trPr>
        <w:tc>
          <w:tcPr>
            <w:tcW w:w="0" w:type="auto"/>
            <w:gridSpan w:val="3"/>
            <w:shd w:val="clear" w:color="auto" w:fill="FFFFFF"/>
            <w:tcMar>
              <w:top w:w="30" w:type="dxa"/>
              <w:left w:w="20" w:type="dxa"/>
              <w:bottom w:w="30" w:type="dxa"/>
              <w:right w:w="20" w:type="dxa"/>
            </w:tcMar>
            <w:vAlign w:val="bottom"/>
            <w:hideMark/>
          </w:tcPr>
          <w:p w:rsidR="00000000" w:rsidRDefault="009012B9">
            <w:pPr>
              <w:spacing w:after="100"/>
              <w:ind w:hanging="180"/>
              <w:divId w:val="1069186782"/>
              <w:rPr>
                <w:rFonts w:eastAsia="Times New Roman"/>
              </w:rPr>
            </w:pPr>
            <w:r>
              <w:rPr>
                <w:rFonts w:eastAsia="Times New Roman"/>
                <w:color w:val="000000"/>
                <w:sz w:val="20"/>
                <w:szCs w:val="20"/>
              </w:rPr>
              <w:t>Reclassification of restricted stock awards from liabilities to common stock upon vesting</w:t>
            </w:r>
          </w:p>
        </w:tc>
        <w:tc>
          <w:tcPr>
            <w:tcW w:w="0" w:type="auto"/>
            <w:shd w:val="clear" w:color="auto" w:fill="FFFF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633371055"/>
        </w:trPr>
        <w:tc>
          <w:tcPr>
            <w:tcW w:w="0" w:type="auto"/>
            <w:gridSpan w:val="3"/>
            <w:shd w:val="clear" w:color="auto" w:fill="CCEEFF"/>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Deferred offering costs in accounts payable and accrued liabilities</w:t>
            </w:r>
          </w:p>
        </w:tc>
        <w:tc>
          <w:tcPr>
            <w:tcW w:w="0" w:type="auto"/>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792 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633371055"/>
        </w:trPr>
        <w:tc>
          <w:tcPr>
            <w:tcW w:w="0" w:type="auto"/>
            <w:gridSpan w:val="3"/>
            <w:shd w:val="clear" w:color="auto" w:fill="FFFFFF"/>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Net unrealized gain on short-term investments</w:t>
            </w:r>
          </w:p>
        </w:tc>
        <w:tc>
          <w:tcPr>
            <w:tcW w:w="0" w:type="auto"/>
            <w:shd w:val="clear" w:color="auto" w:fill="FFFF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r>
    </w:tbl>
    <w:p w:rsidR="00000000" w:rsidRDefault="009012B9">
      <w:pPr>
        <w:jc w:val="center"/>
        <w:divId w:val="1637949116"/>
        <w:rPr>
          <w:rFonts w:eastAsia="Times New Roman"/>
        </w:rPr>
      </w:pPr>
      <w:r>
        <w:rPr>
          <w:rFonts w:eastAsia="Times New Roman"/>
          <w:i/>
          <w:iCs/>
          <w:color w:val="000000"/>
          <w:sz w:val="20"/>
          <w:szCs w:val="20"/>
        </w:rPr>
        <w:t>The accompanying notes are an integral part of these condensed financial statements.</w:t>
      </w:r>
    </w:p>
    <w:p w:rsidR="00000000" w:rsidRDefault="009012B9">
      <w:pPr>
        <w:jc w:val="center"/>
        <w:divId w:val="537819074"/>
        <w:rPr>
          <w:rFonts w:eastAsia="Times New Roman"/>
        </w:rPr>
      </w:pPr>
      <w:r>
        <w:rPr>
          <w:rFonts w:eastAsia="Times New Roman"/>
          <w:color w:val="000000"/>
          <w:sz w:val="20"/>
          <w:szCs w:val="20"/>
        </w:rPr>
        <w:t>10</w:t>
      </w:r>
    </w:p>
    <w:p w:rsidR="00000000" w:rsidRDefault="009012B9">
      <w:pPr>
        <w:rPr>
          <w:rFonts w:eastAsia="Times New Roman"/>
        </w:rPr>
      </w:pPr>
      <w:r>
        <w:rPr>
          <w:rFonts w:eastAsia="Times New Roman"/>
        </w:rPr>
        <w:pict>
          <v:rect id="_x0000_i1034" style="width:0;height:1.5pt" o:hralign="center" o:hrstd="t" o:hr="t" fillcolor="#a0a0a0" stroked="f"/>
        </w:pict>
      </w:r>
    </w:p>
    <w:p w:rsidR="00000000" w:rsidRDefault="009012B9">
      <w:pPr>
        <w:divId w:val="1021975300"/>
        <w:rPr>
          <w:rFonts w:eastAsia="Times New Roman"/>
        </w:rPr>
      </w:pPr>
    </w:p>
    <w:p w:rsidR="00000000" w:rsidRDefault="009012B9">
      <w:pPr>
        <w:jc w:val="center"/>
        <w:rPr>
          <w:rFonts w:eastAsia="Times New Roman"/>
        </w:rPr>
      </w:pPr>
      <w:r>
        <w:rPr>
          <w:rFonts w:eastAsia="Times New Roman"/>
          <w:b/>
          <w:bCs/>
          <w:color w:val="000000"/>
          <w:sz w:val="20"/>
          <w:szCs w:val="20"/>
        </w:rPr>
        <w:t>Pliant Therapeutics, Inc.</w:t>
      </w:r>
    </w:p>
    <w:p w:rsidR="00000000" w:rsidRDefault="009012B9">
      <w:pPr>
        <w:jc w:val="center"/>
        <w:rPr>
          <w:rFonts w:eastAsia="Times New Roman"/>
        </w:rPr>
      </w:pPr>
      <w:r>
        <w:rPr>
          <w:rFonts w:eastAsia="Times New Roman"/>
          <w:b/>
          <w:bCs/>
          <w:color w:val="000000"/>
          <w:sz w:val="20"/>
          <w:szCs w:val="20"/>
        </w:rPr>
        <w:t>Notes to Condensed Financial Statements</w:t>
      </w:r>
    </w:p>
    <w:p w:rsidR="00000000" w:rsidRDefault="009012B9">
      <w:pPr>
        <w:jc w:val="center"/>
        <w:rPr>
          <w:rFonts w:eastAsia="Times New Roman"/>
        </w:rPr>
      </w:pPr>
      <w:r>
        <w:rPr>
          <w:rFonts w:eastAsia="Times New Roman"/>
          <w:b/>
          <w:bCs/>
          <w:color w:val="000000"/>
          <w:sz w:val="20"/>
          <w:szCs w:val="20"/>
        </w:rPr>
        <w:t>(Unaudited)</w:t>
      </w:r>
    </w:p>
    <w:p w:rsidR="00000000" w:rsidRDefault="009012B9">
      <w:pPr>
        <w:divId w:val="1573349094"/>
        <w:rPr>
          <w:rFonts w:eastAsia="Times New Roman"/>
        </w:rPr>
      </w:pPr>
      <w:r>
        <w:rPr>
          <w:rFonts w:eastAsia="Times New Roman"/>
          <w:b/>
          <w:bCs/>
          <w:color w:val="000000"/>
          <w:sz w:val="20"/>
          <w:szCs w:val="20"/>
        </w:rPr>
        <w:t>1. Organization and Description of Business</w:t>
      </w:r>
    </w:p>
    <w:p w:rsidR="00000000" w:rsidRDefault="009012B9">
      <w:pPr>
        <w:ind w:firstLine="1260"/>
        <w:divId w:val="911164686"/>
        <w:rPr>
          <w:rFonts w:eastAsia="Times New Roman"/>
        </w:rPr>
      </w:pPr>
      <w:r>
        <w:rPr>
          <w:rFonts w:eastAsia="Times New Roman"/>
          <w:color w:val="000000"/>
          <w:sz w:val="20"/>
          <w:szCs w:val="20"/>
        </w:rPr>
        <w:t>Pliant Therapeutics, Inc. (the “Company” or "Pliant" or “we” or “our” or “us”) is a clinical stage biopharmaceutical company focused on discovering and developing novel therapies for the treatment of fibrosis wit</w:t>
      </w:r>
      <w:r>
        <w:rPr>
          <w:rFonts w:eastAsia="Times New Roman"/>
          <w:color w:val="000000"/>
          <w:sz w:val="20"/>
          <w:szCs w:val="20"/>
        </w:rPr>
        <w:t xml:space="preserve">h an initial focus on treating fibrosis by inhibiting integrin-mediated activation of TGF-ß. Fibrosis refers to the abnormal thickening and scarring of connective tissue due to the production and deposition of excess collagen in the extra-cellular matrix. </w:t>
      </w:r>
      <w:r>
        <w:rPr>
          <w:rFonts w:eastAsia="Times New Roman"/>
          <w:color w:val="000000"/>
          <w:sz w:val="20"/>
          <w:szCs w:val="20"/>
        </w:rPr>
        <w:t>Fibrosis can occur in many different tissues including lung, liver, kidney, muscle, skin and the GI tract, and often causes severe and debilitating disease leading to organ failure. The Company is located in South San Francisco, California, and was incorpo</w:t>
      </w:r>
      <w:r>
        <w:rPr>
          <w:rFonts w:eastAsia="Times New Roman"/>
          <w:color w:val="000000"/>
          <w:sz w:val="20"/>
          <w:szCs w:val="20"/>
        </w:rPr>
        <w:t>rated in the state of Delaware in June 2015.</w:t>
      </w:r>
    </w:p>
    <w:p w:rsidR="00000000" w:rsidRDefault="009012B9">
      <w:pPr>
        <w:ind w:firstLine="540"/>
        <w:divId w:val="892620331"/>
        <w:rPr>
          <w:rFonts w:eastAsia="Times New Roman"/>
        </w:rPr>
      </w:pPr>
      <w:r>
        <w:rPr>
          <w:rFonts w:eastAsia="Times New Roman"/>
          <w:b/>
          <w:bCs/>
          <w:i/>
          <w:iCs/>
          <w:color w:val="000000"/>
          <w:sz w:val="20"/>
          <w:szCs w:val="20"/>
        </w:rPr>
        <w:t>Reverse Stock Split</w:t>
      </w:r>
    </w:p>
    <w:p w:rsidR="00000000" w:rsidRDefault="009012B9">
      <w:pPr>
        <w:ind w:firstLine="1260"/>
        <w:divId w:val="1612206950"/>
        <w:rPr>
          <w:rFonts w:eastAsia="Times New Roman"/>
        </w:rPr>
      </w:pPr>
      <w:r>
        <w:rPr>
          <w:rFonts w:eastAsia="Times New Roman"/>
          <w:color w:val="000000"/>
          <w:sz w:val="20"/>
          <w:szCs w:val="20"/>
        </w:rPr>
        <w:t>On May 22, 2020, the Company implemented a 1-for-7.15 reverse stock split of the Company’s common stock. Stockholders entitled to fractional shares as a result of the reverse stock split rece</w:t>
      </w:r>
      <w:r>
        <w:rPr>
          <w:rFonts w:eastAsia="Times New Roman"/>
          <w:color w:val="000000"/>
          <w:sz w:val="20"/>
          <w:szCs w:val="20"/>
        </w:rPr>
        <w:t xml:space="preserve">ived a cash payment in lieu of receiving fractional shares. All share and per share data shown in the accompanying financial statements and related notes have been retroactively revised to reflect the reverse stock split. Shares of common stock underlying </w:t>
      </w:r>
      <w:r>
        <w:rPr>
          <w:rFonts w:eastAsia="Times New Roman"/>
          <w:color w:val="000000"/>
          <w:sz w:val="20"/>
          <w:szCs w:val="20"/>
        </w:rPr>
        <w:t>outstanding stock options and other equity instruments were proportionately reduced and the respective exercise prices, if applicable, were proportionately increased in accordance with the terms of the agreements governing such securities. Shares of common</w:t>
      </w:r>
      <w:r>
        <w:rPr>
          <w:rFonts w:eastAsia="Times New Roman"/>
          <w:color w:val="000000"/>
          <w:sz w:val="20"/>
          <w:szCs w:val="20"/>
        </w:rPr>
        <w:t xml:space="preserve"> stock reserved for issuance upon the conversion of the Company’s convertible preferred stock were proportionately reduced and the respective conversion prices were proportionately increased. As of June 3, 2020, all outstanding preferred stock had been con</w:t>
      </w:r>
      <w:r>
        <w:rPr>
          <w:rFonts w:eastAsia="Times New Roman"/>
          <w:color w:val="000000"/>
          <w:sz w:val="20"/>
          <w:szCs w:val="20"/>
        </w:rPr>
        <w:t>verted into common stock.</w:t>
      </w:r>
    </w:p>
    <w:p w:rsidR="00000000" w:rsidRDefault="009012B9">
      <w:pPr>
        <w:ind w:firstLine="540"/>
        <w:divId w:val="448277329"/>
        <w:rPr>
          <w:rFonts w:eastAsia="Times New Roman"/>
        </w:rPr>
      </w:pPr>
      <w:r>
        <w:rPr>
          <w:rFonts w:eastAsia="Times New Roman"/>
          <w:b/>
          <w:bCs/>
          <w:i/>
          <w:iCs/>
          <w:color w:val="000000"/>
          <w:sz w:val="20"/>
          <w:szCs w:val="20"/>
        </w:rPr>
        <w:t>Initial Public Offering</w:t>
      </w:r>
    </w:p>
    <w:p w:rsidR="00000000" w:rsidRDefault="009012B9">
      <w:pPr>
        <w:ind w:firstLine="1260"/>
        <w:divId w:val="1275870075"/>
        <w:rPr>
          <w:rFonts w:eastAsia="Times New Roman"/>
        </w:rPr>
      </w:pPr>
      <w:r>
        <w:rPr>
          <w:rFonts w:eastAsia="Times New Roman"/>
          <w:color w:val="000000"/>
          <w:sz w:val="20"/>
          <w:szCs w:val="20"/>
        </w:rPr>
        <w:t>In June 2020, the Company completed its initial public offering (the "IPO"), in which the Company issued and sold an aggregate of 10,350,000 shares of common stock, which consisted of 9,000,000 shares of co</w:t>
      </w:r>
      <w:r>
        <w:rPr>
          <w:rFonts w:eastAsia="Times New Roman"/>
          <w:color w:val="000000"/>
          <w:sz w:val="20"/>
          <w:szCs w:val="20"/>
        </w:rPr>
        <w:t xml:space="preserve">mmon stock and 1,350,000 shares of common stock sold pursuant to the underwriters’ exercise of their option to purchase additional shares, at a public offering price of $16.00 per share. The aggregate net proceeds received by the Company from the offering </w:t>
      </w:r>
      <w:r>
        <w:rPr>
          <w:rFonts w:eastAsia="Times New Roman"/>
          <w:color w:val="000000"/>
          <w:sz w:val="20"/>
          <w:szCs w:val="20"/>
        </w:rPr>
        <w:t xml:space="preserve">were $148.3 million, net of underwriting discounts, commissions and offering expenses of $5.7 million. Upon the closing of the IPO, 160,389,279 shares of the Company’s outstanding convertible preferred stock were automatically converted to common stock on </w:t>
      </w:r>
      <w:r>
        <w:rPr>
          <w:rFonts w:eastAsia="Times New Roman"/>
          <w:color w:val="000000"/>
          <w:sz w:val="20"/>
          <w:szCs w:val="20"/>
        </w:rPr>
        <w:t>a 7.15:1 basis and the related carrying amount of $238.3 million was reclassified to common stock and additional paid-in capital within stockholders’ equity (deficit).</w:t>
      </w:r>
    </w:p>
    <w:p w:rsidR="00000000" w:rsidRDefault="009012B9">
      <w:pPr>
        <w:ind w:firstLine="1260"/>
        <w:divId w:val="1691758255"/>
        <w:rPr>
          <w:rFonts w:eastAsia="Times New Roman"/>
        </w:rPr>
      </w:pPr>
      <w:r>
        <w:rPr>
          <w:rFonts w:eastAsia="Times New Roman"/>
          <w:color w:val="000000"/>
          <w:sz w:val="20"/>
          <w:szCs w:val="20"/>
        </w:rPr>
        <w:t>Concurrent with the completion of the IPO, the Company also issued 625,000 shares of its</w:t>
      </w:r>
      <w:r>
        <w:rPr>
          <w:rFonts w:eastAsia="Times New Roman"/>
          <w:color w:val="000000"/>
          <w:sz w:val="20"/>
          <w:szCs w:val="20"/>
        </w:rPr>
        <w:t xml:space="preserve"> common stock to Novartis Institutes for Biomedical Research, Inc. (“Novartis”), a strategic partner and existing stockholder of the Company, in a private placement at a price of $16.00 per share for proceeds of $10.0 million, which resulted in Novartis ow</w:t>
      </w:r>
      <w:r>
        <w:rPr>
          <w:rFonts w:eastAsia="Times New Roman"/>
          <w:color w:val="000000"/>
          <w:sz w:val="20"/>
          <w:szCs w:val="20"/>
        </w:rPr>
        <w:t>ning approximately 6.1% of the Company’s outstanding shares of common stock immediately after the IPO.</w:t>
      </w:r>
    </w:p>
    <w:p w:rsidR="00000000" w:rsidRDefault="009012B9">
      <w:pPr>
        <w:divId w:val="2015691916"/>
        <w:rPr>
          <w:rFonts w:eastAsia="Times New Roman"/>
        </w:rPr>
      </w:pPr>
      <w:r>
        <w:rPr>
          <w:rFonts w:eastAsia="Times New Roman"/>
          <w:b/>
          <w:bCs/>
          <w:color w:val="000000"/>
          <w:sz w:val="20"/>
          <w:szCs w:val="20"/>
        </w:rPr>
        <w:t>2. Summary of Significant Accounting Policies</w:t>
      </w:r>
    </w:p>
    <w:p w:rsidR="00000000" w:rsidRDefault="009012B9">
      <w:pPr>
        <w:ind w:firstLine="540"/>
        <w:divId w:val="2085178216"/>
        <w:rPr>
          <w:rFonts w:eastAsia="Times New Roman"/>
        </w:rPr>
      </w:pPr>
      <w:r>
        <w:rPr>
          <w:rFonts w:eastAsia="Times New Roman"/>
          <w:b/>
          <w:bCs/>
          <w:i/>
          <w:iCs/>
          <w:color w:val="000000"/>
          <w:sz w:val="20"/>
          <w:szCs w:val="20"/>
        </w:rPr>
        <w:t>Basis of Presentation</w:t>
      </w:r>
    </w:p>
    <w:p w:rsidR="00000000" w:rsidRDefault="009012B9">
      <w:pPr>
        <w:ind w:firstLine="1260"/>
        <w:divId w:val="84228205"/>
        <w:rPr>
          <w:rFonts w:eastAsia="Times New Roman"/>
        </w:rPr>
      </w:pPr>
      <w:r>
        <w:rPr>
          <w:rFonts w:eastAsia="Times New Roman"/>
          <w:color w:val="000000"/>
          <w:sz w:val="20"/>
          <w:szCs w:val="20"/>
        </w:rPr>
        <w:t>The accompanying financial statements have been prepared in conformity with accountin</w:t>
      </w:r>
      <w:r>
        <w:rPr>
          <w:rFonts w:eastAsia="Times New Roman"/>
          <w:color w:val="000000"/>
          <w:sz w:val="20"/>
          <w:szCs w:val="20"/>
        </w:rPr>
        <w:t>g principles generally accepted in the United States of America (“U.S. GAAP”). Certain prior year reported amounts have been reclassified to conform with the current period presentation.</w:t>
      </w:r>
    </w:p>
    <w:p w:rsidR="00000000" w:rsidRDefault="009012B9">
      <w:pPr>
        <w:ind w:firstLine="1260"/>
        <w:divId w:val="1057436832"/>
        <w:rPr>
          <w:rFonts w:eastAsia="Times New Roman"/>
        </w:rPr>
      </w:pPr>
      <w:r>
        <w:rPr>
          <w:rFonts w:eastAsia="Times New Roman"/>
          <w:color w:val="000000"/>
          <w:sz w:val="20"/>
          <w:szCs w:val="20"/>
        </w:rPr>
        <w:t>The accompanying condensed balance sheet as of March 31, 2021, conden</w:t>
      </w:r>
      <w:r>
        <w:rPr>
          <w:rFonts w:eastAsia="Times New Roman"/>
          <w:color w:val="000000"/>
          <w:sz w:val="20"/>
          <w:szCs w:val="20"/>
        </w:rPr>
        <w:t xml:space="preserve">sed statements of operations and comprehensive income (loss), condensed statements of cash flows, and the condensed statements of redeemable convertible preferred stock and stockholders’ equity (deficit) for the three months ended March 31, 2021 and 2020, </w:t>
      </w:r>
      <w:r>
        <w:rPr>
          <w:rFonts w:eastAsia="Times New Roman"/>
          <w:color w:val="000000"/>
          <w:sz w:val="20"/>
          <w:szCs w:val="20"/>
        </w:rPr>
        <w:t>are unaudited. The balance sheet as of December 31, 2020 was derived from audited financial statements as of and for the year ended December 31, 2020. The unaudited interim financial statements have been prepared on the same basis as the audited annual fin</w:t>
      </w:r>
      <w:r>
        <w:rPr>
          <w:rFonts w:eastAsia="Times New Roman"/>
          <w:color w:val="000000"/>
          <w:sz w:val="20"/>
          <w:szCs w:val="20"/>
        </w:rPr>
        <w:t>ancial statements as of and for the year ended December 31, 2020, and, in the opinion of management, reflect all adjustments, which include only normal recurring adjustments, necessary for the fair statement of the Company’s financial position as of March </w:t>
      </w:r>
      <w:r>
        <w:rPr>
          <w:rFonts w:eastAsia="Times New Roman"/>
          <w:color w:val="000000"/>
          <w:sz w:val="20"/>
          <w:szCs w:val="20"/>
        </w:rPr>
        <w:t>31, 2021, and the results of its operations and its cash flows for the three months ended March 31, 2021 and 2020. The financial data and other information disclosed in these notes related to the three months ended March 31, 2021 and 2020, are also unaudit</w:t>
      </w:r>
      <w:r>
        <w:rPr>
          <w:rFonts w:eastAsia="Times New Roman"/>
          <w:color w:val="000000"/>
          <w:sz w:val="20"/>
          <w:szCs w:val="20"/>
        </w:rPr>
        <w:t>ed.</w:t>
      </w:r>
    </w:p>
    <w:p w:rsidR="00000000" w:rsidRDefault="009012B9">
      <w:pPr>
        <w:jc w:val="center"/>
        <w:divId w:val="2096169552"/>
        <w:rPr>
          <w:rFonts w:eastAsia="Times New Roman"/>
        </w:rPr>
      </w:pPr>
      <w:r>
        <w:rPr>
          <w:rFonts w:eastAsia="Times New Roman"/>
          <w:color w:val="000000"/>
          <w:sz w:val="20"/>
          <w:szCs w:val="20"/>
        </w:rPr>
        <w:t>11</w:t>
      </w:r>
    </w:p>
    <w:p w:rsidR="00000000" w:rsidRDefault="009012B9">
      <w:pPr>
        <w:rPr>
          <w:rFonts w:eastAsia="Times New Roman"/>
        </w:rPr>
      </w:pPr>
      <w:r>
        <w:rPr>
          <w:rFonts w:eastAsia="Times New Roman"/>
        </w:rPr>
        <w:pict>
          <v:rect id="_x0000_i1035" style="width:0;height:1.5pt" o:hralign="center" o:hrstd="t" o:hr="t" fillcolor="#a0a0a0" stroked="f"/>
        </w:pict>
      </w:r>
    </w:p>
    <w:p w:rsidR="00000000" w:rsidRDefault="009012B9">
      <w:pPr>
        <w:divId w:val="1592464692"/>
        <w:rPr>
          <w:rFonts w:eastAsia="Times New Roman"/>
        </w:rPr>
      </w:pPr>
    </w:p>
    <w:p w:rsidR="00000000" w:rsidRDefault="009012B9">
      <w:pPr>
        <w:ind w:firstLine="540"/>
        <w:divId w:val="525678098"/>
        <w:rPr>
          <w:rFonts w:eastAsia="Times New Roman"/>
        </w:rPr>
      </w:pPr>
      <w:r>
        <w:rPr>
          <w:rFonts w:eastAsia="Times New Roman"/>
          <w:b/>
          <w:bCs/>
          <w:i/>
          <w:iCs/>
          <w:color w:val="000000"/>
          <w:sz w:val="20"/>
          <w:szCs w:val="20"/>
        </w:rPr>
        <w:t>Use of Estimates</w:t>
      </w:r>
    </w:p>
    <w:p w:rsidR="00000000" w:rsidRDefault="009012B9">
      <w:pPr>
        <w:ind w:firstLine="1260"/>
        <w:divId w:val="1596134574"/>
        <w:rPr>
          <w:rFonts w:eastAsia="Times New Roman"/>
        </w:rPr>
      </w:pPr>
      <w:r>
        <w:rPr>
          <w:rFonts w:eastAsia="Times New Roman"/>
          <w:color w:val="000000"/>
          <w:sz w:val="20"/>
          <w:szCs w:val="20"/>
        </w:rPr>
        <w:t xml:space="preserve">The preparation of financial statements in conformity with U.S. GAAP requires management to make estimates and assumptions that affect the reported amounts of assets, liabilities, and expenses </w:t>
      </w:r>
      <w:r>
        <w:rPr>
          <w:rFonts w:eastAsia="Times New Roman"/>
          <w:color w:val="000000"/>
          <w:sz w:val="20"/>
          <w:szCs w:val="20"/>
        </w:rPr>
        <w:t>as well as the disclosure of contingent assets and liabilities as of and during the reporting period. The Company bases its estimates and assumptions on historical experience when available and on various factors that it believes to be reasonable under the</w:t>
      </w:r>
      <w:r>
        <w:rPr>
          <w:rFonts w:eastAsia="Times New Roman"/>
          <w:color w:val="000000"/>
          <w:sz w:val="20"/>
          <w:szCs w:val="20"/>
        </w:rPr>
        <w:t xml:space="preserve"> circumstances. Significant estimates and assumptions reflected in these financial statements include, but are not limited to stock-based compensation expense and accruals for research and development costs. The Company assesses estimates on an ongoing bas</w:t>
      </w:r>
      <w:r>
        <w:rPr>
          <w:rFonts w:eastAsia="Times New Roman"/>
          <w:color w:val="000000"/>
          <w:sz w:val="20"/>
          <w:szCs w:val="20"/>
        </w:rPr>
        <w:t>is, however, actual results could materially differ from those estimates.</w:t>
      </w:r>
    </w:p>
    <w:p w:rsidR="00000000" w:rsidRDefault="009012B9">
      <w:pPr>
        <w:ind w:firstLine="540"/>
        <w:divId w:val="1720861521"/>
        <w:rPr>
          <w:rFonts w:eastAsia="Times New Roman"/>
        </w:rPr>
      </w:pPr>
      <w:r>
        <w:rPr>
          <w:rFonts w:eastAsia="Times New Roman"/>
          <w:b/>
          <w:bCs/>
          <w:i/>
          <w:iCs/>
          <w:color w:val="000000"/>
          <w:sz w:val="20"/>
          <w:szCs w:val="20"/>
        </w:rPr>
        <w:t>Significant Accounting Policies</w:t>
      </w:r>
    </w:p>
    <w:p w:rsidR="00000000" w:rsidRDefault="009012B9">
      <w:pPr>
        <w:ind w:firstLine="1260"/>
        <w:divId w:val="242616833"/>
        <w:rPr>
          <w:rFonts w:eastAsia="Times New Roman"/>
        </w:rPr>
      </w:pPr>
      <w:r>
        <w:rPr>
          <w:rFonts w:eastAsia="Times New Roman"/>
          <w:color w:val="000000"/>
          <w:sz w:val="20"/>
          <w:szCs w:val="20"/>
        </w:rPr>
        <w:t>There have been no significant changes to the accounting policies during the three months ended March 31, 2021, as compared to the significant account</w:t>
      </w:r>
      <w:r>
        <w:rPr>
          <w:rFonts w:eastAsia="Times New Roman"/>
          <w:color w:val="000000"/>
          <w:sz w:val="20"/>
          <w:szCs w:val="20"/>
        </w:rPr>
        <w:t>ing policies described in Note 2 of the "Notes to the Financial Statements" in the Company's audited financial statements included in its Annual Report on Form 10-K for the fiscal year ended December 31, 2020.</w:t>
      </w:r>
    </w:p>
    <w:p w:rsidR="00000000" w:rsidRDefault="009012B9">
      <w:pPr>
        <w:ind w:firstLine="540"/>
        <w:divId w:val="1173642226"/>
        <w:rPr>
          <w:rFonts w:eastAsia="Times New Roman"/>
        </w:rPr>
      </w:pPr>
      <w:r>
        <w:rPr>
          <w:rFonts w:eastAsia="Times New Roman"/>
          <w:b/>
          <w:bCs/>
          <w:i/>
          <w:iCs/>
          <w:color w:val="000000"/>
          <w:sz w:val="20"/>
          <w:szCs w:val="20"/>
        </w:rPr>
        <w:t>Recently Issued Accounting Pronouncements</w:t>
      </w:r>
    </w:p>
    <w:p w:rsidR="00000000" w:rsidRDefault="009012B9">
      <w:pPr>
        <w:ind w:firstLine="1260"/>
        <w:divId w:val="1869563001"/>
        <w:rPr>
          <w:rFonts w:eastAsia="Times New Roman"/>
        </w:rPr>
      </w:pPr>
      <w:r>
        <w:rPr>
          <w:rFonts w:eastAsia="Times New Roman"/>
          <w:color w:val="000000"/>
          <w:sz w:val="20"/>
          <w:szCs w:val="20"/>
        </w:rPr>
        <w:t>In F</w:t>
      </w:r>
      <w:r>
        <w:rPr>
          <w:rFonts w:eastAsia="Times New Roman"/>
          <w:color w:val="000000"/>
          <w:sz w:val="20"/>
          <w:szCs w:val="20"/>
        </w:rPr>
        <w:t xml:space="preserve">ebruary 2016, the Financial Accounting Standards Board (“FASB”) issued Accounting Standard Update (“ASU”) No. 2016-2, </w:t>
      </w:r>
      <w:r>
        <w:rPr>
          <w:rFonts w:eastAsia="Times New Roman"/>
          <w:i/>
          <w:iCs/>
          <w:color w:val="000000"/>
          <w:sz w:val="20"/>
          <w:szCs w:val="20"/>
        </w:rPr>
        <w:t>Leases (“Topic 842”</w:t>
      </w:r>
      <w:r>
        <w:rPr>
          <w:rFonts w:eastAsia="Times New Roman"/>
          <w:color w:val="000000"/>
          <w:sz w:val="20"/>
          <w:szCs w:val="20"/>
        </w:rPr>
        <w:t>), which requires an entity to recognize assets and liabilities arising from a lease for both financing and operating l</w:t>
      </w:r>
      <w:r>
        <w:rPr>
          <w:rFonts w:eastAsia="Times New Roman"/>
          <w:color w:val="000000"/>
          <w:sz w:val="20"/>
          <w:szCs w:val="20"/>
        </w:rPr>
        <w:t>eases. For public entities, ASU No. 2016-2 is effective for fiscal years beginning after December 15, 2018. The ASU will also require new qualitative and quantitative disclosures to help investors and other financial statement users better understand the a</w:t>
      </w:r>
      <w:r>
        <w:rPr>
          <w:rFonts w:eastAsia="Times New Roman"/>
          <w:color w:val="000000"/>
          <w:sz w:val="20"/>
          <w:szCs w:val="20"/>
        </w:rPr>
        <w:t>mount, timing, and uncertainty of cash flows arising from leases. As a result of the Company having elected the extended transition period for complying with new or revised accounting standards pursuant to Section 107(b) of the Jumpstart Our Business Start</w:t>
      </w:r>
      <w:r>
        <w:rPr>
          <w:rFonts w:eastAsia="Times New Roman"/>
          <w:color w:val="000000"/>
          <w:sz w:val="20"/>
          <w:szCs w:val="20"/>
        </w:rPr>
        <w:t>ups Act of 2012 (the "JOBS Act"), ASU No. 2016-2 is effective for the Company in the fiscal years beginning after December 15, 2021, and interim periods within fiscal years beginning after December 15, 2022, with early adoption permitted. The Company is cu</w:t>
      </w:r>
      <w:r>
        <w:rPr>
          <w:rFonts w:eastAsia="Times New Roman"/>
          <w:color w:val="000000"/>
          <w:sz w:val="20"/>
          <w:szCs w:val="20"/>
        </w:rPr>
        <w:t>rrently in the process of evaluating the impact of the adoption of ASU No. 2016-2 on the Company’s financial statements.</w:t>
      </w:r>
    </w:p>
    <w:p w:rsidR="00000000" w:rsidRDefault="009012B9">
      <w:pPr>
        <w:ind w:firstLine="1260"/>
        <w:divId w:val="18552973"/>
        <w:rPr>
          <w:rFonts w:eastAsia="Times New Roman"/>
        </w:rPr>
      </w:pPr>
      <w:r>
        <w:rPr>
          <w:rFonts w:eastAsia="Times New Roman"/>
          <w:color w:val="000000"/>
          <w:sz w:val="20"/>
          <w:szCs w:val="20"/>
        </w:rPr>
        <w:t xml:space="preserve">In June 2016, the FASB issued ASU 2016-13, </w:t>
      </w:r>
      <w:r>
        <w:rPr>
          <w:rFonts w:eastAsia="Times New Roman"/>
          <w:i/>
          <w:iCs/>
          <w:color w:val="000000"/>
          <w:sz w:val="20"/>
          <w:szCs w:val="20"/>
        </w:rPr>
        <w:t>Financial Instruments – Credit Losses (Topic 326): Measurement of Credit Losses on Financial</w:t>
      </w:r>
      <w:r>
        <w:rPr>
          <w:rFonts w:eastAsia="Times New Roman"/>
          <w:i/>
          <w:iCs/>
          <w:color w:val="000000"/>
          <w:sz w:val="20"/>
          <w:szCs w:val="20"/>
        </w:rPr>
        <w:t xml:space="preserve"> Instruments</w:t>
      </w:r>
      <w:r>
        <w:rPr>
          <w:rFonts w:eastAsia="Times New Roman"/>
          <w:color w:val="000000"/>
          <w:sz w:val="20"/>
          <w:szCs w:val="20"/>
        </w:rPr>
        <w:t>. The new standard amends guidance on measuring and reporting credit losses for financial assets held at amortized cost basis, including accounts receivable and investments classified as available for sale, such as our debt securities. This ASU</w:t>
      </w:r>
      <w:r>
        <w:rPr>
          <w:rFonts w:eastAsia="Times New Roman"/>
          <w:color w:val="000000"/>
          <w:sz w:val="20"/>
          <w:szCs w:val="20"/>
        </w:rPr>
        <w:t xml:space="preserve"> requires a new forward-looking model based on expected credit losses rather than the current one based on incurred losses. In November 2019, the FASB issued ASU 2019-10, which deferred the effective date for certain ASUs including ASU 2016-13. This standa</w:t>
      </w:r>
      <w:r>
        <w:rPr>
          <w:rFonts w:eastAsia="Times New Roman"/>
          <w:color w:val="000000"/>
          <w:sz w:val="20"/>
          <w:szCs w:val="20"/>
        </w:rPr>
        <w:t>rd is effective for the Company’s fiscal year beginning after December 15, 2022. Early adoption is permitted for all entities. The Company is currently in the process of evaluating the impact of the adoption of ASU 2016-13 on the Company’s financial statem</w:t>
      </w:r>
      <w:r>
        <w:rPr>
          <w:rFonts w:eastAsia="Times New Roman"/>
          <w:color w:val="000000"/>
          <w:sz w:val="20"/>
          <w:szCs w:val="20"/>
        </w:rPr>
        <w:t>ents.</w:t>
      </w:r>
    </w:p>
    <w:p w:rsidR="00000000" w:rsidRDefault="009012B9">
      <w:pPr>
        <w:divId w:val="1696687913"/>
        <w:rPr>
          <w:rFonts w:eastAsia="Times New Roman"/>
        </w:rPr>
      </w:pPr>
      <w:r>
        <w:rPr>
          <w:rFonts w:eastAsia="Times New Roman"/>
          <w:b/>
          <w:bCs/>
          <w:color w:val="000000"/>
          <w:sz w:val="20"/>
          <w:szCs w:val="20"/>
        </w:rPr>
        <w:t>3. Financial Instruments</w:t>
      </w:r>
    </w:p>
    <w:p w:rsidR="00000000" w:rsidRDefault="009012B9">
      <w:pPr>
        <w:ind w:firstLine="1260"/>
        <w:divId w:val="715080821"/>
        <w:rPr>
          <w:rFonts w:eastAsia="Times New Roman"/>
        </w:rPr>
      </w:pPr>
      <w:r>
        <w:rPr>
          <w:rFonts w:eastAsia="Times New Roman"/>
          <w:color w:val="000000"/>
          <w:sz w:val="20"/>
          <w:szCs w:val="20"/>
        </w:rPr>
        <w:t>The Company’s short-term investments consist of U.S. Treasury securities, U.S. Government agency securities and highly rated, investment-grade corporate debt securities with original maturities beyond three months at the date</w:t>
      </w:r>
      <w:r>
        <w:rPr>
          <w:rFonts w:eastAsia="Times New Roman"/>
          <w:color w:val="000000"/>
          <w:sz w:val="20"/>
          <w:szCs w:val="20"/>
        </w:rPr>
        <w:t xml:space="preserve"> of purchase. The Company has classified and accounted for its short-term investments as available-for-sale securities as the Company may sell these securities at any time even prior to maturity and such investments represent cash available for current ope</w:t>
      </w:r>
      <w:r>
        <w:rPr>
          <w:rFonts w:eastAsia="Times New Roman"/>
          <w:color w:val="000000"/>
          <w:sz w:val="20"/>
          <w:szCs w:val="20"/>
        </w:rPr>
        <w:t>rations. As a result, short-term investments may include securities with maturities beyond twelve months that are classified within current assets in the Balance Sheets. The Company’s short-term investments classified as available-for-sale are carried at f</w:t>
      </w:r>
      <w:r>
        <w:rPr>
          <w:rFonts w:eastAsia="Times New Roman"/>
          <w:color w:val="000000"/>
          <w:sz w:val="20"/>
          <w:szCs w:val="20"/>
        </w:rPr>
        <w:t>air market value with unrealized losses or income recognized in other comprehensive income (loss).</w:t>
      </w:r>
    </w:p>
    <w:p w:rsidR="00000000" w:rsidRDefault="009012B9">
      <w:pPr>
        <w:ind w:firstLine="1260"/>
        <w:divId w:val="1379890544"/>
        <w:rPr>
          <w:rFonts w:eastAsia="Times New Roman"/>
        </w:rPr>
      </w:pPr>
      <w:r>
        <w:rPr>
          <w:rFonts w:eastAsia="Times New Roman"/>
          <w:color w:val="000000"/>
          <w:sz w:val="20"/>
          <w:szCs w:val="20"/>
        </w:rPr>
        <w:t>The Company’s cash equivalent Money Market Funds are classified as Level 1 because they are valued using quoted market prices. The fair value of the Company’</w:t>
      </w:r>
      <w:r>
        <w:rPr>
          <w:rFonts w:eastAsia="Times New Roman"/>
          <w:color w:val="000000"/>
          <w:sz w:val="20"/>
          <w:szCs w:val="20"/>
        </w:rPr>
        <w:t>s U.S. Treasury securities, U.S. government agency securities and corporate debt securities are classified as Level 2 because they are valued using observable inputs to quoted market prices, benchmark yields, reported trades, broker/dealer quotes or altern</w:t>
      </w:r>
      <w:r>
        <w:rPr>
          <w:rFonts w:eastAsia="Times New Roman"/>
          <w:color w:val="000000"/>
          <w:sz w:val="20"/>
          <w:szCs w:val="20"/>
        </w:rPr>
        <w:t>ative pricing sources with reasonable levels of price transparency and include U.S. government agency securities, U.S. Treasury securities and corporate debt securities.</w:t>
      </w:r>
    </w:p>
    <w:p w:rsidR="00000000" w:rsidRDefault="009012B9">
      <w:pPr>
        <w:ind w:firstLine="1260"/>
        <w:divId w:val="1978561312"/>
        <w:rPr>
          <w:rFonts w:eastAsia="Times New Roman"/>
        </w:rPr>
      </w:pPr>
      <w:r>
        <w:rPr>
          <w:rFonts w:eastAsia="Times New Roman"/>
          <w:color w:val="000000"/>
          <w:sz w:val="20"/>
          <w:szCs w:val="20"/>
        </w:rPr>
        <w:t>There were no Level 3 assets or liabilities as of March 31, 2021 and as of December 31</w:t>
      </w:r>
      <w:r>
        <w:rPr>
          <w:rFonts w:eastAsia="Times New Roman"/>
          <w:color w:val="000000"/>
          <w:sz w:val="20"/>
          <w:szCs w:val="20"/>
        </w:rPr>
        <w:t>, 2020.</w:t>
      </w:r>
    </w:p>
    <w:p w:rsidR="00000000" w:rsidRDefault="009012B9">
      <w:pPr>
        <w:ind w:firstLine="1260"/>
        <w:divId w:val="1329554864"/>
        <w:rPr>
          <w:rFonts w:eastAsia="Times New Roman"/>
        </w:rPr>
      </w:pPr>
      <w:r>
        <w:rPr>
          <w:rFonts w:eastAsia="Times New Roman"/>
          <w:color w:val="000000"/>
          <w:sz w:val="20"/>
          <w:szCs w:val="20"/>
        </w:rPr>
        <w:t>The following tables show the Company’</w:t>
      </w:r>
      <w:r>
        <w:rPr>
          <w:rFonts w:eastAsia="Times New Roman"/>
          <w:color w:val="000000"/>
          <w:sz w:val="20"/>
          <w:szCs w:val="20"/>
        </w:rPr>
        <w:t>s cash and cash equivalents, Money Market Funds and short-term investments by significant investment category as of March 31, 2021 and December 31, 2020 (in thousands):</w:t>
      </w:r>
    </w:p>
    <w:p w:rsidR="00000000" w:rsidRDefault="009012B9">
      <w:pPr>
        <w:jc w:val="center"/>
        <w:divId w:val="1166554950"/>
        <w:rPr>
          <w:rFonts w:eastAsia="Times New Roman"/>
        </w:rPr>
      </w:pPr>
      <w:r>
        <w:rPr>
          <w:rFonts w:eastAsia="Times New Roman"/>
          <w:color w:val="000000"/>
          <w:sz w:val="20"/>
          <w:szCs w:val="20"/>
        </w:rPr>
        <w:t>12</w:t>
      </w:r>
    </w:p>
    <w:p w:rsidR="00000000" w:rsidRDefault="009012B9">
      <w:pPr>
        <w:rPr>
          <w:rFonts w:eastAsia="Times New Roman"/>
        </w:rPr>
      </w:pPr>
      <w:r>
        <w:rPr>
          <w:rFonts w:eastAsia="Times New Roman"/>
        </w:rPr>
        <w:pict>
          <v:rect id="_x0000_i1036" style="width:0;height:1.5pt" o:hralign="center" o:hrstd="t" o:hr="t" fillcolor="#a0a0a0" stroked="f"/>
        </w:pict>
      </w:r>
    </w:p>
    <w:p w:rsidR="00000000" w:rsidRDefault="009012B9">
      <w:pPr>
        <w:divId w:val="2132625599"/>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39"/>
        <w:gridCol w:w="4066"/>
        <w:gridCol w:w="37"/>
        <w:gridCol w:w="120"/>
        <w:gridCol w:w="830"/>
        <w:gridCol w:w="36"/>
        <w:gridCol w:w="36"/>
        <w:gridCol w:w="36"/>
        <w:gridCol w:w="36"/>
        <w:gridCol w:w="121"/>
        <w:gridCol w:w="786"/>
        <w:gridCol w:w="36"/>
        <w:gridCol w:w="36"/>
        <w:gridCol w:w="36"/>
        <w:gridCol w:w="36"/>
        <w:gridCol w:w="121"/>
        <w:gridCol w:w="786"/>
        <w:gridCol w:w="36"/>
        <w:gridCol w:w="36"/>
        <w:gridCol w:w="36"/>
        <w:gridCol w:w="36"/>
        <w:gridCol w:w="120"/>
        <w:gridCol w:w="787"/>
        <w:gridCol w:w="36"/>
      </w:tblGrid>
      <w:tr w:rsidR="00000000">
        <w:trPr>
          <w:divId w:val="722750047"/>
        </w:trPr>
        <w:tc>
          <w:tcPr>
            <w:tcW w:w="50" w:type="pct"/>
            <w:vAlign w:val="center"/>
            <w:hideMark/>
          </w:tcPr>
          <w:p w:rsidR="00000000" w:rsidRDefault="009012B9">
            <w:pPr>
              <w:rPr>
                <w:rFonts w:eastAsia="Times New Roman"/>
              </w:rPr>
            </w:pPr>
          </w:p>
        </w:tc>
        <w:tc>
          <w:tcPr>
            <w:tcW w:w="2488"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531"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26"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531"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26"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531"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26"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531"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r>
      <w:tr w:rsidR="00000000">
        <w:trPr>
          <w:divId w:val="722750047"/>
        </w:trPr>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color w:val="000000"/>
              </w:rPr>
              <w:t> </w:t>
            </w:r>
          </w:p>
        </w:tc>
        <w:tc>
          <w:tcPr>
            <w:tcW w:w="0" w:type="auto"/>
            <w:gridSpan w:val="21"/>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As of March 31, 2021</w:t>
            </w:r>
          </w:p>
        </w:tc>
      </w:tr>
      <w:tr w:rsidR="00000000">
        <w:trPr>
          <w:divId w:val="722750047"/>
        </w:trPr>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Adjusted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Unrealized</w:t>
            </w:r>
            <w:r>
              <w:rPr>
                <w:rFonts w:eastAsia="Times New Roman"/>
                <w:b/>
                <w:bCs/>
                <w:color w:val="000000"/>
                <w:sz w:val="16"/>
                <w:szCs w:val="16"/>
              </w:rPr>
              <w:br/>
              <w:t>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Unrealized</w:t>
            </w:r>
            <w:r>
              <w:rPr>
                <w:rFonts w:eastAsia="Times New Roman"/>
                <w:b/>
                <w:bCs/>
                <w:color w:val="000000"/>
                <w:sz w:val="16"/>
                <w:szCs w:val="16"/>
              </w:rPr>
              <w:br/>
              <w:t>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Market</w:t>
            </w:r>
            <w:r>
              <w:rPr>
                <w:rFonts w:eastAsia="Times New Roman"/>
                <w:b/>
                <w:bCs/>
                <w:color w:val="000000"/>
                <w:sz w:val="16"/>
                <w:szCs w:val="16"/>
              </w:rPr>
              <w:br/>
              <w:t>Value</w:t>
            </w:r>
          </w:p>
        </w:tc>
      </w:tr>
      <w:tr w:rsidR="00000000">
        <w:trPr>
          <w:divId w:val="722750047"/>
        </w:trPr>
        <w:tc>
          <w:tcPr>
            <w:tcW w:w="0" w:type="auto"/>
            <w:gridSpan w:val="3"/>
            <w:shd w:val="clear" w:color="auto" w:fill="CFF0FC"/>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Level 1:</w:t>
            </w: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r>
      <w:tr w:rsidR="00000000">
        <w:trPr>
          <w:divId w:val="722750047"/>
        </w:trPr>
        <w:tc>
          <w:tcPr>
            <w:tcW w:w="0" w:type="auto"/>
            <w:gridSpan w:val="3"/>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20"/>
                <w:szCs w:val="20"/>
              </w:rPr>
              <w:t>Money Market Funds</w:t>
            </w:r>
          </w:p>
        </w:tc>
        <w:tc>
          <w:tcPr>
            <w:tcW w:w="0" w:type="auto"/>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22,056 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22,056 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722750047"/>
        </w:trPr>
        <w:tc>
          <w:tcPr>
            <w:tcW w:w="0" w:type="auto"/>
            <w:gridSpan w:val="3"/>
            <w:shd w:val="clear" w:color="auto" w:fill="CFF0FC"/>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Level 2:</w:t>
            </w: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rPr>
                <w:rFonts w:eastAsia="Times New Roman"/>
                <w:sz w:val="20"/>
                <w:szCs w:val="20"/>
              </w:rPr>
            </w:pPr>
          </w:p>
        </w:tc>
      </w:tr>
      <w:tr w:rsidR="00000000">
        <w:trPr>
          <w:divId w:val="722750047"/>
        </w:trPr>
        <w:tc>
          <w:tcPr>
            <w:tcW w:w="0" w:type="auto"/>
            <w:gridSpan w:val="3"/>
            <w:tcMar>
              <w:top w:w="30" w:type="dxa"/>
              <w:left w:w="20" w:type="dxa"/>
              <w:bottom w:w="30" w:type="dxa"/>
              <w:right w:w="20" w:type="dxa"/>
            </w:tcMar>
            <w:vAlign w:val="bottom"/>
            <w:hideMark/>
          </w:tcPr>
          <w:p w:rsidR="00000000" w:rsidRDefault="009012B9">
            <w:pPr>
              <w:spacing w:after="100"/>
              <w:ind w:hanging="180"/>
              <w:divId w:val="97453519"/>
              <w:rPr>
                <w:rFonts w:eastAsia="Times New Roman"/>
              </w:rPr>
            </w:pPr>
            <w:r>
              <w:rPr>
                <w:rFonts w:eastAsia="Times New Roman"/>
                <w:color w:val="000000"/>
                <w:sz w:val="20"/>
                <w:szCs w:val="20"/>
              </w:rPr>
              <w:t>U.S. Treasury securities included in short-term investments</w:t>
            </w: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13,561 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4 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13,565 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722750047"/>
        </w:trPr>
        <w:tc>
          <w:tcPr>
            <w:tcW w:w="0" w:type="auto"/>
            <w:gridSpan w:val="3"/>
            <w:shd w:val="clear" w:color="auto" w:fill="CFF0FC"/>
            <w:tcMar>
              <w:top w:w="30" w:type="dxa"/>
              <w:left w:w="20" w:type="dxa"/>
              <w:bottom w:w="30" w:type="dxa"/>
              <w:right w:w="20" w:type="dxa"/>
            </w:tcMar>
            <w:vAlign w:val="bottom"/>
            <w:hideMark/>
          </w:tcPr>
          <w:p w:rsidR="00000000" w:rsidRDefault="009012B9">
            <w:pPr>
              <w:spacing w:after="100"/>
              <w:ind w:hanging="180"/>
              <w:divId w:val="1703283458"/>
              <w:rPr>
                <w:rFonts w:eastAsia="Times New Roman"/>
              </w:rPr>
            </w:pPr>
            <w:r>
              <w:rPr>
                <w:rFonts w:eastAsia="Times New Roman"/>
                <w:color w:val="000000"/>
                <w:sz w:val="20"/>
                <w:szCs w:val="20"/>
              </w:rPr>
              <w:t>U.S. government agency securities included in cash and cash equivalents and short-term investments</w:t>
            </w:r>
          </w:p>
        </w:tc>
        <w:tc>
          <w:tcPr>
            <w:tcW w:w="0" w:type="auto"/>
            <w:gridSpan w:val="2"/>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48,104 </w:t>
            </w:r>
          </w:p>
        </w:tc>
        <w:tc>
          <w:tcPr>
            <w:tcW w:w="0" w:type="auto"/>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9 </w:t>
            </w:r>
          </w:p>
        </w:tc>
        <w:tc>
          <w:tcPr>
            <w:tcW w:w="0" w:type="auto"/>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48,113 </w:t>
            </w:r>
          </w:p>
        </w:tc>
        <w:tc>
          <w:tcPr>
            <w:tcW w:w="0" w:type="auto"/>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722750047"/>
        </w:trPr>
        <w:tc>
          <w:tcPr>
            <w:tcW w:w="0" w:type="auto"/>
            <w:gridSpan w:val="3"/>
            <w:tcMar>
              <w:top w:w="30" w:type="dxa"/>
              <w:left w:w="20" w:type="dxa"/>
              <w:bottom w:w="30" w:type="dxa"/>
              <w:right w:w="20" w:type="dxa"/>
            </w:tcMar>
            <w:vAlign w:val="bottom"/>
            <w:hideMark/>
          </w:tcPr>
          <w:p w:rsidR="00000000" w:rsidRDefault="009012B9">
            <w:pPr>
              <w:spacing w:after="100"/>
              <w:ind w:hanging="180"/>
              <w:divId w:val="1176460962"/>
              <w:rPr>
                <w:rFonts w:eastAsia="Times New Roman"/>
              </w:rPr>
            </w:pPr>
            <w:r>
              <w:rPr>
                <w:rFonts w:eastAsia="Times New Roman"/>
                <w:color w:val="000000"/>
                <w:sz w:val="20"/>
                <w:szCs w:val="20"/>
              </w:rPr>
              <w:t>Corporate debt securities included in cash and cash equivalents and short-term investments</w:t>
            </w: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160,133 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7 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(37)</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160,103 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722750047"/>
        </w:trPr>
        <w:tc>
          <w:tcPr>
            <w:tcW w:w="0" w:type="auto"/>
            <w:gridSpan w:val="3"/>
            <w:shd w:val="clear" w:color="auto" w:fill="CFF0FC"/>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Total financial assets</w:t>
            </w: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243,854 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20 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(37)</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243,837 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r>
    </w:tbl>
    <w:tbl>
      <w:tblPr>
        <w:tblW w:w="4985" w:type="pct"/>
        <w:tblCellMar>
          <w:top w:w="15" w:type="dxa"/>
          <w:left w:w="15" w:type="dxa"/>
          <w:bottom w:w="15" w:type="dxa"/>
          <w:right w:w="15" w:type="dxa"/>
        </w:tblCellMar>
        <w:tblLook w:val="04A0" w:firstRow="1" w:lastRow="0" w:firstColumn="1" w:lastColumn="0" w:noHBand="0" w:noVBand="1"/>
      </w:tblPr>
      <w:tblGrid>
        <w:gridCol w:w="144"/>
        <w:gridCol w:w="4120"/>
        <w:gridCol w:w="144"/>
        <w:gridCol w:w="144"/>
        <w:gridCol w:w="879"/>
        <w:gridCol w:w="144"/>
        <w:gridCol w:w="144"/>
        <w:gridCol w:w="144"/>
        <w:gridCol w:w="144"/>
        <w:gridCol w:w="144"/>
        <w:gridCol w:w="879"/>
        <w:gridCol w:w="144"/>
        <w:gridCol w:w="144"/>
        <w:gridCol w:w="144"/>
        <w:gridCol w:w="144"/>
        <w:gridCol w:w="144"/>
        <w:gridCol w:w="879"/>
        <w:gridCol w:w="144"/>
        <w:gridCol w:w="144"/>
        <w:gridCol w:w="144"/>
        <w:gridCol w:w="144"/>
        <w:gridCol w:w="144"/>
        <w:gridCol w:w="879"/>
        <w:gridCol w:w="144"/>
      </w:tblGrid>
      <w:tr w:rsidR="00000000">
        <w:tc>
          <w:tcPr>
            <w:tcW w:w="50" w:type="pct"/>
            <w:vAlign w:val="center"/>
            <w:hideMark/>
          </w:tcPr>
          <w:p w:rsidR="00000000" w:rsidRDefault="009012B9">
            <w:pPr>
              <w:rPr>
                <w:rFonts w:eastAsia="Times New Roman"/>
              </w:rPr>
            </w:pPr>
          </w:p>
        </w:tc>
        <w:tc>
          <w:tcPr>
            <w:tcW w:w="2488"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531"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26"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531"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26"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531"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26"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531"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color w:val="000000"/>
              </w:rPr>
              <w:t> </w:t>
            </w:r>
          </w:p>
        </w:tc>
        <w:tc>
          <w:tcPr>
            <w:tcW w:w="0" w:type="auto"/>
            <w:gridSpan w:val="21"/>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As of December 31, 2020</w:t>
            </w:r>
          </w:p>
        </w:tc>
      </w:tr>
      <w:tr w:rsidR="00000000">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Adjusted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Unrealized</w:t>
            </w:r>
            <w:r>
              <w:rPr>
                <w:rFonts w:eastAsia="Times New Roman"/>
                <w:b/>
                <w:bCs/>
                <w:color w:val="000000"/>
                <w:sz w:val="16"/>
                <w:szCs w:val="16"/>
              </w:rPr>
              <w:br/>
              <w:t>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Unrealized</w:t>
            </w:r>
            <w:r>
              <w:rPr>
                <w:rFonts w:eastAsia="Times New Roman"/>
                <w:b/>
                <w:bCs/>
                <w:color w:val="000000"/>
                <w:sz w:val="16"/>
                <w:szCs w:val="16"/>
              </w:rPr>
              <w:br/>
              <w:t>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Market</w:t>
            </w:r>
            <w:r>
              <w:rPr>
                <w:rFonts w:eastAsia="Times New Roman"/>
                <w:b/>
                <w:bCs/>
                <w:color w:val="000000"/>
                <w:sz w:val="16"/>
                <w:szCs w:val="16"/>
              </w:rPr>
              <w:br/>
              <w:t>Value</w:t>
            </w:r>
          </w:p>
        </w:tc>
      </w:tr>
      <w:tr w:rsidR="00000000">
        <w:tc>
          <w:tcPr>
            <w:tcW w:w="0" w:type="auto"/>
            <w:gridSpan w:val="3"/>
            <w:shd w:val="clear" w:color="auto" w:fill="CFF0FC"/>
            <w:tcMar>
              <w:top w:w="30" w:type="dxa"/>
              <w:left w:w="20" w:type="dxa"/>
              <w:bottom w:w="30" w:type="dxa"/>
              <w:right w:w="20" w:type="dxa"/>
            </w:tcMar>
            <w:vAlign w:val="bottom"/>
            <w:hideMark/>
          </w:tcPr>
          <w:p w:rsidR="00000000" w:rsidRDefault="009012B9">
            <w:pPr>
              <w:spacing w:after="100"/>
              <w:rPr>
                <w:rFonts w:eastAsia="Times New Roman"/>
              </w:rPr>
            </w:pPr>
            <w:r>
              <w:rPr>
                <w:rFonts w:eastAsia="Times New Roman"/>
                <w:color w:val="000000"/>
                <w:sz w:val="20"/>
                <w:szCs w:val="20"/>
              </w:rPr>
              <w:t>Level 1:</w:t>
            </w: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r>
      <w:tr w:rsidR="00000000">
        <w:tc>
          <w:tcPr>
            <w:tcW w:w="0" w:type="auto"/>
            <w:gridSpan w:val="3"/>
            <w:tcMar>
              <w:top w:w="30" w:type="dxa"/>
              <w:left w:w="245" w:type="dxa"/>
              <w:bottom w:w="30" w:type="dxa"/>
              <w:right w:w="20" w:type="dxa"/>
            </w:tcMar>
            <w:vAlign w:val="bottom"/>
            <w:hideMark/>
          </w:tcPr>
          <w:p w:rsidR="00000000" w:rsidRDefault="009012B9">
            <w:pPr>
              <w:spacing w:after="100"/>
              <w:rPr>
                <w:rFonts w:eastAsia="Times New Roman"/>
              </w:rPr>
            </w:pPr>
            <w:r>
              <w:rPr>
                <w:rFonts w:eastAsia="Times New Roman"/>
                <w:color w:val="000000"/>
                <w:sz w:val="20"/>
                <w:szCs w:val="20"/>
              </w:rPr>
              <w:t>Money Market Funds</w:t>
            </w:r>
          </w:p>
        </w:tc>
        <w:tc>
          <w:tcPr>
            <w:tcW w:w="0" w:type="auto"/>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27,686 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27,686 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c>
          <w:tcPr>
            <w:tcW w:w="0" w:type="auto"/>
            <w:gridSpan w:val="3"/>
            <w:shd w:val="clear" w:color="auto" w:fill="CFF0FC"/>
            <w:tcMar>
              <w:top w:w="30" w:type="dxa"/>
              <w:left w:w="20" w:type="dxa"/>
              <w:bottom w:w="30" w:type="dxa"/>
              <w:right w:w="20" w:type="dxa"/>
            </w:tcMar>
            <w:vAlign w:val="bottom"/>
            <w:hideMark/>
          </w:tcPr>
          <w:p w:rsidR="00000000" w:rsidRDefault="009012B9">
            <w:pPr>
              <w:spacing w:after="100"/>
              <w:rPr>
                <w:rFonts w:eastAsia="Times New Roman"/>
              </w:rPr>
            </w:pPr>
            <w:r>
              <w:rPr>
                <w:rFonts w:eastAsia="Times New Roman"/>
                <w:color w:val="000000"/>
                <w:sz w:val="20"/>
                <w:szCs w:val="20"/>
              </w:rPr>
              <w:t>Level 2:</w:t>
            </w: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9012B9">
            <w:pPr>
              <w:spacing w:after="100"/>
              <w:ind w:hanging="180"/>
              <w:divId w:val="1072778177"/>
              <w:rPr>
                <w:rFonts w:eastAsia="Times New Roman"/>
              </w:rPr>
            </w:pPr>
            <w:r>
              <w:rPr>
                <w:rFonts w:eastAsia="Times New Roman"/>
                <w:color w:val="000000"/>
                <w:sz w:val="20"/>
                <w:szCs w:val="20"/>
              </w:rPr>
              <w:t>U.S. Treasury securities included in short-term investments</w:t>
            </w: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63,101 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4 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63,104 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c>
          <w:tcPr>
            <w:tcW w:w="0" w:type="auto"/>
            <w:gridSpan w:val="3"/>
            <w:shd w:val="clear" w:color="auto" w:fill="CFF0FC"/>
            <w:tcMar>
              <w:top w:w="30" w:type="dxa"/>
              <w:left w:w="20" w:type="dxa"/>
              <w:bottom w:w="30" w:type="dxa"/>
              <w:right w:w="20" w:type="dxa"/>
            </w:tcMar>
            <w:vAlign w:val="bottom"/>
            <w:hideMark/>
          </w:tcPr>
          <w:p w:rsidR="00000000" w:rsidRDefault="009012B9">
            <w:pPr>
              <w:spacing w:after="100"/>
              <w:ind w:hanging="180"/>
              <w:divId w:val="949362090"/>
              <w:rPr>
                <w:rFonts w:eastAsia="Times New Roman"/>
              </w:rPr>
            </w:pPr>
            <w:r>
              <w:rPr>
                <w:rFonts w:eastAsia="Times New Roman"/>
                <w:color w:val="000000"/>
                <w:sz w:val="20"/>
                <w:szCs w:val="20"/>
              </w:rPr>
              <w:t>U.S. government agency securities included in short-term investments</w:t>
            </w:r>
          </w:p>
        </w:tc>
        <w:tc>
          <w:tcPr>
            <w:tcW w:w="0" w:type="auto"/>
            <w:gridSpan w:val="2"/>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54,183 </w:t>
            </w:r>
          </w:p>
        </w:tc>
        <w:tc>
          <w:tcPr>
            <w:tcW w:w="0" w:type="auto"/>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10 </w:t>
            </w:r>
          </w:p>
        </w:tc>
        <w:tc>
          <w:tcPr>
            <w:tcW w:w="0" w:type="auto"/>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54,193 </w:t>
            </w:r>
          </w:p>
        </w:tc>
        <w:tc>
          <w:tcPr>
            <w:tcW w:w="0" w:type="auto"/>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c>
          <w:tcPr>
            <w:tcW w:w="0" w:type="auto"/>
            <w:gridSpan w:val="3"/>
            <w:tcMar>
              <w:top w:w="30" w:type="dxa"/>
              <w:left w:w="425" w:type="dxa"/>
              <w:bottom w:w="30" w:type="dxa"/>
              <w:right w:w="20" w:type="dxa"/>
            </w:tcMar>
            <w:vAlign w:val="bottom"/>
            <w:hideMark/>
          </w:tcPr>
          <w:p w:rsidR="00000000" w:rsidRDefault="009012B9">
            <w:pPr>
              <w:spacing w:after="100"/>
              <w:ind w:hanging="180"/>
              <w:rPr>
                <w:rFonts w:eastAsia="Times New Roman"/>
              </w:rPr>
            </w:pPr>
            <w:r>
              <w:rPr>
                <w:rFonts w:eastAsia="Times New Roman"/>
                <w:color w:val="000000"/>
                <w:sz w:val="20"/>
                <w:szCs w:val="20"/>
              </w:rPr>
              <w:t>U.S. Corporate debt securities included in cash and cash equivalents and short-term investments</w:t>
            </w: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118,759 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(46)</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118,714 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Total financial assets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263,729 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(47)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263,697 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r>
    </w:tbl>
    <w:p w:rsidR="00000000" w:rsidRDefault="009012B9">
      <w:pPr>
        <w:ind w:firstLine="1260"/>
        <w:divId w:val="778259278"/>
        <w:rPr>
          <w:rFonts w:eastAsia="Times New Roman"/>
        </w:rPr>
      </w:pPr>
      <w:r>
        <w:rPr>
          <w:rFonts w:eastAsia="Times New Roman"/>
          <w:color w:val="000000"/>
          <w:sz w:val="20"/>
          <w:szCs w:val="20"/>
        </w:rPr>
        <w:t>The Company may sell certain of its short-term securities prior to their stated maturities for reasons including, but not limited to, managing liquidity, credit risk, duration and asset allocation.</w:t>
      </w:r>
    </w:p>
    <w:p w:rsidR="00000000" w:rsidRDefault="009012B9">
      <w:pPr>
        <w:ind w:firstLine="1260"/>
        <w:divId w:val="253439528"/>
        <w:rPr>
          <w:rFonts w:eastAsia="Times New Roman"/>
        </w:rPr>
      </w:pPr>
      <w:r>
        <w:rPr>
          <w:rFonts w:eastAsia="Times New Roman"/>
          <w:color w:val="000000"/>
          <w:sz w:val="20"/>
          <w:szCs w:val="20"/>
        </w:rPr>
        <w:t>There were no liabilities measured at fair value on a recu</w:t>
      </w:r>
      <w:r>
        <w:rPr>
          <w:rFonts w:eastAsia="Times New Roman"/>
          <w:color w:val="000000"/>
          <w:sz w:val="20"/>
          <w:szCs w:val="20"/>
        </w:rPr>
        <w:t>rring basis as of March 31, 2021 and December 31, 2020. There have been no transfers between fair value measurement levels during the three months ended March 31, 2021 and 2020. In addition, there were no assets or liabilities measured at fair value on a n</w:t>
      </w:r>
      <w:r>
        <w:rPr>
          <w:rFonts w:eastAsia="Times New Roman"/>
          <w:color w:val="000000"/>
          <w:sz w:val="20"/>
          <w:szCs w:val="20"/>
        </w:rPr>
        <w:t>on-recurring basis as of March 31, 2021 and December 31, 2020.</w:t>
      </w:r>
    </w:p>
    <w:p w:rsidR="00000000" w:rsidRDefault="009012B9">
      <w:pPr>
        <w:ind w:firstLine="1260"/>
        <w:divId w:val="979531354"/>
        <w:rPr>
          <w:rFonts w:eastAsia="Times New Roman"/>
        </w:rPr>
      </w:pPr>
      <w:r>
        <w:rPr>
          <w:rFonts w:eastAsia="Times New Roman"/>
          <w:color w:val="000000"/>
          <w:sz w:val="20"/>
          <w:szCs w:val="20"/>
        </w:rPr>
        <w:t>As of March </w:t>
      </w:r>
      <w:r>
        <w:rPr>
          <w:rFonts w:eastAsia="Times New Roman"/>
          <w:color w:val="000000"/>
          <w:sz w:val="20"/>
          <w:szCs w:val="20"/>
        </w:rPr>
        <w:t>31, 2021, the Company had not recorded any impairment related to other-than-temporary declines in the fair value of short-term investments. Short-term investments are considered impaired when a decline in fair value is judged to be other-than-temporary. Th</w:t>
      </w:r>
      <w:r>
        <w:rPr>
          <w:rFonts w:eastAsia="Times New Roman"/>
          <w:color w:val="000000"/>
          <w:sz w:val="20"/>
          <w:szCs w:val="20"/>
        </w:rPr>
        <w:t>e Company consults with its investment managers and considers available quantitative and qualitative evidence in evaluating potential impairment of its short-term investments on a quarterly basis. If the cost of an individual investment exceeds its fair va</w:t>
      </w:r>
      <w:r>
        <w:rPr>
          <w:rFonts w:eastAsia="Times New Roman"/>
          <w:color w:val="000000"/>
          <w:sz w:val="20"/>
          <w:szCs w:val="20"/>
        </w:rPr>
        <w:t>lue, the Company evaluates, among other factors, general market conditions, the duration and extent to which the fair value is less than cost and its intent and ability to hold the investment.</w:t>
      </w:r>
    </w:p>
    <w:p w:rsidR="00000000" w:rsidRDefault="009012B9">
      <w:pPr>
        <w:ind w:firstLine="1260"/>
        <w:divId w:val="1932394869"/>
        <w:rPr>
          <w:rFonts w:eastAsia="Times New Roman"/>
        </w:rPr>
      </w:pPr>
      <w:r>
        <w:rPr>
          <w:rFonts w:eastAsia="Times New Roman"/>
          <w:color w:val="000000"/>
          <w:sz w:val="20"/>
          <w:szCs w:val="20"/>
        </w:rPr>
        <w:t>The Company records interest income and accretion income earned</w:t>
      </w:r>
      <w:r>
        <w:rPr>
          <w:rFonts w:eastAsia="Times New Roman"/>
          <w:color w:val="000000"/>
          <w:sz w:val="20"/>
          <w:szCs w:val="20"/>
        </w:rPr>
        <w:t xml:space="preserve"> on Money Market Funds and U.S. Treasury, U.S. government agency and corporate debt securities to interest and other income (expense), net in its condensed statement of operations and comprehensive income (loss).</w:t>
      </w:r>
    </w:p>
    <w:p w:rsidR="00000000" w:rsidRDefault="009012B9">
      <w:pPr>
        <w:jc w:val="center"/>
        <w:divId w:val="1642804050"/>
        <w:rPr>
          <w:rFonts w:eastAsia="Times New Roman"/>
        </w:rPr>
      </w:pPr>
      <w:r>
        <w:rPr>
          <w:rFonts w:eastAsia="Times New Roman"/>
          <w:color w:val="000000"/>
          <w:sz w:val="20"/>
          <w:szCs w:val="20"/>
        </w:rPr>
        <w:t>13</w:t>
      </w:r>
    </w:p>
    <w:p w:rsidR="00000000" w:rsidRDefault="009012B9">
      <w:pPr>
        <w:rPr>
          <w:rFonts w:eastAsia="Times New Roman"/>
        </w:rPr>
      </w:pPr>
      <w:r>
        <w:rPr>
          <w:rFonts w:eastAsia="Times New Roman"/>
        </w:rPr>
        <w:pict>
          <v:rect id="_x0000_i1037" style="width:0;height:1.5pt" o:hralign="center" o:hrstd="t" o:hr="t" fillcolor="#a0a0a0" stroked="f"/>
        </w:pict>
      </w:r>
    </w:p>
    <w:p w:rsidR="00000000" w:rsidRDefault="009012B9">
      <w:pPr>
        <w:divId w:val="1777940232"/>
        <w:rPr>
          <w:rFonts w:eastAsia="Times New Roman"/>
        </w:rPr>
      </w:pPr>
    </w:p>
    <w:p w:rsidR="00000000" w:rsidRDefault="009012B9">
      <w:pPr>
        <w:divId w:val="1476221056"/>
        <w:rPr>
          <w:rFonts w:eastAsia="Times New Roman"/>
        </w:rPr>
      </w:pPr>
      <w:r>
        <w:rPr>
          <w:rFonts w:eastAsia="Times New Roman"/>
          <w:b/>
          <w:bCs/>
          <w:color w:val="000000"/>
          <w:sz w:val="20"/>
          <w:szCs w:val="20"/>
        </w:rPr>
        <w:t>4.</w:t>
      </w:r>
      <w:r>
        <w:rPr>
          <w:rFonts w:eastAsia="Times New Roman"/>
          <w:b/>
          <w:bCs/>
          <w:color w:val="000000"/>
          <w:sz w:val="20"/>
          <w:szCs w:val="20"/>
        </w:rPr>
        <w:t xml:space="preserve"> Property and Equipment, net</w:t>
      </w:r>
    </w:p>
    <w:p w:rsidR="00000000" w:rsidRDefault="009012B9">
      <w:pPr>
        <w:ind w:firstLine="1260"/>
        <w:divId w:val="1204515929"/>
        <w:rPr>
          <w:rFonts w:eastAsia="Times New Roman"/>
        </w:rPr>
      </w:pPr>
      <w:r>
        <w:rPr>
          <w:rFonts w:eastAsia="Times New Roman"/>
          <w:color w:val="000000"/>
          <w:sz w:val="20"/>
          <w:szCs w:val="20"/>
        </w:rPr>
        <w:t>Property and equipment, net consisted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40"/>
        <w:gridCol w:w="5988"/>
        <w:gridCol w:w="38"/>
        <w:gridCol w:w="120"/>
        <w:gridCol w:w="921"/>
        <w:gridCol w:w="36"/>
        <w:gridCol w:w="36"/>
        <w:gridCol w:w="36"/>
        <w:gridCol w:w="36"/>
        <w:gridCol w:w="121"/>
        <w:gridCol w:w="885"/>
        <w:gridCol w:w="36"/>
      </w:tblGrid>
      <w:tr w:rsidR="00000000">
        <w:trPr>
          <w:divId w:val="373845778"/>
        </w:trPr>
        <w:tc>
          <w:tcPr>
            <w:tcW w:w="50" w:type="pct"/>
            <w:vAlign w:val="center"/>
            <w:hideMark/>
          </w:tcPr>
          <w:p w:rsidR="00000000" w:rsidRDefault="009012B9">
            <w:pPr>
              <w:ind w:firstLine="1260"/>
              <w:rPr>
                <w:rFonts w:eastAsia="Times New Roman"/>
              </w:rPr>
            </w:pPr>
          </w:p>
        </w:tc>
        <w:tc>
          <w:tcPr>
            <w:tcW w:w="3634"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581"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26"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581"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r>
      <w:tr w:rsidR="00000000">
        <w:trPr>
          <w:divId w:val="373845778"/>
        </w:trPr>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color w:val="000000"/>
              </w:rPr>
              <w:t>  </w:t>
            </w:r>
          </w:p>
        </w:tc>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As of</w:t>
            </w:r>
            <w:r>
              <w:rPr>
                <w:rFonts w:eastAsia="Times New Roman"/>
                <w:b/>
                <w:bCs/>
                <w:color w:val="000000"/>
                <w:sz w:val="16"/>
                <w:szCs w:val="16"/>
              </w:rPr>
              <w:br/>
              <w:t>March 31,</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As of</w:t>
            </w:r>
            <w:r>
              <w:rPr>
                <w:rFonts w:eastAsia="Times New Roman"/>
                <w:b/>
                <w:bCs/>
                <w:color w:val="000000"/>
                <w:sz w:val="16"/>
                <w:szCs w:val="16"/>
              </w:rPr>
              <w:br/>
              <w:t>December 31,</w:t>
            </w:r>
            <w:r>
              <w:rPr>
                <w:rFonts w:eastAsia="Times New Roman"/>
                <w:b/>
                <w:bCs/>
                <w:color w:val="000000"/>
                <w:sz w:val="16"/>
                <w:szCs w:val="16"/>
              </w:rPr>
              <w:br/>
              <w:t>2020</w:t>
            </w:r>
          </w:p>
        </w:tc>
      </w:tr>
      <w:tr w:rsidR="00000000">
        <w:trPr>
          <w:divId w:val="373845778"/>
        </w:trPr>
        <w:tc>
          <w:tcPr>
            <w:tcW w:w="0" w:type="auto"/>
            <w:gridSpan w:val="3"/>
            <w:shd w:val="clear" w:color="auto" w:fill="CFF0FC"/>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Computer equipment and software</w:t>
            </w: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22 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22 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373845778"/>
        </w:trPr>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Laboratory equipment</w:t>
            </w: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6,921 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6,540 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373845778"/>
        </w:trPr>
        <w:tc>
          <w:tcPr>
            <w:tcW w:w="0" w:type="auto"/>
            <w:gridSpan w:val="3"/>
            <w:shd w:val="clear" w:color="auto" w:fill="CFF0FC"/>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Leasehold improvements</w:t>
            </w:r>
          </w:p>
        </w:tc>
        <w:tc>
          <w:tcPr>
            <w:tcW w:w="0" w:type="auto"/>
            <w:gridSpan w:val="2"/>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947 </w:t>
            </w:r>
          </w:p>
        </w:tc>
        <w:tc>
          <w:tcPr>
            <w:tcW w:w="0" w:type="auto"/>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947 </w:t>
            </w:r>
          </w:p>
        </w:tc>
        <w:tc>
          <w:tcPr>
            <w:tcW w:w="0" w:type="auto"/>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373845778"/>
        </w:trPr>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Construction-in-progress</w:t>
            </w: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223 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300 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373845778"/>
        </w:trPr>
        <w:tc>
          <w:tcPr>
            <w:tcW w:w="0" w:type="auto"/>
            <w:gridSpan w:val="3"/>
            <w:shd w:val="clear" w:color="auto" w:fill="CFF0FC"/>
            <w:tcMar>
              <w:top w:w="30" w:type="dxa"/>
              <w:left w:w="515" w:type="dxa"/>
              <w:bottom w:w="30" w:type="dxa"/>
              <w:right w:w="20" w:type="dxa"/>
            </w:tcMar>
            <w:hideMark/>
          </w:tcPr>
          <w:p w:rsidR="00000000" w:rsidRDefault="009012B9">
            <w:pPr>
              <w:spacing w:after="100"/>
              <w:rPr>
                <w:rFonts w:eastAsia="Times New Roman"/>
              </w:rPr>
            </w:pPr>
            <w:r>
              <w:rPr>
                <w:rFonts w:eastAsia="Times New Roman"/>
                <w:color w:val="000000"/>
                <w:sz w:val="20"/>
                <w:szCs w:val="20"/>
              </w:rPr>
              <w:t>Total property and equipment, gross</w:t>
            </w: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8,113 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7,809 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373845778"/>
        </w:trPr>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Less: Accumulated depreciation</w:t>
            </w: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(3,847)</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(3,488)</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373845778"/>
        </w:trPr>
        <w:tc>
          <w:tcPr>
            <w:tcW w:w="0" w:type="auto"/>
            <w:gridSpan w:val="3"/>
            <w:shd w:val="clear" w:color="auto" w:fill="CFF0FC"/>
            <w:tcMar>
              <w:top w:w="30" w:type="dxa"/>
              <w:left w:w="515" w:type="dxa"/>
              <w:bottom w:w="30" w:type="dxa"/>
              <w:right w:w="20" w:type="dxa"/>
            </w:tcMar>
            <w:hideMark/>
          </w:tcPr>
          <w:p w:rsidR="00000000" w:rsidRDefault="009012B9">
            <w:pPr>
              <w:spacing w:after="100"/>
              <w:rPr>
                <w:rFonts w:eastAsia="Times New Roman"/>
              </w:rPr>
            </w:pPr>
            <w:r>
              <w:rPr>
                <w:rFonts w:eastAsia="Times New Roman"/>
                <w:color w:val="000000"/>
                <w:sz w:val="20"/>
                <w:szCs w:val="20"/>
              </w:rPr>
              <w:t>Total property and equipment, net</w:t>
            </w: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4,266 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4,321 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r>
    </w:tbl>
    <w:p w:rsidR="00000000" w:rsidRDefault="009012B9">
      <w:pPr>
        <w:ind w:firstLine="1260"/>
        <w:divId w:val="741025080"/>
        <w:rPr>
          <w:rFonts w:eastAsia="Times New Roman"/>
        </w:rPr>
      </w:pPr>
      <w:r>
        <w:rPr>
          <w:rFonts w:eastAsia="Times New Roman"/>
          <w:color w:val="000000"/>
          <w:sz w:val="20"/>
          <w:szCs w:val="20"/>
        </w:rPr>
        <w:t xml:space="preserve">Depreciation expense for the three months ended March 31, 2021 was $0.4 </w:t>
      </w:r>
      <w:r>
        <w:rPr>
          <w:rFonts w:eastAsia="Times New Roman"/>
          <w:color w:val="000000"/>
          <w:sz w:val="20"/>
          <w:szCs w:val="20"/>
        </w:rPr>
        <w:t>million. Depreciation expense for the three months ended March 31, 2020 was $0.3 million.</w:t>
      </w:r>
    </w:p>
    <w:p w:rsidR="00000000" w:rsidRDefault="009012B9">
      <w:pPr>
        <w:divId w:val="1630748328"/>
        <w:rPr>
          <w:rFonts w:eastAsia="Times New Roman"/>
        </w:rPr>
      </w:pPr>
      <w:r>
        <w:rPr>
          <w:rFonts w:eastAsia="Times New Roman"/>
          <w:b/>
          <w:bCs/>
          <w:color w:val="000000"/>
          <w:sz w:val="20"/>
          <w:szCs w:val="20"/>
        </w:rPr>
        <w:t>5. Accrued Liabilities and Other Long-Term Liabilities</w:t>
      </w:r>
    </w:p>
    <w:p w:rsidR="00000000" w:rsidRDefault="009012B9">
      <w:pPr>
        <w:ind w:firstLine="540"/>
        <w:divId w:val="1558852906"/>
        <w:rPr>
          <w:rFonts w:eastAsia="Times New Roman"/>
        </w:rPr>
      </w:pPr>
      <w:r>
        <w:rPr>
          <w:rFonts w:eastAsia="Times New Roman"/>
          <w:b/>
          <w:bCs/>
          <w:i/>
          <w:iCs/>
          <w:color w:val="000000"/>
          <w:sz w:val="20"/>
          <w:szCs w:val="20"/>
        </w:rPr>
        <w:t>Accrued Liabilities</w:t>
      </w:r>
    </w:p>
    <w:p w:rsidR="00000000" w:rsidRDefault="009012B9">
      <w:pPr>
        <w:ind w:firstLine="1260"/>
        <w:divId w:val="707218431"/>
        <w:rPr>
          <w:rFonts w:eastAsia="Times New Roman"/>
        </w:rPr>
      </w:pPr>
      <w:r>
        <w:rPr>
          <w:rFonts w:eastAsia="Times New Roman"/>
          <w:color w:val="000000"/>
          <w:sz w:val="20"/>
          <w:szCs w:val="20"/>
        </w:rPr>
        <w:t>Accrued liabilities consisted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5987"/>
        <w:gridCol w:w="37"/>
        <w:gridCol w:w="121"/>
        <w:gridCol w:w="920"/>
        <w:gridCol w:w="36"/>
        <w:gridCol w:w="36"/>
        <w:gridCol w:w="36"/>
        <w:gridCol w:w="36"/>
        <w:gridCol w:w="121"/>
        <w:gridCol w:w="889"/>
        <w:gridCol w:w="36"/>
      </w:tblGrid>
      <w:tr w:rsidR="00000000">
        <w:trPr>
          <w:divId w:val="1521508821"/>
        </w:trPr>
        <w:tc>
          <w:tcPr>
            <w:tcW w:w="50" w:type="pct"/>
            <w:vAlign w:val="center"/>
            <w:hideMark/>
          </w:tcPr>
          <w:p w:rsidR="00000000" w:rsidRDefault="009012B9">
            <w:pPr>
              <w:ind w:firstLine="1260"/>
              <w:rPr>
                <w:rFonts w:eastAsia="Times New Roman"/>
              </w:rPr>
            </w:pPr>
          </w:p>
        </w:tc>
        <w:tc>
          <w:tcPr>
            <w:tcW w:w="3634"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581"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26"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581"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r>
      <w:tr w:rsidR="00000000">
        <w:trPr>
          <w:divId w:val="1521508821"/>
        </w:trPr>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As of</w:t>
            </w:r>
          </w:p>
          <w:p w:rsidR="00000000" w:rsidRDefault="009012B9">
            <w:pPr>
              <w:spacing w:after="100"/>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As of</w:t>
            </w:r>
          </w:p>
          <w:p w:rsidR="00000000" w:rsidRDefault="009012B9">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trPr>
          <w:divId w:val="1521508821"/>
        </w:trPr>
        <w:tc>
          <w:tcPr>
            <w:tcW w:w="0" w:type="auto"/>
            <w:gridSpan w:val="3"/>
            <w:shd w:val="clear" w:color="auto" w:fill="CFF0FC"/>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Accrued compensation and benefits</w:t>
            </w: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2,300 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4,542 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1521508821"/>
        </w:trPr>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Accrued research and development expenses</w:t>
            </w: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3,996 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3,274 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1521508821"/>
        </w:trPr>
        <w:tc>
          <w:tcPr>
            <w:tcW w:w="0" w:type="auto"/>
            <w:gridSpan w:val="3"/>
            <w:shd w:val="clear" w:color="auto" w:fill="CFF0FC"/>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Other accrued liabilities</w:t>
            </w:r>
          </w:p>
        </w:tc>
        <w:tc>
          <w:tcPr>
            <w:tcW w:w="0" w:type="auto"/>
            <w:gridSpan w:val="2"/>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965 </w:t>
            </w:r>
          </w:p>
        </w:tc>
        <w:tc>
          <w:tcPr>
            <w:tcW w:w="0" w:type="auto"/>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1,675 </w:t>
            </w:r>
          </w:p>
        </w:tc>
        <w:tc>
          <w:tcPr>
            <w:tcW w:w="0" w:type="auto"/>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1521508821"/>
        </w:trPr>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Deferred rent</w:t>
            </w: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103 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85 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1521508821"/>
        </w:trPr>
        <w:tc>
          <w:tcPr>
            <w:tcW w:w="0" w:type="auto"/>
            <w:gridSpan w:val="3"/>
            <w:shd w:val="clear" w:color="auto" w:fill="CFF0FC"/>
            <w:tcMar>
              <w:top w:w="30" w:type="dxa"/>
              <w:left w:w="515" w:type="dxa"/>
              <w:bottom w:w="30" w:type="dxa"/>
              <w:right w:w="20" w:type="dxa"/>
            </w:tcMar>
            <w:hideMark/>
          </w:tcPr>
          <w:p w:rsidR="00000000" w:rsidRDefault="009012B9">
            <w:pPr>
              <w:spacing w:after="100"/>
              <w:rPr>
                <w:rFonts w:eastAsia="Times New Roman"/>
              </w:rPr>
            </w:pPr>
            <w:r>
              <w:rPr>
                <w:rFonts w:eastAsia="Times New Roman"/>
                <w:color w:val="000000"/>
                <w:sz w:val="20"/>
                <w:szCs w:val="20"/>
              </w:rPr>
              <w:t>Total accrued liabilities</w:t>
            </w: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7,364 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9,576 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r>
    </w:tbl>
    <w:p w:rsidR="00000000" w:rsidRDefault="009012B9">
      <w:pPr>
        <w:ind w:firstLine="1260"/>
        <w:divId w:val="1383165417"/>
        <w:rPr>
          <w:rFonts w:eastAsia="Times New Roman"/>
        </w:rPr>
      </w:pPr>
      <w:r>
        <w:rPr>
          <w:rFonts w:eastAsia="Times New Roman"/>
          <w:color w:val="000000"/>
          <w:sz w:val="20"/>
          <w:szCs w:val="20"/>
        </w:rPr>
        <w:t>Accrued compensation and benefits consist primarily of accrued bonuses and accrued vacation.</w:t>
      </w:r>
    </w:p>
    <w:p w:rsidR="00000000" w:rsidRDefault="009012B9">
      <w:pPr>
        <w:ind w:firstLine="540"/>
        <w:divId w:val="564337535"/>
        <w:rPr>
          <w:rFonts w:eastAsia="Times New Roman"/>
        </w:rPr>
      </w:pPr>
      <w:r>
        <w:rPr>
          <w:rFonts w:eastAsia="Times New Roman"/>
          <w:b/>
          <w:bCs/>
          <w:i/>
          <w:iCs/>
          <w:color w:val="000000"/>
          <w:sz w:val="20"/>
          <w:szCs w:val="20"/>
        </w:rPr>
        <w:t>Other Long-Term Liabilities</w:t>
      </w:r>
    </w:p>
    <w:p w:rsidR="00000000" w:rsidRDefault="009012B9">
      <w:pPr>
        <w:ind w:firstLine="1260"/>
        <w:divId w:val="1473719754"/>
        <w:rPr>
          <w:rFonts w:eastAsia="Times New Roman"/>
        </w:rPr>
      </w:pPr>
      <w:r>
        <w:rPr>
          <w:rFonts w:eastAsia="Times New Roman"/>
          <w:color w:val="000000"/>
          <w:sz w:val="20"/>
          <w:szCs w:val="20"/>
        </w:rPr>
        <w:t>Other long-term liabilities consisted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40"/>
        <w:gridCol w:w="5985"/>
        <w:gridCol w:w="38"/>
        <w:gridCol w:w="121"/>
        <w:gridCol w:w="919"/>
        <w:gridCol w:w="36"/>
        <w:gridCol w:w="36"/>
        <w:gridCol w:w="36"/>
        <w:gridCol w:w="36"/>
        <w:gridCol w:w="121"/>
        <w:gridCol w:w="889"/>
        <w:gridCol w:w="36"/>
      </w:tblGrid>
      <w:tr w:rsidR="00000000">
        <w:trPr>
          <w:divId w:val="1637645218"/>
        </w:trPr>
        <w:tc>
          <w:tcPr>
            <w:tcW w:w="50" w:type="pct"/>
            <w:vAlign w:val="center"/>
            <w:hideMark/>
          </w:tcPr>
          <w:p w:rsidR="00000000" w:rsidRDefault="009012B9">
            <w:pPr>
              <w:ind w:firstLine="1260"/>
              <w:rPr>
                <w:rFonts w:eastAsia="Times New Roman"/>
              </w:rPr>
            </w:pPr>
          </w:p>
        </w:tc>
        <w:tc>
          <w:tcPr>
            <w:tcW w:w="3634"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581"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26"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581"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r>
      <w:tr w:rsidR="00000000">
        <w:trPr>
          <w:divId w:val="1637645218"/>
        </w:trPr>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color w:val="000000"/>
              </w:rPr>
              <w:t>  </w:t>
            </w:r>
          </w:p>
        </w:tc>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As of</w:t>
            </w:r>
          </w:p>
          <w:p w:rsidR="00000000" w:rsidRDefault="009012B9">
            <w:pPr>
              <w:spacing w:after="100"/>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As of</w:t>
            </w:r>
          </w:p>
          <w:p w:rsidR="00000000" w:rsidRDefault="009012B9">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trPr>
          <w:divId w:val="1637645218"/>
        </w:trPr>
        <w:tc>
          <w:tcPr>
            <w:tcW w:w="0" w:type="auto"/>
            <w:gridSpan w:val="3"/>
            <w:shd w:val="clear" w:color="auto" w:fill="CFF0FC"/>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Deferred rent</w:t>
            </w: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571 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581 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1637645218"/>
        </w:trPr>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Leasehold incentive obligation</w:t>
            </w: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263 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283 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1637645218"/>
        </w:trPr>
        <w:tc>
          <w:tcPr>
            <w:tcW w:w="0" w:type="auto"/>
            <w:gridSpan w:val="3"/>
            <w:shd w:val="clear" w:color="auto" w:fill="CFF0FC"/>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Other liabilities — deposits</w:t>
            </w:r>
          </w:p>
        </w:tc>
        <w:tc>
          <w:tcPr>
            <w:tcW w:w="0" w:type="auto"/>
            <w:gridSpan w:val="2"/>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1 </w:t>
            </w:r>
          </w:p>
        </w:tc>
        <w:tc>
          <w:tcPr>
            <w:tcW w:w="0" w:type="auto"/>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2 </w:t>
            </w:r>
          </w:p>
        </w:tc>
        <w:tc>
          <w:tcPr>
            <w:tcW w:w="0" w:type="auto"/>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1637645218"/>
        </w:trPr>
        <w:tc>
          <w:tcPr>
            <w:tcW w:w="0" w:type="auto"/>
            <w:gridSpan w:val="3"/>
            <w:tcMar>
              <w:top w:w="30" w:type="dxa"/>
              <w:left w:w="380" w:type="dxa"/>
              <w:bottom w:w="30" w:type="dxa"/>
              <w:right w:w="20" w:type="dxa"/>
            </w:tcMar>
            <w:hideMark/>
          </w:tcPr>
          <w:p w:rsidR="00000000" w:rsidRDefault="009012B9">
            <w:pPr>
              <w:spacing w:after="100"/>
              <w:rPr>
                <w:rFonts w:eastAsia="Times New Roman"/>
              </w:rPr>
            </w:pPr>
            <w:r>
              <w:rPr>
                <w:rFonts w:eastAsia="Times New Roman"/>
                <w:color w:val="000000"/>
                <w:sz w:val="20"/>
                <w:szCs w:val="20"/>
              </w:rPr>
              <w:t>Total other long-term liabilities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835 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866 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012B9">
            <w:pPr>
              <w:spacing w:after="100"/>
              <w:jc w:val="right"/>
              <w:rPr>
                <w:rFonts w:eastAsia="Times New Roman"/>
              </w:rPr>
            </w:pPr>
          </w:p>
        </w:tc>
      </w:tr>
    </w:tbl>
    <w:p w:rsidR="00000000" w:rsidRDefault="009012B9">
      <w:pPr>
        <w:divId w:val="799958004"/>
        <w:rPr>
          <w:rFonts w:eastAsia="Times New Roman"/>
        </w:rPr>
      </w:pPr>
    </w:p>
    <w:p w:rsidR="00000000" w:rsidRDefault="009012B9">
      <w:pPr>
        <w:divId w:val="459761640"/>
        <w:rPr>
          <w:rFonts w:eastAsia="Times New Roman"/>
        </w:rPr>
      </w:pPr>
      <w:r>
        <w:rPr>
          <w:rFonts w:eastAsia="Times New Roman"/>
          <w:b/>
          <w:bCs/>
          <w:color w:val="000000"/>
          <w:sz w:val="20"/>
          <w:szCs w:val="20"/>
        </w:rPr>
        <w:t>6. Novartis Collaboration and License Agreement (the "Novartis Agreement")</w:t>
      </w:r>
    </w:p>
    <w:p w:rsidR="00000000" w:rsidRDefault="009012B9">
      <w:pPr>
        <w:ind w:firstLine="1260"/>
        <w:divId w:val="1437217330"/>
        <w:rPr>
          <w:rFonts w:eastAsia="Times New Roman"/>
        </w:rPr>
      </w:pPr>
      <w:r>
        <w:rPr>
          <w:rFonts w:eastAsia="Times New Roman"/>
          <w:color w:val="000000"/>
          <w:sz w:val="20"/>
          <w:szCs w:val="20"/>
        </w:rPr>
        <w:t>In 2019, we entered into the Novartis Agreement for the development and commercialization of our preclinical product candidate, PLN-1474 and up to three additional integrin research targets. PLN-1474 is an internally discovered small molecule selective inh</w:t>
      </w:r>
      <w:r>
        <w:rPr>
          <w:rFonts w:eastAsia="Times New Roman"/>
          <w:color w:val="000000"/>
          <w:sz w:val="20"/>
          <w:szCs w:val="20"/>
        </w:rPr>
        <w:t>ibitor of integrin α</w:t>
      </w:r>
      <w:r>
        <w:rPr>
          <w:rFonts w:eastAsia="Times New Roman"/>
          <w:color w:val="000000"/>
          <w:sz w:val="18"/>
          <w:szCs w:val="18"/>
        </w:rPr>
        <w:t>v</w:t>
      </w:r>
      <w:r>
        <w:rPr>
          <w:rFonts w:eastAsia="Times New Roman"/>
          <w:color w:val="000000"/>
          <w:sz w:val="20"/>
          <w:szCs w:val="20"/>
        </w:rPr>
        <w:t>ß1, currently being developed for the treatment of liver fibrosis associated with nonalcoholic steatohepatitis (“NASH”). Pursuant to the agreement, we received an upfront, non-refundable license fee of $50.0 million and were eligible t</w:t>
      </w:r>
      <w:r>
        <w:rPr>
          <w:rFonts w:eastAsia="Times New Roman"/>
          <w:color w:val="000000"/>
          <w:sz w:val="20"/>
          <w:szCs w:val="20"/>
        </w:rPr>
        <w:t>o receive additional payments of $416.0 million contingent upon achievement of specified research, development, regulatory and commercial events and royalties on world-wide net sales thereafter. Additionally, Novartis is funding up to $19.6 million associa</w:t>
      </w:r>
      <w:r>
        <w:rPr>
          <w:rFonts w:eastAsia="Times New Roman"/>
          <w:color w:val="000000"/>
          <w:sz w:val="20"/>
          <w:szCs w:val="20"/>
        </w:rPr>
        <w:t xml:space="preserve">ted with research and development services for PLN-1474 and up to $13.4 million for research and development services on the integrin research targets. </w:t>
      </w:r>
    </w:p>
    <w:p w:rsidR="00000000" w:rsidRDefault="009012B9">
      <w:pPr>
        <w:ind w:firstLine="1260"/>
        <w:divId w:val="1229725095"/>
        <w:rPr>
          <w:rFonts w:eastAsia="Times New Roman"/>
        </w:rPr>
      </w:pPr>
      <w:r>
        <w:rPr>
          <w:rFonts w:eastAsia="Times New Roman"/>
          <w:color w:val="000000"/>
          <w:sz w:val="20"/>
          <w:szCs w:val="20"/>
        </w:rPr>
        <w:t>To date, we have received $25.0 million in contingent payments and $391.0 million remain eligible for a</w:t>
      </w:r>
      <w:r>
        <w:rPr>
          <w:rFonts w:eastAsia="Times New Roman"/>
          <w:color w:val="000000"/>
          <w:sz w:val="20"/>
          <w:szCs w:val="20"/>
        </w:rPr>
        <w:t xml:space="preserve">chievement. No contingent payments were recognized during the first quarter of 2021 and one contingent payment of $25.0 </w:t>
      </w:r>
    </w:p>
    <w:p w:rsidR="00000000" w:rsidRDefault="009012B9">
      <w:pPr>
        <w:jc w:val="center"/>
        <w:divId w:val="841356249"/>
        <w:rPr>
          <w:rFonts w:eastAsia="Times New Roman"/>
        </w:rPr>
      </w:pPr>
      <w:r>
        <w:rPr>
          <w:rFonts w:eastAsia="Times New Roman"/>
          <w:color w:val="000000"/>
          <w:sz w:val="20"/>
          <w:szCs w:val="20"/>
        </w:rPr>
        <w:t>14</w:t>
      </w:r>
    </w:p>
    <w:p w:rsidR="00000000" w:rsidRDefault="009012B9">
      <w:pPr>
        <w:rPr>
          <w:rFonts w:eastAsia="Times New Roman"/>
        </w:rPr>
      </w:pPr>
      <w:r>
        <w:rPr>
          <w:rFonts w:eastAsia="Times New Roman"/>
        </w:rPr>
        <w:pict>
          <v:rect id="_x0000_i1038" style="width:0;height:1.5pt" o:hralign="center" o:hrstd="t" o:hr="t" fillcolor="#a0a0a0" stroked="f"/>
        </w:pict>
      </w:r>
    </w:p>
    <w:p w:rsidR="00000000" w:rsidRDefault="009012B9">
      <w:pPr>
        <w:divId w:val="178546064"/>
        <w:rPr>
          <w:rFonts w:eastAsia="Times New Roman"/>
        </w:rPr>
      </w:pPr>
    </w:p>
    <w:p w:rsidR="00000000" w:rsidRDefault="009012B9">
      <w:pPr>
        <w:divId w:val="1808549928"/>
        <w:rPr>
          <w:rFonts w:eastAsia="Times New Roman"/>
        </w:rPr>
      </w:pPr>
      <w:r>
        <w:rPr>
          <w:rFonts w:eastAsia="Times New Roman"/>
          <w:color w:val="000000"/>
          <w:sz w:val="20"/>
          <w:szCs w:val="20"/>
        </w:rPr>
        <w:t xml:space="preserve">million was recognized in the first quarter of 2020. Revenues for research and development services for the three months ended March 31, 2021 and 2020 were $2.2 million and $3.9 million, respectively. </w:t>
      </w:r>
    </w:p>
    <w:p w:rsidR="00000000" w:rsidRDefault="009012B9">
      <w:pPr>
        <w:divId w:val="1084572604"/>
        <w:rPr>
          <w:rFonts w:eastAsia="Times New Roman"/>
        </w:rPr>
      </w:pPr>
    </w:p>
    <w:p w:rsidR="00000000" w:rsidRDefault="009012B9">
      <w:pPr>
        <w:divId w:val="347485428"/>
        <w:rPr>
          <w:rFonts w:eastAsia="Times New Roman"/>
        </w:rPr>
      </w:pPr>
      <w:r>
        <w:rPr>
          <w:rFonts w:eastAsia="Times New Roman"/>
          <w:b/>
          <w:bCs/>
          <w:color w:val="000000"/>
          <w:sz w:val="20"/>
          <w:szCs w:val="20"/>
        </w:rPr>
        <w:t xml:space="preserve">7. Regents of </w:t>
      </w:r>
      <w:r>
        <w:rPr>
          <w:rFonts w:eastAsia="Times New Roman"/>
          <w:b/>
          <w:bCs/>
          <w:color w:val="000000"/>
          <w:sz w:val="20"/>
          <w:szCs w:val="20"/>
        </w:rPr>
        <w:t xml:space="preserve">the University of California License Agreement (the "UC Agreement") </w:t>
      </w:r>
    </w:p>
    <w:p w:rsidR="00000000" w:rsidRDefault="009012B9">
      <w:pPr>
        <w:ind w:firstLine="1260"/>
        <w:divId w:val="59332617"/>
        <w:rPr>
          <w:rFonts w:eastAsia="Times New Roman"/>
        </w:rPr>
      </w:pPr>
      <w:r>
        <w:rPr>
          <w:rFonts w:eastAsia="Times New Roman"/>
          <w:color w:val="000000"/>
          <w:sz w:val="20"/>
          <w:szCs w:val="20"/>
        </w:rPr>
        <w:t>In 2015, we entered into the UC Agreement to obtain an exclusive, worldwide license relating to the use of certain patents and technology relating to α</w:t>
      </w:r>
      <w:r>
        <w:rPr>
          <w:rFonts w:eastAsia="Times New Roman"/>
          <w:color w:val="000000"/>
          <w:sz w:val="18"/>
          <w:szCs w:val="18"/>
        </w:rPr>
        <w:t>v</w:t>
      </w:r>
      <w:r>
        <w:rPr>
          <w:rFonts w:eastAsia="Times New Roman"/>
          <w:color w:val="000000"/>
          <w:sz w:val="20"/>
          <w:szCs w:val="20"/>
        </w:rPr>
        <w:t>ß1 compound in fibrosis indications</w:t>
      </w:r>
      <w:r>
        <w:rPr>
          <w:rFonts w:eastAsia="Times New Roman"/>
          <w:color w:val="000000"/>
          <w:sz w:val="20"/>
          <w:szCs w:val="20"/>
        </w:rPr>
        <w:t>. Pursuant to the UC Agreement, we made a $2.4 million milestone payment upon the close of our initial public offering in June 2020. Subsequently, we determined the licensed technology was no longer relevant to the development of our product candidates and</w:t>
      </w:r>
      <w:r>
        <w:rPr>
          <w:rFonts w:eastAsia="Times New Roman"/>
          <w:color w:val="000000"/>
          <w:sz w:val="20"/>
          <w:szCs w:val="20"/>
        </w:rPr>
        <w:t xml:space="preserve">, therefore, we exercised our right to terminate the UC Agreement which became effective in the first quarter of 2021. No further obligations or financial commitments survive the termination. </w:t>
      </w:r>
    </w:p>
    <w:p w:rsidR="00000000" w:rsidRDefault="009012B9">
      <w:pPr>
        <w:ind w:firstLine="1260"/>
        <w:divId w:val="1850020200"/>
        <w:rPr>
          <w:rFonts w:eastAsia="Times New Roman"/>
        </w:rPr>
      </w:pPr>
    </w:p>
    <w:p w:rsidR="00000000" w:rsidRDefault="009012B9">
      <w:pPr>
        <w:divId w:val="1402752993"/>
        <w:rPr>
          <w:rFonts w:eastAsia="Times New Roman"/>
        </w:rPr>
      </w:pPr>
      <w:r>
        <w:rPr>
          <w:rFonts w:eastAsia="Times New Roman"/>
          <w:b/>
          <w:bCs/>
          <w:color w:val="000000"/>
          <w:sz w:val="20"/>
          <w:szCs w:val="20"/>
        </w:rPr>
        <w:t>8. Adimab Development and Option Agreement (the "Adimab Agree</w:t>
      </w:r>
      <w:r>
        <w:rPr>
          <w:rFonts w:eastAsia="Times New Roman"/>
          <w:b/>
          <w:bCs/>
          <w:color w:val="000000"/>
          <w:sz w:val="20"/>
          <w:szCs w:val="20"/>
        </w:rPr>
        <w:t>ment")</w:t>
      </w:r>
    </w:p>
    <w:p w:rsidR="00000000" w:rsidRDefault="009012B9">
      <w:pPr>
        <w:ind w:firstLine="1260"/>
        <w:divId w:val="425928354"/>
        <w:rPr>
          <w:rFonts w:eastAsia="Times New Roman"/>
        </w:rPr>
      </w:pPr>
      <w:r>
        <w:rPr>
          <w:rFonts w:eastAsia="Times New Roman"/>
          <w:color w:val="000000"/>
          <w:sz w:val="20"/>
          <w:szCs w:val="20"/>
        </w:rPr>
        <w:t>In 2018, we entered into a development and option agreement with Adimab, LLC (“Adimab”) for the discovery and optimization of proprietary antibodies as potential therapeutic product candidates. Under the Adimab Agreement, we will select biological t</w:t>
      </w:r>
      <w:r>
        <w:rPr>
          <w:rFonts w:eastAsia="Times New Roman"/>
          <w:color w:val="000000"/>
          <w:sz w:val="20"/>
          <w:szCs w:val="20"/>
        </w:rPr>
        <w:t>argets against which Adimab will use its proprietary platform technology to research and develop antibody proteins using a mutually agreed upon research plan. We are required to pay Adimab an agreed upon rate for its full-time employees during the discover</w:t>
      </w:r>
      <w:r>
        <w:rPr>
          <w:rFonts w:eastAsia="Times New Roman"/>
          <w:color w:val="000000"/>
          <w:sz w:val="20"/>
          <w:szCs w:val="20"/>
        </w:rPr>
        <w:t>y period while Adimab performs research on each target under the applicable research plan. We have an exclusive option to obtain a worldwide, royalty-bearing, sublicensable license under Adimab platform patents and other Adimab technology to research, deve</w:t>
      </w:r>
      <w:r>
        <w:rPr>
          <w:rFonts w:eastAsia="Times New Roman"/>
          <w:color w:val="000000"/>
          <w:sz w:val="20"/>
          <w:szCs w:val="20"/>
        </w:rPr>
        <w:t xml:space="preserve">lop and commercialize up to 24 antibodies of our selection. </w:t>
      </w:r>
    </w:p>
    <w:p w:rsidR="00000000" w:rsidRDefault="009012B9">
      <w:pPr>
        <w:ind w:firstLine="1260"/>
        <w:divId w:val="531381695"/>
        <w:rPr>
          <w:rFonts w:eastAsia="Times New Roman"/>
        </w:rPr>
      </w:pPr>
      <w:r>
        <w:rPr>
          <w:rFonts w:eastAsia="Times New Roman"/>
          <w:color w:val="000000"/>
          <w:sz w:val="20"/>
          <w:szCs w:val="20"/>
        </w:rPr>
        <w:t>As of March 31, 2021, we have not exercised our option to further develop any antibody proteins. During the three months ended March 31, 2021 we recognized research and development expenses under</w:t>
      </w:r>
      <w:r>
        <w:rPr>
          <w:rFonts w:eastAsia="Times New Roman"/>
          <w:color w:val="000000"/>
          <w:sz w:val="20"/>
          <w:szCs w:val="20"/>
        </w:rPr>
        <w:t xml:space="preserve"> the Adimab Agreement of $28,000 related to full-time employee costs. No costs were recognized during the three months ended March 31, 2020.</w:t>
      </w:r>
    </w:p>
    <w:p w:rsidR="00000000" w:rsidRDefault="009012B9">
      <w:pPr>
        <w:divId w:val="1339502150"/>
        <w:rPr>
          <w:rFonts w:eastAsia="Times New Roman"/>
        </w:rPr>
      </w:pPr>
    </w:p>
    <w:p w:rsidR="00000000" w:rsidRDefault="009012B9">
      <w:pPr>
        <w:divId w:val="915432467"/>
        <w:rPr>
          <w:rFonts w:eastAsia="Times New Roman"/>
        </w:rPr>
      </w:pPr>
      <w:r>
        <w:rPr>
          <w:rFonts w:eastAsia="Times New Roman"/>
          <w:b/>
          <w:bCs/>
          <w:color w:val="000000"/>
          <w:sz w:val="20"/>
          <w:szCs w:val="20"/>
        </w:rPr>
        <w:t>9. Redeemable Convertible Preferred Stock</w:t>
      </w:r>
    </w:p>
    <w:p w:rsidR="00000000" w:rsidRDefault="009012B9">
      <w:pPr>
        <w:ind w:firstLine="1260"/>
        <w:divId w:val="1117329261"/>
        <w:rPr>
          <w:rFonts w:eastAsia="Times New Roman"/>
        </w:rPr>
      </w:pPr>
      <w:r>
        <w:rPr>
          <w:rFonts w:eastAsia="Times New Roman"/>
          <w:color w:val="000000"/>
          <w:sz w:val="20"/>
          <w:szCs w:val="20"/>
        </w:rPr>
        <w:t>Under the Company’s Amended and Restated Certificate of Incorporation (</w:t>
      </w:r>
      <w:r>
        <w:rPr>
          <w:rFonts w:eastAsia="Times New Roman"/>
          <w:color w:val="000000"/>
          <w:sz w:val="20"/>
          <w:szCs w:val="20"/>
        </w:rPr>
        <w:t>“Certificate of Incorporation”), the Company is authorized to issue two classes of shares: preferred and common stock. The preferred stock may be issued in series, and the Company’s board of directors is authorized to determine the rights, preferences, and</w:t>
      </w:r>
      <w:r>
        <w:rPr>
          <w:rFonts w:eastAsia="Times New Roman"/>
          <w:color w:val="000000"/>
          <w:sz w:val="20"/>
          <w:szCs w:val="20"/>
        </w:rPr>
        <w:t xml:space="preserve"> terms of each series. These rights preferences and terms could include dividend rights, conversion rights, voting rights, terms of redemptions, liquidation preferences and sinking fund terms. As a result of the IPO in June 2020, in which all then outstand</w:t>
      </w:r>
      <w:r>
        <w:rPr>
          <w:rFonts w:eastAsia="Times New Roman"/>
          <w:color w:val="000000"/>
          <w:sz w:val="20"/>
          <w:szCs w:val="20"/>
        </w:rPr>
        <w:t>ing convertible preferred stock was converted into shares of common stock of the Company, there is no outstanding redeemable convertible preferred stock as of March 31, 2021.</w:t>
      </w:r>
    </w:p>
    <w:p w:rsidR="00000000" w:rsidRDefault="009012B9">
      <w:pPr>
        <w:divId w:val="1119180795"/>
        <w:rPr>
          <w:rFonts w:eastAsia="Times New Roman"/>
        </w:rPr>
      </w:pPr>
      <w:r>
        <w:rPr>
          <w:rFonts w:eastAsia="Times New Roman"/>
          <w:b/>
          <w:bCs/>
          <w:color w:val="000000"/>
          <w:sz w:val="20"/>
          <w:szCs w:val="20"/>
        </w:rPr>
        <w:t>10. Common Stock</w:t>
      </w:r>
    </w:p>
    <w:p w:rsidR="00000000" w:rsidRDefault="009012B9">
      <w:pPr>
        <w:ind w:firstLine="1260"/>
        <w:divId w:val="1611013538"/>
        <w:rPr>
          <w:rFonts w:eastAsia="Times New Roman"/>
        </w:rPr>
      </w:pPr>
      <w:r>
        <w:rPr>
          <w:rFonts w:eastAsia="Times New Roman"/>
          <w:color w:val="000000"/>
          <w:sz w:val="20"/>
          <w:szCs w:val="20"/>
        </w:rPr>
        <w:t>The voting, dividend, and liquidation rights of the holders of t</w:t>
      </w:r>
      <w:r>
        <w:rPr>
          <w:rFonts w:eastAsia="Times New Roman"/>
          <w:color w:val="000000"/>
          <w:sz w:val="20"/>
          <w:szCs w:val="20"/>
        </w:rPr>
        <w:t xml:space="preserve">he Company's common stock are subject to and qualified by the rights, powers, and preferences of the holders of preferred stock with preferential rights. As of March 31, 2021 and December 31, 2020, the Company was authorized to issue 300,000,000 shares of </w:t>
      </w:r>
      <w:r>
        <w:rPr>
          <w:rFonts w:eastAsia="Times New Roman"/>
          <w:color w:val="000000"/>
          <w:sz w:val="20"/>
          <w:szCs w:val="20"/>
        </w:rPr>
        <w:t>common stock at a par value of $0.0001 per share. The common stock has the following rights and privileges:</w:t>
      </w:r>
    </w:p>
    <w:p w:rsidR="00000000" w:rsidRDefault="009012B9">
      <w:pPr>
        <w:ind w:firstLine="540"/>
        <w:divId w:val="1302266928"/>
        <w:rPr>
          <w:rFonts w:eastAsia="Times New Roman"/>
        </w:rPr>
      </w:pPr>
      <w:r>
        <w:rPr>
          <w:rFonts w:eastAsia="Times New Roman"/>
          <w:b/>
          <w:bCs/>
          <w:i/>
          <w:iCs/>
          <w:color w:val="000000"/>
          <w:sz w:val="20"/>
          <w:szCs w:val="20"/>
        </w:rPr>
        <w:t>Voting</w:t>
      </w:r>
    </w:p>
    <w:p w:rsidR="00000000" w:rsidRDefault="009012B9">
      <w:pPr>
        <w:ind w:firstLine="1260"/>
        <w:divId w:val="693962933"/>
        <w:rPr>
          <w:rFonts w:eastAsia="Times New Roman"/>
        </w:rPr>
      </w:pPr>
      <w:r>
        <w:rPr>
          <w:rFonts w:eastAsia="Times New Roman"/>
          <w:color w:val="000000"/>
          <w:sz w:val="20"/>
          <w:szCs w:val="20"/>
        </w:rPr>
        <w:t xml:space="preserve">The holders of shares of common stock are entitled to one vote for each share of common stock held at any meeting of stockholders and at the </w:t>
      </w:r>
      <w:r>
        <w:rPr>
          <w:rFonts w:eastAsia="Times New Roman"/>
          <w:color w:val="000000"/>
          <w:sz w:val="20"/>
          <w:szCs w:val="20"/>
        </w:rPr>
        <w:t xml:space="preserve">time of any written action in lieu of a meeting. </w:t>
      </w:r>
    </w:p>
    <w:p w:rsidR="00000000" w:rsidRDefault="009012B9">
      <w:pPr>
        <w:ind w:firstLine="540"/>
        <w:divId w:val="28066069"/>
        <w:rPr>
          <w:rFonts w:eastAsia="Times New Roman"/>
        </w:rPr>
      </w:pPr>
      <w:r>
        <w:rPr>
          <w:rFonts w:eastAsia="Times New Roman"/>
          <w:b/>
          <w:bCs/>
          <w:i/>
          <w:iCs/>
          <w:color w:val="000000"/>
          <w:sz w:val="20"/>
          <w:szCs w:val="20"/>
        </w:rPr>
        <w:t>Dividends</w:t>
      </w:r>
    </w:p>
    <w:p w:rsidR="00000000" w:rsidRDefault="009012B9">
      <w:pPr>
        <w:ind w:firstLine="1260"/>
        <w:divId w:val="1501197542"/>
        <w:rPr>
          <w:rFonts w:eastAsia="Times New Roman"/>
        </w:rPr>
      </w:pPr>
      <w:r>
        <w:rPr>
          <w:rFonts w:eastAsia="Times New Roman"/>
          <w:color w:val="000000"/>
          <w:sz w:val="20"/>
          <w:szCs w:val="20"/>
        </w:rPr>
        <w:t>The holders of shares of common stock are entitled to receive dividends, when declared by the Company’s board of directors. Cash dividends may not be declared or paid to holders of shares of commo</w:t>
      </w:r>
      <w:r>
        <w:rPr>
          <w:rFonts w:eastAsia="Times New Roman"/>
          <w:color w:val="000000"/>
          <w:sz w:val="20"/>
          <w:szCs w:val="20"/>
        </w:rPr>
        <w:t>n stock until all unpaid dividends on preferred stock have been paid in accordance with their terms. No dividends have been declared or paid by the Company since its inception.</w:t>
      </w:r>
    </w:p>
    <w:p w:rsidR="00000000" w:rsidRDefault="009012B9">
      <w:pPr>
        <w:ind w:firstLine="540"/>
        <w:divId w:val="1173838569"/>
        <w:rPr>
          <w:rFonts w:eastAsia="Times New Roman"/>
        </w:rPr>
      </w:pPr>
      <w:r>
        <w:rPr>
          <w:rFonts w:eastAsia="Times New Roman"/>
          <w:b/>
          <w:bCs/>
          <w:i/>
          <w:iCs/>
          <w:color w:val="000000"/>
          <w:sz w:val="20"/>
          <w:szCs w:val="20"/>
        </w:rPr>
        <w:t>Liquidation</w:t>
      </w:r>
    </w:p>
    <w:p w:rsidR="00000000" w:rsidRDefault="009012B9">
      <w:pPr>
        <w:jc w:val="center"/>
        <w:divId w:val="1053113568"/>
        <w:rPr>
          <w:rFonts w:eastAsia="Times New Roman"/>
        </w:rPr>
      </w:pPr>
      <w:r>
        <w:rPr>
          <w:rFonts w:eastAsia="Times New Roman"/>
          <w:color w:val="000000"/>
          <w:sz w:val="20"/>
          <w:szCs w:val="20"/>
        </w:rPr>
        <w:t>15</w:t>
      </w:r>
    </w:p>
    <w:p w:rsidR="00000000" w:rsidRDefault="009012B9">
      <w:pPr>
        <w:rPr>
          <w:rFonts w:eastAsia="Times New Roman"/>
        </w:rPr>
      </w:pPr>
      <w:r>
        <w:rPr>
          <w:rFonts w:eastAsia="Times New Roman"/>
        </w:rPr>
        <w:pict>
          <v:rect id="_x0000_i1039" style="width:0;height:1.5pt" o:hralign="center" o:hrstd="t" o:hr="t" fillcolor="#a0a0a0" stroked="f"/>
        </w:pict>
      </w:r>
    </w:p>
    <w:p w:rsidR="00000000" w:rsidRDefault="009012B9">
      <w:pPr>
        <w:divId w:val="793329078"/>
        <w:rPr>
          <w:rFonts w:eastAsia="Times New Roman"/>
        </w:rPr>
      </w:pPr>
    </w:p>
    <w:p w:rsidR="00000000" w:rsidRDefault="009012B9">
      <w:pPr>
        <w:ind w:firstLine="1260"/>
        <w:divId w:val="1563640018"/>
        <w:rPr>
          <w:rFonts w:eastAsia="Times New Roman"/>
        </w:rPr>
      </w:pPr>
      <w:r>
        <w:rPr>
          <w:rFonts w:eastAsia="Times New Roman"/>
          <w:color w:val="000000"/>
          <w:sz w:val="20"/>
          <w:szCs w:val="20"/>
        </w:rPr>
        <w:t>Subject to the preferentia</w:t>
      </w:r>
      <w:r>
        <w:rPr>
          <w:rFonts w:eastAsia="Times New Roman"/>
          <w:color w:val="000000"/>
          <w:sz w:val="20"/>
          <w:szCs w:val="20"/>
        </w:rPr>
        <w:t>l rights of holders of preferred stock then outstanding, the holders of shares of common stock are entitled to share ratably in the Company’s remaining assets available for distribution to its stockholders in the event of any voluntary or involuntary liqui</w:t>
      </w:r>
      <w:r>
        <w:rPr>
          <w:rFonts w:eastAsia="Times New Roman"/>
          <w:color w:val="000000"/>
          <w:sz w:val="20"/>
          <w:szCs w:val="20"/>
        </w:rPr>
        <w:t xml:space="preserve">dation, dissolution or winding up of the Company. </w:t>
      </w:r>
    </w:p>
    <w:p w:rsidR="00000000" w:rsidRDefault="009012B9">
      <w:pPr>
        <w:ind w:firstLine="540"/>
        <w:divId w:val="1277177859"/>
        <w:rPr>
          <w:rFonts w:eastAsia="Times New Roman"/>
        </w:rPr>
      </w:pPr>
      <w:r>
        <w:rPr>
          <w:rFonts w:eastAsia="Times New Roman"/>
          <w:b/>
          <w:bCs/>
          <w:i/>
          <w:iCs/>
          <w:color w:val="000000"/>
          <w:sz w:val="20"/>
          <w:szCs w:val="20"/>
        </w:rPr>
        <w:t>Shares reserved for future issuance</w:t>
      </w:r>
    </w:p>
    <w:tbl>
      <w:tblPr>
        <w:tblW w:w="4992" w:type="pct"/>
        <w:tblCellMar>
          <w:top w:w="15" w:type="dxa"/>
          <w:left w:w="15" w:type="dxa"/>
          <w:bottom w:w="15" w:type="dxa"/>
          <w:right w:w="15" w:type="dxa"/>
        </w:tblCellMar>
        <w:tblLook w:val="04A0" w:firstRow="1" w:lastRow="0" w:firstColumn="1" w:lastColumn="0" w:noHBand="0" w:noVBand="1"/>
      </w:tblPr>
      <w:tblGrid>
        <w:gridCol w:w="63"/>
        <w:gridCol w:w="6011"/>
        <w:gridCol w:w="36"/>
        <w:gridCol w:w="69"/>
        <w:gridCol w:w="938"/>
        <w:gridCol w:w="36"/>
        <w:gridCol w:w="36"/>
        <w:gridCol w:w="36"/>
        <w:gridCol w:w="36"/>
        <w:gridCol w:w="77"/>
        <w:gridCol w:w="919"/>
        <w:gridCol w:w="36"/>
      </w:tblGrid>
      <w:tr w:rsidR="00000000">
        <w:trPr>
          <w:divId w:val="1124888775"/>
        </w:trPr>
        <w:tc>
          <w:tcPr>
            <w:tcW w:w="50" w:type="pct"/>
            <w:vAlign w:val="center"/>
            <w:hideMark/>
          </w:tcPr>
          <w:p w:rsidR="00000000" w:rsidRDefault="009012B9">
            <w:pPr>
              <w:ind w:firstLine="540"/>
              <w:rPr>
                <w:rFonts w:eastAsia="Times New Roman"/>
              </w:rPr>
            </w:pPr>
          </w:p>
        </w:tc>
        <w:tc>
          <w:tcPr>
            <w:tcW w:w="3634"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581"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26"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581"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r>
      <w:tr w:rsidR="00000000">
        <w:trPr>
          <w:divId w:val="1124888775"/>
        </w:trPr>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As of</w:t>
            </w:r>
          </w:p>
          <w:p w:rsidR="00000000" w:rsidRDefault="009012B9">
            <w:pPr>
              <w:spacing w:after="100"/>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As of</w:t>
            </w:r>
          </w:p>
          <w:p w:rsidR="00000000" w:rsidRDefault="009012B9">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trPr>
          <w:divId w:val="1124888775"/>
        </w:trPr>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Exercises of outstanding stock option awards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3,928,287 </w:t>
            </w:r>
          </w:p>
        </w:tc>
        <w:tc>
          <w:tcPr>
            <w:tcW w:w="0" w:type="auto"/>
            <w:tcBorders>
              <w:top w:val="single" w:sz="8" w:space="0" w:color="000000"/>
            </w:tcBorders>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2,993,855 </w:t>
            </w:r>
          </w:p>
        </w:tc>
        <w:tc>
          <w:tcPr>
            <w:tcW w:w="0" w:type="auto"/>
            <w:tcBorders>
              <w:top w:val="single" w:sz="8" w:space="0" w:color="000000"/>
            </w:tcBorders>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1124888775"/>
        </w:trPr>
        <w:tc>
          <w:tcPr>
            <w:tcW w:w="0" w:type="auto"/>
            <w:gridSpan w:val="3"/>
            <w:shd w:val="clear" w:color="auto" w:fill="CCEEFF"/>
            <w:tcMar>
              <w:top w:w="30" w:type="dxa"/>
              <w:left w:w="20" w:type="dxa"/>
              <w:bottom w:w="30" w:type="dxa"/>
              <w:right w:w="20" w:type="dxa"/>
            </w:tcMar>
            <w:vAlign w:val="bottom"/>
            <w:hideMark/>
          </w:tcPr>
          <w:p w:rsidR="00000000" w:rsidRDefault="009012B9">
            <w:pPr>
              <w:spacing w:after="100"/>
              <w:rPr>
                <w:rFonts w:eastAsia="Times New Roman"/>
              </w:rPr>
            </w:pPr>
            <w:r>
              <w:rPr>
                <w:rFonts w:eastAsia="Times New Roman"/>
                <w:color w:val="000000"/>
                <w:sz w:val="20"/>
                <w:szCs w:val="20"/>
              </w:rPr>
              <w:t>Shares of common stock available for future grants under the 2020 Equity Incentive Plan</w:t>
            </w: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4,340,045 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3,644,459 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1124888775"/>
        </w:trPr>
        <w:tc>
          <w:tcPr>
            <w:tcW w:w="0" w:type="auto"/>
            <w:gridSpan w:val="3"/>
            <w:shd w:val="clear" w:color="auto" w:fill="FFFFFF"/>
            <w:tcMar>
              <w:top w:w="30" w:type="dxa"/>
              <w:left w:w="20" w:type="dxa"/>
              <w:bottom w:w="30" w:type="dxa"/>
              <w:right w:w="20" w:type="dxa"/>
            </w:tcMar>
            <w:vAlign w:val="bottom"/>
            <w:hideMark/>
          </w:tcPr>
          <w:p w:rsidR="00000000" w:rsidRDefault="009012B9">
            <w:pPr>
              <w:spacing w:after="100"/>
              <w:rPr>
                <w:rFonts w:eastAsia="Times New Roman"/>
              </w:rPr>
            </w:pPr>
            <w:r>
              <w:rPr>
                <w:rFonts w:eastAsia="Times New Roman"/>
                <w:color w:val="000000"/>
                <w:sz w:val="20"/>
                <w:szCs w:val="20"/>
              </w:rPr>
              <w:t>Shares of common stock available for future issuance under the 2020 ESPP</w:t>
            </w: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640,234 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700,000 </w:t>
            </w:r>
          </w:p>
        </w:tc>
        <w:tc>
          <w:tcPr>
            <w:tcW w:w="0" w:type="auto"/>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1124888775"/>
        </w:trPr>
        <w:tc>
          <w:tcPr>
            <w:tcW w:w="0" w:type="auto"/>
            <w:gridSpan w:val="3"/>
            <w:shd w:val="clear" w:color="auto" w:fill="CCEEFF"/>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Total shares reserved for future issuance</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8,908,566 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7,338,314 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r>
    </w:tbl>
    <w:p w:rsidR="00000000" w:rsidRDefault="009012B9">
      <w:pPr>
        <w:divId w:val="598102730"/>
        <w:rPr>
          <w:rFonts w:eastAsia="Times New Roman"/>
        </w:rPr>
      </w:pPr>
      <w:r>
        <w:rPr>
          <w:rFonts w:eastAsia="Times New Roman"/>
          <w:b/>
          <w:bCs/>
          <w:color w:val="000000"/>
          <w:sz w:val="20"/>
          <w:szCs w:val="20"/>
        </w:rPr>
        <w:t>11. Equity Incentive Plans and Stock-Based Compensation</w:t>
      </w:r>
    </w:p>
    <w:p w:rsidR="00000000" w:rsidRDefault="009012B9">
      <w:pPr>
        <w:ind w:firstLine="1260"/>
        <w:divId w:val="1048335282"/>
        <w:rPr>
          <w:rFonts w:eastAsia="Times New Roman"/>
        </w:rPr>
      </w:pPr>
      <w:r>
        <w:rPr>
          <w:rFonts w:eastAsia="Times New Roman"/>
          <w:color w:val="000000"/>
          <w:sz w:val="20"/>
          <w:szCs w:val="20"/>
        </w:rPr>
        <w:t>In August 2015, the Company's board of directors adopted the 2015 Equity Incentive Plan (as amended, the “2015 Plan”), which provides for the grant of incentive stock options, nonqualified stock optio</w:t>
      </w:r>
      <w:r>
        <w:rPr>
          <w:rFonts w:eastAsia="Times New Roman"/>
          <w:color w:val="000000"/>
          <w:sz w:val="20"/>
          <w:szCs w:val="20"/>
        </w:rPr>
        <w:t>ns or other awards including stock appreciation rights and restricted stock awards to the Company’s employees, officers, directors, advisors, and consultants for the purchase of up to 1.5 million shares of the Company’s common stock. In July 2018 and Janua</w:t>
      </w:r>
      <w:r>
        <w:rPr>
          <w:rFonts w:eastAsia="Times New Roman"/>
          <w:color w:val="000000"/>
          <w:sz w:val="20"/>
          <w:szCs w:val="20"/>
        </w:rPr>
        <w:t>ry 2019, the 2015 Plan was amended to increase the number of shares reserved thereunder by 1.0 million and 0.4 million shares, respectively. In March 2020, the Company’s board of directors and stockholders voted to increase the number of shares reserved fo</w:t>
      </w:r>
      <w:r>
        <w:rPr>
          <w:rFonts w:eastAsia="Times New Roman"/>
          <w:color w:val="000000"/>
          <w:sz w:val="20"/>
          <w:szCs w:val="20"/>
        </w:rPr>
        <w:t>r issuance under the 2015 Plan by 1.4 million shares. In May 2020, the board of directors adopted the 2020 Stock Options and Incentive Plan (the “2020 Plan”). The 2015 Plan was suspended and no further grants may be issued under the 2015 Plan.</w:t>
      </w:r>
    </w:p>
    <w:p w:rsidR="00000000" w:rsidRDefault="009012B9">
      <w:pPr>
        <w:ind w:firstLine="1260"/>
        <w:divId w:val="2096977941"/>
        <w:rPr>
          <w:rFonts w:eastAsia="Times New Roman"/>
        </w:rPr>
      </w:pPr>
      <w:r>
        <w:rPr>
          <w:rFonts w:eastAsia="Times New Roman"/>
          <w:color w:val="000000"/>
          <w:sz w:val="20"/>
          <w:szCs w:val="20"/>
        </w:rPr>
        <w:t>The 2020 Pla</w:t>
      </w:r>
      <w:r>
        <w:rPr>
          <w:rFonts w:eastAsia="Times New Roman"/>
          <w:color w:val="000000"/>
          <w:sz w:val="20"/>
          <w:szCs w:val="20"/>
        </w:rPr>
        <w:t>n provides for the grant of incentive stock options, nonqualified stock options or other awards including stock appreciation rights, restricted stock awards and restricted stock units to the Company’s employees, officers, directors, advisors, and consultan</w:t>
      </w:r>
      <w:r>
        <w:rPr>
          <w:rFonts w:eastAsia="Times New Roman"/>
          <w:color w:val="000000"/>
          <w:sz w:val="20"/>
          <w:szCs w:val="20"/>
        </w:rPr>
        <w:t xml:space="preserve">ts for the purchase of up to 4.2 million shares of the Company’s common stock. In addition, to the extent that awards outstanding under the 2020 Plan or the 2015 Plan are cancelled, forfeited or held back upon exercise or settlement of an award to satisfy </w:t>
      </w:r>
      <w:r>
        <w:rPr>
          <w:rFonts w:eastAsia="Times New Roman"/>
          <w:color w:val="000000"/>
          <w:sz w:val="20"/>
          <w:szCs w:val="20"/>
        </w:rPr>
        <w:t>the exercise price or tax withholding, reacquired by the Company prior to vesting, satisfied without any issuance of stock, expire or are otherwise terminated (other than by exercise) subsequent to May 2020, the shares of common stock reserved for issuance</w:t>
      </w:r>
      <w:r>
        <w:rPr>
          <w:rFonts w:eastAsia="Times New Roman"/>
          <w:color w:val="000000"/>
          <w:sz w:val="20"/>
          <w:szCs w:val="20"/>
        </w:rPr>
        <w:t xml:space="preserve"> pursuant to such awards will become available for issuance as shares of common stock under the 2020 Plan. The 2020 Plan provides that an additional number of shares will automatically be added to the shares authorized for issuance under the 2020 Plan on J</w:t>
      </w:r>
      <w:r>
        <w:rPr>
          <w:rFonts w:eastAsia="Times New Roman"/>
          <w:color w:val="000000"/>
          <w:sz w:val="20"/>
          <w:szCs w:val="20"/>
        </w:rPr>
        <w:t>anuary 1 of each year beginning January 1, 2021. The number of shares added each January 1 will be equal to the lesser of: (i) 5% of the outstanding shares on the immediately preceding December 31 or (ii) such amount as determined by the administrator of t</w:t>
      </w:r>
      <w:r>
        <w:rPr>
          <w:rFonts w:eastAsia="Times New Roman"/>
          <w:color w:val="000000"/>
          <w:sz w:val="20"/>
          <w:szCs w:val="20"/>
        </w:rPr>
        <w:t>he 2020 Plan, which is the compensation committee of the board of directors of the Company. As of March 31, 2021, 4.3 million shares remained available for issuance under the 2020 Plan.</w:t>
      </w:r>
    </w:p>
    <w:p w:rsidR="00000000" w:rsidRDefault="009012B9">
      <w:pPr>
        <w:ind w:firstLine="1170"/>
        <w:divId w:val="951668566"/>
        <w:rPr>
          <w:rFonts w:eastAsia="Times New Roman"/>
        </w:rPr>
      </w:pPr>
      <w:r>
        <w:rPr>
          <w:rFonts w:eastAsia="Times New Roman"/>
          <w:color w:val="000000"/>
          <w:sz w:val="20"/>
          <w:szCs w:val="20"/>
        </w:rPr>
        <w:t>Prior to the adoption of the 2020 Plan, options under the 2015 Plan co</w:t>
      </w:r>
      <w:r>
        <w:rPr>
          <w:rFonts w:eastAsia="Times New Roman"/>
          <w:color w:val="000000"/>
          <w:sz w:val="20"/>
          <w:szCs w:val="20"/>
        </w:rPr>
        <w:t>uld be granted for periods of up to 10 years and at prices no less than 100% of the estimated fair value of the shares on the date of grant as determined by our board of directors, provided, however, that the exercise price of an incentive stock option gra</w:t>
      </w:r>
      <w:r>
        <w:rPr>
          <w:rFonts w:eastAsia="Times New Roman"/>
          <w:color w:val="000000"/>
          <w:sz w:val="20"/>
          <w:szCs w:val="20"/>
        </w:rPr>
        <w:t>nted to a person owning (or deemed to own) stock possessing more than ten percent of the total combined voting power of all classes of stock of the Company or any affiliate of the Company (a "10% shareholder") could not be less than 110% of the estimated f</w:t>
      </w:r>
      <w:r>
        <w:rPr>
          <w:rFonts w:eastAsia="Times New Roman"/>
          <w:color w:val="000000"/>
          <w:sz w:val="20"/>
          <w:szCs w:val="20"/>
        </w:rPr>
        <w:t>air value of the shares on the date of grant and the option was not exercisable after the expiration of five years from the date of grant.</w:t>
      </w:r>
    </w:p>
    <w:p w:rsidR="00000000" w:rsidRDefault="009012B9">
      <w:pPr>
        <w:ind w:firstLine="1170"/>
        <w:divId w:val="858350184"/>
        <w:rPr>
          <w:rFonts w:eastAsia="Times New Roman"/>
        </w:rPr>
      </w:pPr>
      <w:r>
        <w:rPr>
          <w:rFonts w:eastAsia="Times New Roman"/>
          <w:color w:val="000000"/>
          <w:sz w:val="20"/>
          <w:szCs w:val="20"/>
        </w:rPr>
        <w:t xml:space="preserve">Options under the 2020 Plan may be granted for periods of up to 10 years and at prices no less than the market price </w:t>
      </w:r>
      <w:r>
        <w:rPr>
          <w:rFonts w:eastAsia="Times New Roman"/>
          <w:color w:val="000000"/>
          <w:sz w:val="20"/>
          <w:szCs w:val="20"/>
        </w:rPr>
        <w:t xml:space="preserve">of the Company’s common stock on the date of grant, provided, however, that the exercise price of an incentive stock option granted to a 10.0% shareholder shall not be less than 110.0% of the estimated fair value of the shares on the date of grant and the </w:t>
      </w:r>
      <w:r>
        <w:rPr>
          <w:rFonts w:eastAsia="Times New Roman"/>
          <w:color w:val="000000"/>
          <w:sz w:val="20"/>
          <w:szCs w:val="20"/>
        </w:rPr>
        <w:t>option is not exercisable after the expiration of five years from the date of grant.</w:t>
      </w:r>
    </w:p>
    <w:p w:rsidR="00000000" w:rsidRDefault="009012B9">
      <w:pPr>
        <w:ind w:firstLine="540"/>
        <w:divId w:val="1320843646"/>
        <w:rPr>
          <w:rFonts w:eastAsia="Times New Roman"/>
        </w:rPr>
      </w:pPr>
      <w:r>
        <w:rPr>
          <w:rFonts w:eastAsia="Times New Roman"/>
          <w:b/>
          <w:bCs/>
          <w:i/>
          <w:iCs/>
          <w:color w:val="000000"/>
          <w:sz w:val="20"/>
          <w:szCs w:val="20"/>
        </w:rPr>
        <w:t>Restricted Common Stock Awards</w:t>
      </w:r>
    </w:p>
    <w:p w:rsidR="00000000" w:rsidRDefault="009012B9">
      <w:pPr>
        <w:ind w:firstLine="1260"/>
        <w:divId w:val="56057005"/>
        <w:rPr>
          <w:rFonts w:eastAsia="Times New Roman"/>
        </w:rPr>
      </w:pPr>
      <w:r>
        <w:rPr>
          <w:rFonts w:eastAsia="Times New Roman"/>
          <w:color w:val="000000"/>
          <w:sz w:val="20"/>
          <w:szCs w:val="20"/>
        </w:rPr>
        <w:t>The Company granted restricted stock awards under the 2015 Plan. The purchase price of the restricted common stock awards was the estimated fair value as determined by the Company's board of directors at the issuance date. The shares vest from</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four </w:t>
      </w:r>
      <w:r>
        <w:rPr>
          <w:rFonts w:eastAsia="Times New Roman"/>
          <w:color w:val="000000"/>
          <w:sz w:val="20"/>
          <w:szCs w:val="20"/>
        </w:rPr>
        <w:t xml:space="preserve">years and vesting could be accelerated upon a change in control. A holder of an award may pay a total purchase price or a part of the purchase price for granted shares at any time during the vesting periods. Upon termination of employment, the Company has </w:t>
      </w:r>
      <w:r>
        <w:rPr>
          <w:rFonts w:eastAsia="Times New Roman"/>
          <w:color w:val="000000"/>
          <w:sz w:val="20"/>
          <w:szCs w:val="20"/>
        </w:rPr>
        <w:t xml:space="preserve">the right to repurchase any unvested restricted shares. The repurchase price for unvested shares of common stock will be the lower of (i) the fair market value on the date of repurchase or (ii) their original purchase price. </w:t>
      </w:r>
    </w:p>
    <w:p w:rsidR="00000000" w:rsidRDefault="009012B9">
      <w:pPr>
        <w:jc w:val="center"/>
        <w:divId w:val="1953782453"/>
        <w:rPr>
          <w:rFonts w:eastAsia="Times New Roman"/>
        </w:rPr>
      </w:pPr>
      <w:r>
        <w:rPr>
          <w:rFonts w:eastAsia="Times New Roman"/>
          <w:color w:val="000000"/>
          <w:sz w:val="20"/>
          <w:szCs w:val="20"/>
        </w:rPr>
        <w:t>16</w:t>
      </w:r>
    </w:p>
    <w:p w:rsidR="00000000" w:rsidRDefault="009012B9">
      <w:pPr>
        <w:rPr>
          <w:rFonts w:eastAsia="Times New Roman"/>
        </w:rPr>
      </w:pPr>
      <w:r>
        <w:rPr>
          <w:rFonts w:eastAsia="Times New Roman"/>
        </w:rPr>
        <w:pict>
          <v:rect id="_x0000_i1040" style="width:0;height:1.5pt" o:hralign="center" o:hrstd="t" o:hr="t" fillcolor="#a0a0a0" stroked="f"/>
        </w:pict>
      </w:r>
    </w:p>
    <w:p w:rsidR="00000000" w:rsidRDefault="009012B9">
      <w:pPr>
        <w:divId w:val="1480808800"/>
        <w:rPr>
          <w:rFonts w:eastAsia="Times New Roman"/>
        </w:rPr>
      </w:pPr>
    </w:p>
    <w:p w:rsidR="00000000" w:rsidRDefault="009012B9">
      <w:pPr>
        <w:divId w:val="951209978"/>
        <w:rPr>
          <w:rFonts w:eastAsia="Times New Roman"/>
        </w:rPr>
      </w:pPr>
      <w:r>
        <w:rPr>
          <w:rFonts w:eastAsia="Times New Roman"/>
          <w:color w:val="000000"/>
          <w:sz w:val="20"/>
          <w:szCs w:val="20"/>
        </w:rPr>
        <w:t>During the vesting term, holders of restricted stock awards are deemed to be common stock shareholders and have dividends and voting rights.</w:t>
      </w:r>
    </w:p>
    <w:p w:rsidR="00000000" w:rsidRDefault="009012B9">
      <w:pPr>
        <w:ind w:firstLine="1260"/>
        <w:divId w:val="1456169453"/>
        <w:rPr>
          <w:rFonts w:eastAsia="Times New Roman"/>
        </w:rPr>
      </w:pPr>
      <w:r>
        <w:rPr>
          <w:rFonts w:eastAsia="Times New Roman"/>
          <w:color w:val="000000"/>
          <w:sz w:val="20"/>
          <w:szCs w:val="20"/>
        </w:rPr>
        <w:t>The Company accounted for restricted stock awards as early exercised options and recognized a liability</w:t>
      </w:r>
      <w:r>
        <w:rPr>
          <w:rFonts w:eastAsia="Times New Roman"/>
          <w:color w:val="000000"/>
          <w:sz w:val="20"/>
          <w:szCs w:val="20"/>
        </w:rPr>
        <w:t xml:space="preserve"> in other liabilities when cash was received for the purchase of shares of restricted stock. As shares of restricted stock vested, the Company reclassified the liability to common stock and additional paid in capital. As of March 31, 2021 and December 31, </w:t>
      </w:r>
      <w:r>
        <w:rPr>
          <w:rFonts w:eastAsia="Times New Roman"/>
          <w:color w:val="000000"/>
          <w:sz w:val="20"/>
          <w:szCs w:val="20"/>
        </w:rPr>
        <w:t>2020, the Company recorded a liability included in accrued expenses and other liabilities of $8,000 and $10,000, respectively.</w:t>
      </w:r>
    </w:p>
    <w:p w:rsidR="00000000" w:rsidRDefault="009012B9">
      <w:pPr>
        <w:ind w:firstLine="1260"/>
        <w:divId w:val="1665544903"/>
        <w:rPr>
          <w:rFonts w:eastAsia="Times New Roman"/>
        </w:rPr>
      </w:pPr>
      <w:r>
        <w:rPr>
          <w:rFonts w:eastAsia="Times New Roman"/>
          <w:color w:val="000000"/>
          <w:sz w:val="20"/>
          <w:szCs w:val="20"/>
        </w:rPr>
        <w:t>There were no grants of restricted stock awards for the three months ended March 31, 2021 and 2020.</w:t>
      </w:r>
    </w:p>
    <w:p w:rsidR="00000000" w:rsidRDefault="009012B9">
      <w:pPr>
        <w:ind w:firstLine="1260"/>
        <w:divId w:val="590704102"/>
        <w:rPr>
          <w:rFonts w:eastAsia="Times New Roman"/>
        </w:rPr>
      </w:pPr>
      <w:r>
        <w:rPr>
          <w:rFonts w:eastAsia="Times New Roman"/>
          <w:color w:val="000000"/>
          <w:sz w:val="20"/>
          <w:szCs w:val="20"/>
        </w:rPr>
        <w:t>The following table summarize</w:t>
      </w:r>
      <w:r>
        <w:rPr>
          <w:rFonts w:eastAsia="Times New Roman"/>
          <w:color w:val="000000"/>
          <w:sz w:val="20"/>
          <w:szCs w:val="20"/>
        </w:rPr>
        <w:t>s restricted stock activity during the three months ended March 31, 2021:</w:t>
      </w:r>
    </w:p>
    <w:tbl>
      <w:tblPr>
        <w:tblW w:w="4992" w:type="pct"/>
        <w:tblCellMar>
          <w:top w:w="15" w:type="dxa"/>
          <w:left w:w="15" w:type="dxa"/>
          <w:bottom w:w="15" w:type="dxa"/>
          <w:right w:w="15" w:type="dxa"/>
        </w:tblCellMar>
        <w:tblLook w:val="04A0" w:firstRow="1" w:lastRow="0" w:firstColumn="1" w:lastColumn="0" w:noHBand="0" w:noVBand="1"/>
      </w:tblPr>
      <w:tblGrid>
        <w:gridCol w:w="53"/>
        <w:gridCol w:w="6001"/>
        <w:gridCol w:w="36"/>
        <w:gridCol w:w="58"/>
        <w:gridCol w:w="931"/>
        <w:gridCol w:w="36"/>
        <w:gridCol w:w="36"/>
        <w:gridCol w:w="36"/>
        <w:gridCol w:w="36"/>
        <w:gridCol w:w="121"/>
        <w:gridCol w:w="913"/>
        <w:gridCol w:w="36"/>
      </w:tblGrid>
      <w:tr w:rsidR="00000000">
        <w:trPr>
          <w:divId w:val="1007561678"/>
        </w:trPr>
        <w:tc>
          <w:tcPr>
            <w:tcW w:w="50" w:type="pct"/>
            <w:vAlign w:val="center"/>
            <w:hideMark/>
          </w:tcPr>
          <w:p w:rsidR="00000000" w:rsidRDefault="009012B9">
            <w:pPr>
              <w:ind w:firstLine="1260"/>
              <w:rPr>
                <w:rFonts w:eastAsia="Times New Roman"/>
              </w:rPr>
            </w:pPr>
          </w:p>
        </w:tc>
        <w:tc>
          <w:tcPr>
            <w:tcW w:w="3634"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581"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26"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581"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r>
      <w:tr w:rsidR="00000000">
        <w:trPr>
          <w:divId w:val="1007561678"/>
        </w:trPr>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color w:val="000000"/>
              </w:rPr>
              <w:t>  </w:t>
            </w:r>
          </w:p>
        </w:tc>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Number</w:t>
            </w:r>
            <w:r>
              <w:rPr>
                <w:rFonts w:eastAsia="Times New Roman"/>
                <w:b/>
                <w:bCs/>
                <w:color w:val="000000"/>
                <w:sz w:val="16"/>
                <w:szCs w:val="16"/>
              </w:rPr>
              <w:br/>
              <w:t>of</w:t>
            </w:r>
            <w:r>
              <w:rPr>
                <w:rFonts w:eastAsia="Times New Roman"/>
                <w:b/>
                <w:bCs/>
                <w:color w:val="000000"/>
                <w:sz w:val="16"/>
                <w:szCs w:val="16"/>
              </w:rPr>
              <w:br/>
              <w:t>Shares</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t>fair value</w:t>
            </w:r>
          </w:p>
        </w:tc>
      </w:tr>
      <w:tr w:rsidR="00000000">
        <w:trPr>
          <w:divId w:val="1007561678"/>
        </w:trPr>
        <w:tc>
          <w:tcPr>
            <w:tcW w:w="0" w:type="auto"/>
            <w:gridSpan w:val="3"/>
            <w:shd w:val="clear" w:color="auto" w:fill="CFF0FC"/>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Outstanding and unvested, as of December 31, 2020</w:t>
            </w: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126,522 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1.85 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1007561678"/>
        </w:trPr>
        <w:tc>
          <w:tcPr>
            <w:tcW w:w="0" w:type="auto"/>
            <w:gridSpan w:val="3"/>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20"/>
                <w:szCs w:val="20"/>
              </w:rPr>
              <w:t>Issued</w:t>
            </w: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1007561678"/>
        </w:trPr>
        <w:tc>
          <w:tcPr>
            <w:tcW w:w="0" w:type="auto"/>
            <w:gridSpan w:val="3"/>
            <w:shd w:val="clear" w:color="auto" w:fill="CFF0FC"/>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20"/>
                <w:szCs w:val="20"/>
              </w:rPr>
              <w:t>Vested</w:t>
            </w:r>
          </w:p>
        </w:tc>
        <w:tc>
          <w:tcPr>
            <w:tcW w:w="0" w:type="auto"/>
            <w:gridSpan w:val="2"/>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(30,277)</w:t>
            </w:r>
          </w:p>
        </w:tc>
        <w:tc>
          <w:tcPr>
            <w:tcW w:w="0" w:type="auto"/>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1.69 </w:t>
            </w:r>
          </w:p>
        </w:tc>
        <w:tc>
          <w:tcPr>
            <w:tcW w:w="0" w:type="auto"/>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1007561678"/>
        </w:trPr>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Repurchases</w:t>
            </w: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1007561678"/>
        </w:trPr>
        <w:tc>
          <w:tcPr>
            <w:tcW w:w="0" w:type="auto"/>
            <w:gridSpan w:val="3"/>
            <w:shd w:val="clear" w:color="auto" w:fill="CFF0FC"/>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Outstanding and unvested, as of March 31, 2021</w:t>
            </w:r>
          </w:p>
        </w:tc>
        <w:tc>
          <w:tcPr>
            <w:tcW w:w="0" w:type="auto"/>
            <w:gridSpan w:val="2"/>
            <w:tcBorders>
              <w:top w:val="single" w:sz="8" w:space="0" w:color="000000"/>
              <w:bottom w:val="single" w:sz="8" w:space="0" w:color="000000"/>
            </w:tcBorders>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96,245 </w:t>
            </w:r>
          </w:p>
        </w:tc>
        <w:tc>
          <w:tcPr>
            <w:tcW w:w="0" w:type="auto"/>
            <w:tcBorders>
              <w:top w:val="single" w:sz="8" w:space="0" w:color="000000"/>
              <w:bottom w:val="single" w:sz="8"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bottom w:val="single" w:sz="8" w:space="0" w:color="000000"/>
            </w:tcBorders>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1.90 </w:t>
            </w:r>
          </w:p>
        </w:tc>
        <w:tc>
          <w:tcPr>
            <w:tcW w:w="0" w:type="auto"/>
            <w:tcBorders>
              <w:top w:val="single" w:sz="8" w:space="0" w:color="000000"/>
              <w:bottom w:val="single" w:sz="8"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r>
    </w:tbl>
    <w:p w:rsidR="00000000" w:rsidRDefault="009012B9">
      <w:pPr>
        <w:ind w:firstLine="1260"/>
        <w:divId w:val="418715349"/>
        <w:rPr>
          <w:rFonts w:eastAsia="Times New Roman"/>
        </w:rPr>
      </w:pPr>
      <w:r>
        <w:rPr>
          <w:rFonts w:eastAsia="Times New Roman"/>
          <w:color w:val="000000"/>
          <w:sz w:val="20"/>
          <w:szCs w:val="20"/>
        </w:rPr>
        <w:t xml:space="preserve">Restricted stock awards of 4,195 </w:t>
      </w:r>
      <w:r>
        <w:rPr>
          <w:rFonts w:eastAsia="Times New Roman"/>
          <w:color w:val="000000"/>
          <w:sz w:val="20"/>
          <w:szCs w:val="20"/>
        </w:rPr>
        <w:t>shares with a weighted-average grant date fair value of $0.08 per share, were not purchased by the award holders as of March 31, 2021. As these shares of the restricted common stock awards were not issued, they are not included in the table above.</w:t>
      </w:r>
    </w:p>
    <w:p w:rsidR="00000000" w:rsidRDefault="009012B9">
      <w:pPr>
        <w:ind w:firstLine="1260"/>
        <w:divId w:val="2041590464"/>
        <w:rPr>
          <w:rFonts w:eastAsia="Times New Roman"/>
        </w:rPr>
      </w:pPr>
      <w:r>
        <w:rPr>
          <w:rFonts w:eastAsia="Times New Roman"/>
          <w:color w:val="000000"/>
          <w:sz w:val="20"/>
          <w:szCs w:val="20"/>
        </w:rPr>
        <w:t>The aggr</w:t>
      </w:r>
      <w:r>
        <w:rPr>
          <w:rFonts w:eastAsia="Times New Roman"/>
          <w:color w:val="000000"/>
          <w:sz w:val="20"/>
          <w:szCs w:val="20"/>
        </w:rPr>
        <w:t>egate fair value of restricted stock awards vested during the three months ended March 31, 2021 was $51,000. Total intrinsic value of outstanding unvested restricted stock awards as of March 31, 2021 was $2.2 million.</w:t>
      </w:r>
    </w:p>
    <w:p w:rsidR="00000000" w:rsidRDefault="009012B9">
      <w:pPr>
        <w:ind w:firstLine="540"/>
        <w:divId w:val="2068872884"/>
        <w:rPr>
          <w:rFonts w:eastAsia="Times New Roman"/>
        </w:rPr>
      </w:pPr>
      <w:r>
        <w:rPr>
          <w:rFonts w:eastAsia="Times New Roman"/>
          <w:b/>
          <w:bCs/>
          <w:i/>
          <w:iCs/>
          <w:color w:val="000000"/>
          <w:sz w:val="20"/>
          <w:szCs w:val="20"/>
        </w:rPr>
        <w:t>Incentive Stock Options and Nonqualifi</w:t>
      </w:r>
      <w:r>
        <w:rPr>
          <w:rFonts w:eastAsia="Times New Roman"/>
          <w:b/>
          <w:bCs/>
          <w:i/>
          <w:iCs/>
          <w:color w:val="000000"/>
          <w:sz w:val="20"/>
          <w:szCs w:val="20"/>
        </w:rPr>
        <w:t>ed Stock Options</w:t>
      </w:r>
    </w:p>
    <w:p w:rsidR="00000000" w:rsidRDefault="009012B9">
      <w:pPr>
        <w:ind w:firstLine="1260"/>
        <w:divId w:val="1956982648"/>
        <w:rPr>
          <w:rFonts w:eastAsia="Times New Roman"/>
        </w:rPr>
      </w:pPr>
      <w:r>
        <w:rPr>
          <w:rFonts w:eastAsia="Times New Roman"/>
          <w:color w:val="000000"/>
          <w:sz w:val="20"/>
          <w:szCs w:val="20"/>
        </w:rPr>
        <w:t>Stock options issued under either the 2015 Plan or the 2020 Plan generally vest over four years and expire ten years from the date of grant. Certain options provide for accelerated vesting if there is a change in control, as defined in the</w:t>
      </w:r>
      <w:r>
        <w:rPr>
          <w:rFonts w:eastAsia="Times New Roman"/>
          <w:color w:val="000000"/>
          <w:sz w:val="20"/>
          <w:szCs w:val="20"/>
        </w:rPr>
        <w:t xml:space="preserve"> respective plans.</w:t>
      </w:r>
    </w:p>
    <w:p w:rsidR="00000000" w:rsidRDefault="009012B9">
      <w:pPr>
        <w:ind w:firstLine="1260"/>
        <w:divId w:val="496381657"/>
        <w:rPr>
          <w:rFonts w:eastAsia="Times New Roman"/>
        </w:rPr>
      </w:pPr>
      <w:r>
        <w:rPr>
          <w:rFonts w:eastAsia="Times New Roman"/>
          <w:color w:val="000000"/>
          <w:sz w:val="20"/>
          <w:szCs w:val="20"/>
        </w:rPr>
        <w:t>The Company used Black-Scholes option pricing model to estimate stock-based compensation expense for stock option awards with the following assumptions:</w:t>
      </w:r>
    </w:p>
    <w:tbl>
      <w:tblPr>
        <w:tblW w:w="4956" w:type="pct"/>
        <w:tblCellMar>
          <w:top w:w="15" w:type="dxa"/>
          <w:left w:w="15" w:type="dxa"/>
          <w:bottom w:w="15" w:type="dxa"/>
          <w:right w:w="15" w:type="dxa"/>
        </w:tblCellMar>
        <w:tblLook w:val="04A0" w:firstRow="1" w:lastRow="0" w:firstColumn="1" w:lastColumn="0" w:noHBand="0" w:noVBand="1"/>
      </w:tblPr>
      <w:tblGrid>
        <w:gridCol w:w="58"/>
        <w:gridCol w:w="5131"/>
        <w:gridCol w:w="37"/>
        <w:gridCol w:w="58"/>
        <w:gridCol w:w="1216"/>
        <w:gridCol w:w="38"/>
        <w:gridCol w:w="37"/>
        <w:gridCol w:w="37"/>
        <w:gridCol w:w="36"/>
        <w:gridCol w:w="43"/>
        <w:gridCol w:w="1217"/>
        <w:gridCol w:w="37"/>
        <w:gridCol w:w="36"/>
        <w:gridCol w:w="36"/>
        <w:gridCol w:w="36"/>
        <w:gridCol w:w="36"/>
        <w:gridCol w:w="36"/>
        <w:gridCol w:w="36"/>
        <w:gridCol w:w="36"/>
        <w:gridCol w:w="36"/>
      </w:tblGrid>
      <w:tr w:rsidR="00000000">
        <w:trPr>
          <w:divId w:val="259485157"/>
        </w:trPr>
        <w:tc>
          <w:tcPr>
            <w:tcW w:w="50" w:type="pct"/>
            <w:vAlign w:val="center"/>
            <w:hideMark/>
          </w:tcPr>
          <w:p w:rsidR="00000000" w:rsidRDefault="009012B9">
            <w:pPr>
              <w:ind w:firstLine="1260"/>
              <w:rPr>
                <w:rFonts w:eastAsia="Times New Roman"/>
              </w:rPr>
            </w:pPr>
          </w:p>
        </w:tc>
        <w:tc>
          <w:tcPr>
            <w:tcW w:w="3241"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778"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26"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778"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259485157"/>
        </w:trPr>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color w:val="000000"/>
              </w:rPr>
              <w:t>  </w:t>
            </w:r>
          </w:p>
        </w:tc>
        <w:tc>
          <w:tcPr>
            <w:tcW w:w="0" w:type="auto"/>
            <w:gridSpan w:val="9"/>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March 31,</w:t>
            </w:r>
          </w:p>
        </w:tc>
        <w:tc>
          <w:tcPr>
            <w:tcW w:w="0" w:type="auto"/>
            <w:vAlign w:val="center"/>
            <w:hideMark/>
          </w:tcPr>
          <w:p w:rsidR="00000000" w:rsidRDefault="009012B9">
            <w:pPr>
              <w:spacing w:after="100"/>
              <w:jc w:val="center"/>
              <w:rPr>
                <w:rFonts w:eastAsia="Times New Roman"/>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r>
      <w:tr w:rsidR="00000000">
        <w:trPr>
          <w:divId w:val="259485157"/>
        </w:trPr>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2020</w:t>
            </w:r>
          </w:p>
        </w:tc>
        <w:tc>
          <w:tcPr>
            <w:tcW w:w="0" w:type="auto"/>
            <w:vAlign w:val="center"/>
            <w:hideMark/>
          </w:tcPr>
          <w:p w:rsidR="00000000" w:rsidRDefault="009012B9">
            <w:pPr>
              <w:spacing w:after="100"/>
              <w:jc w:val="center"/>
              <w:rPr>
                <w:rFonts w:eastAsia="Times New Roman"/>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259485157"/>
        </w:trPr>
        <w:tc>
          <w:tcPr>
            <w:tcW w:w="0" w:type="auto"/>
            <w:gridSpan w:val="3"/>
            <w:shd w:val="clear" w:color="auto" w:fill="CCEEFF"/>
            <w:tcMar>
              <w:top w:w="30" w:type="dxa"/>
              <w:left w:w="20" w:type="dxa"/>
              <w:bottom w:w="30" w:type="dxa"/>
              <w:right w:w="20" w:type="dxa"/>
            </w:tcMar>
            <w:vAlign w:val="bottom"/>
            <w:hideMark/>
          </w:tcPr>
          <w:p w:rsidR="00000000" w:rsidRDefault="009012B9">
            <w:pPr>
              <w:spacing w:after="100"/>
              <w:rPr>
                <w:rFonts w:eastAsia="Times New Roman"/>
              </w:rPr>
            </w:pPr>
            <w:r>
              <w:rPr>
                <w:rFonts w:eastAsia="Times New Roman"/>
                <w:color w:val="000000"/>
                <w:sz w:val="20"/>
                <w:szCs w:val="20"/>
              </w:rPr>
              <w:t>Expected volatility</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color w:val="000000"/>
                <w:sz w:val="20"/>
                <w:szCs w:val="20"/>
              </w:rPr>
              <w:t>74.95% - 75.72%</w:t>
            </w: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color w:val="000000"/>
                <w:sz w:val="20"/>
                <w:szCs w:val="20"/>
              </w:rPr>
              <w:t>72.10% - 77.50%</w:t>
            </w:r>
          </w:p>
        </w:tc>
        <w:tc>
          <w:tcPr>
            <w:tcW w:w="0" w:type="auto"/>
            <w:vAlign w:val="center"/>
            <w:hideMark/>
          </w:tcPr>
          <w:p w:rsidR="00000000" w:rsidRDefault="009012B9">
            <w:pPr>
              <w:spacing w:after="100"/>
              <w:jc w:val="center"/>
              <w:rPr>
                <w:rFonts w:eastAsia="Times New Roman"/>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259485157"/>
        </w:trPr>
        <w:tc>
          <w:tcPr>
            <w:tcW w:w="0" w:type="auto"/>
            <w:gridSpan w:val="3"/>
            <w:tcMar>
              <w:top w:w="30" w:type="dxa"/>
              <w:left w:w="20" w:type="dxa"/>
              <w:bottom w:w="30" w:type="dxa"/>
              <w:right w:w="20" w:type="dxa"/>
            </w:tcMar>
            <w:vAlign w:val="bottom"/>
            <w:hideMark/>
          </w:tcPr>
          <w:p w:rsidR="00000000" w:rsidRDefault="009012B9">
            <w:pPr>
              <w:spacing w:after="100"/>
              <w:rPr>
                <w:rFonts w:eastAsia="Times New Roman"/>
              </w:rPr>
            </w:pPr>
            <w:r>
              <w:rPr>
                <w:rFonts w:eastAsia="Times New Roman"/>
                <w:color w:val="000000"/>
                <w:sz w:val="20"/>
                <w:szCs w:val="20"/>
              </w:rPr>
              <w:t>Risk-free interest rate</w:t>
            </w:r>
          </w:p>
        </w:tc>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color w:val="000000"/>
                <w:sz w:val="20"/>
                <w:szCs w:val="20"/>
              </w:rPr>
              <w:t>0.61% - 1.06%</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color w:val="000000"/>
                <w:sz w:val="20"/>
                <w:szCs w:val="20"/>
              </w:rPr>
              <w:t>0.52% - 0.82%</w:t>
            </w:r>
          </w:p>
        </w:tc>
        <w:tc>
          <w:tcPr>
            <w:tcW w:w="0" w:type="auto"/>
            <w:vAlign w:val="center"/>
            <w:hideMark/>
          </w:tcPr>
          <w:p w:rsidR="00000000" w:rsidRDefault="009012B9">
            <w:pPr>
              <w:spacing w:after="100"/>
              <w:jc w:val="center"/>
              <w:rPr>
                <w:rFonts w:eastAsia="Times New Roman"/>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259485157"/>
        </w:trPr>
        <w:tc>
          <w:tcPr>
            <w:tcW w:w="0" w:type="auto"/>
            <w:gridSpan w:val="3"/>
            <w:shd w:val="clear" w:color="auto" w:fill="CCEEFF"/>
            <w:tcMar>
              <w:top w:w="30" w:type="dxa"/>
              <w:left w:w="20" w:type="dxa"/>
              <w:bottom w:w="30" w:type="dxa"/>
              <w:right w:w="20" w:type="dxa"/>
            </w:tcMar>
            <w:vAlign w:val="bottom"/>
            <w:hideMark/>
          </w:tcPr>
          <w:p w:rsidR="00000000" w:rsidRDefault="009012B9">
            <w:pPr>
              <w:spacing w:after="100"/>
              <w:rPr>
                <w:rFonts w:eastAsia="Times New Roman"/>
              </w:rPr>
            </w:pPr>
            <w:r>
              <w:rPr>
                <w:rFonts w:eastAsia="Times New Roman"/>
                <w:color w:val="000000"/>
                <w:sz w:val="20"/>
                <w:szCs w:val="20"/>
              </w:rPr>
              <w:t>Expected dividend</w:t>
            </w:r>
          </w:p>
        </w:tc>
        <w:tc>
          <w:tcPr>
            <w:tcW w:w="0" w:type="auto"/>
            <w:gridSpan w:val="3"/>
            <w:shd w:val="clear" w:color="auto" w:fill="CCEEFF"/>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color w:val="000000"/>
                <w:sz w:val="20"/>
                <w:szCs w:val="20"/>
              </w:rPr>
              <w:t>—</w:t>
            </w:r>
          </w:p>
        </w:tc>
        <w:tc>
          <w:tcPr>
            <w:tcW w:w="0" w:type="auto"/>
            <w:vAlign w:val="center"/>
            <w:hideMark/>
          </w:tcPr>
          <w:p w:rsidR="00000000" w:rsidRDefault="009012B9">
            <w:pPr>
              <w:spacing w:after="100"/>
              <w:jc w:val="center"/>
              <w:rPr>
                <w:rFonts w:eastAsia="Times New Roman"/>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259485157"/>
        </w:trPr>
        <w:tc>
          <w:tcPr>
            <w:tcW w:w="0" w:type="auto"/>
            <w:gridSpan w:val="3"/>
            <w:tcMar>
              <w:top w:w="30" w:type="dxa"/>
              <w:left w:w="20" w:type="dxa"/>
              <w:bottom w:w="30" w:type="dxa"/>
              <w:right w:w="20" w:type="dxa"/>
            </w:tcMar>
            <w:vAlign w:val="bottom"/>
            <w:hideMark/>
          </w:tcPr>
          <w:p w:rsidR="00000000" w:rsidRDefault="009012B9">
            <w:pPr>
              <w:spacing w:after="100"/>
              <w:rPr>
                <w:rFonts w:eastAsia="Times New Roman"/>
              </w:rPr>
            </w:pPr>
            <w:r>
              <w:rPr>
                <w:rFonts w:eastAsia="Times New Roman"/>
                <w:color w:val="000000"/>
                <w:sz w:val="20"/>
                <w:szCs w:val="20"/>
              </w:rPr>
              <w:t>Expected term (in years)</w:t>
            </w:r>
          </w:p>
        </w:tc>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color w:val="000000"/>
                <w:sz w:val="20"/>
                <w:szCs w:val="20"/>
              </w:rPr>
              <w:t>5.77 - 6.08</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color w:val="000000"/>
                <w:sz w:val="20"/>
                <w:szCs w:val="20"/>
              </w:rPr>
              <w:t xml:space="preserve">5.38 - </w:t>
            </w:r>
            <w:r>
              <w:rPr>
                <w:rFonts w:eastAsia="Times New Roman"/>
                <w:color w:val="000000"/>
                <w:sz w:val="20"/>
                <w:szCs w:val="20"/>
              </w:rPr>
              <w:t>6.75</w:t>
            </w:r>
          </w:p>
        </w:tc>
        <w:tc>
          <w:tcPr>
            <w:tcW w:w="0" w:type="auto"/>
            <w:vAlign w:val="center"/>
            <w:hideMark/>
          </w:tcPr>
          <w:p w:rsidR="00000000" w:rsidRDefault="009012B9">
            <w:pPr>
              <w:spacing w:after="100"/>
              <w:jc w:val="center"/>
              <w:rPr>
                <w:rFonts w:eastAsia="Times New Roman"/>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259485157"/>
        </w:trPr>
        <w:tc>
          <w:tcPr>
            <w:tcW w:w="0" w:type="auto"/>
            <w:gridSpan w:val="3"/>
            <w:shd w:val="clear" w:color="auto" w:fill="CCEEFF"/>
            <w:tcMar>
              <w:top w:w="30" w:type="dxa"/>
              <w:left w:w="20" w:type="dxa"/>
              <w:bottom w:w="30" w:type="dxa"/>
              <w:right w:w="20" w:type="dxa"/>
            </w:tcMar>
            <w:vAlign w:val="bottom"/>
            <w:hideMark/>
          </w:tcPr>
          <w:p w:rsidR="00000000" w:rsidRDefault="009012B9">
            <w:pPr>
              <w:spacing w:after="100"/>
              <w:rPr>
                <w:rFonts w:eastAsia="Times New Roman"/>
              </w:rPr>
            </w:pPr>
            <w:r>
              <w:rPr>
                <w:rFonts w:eastAsia="Times New Roman"/>
                <w:color w:val="000000"/>
                <w:sz w:val="20"/>
                <w:szCs w:val="20"/>
              </w:rPr>
              <w:t>Underlying common stock fair value</w:t>
            </w:r>
          </w:p>
        </w:tc>
        <w:tc>
          <w:tcPr>
            <w:tcW w:w="0" w:type="auto"/>
            <w:gridSpan w:val="3"/>
            <w:shd w:val="clear" w:color="auto" w:fill="CCEEFF"/>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color w:val="000000"/>
                <w:sz w:val="20"/>
                <w:szCs w:val="20"/>
              </w:rPr>
              <w:t>26.13 - 38.23</w:t>
            </w: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color w:val="000000"/>
                <w:sz w:val="20"/>
                <w:szCs w:val="20"/>
              </w:rPr>
              <w:t>6.22</w:t>
            </w:r>
          </w:p>
        </w:tc>
        <w:tc>
          <w:tcPr>
            <w:tcW w:w="0" w:type="auto"/>
            <w:vAlign w:val="center"/>
            <w:hideMark/>
          </w:tcPr>
          <w:p w:rsidR="00000000" w:rsidRDefault="009012B9">
            <w:pPr>
              <w:spacing w:after="100"/>
              <w:jc w:val="center"/>
              <w:rPr>
                <w:rFonts w:eastAsia="Times New Roman"/>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bl>
    <w:p w:rsidR="00000000" w:rsidRDefault="009012B9">
      <w:pPr>
        <w:ind w:firstLine="1260"/>
        <w:divId w:val="620957350"/>
        <w:rPr>
          <w:rFonts w:eastAsia="Times New Roman"/>
        </w:rPr>
      </w:pPr>
      <w:r>
        <w:rPr>
          <w:rFonts w:eastAsia="Times New Roman"/>
          <w:color w:val="000000"/>
          <w:sz w:val="20"/>
          <w:szCs w:val="20"/>
        </w:rPr>
        <w:t xml:space="preserve">The Company granted 1,082,053 </w:t>
      </w:r>
      <w:r>
        <w:rPr>
          <w:rFonts w:eastAsia="Times New Roman"/>
          <w:color w:val="000000"/>
          <w:sz w:val="20"/>
          <w:szCs w:val="20"/>
        </w:rPr>
        <w:t>stock options under the 2020 Plan during the three months ended March 31, 2021.</w:t>
      </w:r>
    </w:p>
    <w:p w:rsidR="00000000" w:rsidRDefault="009012B9">
      <w:pPr>
        <w:ind w:firstLine="1260"/>
        <w:divId w:val="143352668"/>
        <w:rPr>
          <w:rFonts w:eastAsia="Times New Roman"/>
        </w:rPr>
      </w:pPr>
      <w:r>
        <w:rPr>
          <w:rFonts w:eastAsia="Times New Roman"/>
          <w:color w:val="000000"/>
          <w:sz w:val="20"/>
          <w:szCs w:val="20"/>
        </w:rPr>
        <w:t>A summary of option activity under the 2015 Plan and the 2020 Plan is as follows:</w:t>
      </w:r>
    </w:p>
    <w:p w:rsidR="00000000" w:rsidRDefault="009012B9">
      <w:pPr>
        <w:jc w:val="center"/>
        <w:divId w:val="1567957214"/>
        <w:rPr>
          <w:rFonts w:eastAsia="Times New Roman"/>
        </w:rPr>
      </w:pPr>
      <w:r>
        <w:rPr>
          <w:rFonts w:eastAsia="Times New Roman"/>
          <w:color w:val="000000"/>
          <w:sz w:val="20"/>
          <w:szCs w:val="20"/>
        </w:rPr>
        <w:t>17</w:t>
      </w:r>
    </w:p>
    <w:p w:rsidR="00000000" w:rsidRDefault="009012B9">
      <w:pPr>
        <w:rPr>
          <w:rFonts w:eastAsia="Times New Roman"/>
        </w:rPr>
      </w:pPr>
      <w:r>
        <w:rPr>
          <w:rFonts w:eastAsia="Times New Roman"/>
        </w:rPr>
        <w:pict>
          <v:rect id="_x0000_i1041" style="width:0;height:1.5pt" o:hralign="center" o:hrstd="t" o:hr="t" fillcolor="#a0a0a0" stroked="f"/>
        </w:pict>
      </w:r>
    </w:p>
    <w:p w:rsidR="00000000" w:rsidRDefault="009012B9">
      <w:pPr>
        <w:divId w:val="459345140"/>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38"/>
        <w:gridCol w:w="3674"/>
        <w:gridCol w:w="36"/>
        <w:gridCol w:w="69"/>
        <w:gridCol w:w="812"/>
        <w:gridCol w:w="36"/>
        <w:gridCol w:w="36"/>
        <w:gridCol w:w="36"/>
        <w:gridCol w:w="36"/>
        <w:gridCol w:w="121"/>
        <w:gridCol w:w="1121"/>
        <w:gridCol w:w="36"/>
        <w:gridCol w:w="36"/>
        <w:gridCol w:w="36"/>
        <w:gridCol w:w="36"/>
        <w:gridCol w:w="90"/>
        <w:gridCol w:w="1044"/>
        <w:gridCol w:w="36"/>
        <w:gridCol w:w="36"/>
        <w:gridCol w:w="36"/>
        <w:gridCol w:w="36"/>
        <w:gridCol w:w="120"/>
        <w:gridCol w:w="700"/>
        <w:gridCol w:w="36"/>
      </w:tblGrid>
      <w:tr w:rsidR="00000000">
        <w:trPr>
          <w:divId w:val="343097933"/>
        </w:trPr>
        <w:tc>
          <w:tcPr>
            <w:tcW w:w="50" w:type="pct"/>
            <w:vAlign w:val="center"/>
            <w:hideMark/>
          </w:tcPr>
          <w:p w:rsidR="00000000" w:rsidRDefault="009012B9">
            <w:pPr>
              <w:rPr>
                <w:rFonts w:eastAsia="Times New Roman"/>
              </w:rPr>
            </w:pPr>
          </w:p>
        </w:tc>
        <w:tc>
          <w:tcPr>
            <w:tcW w:w="2287"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581"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26"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581"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26"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581"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26"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582"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r>
      <w:tr w:rsidR="00000000">
        <w:trPr>
          <w:divId w:val="343097933"/>
        </w:trPr>
        <w:tc>
          <w:tcPr>
            <w:tcW w:w="0" w:type="auto"/>
            <w:gridSpan w:val="3"/>
            <w:tcMar>
              <w:top w:w="30" w:type="dxa"/>
              <w:left w:w="20" w:type="dxa"/>
              <w:bottom w:w="30" w:type="dxa"/>
              <w:right w:w="20" w:type="dxa"/>
            </w:tcMar>
            <w:vAlign w:val="bottom"/>
            <w:hideMark/>
          </w:tcPr>
          <w:p w:rsidR="00000000" w:rsidRDefault="009012B9">
            <w:pPr>
              <w:spacing w:after="100"/>
              <w:rPr>
                <w:rFonts w:eastAsia="Times New Roman"/>
              </w:rPr>
            </w:pPr>
            <w:r>
              <w:rPr>
                <w:rFonts w:eastAsia="Times New Roman"/>
                <w:color w:val="000000"/>
              </w:rPr>
              <w:t>  </w:t>
            </w:r>
          </w:p>
        </w:tc>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Number</w:t>
            </w:r>
            <w:r>
              <w:rPr>
                <w:rFonts w:eastAsia="Times New Roman"/>
                <w:b/>
                <w:bCs/>
                <w:color w:val="000000"/>
                <w:sz w:val="16"/>
                <w:szCs w:val="16"/>
              </w:rPr>
              <w:br/>
              <w:t>of</w:t>
            </w:r>
            <w:r>
              <w:rPr>
                <w:rFonts w:eastAsia="Times New Roman"/>
                <w:b/>
                <w:bCs/>
                <w:color w:val="000000"/>
                <w:sz w:val="16"/>
                <w:szCs w:val="16"/>
              </w:rPr>
              <w:br/>
              <w:t>Options</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 Exercise</w:t>
            </w:r>
            <w:r>
              <w:rPr>
                <w:rFonts w:eastAsia="Times New Roman"/>
                <w:b/>
                <w:bCs/>
                <w:color w:val="000000"/>
                <w:sz w:val="16"/>
                <w:szCs w:val="16"/>
              </w:rPr>
              <w:br/>
              <w:t>Price per Share</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Remaining</w:t>
            </w:r>
            <w:r>
              <w:rPr>
                <w:rFonts w:eastAsia="Times New Roman"/>
                <w:b/>
                <w:bCs/>
                <w:color w:val="000000"/>
                <w:sz w:val="16"/>
                <w:szCs w:val="16"/>
              </w:rPr>
              <w:br/>
              <w:t>Contractual</w:t>
            </w:r>
            <w:r>
              <w:rPr>
                <w:rFonts w:eastAsia="Times New Roman"/>
                <w:b/>
                <w:bCs/>
                <w:color w:val="000000"/>
                <w:sz w:val="16"/>
                <w:szCs w:val="16"/>
              </w:rPr>
              <w:br/>
              <w:t>Term (in Years)</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Aggregate</w:t>
            </w:r>
            <w:r>
              <w:rPr>
                <w:rFonts w:eastAsia="Times New Roman"/>
                <w:b/>
                <w:bCs/>
                <w:color w:val="000000"/>
                <w:sz w:val="16"/>
                <w:szCs w:val="16"/>
              </w:rPr>
              <w:br/>
              <w:t>Intrinsic</w:t>
            </w:r>
            <w:r>
              <w:rPr>
                <w:rFonts w:eastAsia="Times New Roman"/>
                <w:b/>
                <w:bCs/>
                <w:color w:val="000000"/>
                <w:sz w:val="16"/>
                <w:szCs w:val="16"/>
              </w:rPr>
              <w:br/>
              <w:t>Value</w:t>
            </w:r>
          </w:p>
        </w:tc>
      </w:tr>
      <w:tr w:rsidR="00000000">
        <w:trPr>
          <w:divId w:val="343097933"/>
        </w:trPr>
        <w:tc>
          <w:tcPr>
            <w:tcW w:w="0" w:type="auto"/>
            <w:gridSpan w:val="3"/>
            <w:shd w:val="clear" w:color="auto" w:fill="CFF0FC"/>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Outstanding as of December 31, 2020</w:t>
            </w: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2,993,855 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8.18 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9012B9">
            <w:pPr>
              <w:spacing w:after="100"/>
              <w:jc w:val="right"/>
              <w:rPr>
                <w:rFonts w:eastAsia="Times New Roman"/>
              </w:rPr>
            </w:pPr>
            <w:r>
              <w:rPr>
                <w:rFonts w:eastAsia="Times New Roman"/>
                <w:color w:val="000000"/>
                <w:sz w:val="20"/>
                <w:szCs w:val="20"/>
              </w:rPr>
              <w:t>8.84</w:t>
            </w: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43,890 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343097933"/>
        </w:trPr>
        <w:tc>
          <w:tcPr>
            <w:tcW w:w="0" w:type="auto"/>
            <w:gridSpan w:val="3"/>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20"/>
                <w:szCs w:val="20"/>
              </w:rPr>
              <w:t>Granted</w:t>
            </w: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1,082,053 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27.11 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r>
      <w:tr w:rsidR="00000000">
        <w:trPr>
          <w:divId w:val="343097933"/>
        </w:trPr>
        <w:tc>
          <w:tcPr>
            <w:tcW w:w="0" w:type="auto"/>
            <w:gridSpan w:val="3"/>
            <w:shd w:val="clear" w:color="auto" w:fill="CFF0FC"/>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20"/>
                <w:szCs w:val="20"/>
              </w:rPr>
              <w:t>Exercised</w:t>
            </w:r>
          </w:p>
        </w:tc>
        <w:tc>
          <w:tcPr>
            <w:tcW w:w="0" w:type="auto"/>
            <w:gridSpan w:val="2"/>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(105,734)</w:t>
            </w:r>
          </w:p>
        </w:tc>
        <w:tc>
          <w:tcPr>
            <w:tcW w:w="0" w:type="auto"/>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5.28 </w:t>
            </w:r>
          </w:p>
        </w:tc>
        <w:tc>
          <w:tcPr>
            <w:tcW w:w="0" w:type="auto"/>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rPr>
                <w:rFonts w:eastAsia="Times New Roman"/>
                <w:sz w:val="20"/>
                <w:szCs w:val="20"/>
              </w:rPr>
            </w:pPr>
          </w:p>
        </w:tc>
      </w:tr>
      <w:tr w:rsidR="00000000">
        <w:trPr>
          <w:divId w:val="343097933"/>
        </w:trPr>
        <w:tc>
          <w:tcPr>
            <w:tcW w:w="0" w:type="auto"/>
            <w:gridSpan w:val="3"/>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20"/>
                <w:szCs w:val="20"/>
              </w:rPr>
              <w:t>Forfeited</w:t>
            </w: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(41,887)</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7.59 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r>
      <w:tr w:rsidR="00000000">
        <w:trPr>
          <w:divId w:val="343097933"/>
        </w:trPr>
        <w:tc>
          <w:tcPr>
            <w:tcW w:w="0" w:type="auto"/>
            <w:gridSpan w:val="3"/>
            <w:shd w:val="clear" w:color="auto" w:fill="CFF0FC"/>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Outstanding as of March 31, 2021</w:t>
            </w: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3,928,287 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13.30 </w:t>
            </w:r>
          </w:p>
        </w:tc>
        <w:tc>
          <w:tcPr>
            <w:tcW w:w="0" w:type="auto"/>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3"/>
            <w:shd w:val="clear" w:color="auto" w:fill="CFF0FC"/>
            <w:tcMar>
              <w:top w:w="30" w:type="dxa"/>
              <w:left w:w="20" w:type="dxa"/>
              <w:bottom w:w="30" w:type="dxa"/>
              <w:right w:w="20" w:type="dxa"/>
            </w:tcMar>
            <w:vAlign w:val="bottom"/>
            <w:hideMark/>
          </w:tcPr>
          <w:p w:rsidR="00000000" w:rsidRDefault="009012B9">
            <w:pPr>
              <w:spacing w:after="100"/>
              <w:jc w:val="right"/>
              <w:rPr>
                <w:rFonts w:eastAsia="Times New Roman"/>
              </w:rPr>
            </w:pPr>
            <w:r>
              <w:rPr>
                <w:rFonts w:eastAsia="Times New Roman"/>
                <w:color w:val="000000"/>
                <w:sz w:val="20"/>
                <w:szCs w:val="20"/>
              </w:rPr>
              <w:t>8.97</w:t>
            </w: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rPr>
            </w:pPr>
          </w:p>
        </w:tc>
        <w:tc>
          <w:tcPr>
            <w:tcW w:w="0" w:type="auto"/>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100,437 </w:t>
            </w:r>
          </w:p>
        </w:tc>
        <w:tc>
          <w:tcPr>
            <w:tcW w:w="0" w:type="auto"/>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343097933"/>
        </w:trPr>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Exercisable as of March 31, 2021</w:t>
            </w: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856,283 </w:t>
            </w:r>
          </w:p>
        </w:tc>
        <w:tc>
          <w:tcPr>
            <w:tcW w:w="0" w:type="auto"/>
            <w:tcBorders>
              <w:top w:val="double" w:sz="6" w:space="0" w:color="000000"/>
            </w:tcBorders>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5.24 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012B9">
            <w:pPr>
              <w:spacing w:after="100"/>
              <w:jc w:val="right"/>
              <w:rPr>
                <w:rFonts w:eastAsia="Times New Roman"/>
              </w:rPr>
            </w:pPr>
            <w:r>
              <w:rPr>
                <w:rFonts w:eastAsia="Times New Roman"/>
                <w:color w:val="000000"/>
                <w:sz w:val="20"/>
                <w:szCs w:val="20"/>
              </w:rPr>
              <w:t>8.31</w:t>
            </w: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29,194 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343097933"/>
        </w:trPr>
        <w:tc>
          <w:tcPr>
            <w:tcW w:w="0" w:type="auto"/>
            <w:gridSpan w:val="3"/>
            <w:shd w:val="clear" w:color="auto" w:fill="CFF0FC"/>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Vested and expected to vest as of March 31, 2021</w:t>
            </w:r>
          </w:p>
        </w:tc>
        <w:tc>
          <w:tcPr>
            <w:tcW w:w="0" w:type="auto"/>
            <w:gridSpan w:val="2"/>
            <w:tcBorders>
              <w:top w:val="double" w:sz="6" w:space="0" w:color="000000"/>
              <w:bottom w:val="double" w:sz="6" w:space="0" w:color="000000"/>
            </w:tcBorders>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3,928,287 </w:t>
            </w:r>
          </w:p>
        </w:tc>
        <w:tc>
          <w:tcPr>
            <w:tcW w:w="0" w:type="auto"/>
            <w:tcBorders>
              <w:top w:val="double" w:sz="6" w:space="0" w:color="000000"/>
              <w:bottom w:val="double" w:sz="6"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13.30 </w:t>
            </w:r>
          </w:p>
        </w:tc>
        <w:tc>
          <w:tcPr>
            <w:tcW w:w="0" w:type="auto"/>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3"/>
            <w:shd w:val="clear" w:color="auto" w:fill="CFF0FC"/>
            <w:tcMar>
              <w:top w:w="30" w:type="dxa"/>
              <w:left w:w="20" w:type="dxa"/>
              <w:bottom w:w="30" w:type="dxa"/>
              <w:right w:w="20" w:type="dxa"/>
            </w:tcMar>
            <w:vAlign w:val="bottom"/>
            <w:hideMark/>
          </w:tcPr>
          <w:p w:rsidR="00000000" w:rsidRDefault="009012B9">
            <w:pPr>
              <w:spacing w:after="100"/>
              <w:jc w:val="right"/>
              <w:rPr>
                <w:rFonts w:eastAsia="Times New Roman"/>
              </w:rPr>
            </w:pPr>
            <w:r>
              <w:rPr>
                <w:rFonts w:eastAsia="Times New Roman"/>
                <w:color w:val="000000"/>
                <w:sz w:val="20"/>
                <w:szCs w:val="20"/>
              </w:rPr>
              <w:t>8.97</w:t>
            </w: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rPr>
            </w:pPr>
          </w:p>
        </w:tc>
        <w:tc>
          <w:tcPr>
            <w:tcW w:w="0" w:type="auto"/>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100,437 </w:t>
            </w:r>
          </w:p>
        </w:tc>
        <w:tc>
          <w:tcPr>
            <w:tcW w:w="0" w:type="auto"/>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r>
    </w:tbl>
    <w:p w:rsidR="00000000" w:rsidRDefault="009012B9">
      <w:pPr>
        <w:divId w:val="263922204"/>
        <w:rPr>
          <w:rFonts w:eastAsia="Times New Roman"/>
        </w:rPr>
      </w:pPr>
    </w:p>
    <w:p w:rsidR="00000000" w:rsidRDefault="009012B9">
      <w:pPr>
        <w:ind w:firstLine="1260"/>
        <w:divId w:val="737828581"/>
        <w:rPr>
          <w:rFonts w:eastAsia="Times New Roman"/>
        </w:rPr>
      </w:pPr>
      <w:r>
        <w:rPr>
          <w:rFonts w:eastAsia="Times New Roman"/>
          <w:color w:val="000000"/>
          <w:sz w:val="20"/>
          <w:szCs w:val="20"/>
        </w:rPr>
        <w:t>Aggregate intrinsic value represents the difference between the fair value of the underlying common stock and the exercise price as of March 3</w:t>
      </w:r>
      <w:r>
        <w:rPr>
          <w:rFonts w:eastAsia="Times New Roman"/>
          <w:color w:val="000000"/>
          <w:sz w:val="20"/>
          <w:szCs w:val="20"/>
        </w:rPr>
        <w:t>1, 2021. The weighted-average grant date fair value of options granted during the three months ended March 31, 2021 was $17.62 per share.</w:t>
      </w:r>
    </w:p>
    <w:p w:rsidR="00000000" w:rsidRDefault="009012B9">
      <w:pPr>
        <w:ind w:firstLine="540"/>
        <w:divId w:val="712073987"/>
        <w:rPr>
          <w:rFonts w:eastAsia="Times New Roman"/>
        </w:rPr>
      </w:pPr>
      <w:r>
        <w:rPr>
          <w:rFonts w:eastAsia="Times New Roman"/>
          <w:b/>
          <w:bCs/>
          <w:i/>
          <w:iCs/>
          <w:color w:val="000000"/>
          <w:sz w:val="20"/>
          <w:szCs w:val="20"/>
        </w:rPr>
        <w:t>Stock-Based Compensation Expense</w:t>
      </w:r>
    </w:p>
    <w:p w:rsidR="00000000" w:rsidRDefault="009012B9">
      <w:pPr>
        <w:ind w:firstLine="1260"/>
        <w:divId w:val="354038292"/>
        <w:rPr>
          <w:rFonts w:eastAsia="Times New Roman"/>
        </w:rPr>
      </w:pPr>
      <w:r>
        <w:rPr>
          <w:rFonts w:eastAsia="Times New Roman"/>
          <w:color w:val="000000"/>
          <w:sz w:val="20"/>
          <w:szCs w:val="20"/>
        </w:rPr>
        <w:t>The following table presents the components and classification of stock-based compensation expense for the Company’s stock-based awards for the three months ended March 31, 2021 and 2020 (in thousands):</w:t>
      </w:r>
    </w:p>
    <w:tbl>
      <w:tblPr>
        <w:tblW w:w="4890" w:type="pct"/>
        <w:tblCellMar>
          <w:top w:w="15" w:type="dxa"/>
          <w:left w:w="15" w:type="dxa"/>
          <w:bottom w:w="15" w:type="dxa"/>
          <w:right w:w="15" w:type="dxa"/>
        </w:tblCellMar>
        <w:tblLook w:val="04A0" w:firstRow="1" w:lastRow="0" w:firstColumn="1" w:lastColumn="0" w:noHBand="0" w:noVBand="1"/>
      </w:tblPr>
      <w:tblGrid>
        <w:gridCol w:w="38"/>
        <w:gridCol w:w="5860"/>
        <w:gridCol w:w="37"/>
        <w:gridCol w:w="120"/>
        <w:gridCol w:w="759"/>
        <w:gridCol w:w="36"/>
        <w:gridCol w:w="36"/>
        <w:gridCol w:w="36"/>
        <w:gridCol w:w="36"/>
        <w:gridCol w:w="120"/>
        <w:gridCol w:w="721"/>
        <w:gridCol w:w="36"/>
        <w:gridCol w:w="36"/>
        <w:gridCol w:w="36"/>
        <w:gridCol w:w="36"/>
        <w:gridCol w:w="36"/>
        <w:gridCol w:w="36"/>
        <w:gridCol w:w="36"/>
        <w:gridCol w:w="36"/>
        <w:gridCol w:w="36"/>
      </w:tblGrid>
      <w:tr w:rsidR="00000000">
        <w:trPr>
          <w:divId w:val="637759420"/>
        </w:trPr>
        <w:tc>
          <w:tcPr>
            <w:tcW w:w="50" w:type="pct"/>
            <w:vAlign w:val="center"/>
            <w:hideMark/>
          </w:tcPr>
          <w:p w:rsidR="00000000" w:rsidRDefault="009012B9">
            <w:pPr>
              <w:ind w:firstLine="1260"/>
              <w:rPr>
                <w:rFonts w:eastAsia="Times New Roman"/>
              </w:rPr>
            </w:pPr>
          </w:p>
        </w:tc>
        <w:tc>
          <w:tcPr>
            <w:tcW w:w="3771"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513"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27"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513"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637759420"/>
        </w:trPr>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March 31,</w:t>
            </w:r>
          </w:p>
        </w:tc>
        <w:tc>
          <w:tcPr>
            <w:tcW w:w="0" w:type="auto"/>
            <w:vAlign w:val="center"/>
            <w:hideMark/>
          </w:tcPr>
          <w:p w:rsidR="00000000" w:rsidRDefault="009012B9">
            <w:pPr>
              <w:spacing w:after="100"/>
              <w:jc w:val="center"/>
              <w:rPr>
                <w:rFonts w:eastAsia="Times New Roman"/>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r>
      <w:tr w:rsidR="00000000">
        <w:trPr>
          <w:divId w:val="637759420"/>
        </w:trPr>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2020</w:t>
            </w:r>
          </w:p>
        </w:tc>
        <w:tc>
          <w:tcPr>
            <w:tcW w:w="0" w:type="auto"/>
            <w:vAlign w:val="center"/>
            <w:hideMark/>
          </w:tcPr>
          <w:p w:rsidR="00000000" w:rsidRDefault="009012B9">
            <w:pPr>
              <w:spacing w:after="100"/>
              <w:jc w:val="center"/>
              <w:rPr>
                <w:rFonts w:eastAsia="Times New Roman"/>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637759420"/>
        </w:trPr>
        <w:tc>
          <w:tcPr>
            <w:tcW w:w="0" w:type="auto"/>
            <w:gridSpan w:val="3"/>
            <w:shd w:val="clear" w:color="auto" w:fill="CFF0FC"/>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Restricted stock awards</w:t>
            </w: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51 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57 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vAlign w:val="center"/>
            <w:hideMark/>
          </w:tcPr>
          <w:p w:rsidR="00000000" w:rsidRDefault="009012B9">
            <w:pPr>
              <w:spacing w:after="100"/>
              <w:jc w:val="right"/>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637759420"/>
        </w:trPr>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Stock options and ESPP</w:t>
            </w: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2,527 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368 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vAlign w:val="center"/>
            <w:hideMark/>
          </w:tcPr>
          <w:p w:rsidR="00000000" w:rsidRDefault="009012B9">
            <w:pPr>
              <w:spacing w:after="100"/>
              <w:jc w:val="right"/>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637759420"/>
        </w:trPr>
        <w:tc>
          <w:tcPr>
            <w:tcW w:w="0" w:type="auto"/>
            <w:gridSpan w:val="3"/>
            <w:shd w:val="clear" w:color="auto" w:fill="CFF0FC"/>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Total stock-based compensation expense</w:t>
            </w: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2,578 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425 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vAlign w:val="center"/>
            <w:hideMark/>
          </w:tcPr>
          <w:p w:rsidR="00000000" w:rsidRDefault="009012B9">
            <w:pPr>
              <w:spacing w:after="100"/>
              <w:jc w:val="right"/>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637759420"/>
        </w:trPr>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Research and development expenses</w:t>
            </w:r>
          </w:p>
        </w:tc>
        <w:tc>
          <w:tcPr>
            <w:tcW w:w="0" w:type="auto"/>
            <w:tcBorders>
              <w:top w:val="double" w:sz="6" w:space="0" w:color="000000"/>
            </w:tcBorders>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1,170 </w:t>
            </w:r>
          </w:p>
        </w:tc>
        <w:tc>
          <w:tcPr>
            <w:tcW w:w="0" w:type="auto"/>
            <w:tcBorders>
              <w:top w:val="double" w:sz="6" w:space="0" w:color="000000"/>
            </w:tcBorders>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164 </w:t>
            </w:r>
          </w:p>
        </w:tc>
        <w:tc>
          <w:tcPr>
            <w:tcW w:w="0" w:type="auto"/>
            <w:tcBorders>
              <w:top w:val="double" w:sz="6" w:space="0" w:color="000000"/>
            </w:tcBorders>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vAlign w:val="center"/>
            <w:hideMark/>
          </w:tcPr>
          <w:p w:rsidR="00000000" w:rsidRDefault="009012B9">
            <w:pPr>
              <w:spacing w:after="100"/>
              <w:jc w:val="right"/>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637759420"/>
        </w:trPr>
        <w:tc>
          <w:tcPr>
            <w:tcW w:w="0" w:type="auto"/>
            <w:gridSpan w:val="3"/>
            <w:shd w:val="clear" w:color="auto" w:fill="CCEEFF"/>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General and administrative expenses</w:t>
            </w:r>
          </w:p>
        </w:tc>
        <w:tc>
          <w:tcPr>
            <w:tcW w:w="0" w:type="auto"/>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1,408 </w:t>
            </w:r>
          </w:p>
        </w:tc>
        <w:tc>
          <w:tcPr>
            <w:tcW w:w="0" w:type="auto"/>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261 </w:t>
            </w:r>
          </w:p>
        </w:tc>
        <w:tc>
          <w:tcPr>
            <w:tcW w:w="0" w:type="auto"/>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vAlign w:val="center"/>
            <w:hideMark/>
          </w:tcPr>
          <w:p w:rsidR="00000000" w:rsidRDefault="009012B9">
            <w:pPr>
              <w:spacing w:after="100"/>
              <w:jc w:val="right"/>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bl>
    <w:p w:rsidR="00000000" w:rsidRDefault="009012B9">
      <w:pPr>
        <w:ind w:firstLine="1260"/>
        <w:divId w:val="842551933"/>
        <w:rPr>
          <w:rFonts w:eastAsia="Times New Roman"/>
        </w:rPr>
      </w:pPr>
      <w:r>
        <w:rPr>
          <w:rFonts w:eastAsia="Times New Roman"/>
          <w:color w:val="000000"/>
          <w:sz w:val="20"/>
          <w:szCs w:val="20"/>
        </w:rPr>
        <w:t>As of March </w:t>
      </w:r>
      <w:r>
        <w:rPr>
          <w:rFonts w:eastAsia="Times New Roman"/>
          <w:color w:val="000000"/>
          <w:sz w:val="20"/>
          <w:szCs w:val="20"/>
        </w:rPr>
        <w:t>31, 2021, there was $0.2 million of unrecognized compensation costs that is expected to be recognized over the weighted-average periods of 1.00 year related to restricted stock awards. As of March 31, 2021, there was $30.0 million of unrecognized compensat</w:t>
      </w:r>
      <w:r>
        <w:rPr>
          <w:rFonts w:eastAsia="Times New Roman"/>
          <w:color w:val="000000"/>
          <w:sz w:val="20"/>
          <w:szCs w:val="20"/>
        </w:rPr>
        <w:t>ion costs that is expected to be recognized over the weighted-average periods of 3.02 years related to stock options.</w:t>
      </w:r>
    </w:p>
    <w:p w:rsidR="00000000" w:rsidRDefault="009012B9">
      <w:pPr>
        <w:ind w:firstLine="540"/>
        <w:divId w:val="838620655"/>
        <w:rPr>
          <w:rFonts w:eastAsia="Times New Roman"/>
        </w:rPr>
      </w:pPr>
      <w:r>
        <w:rPr>
          <w:rFonts w:eastAsia="Times New Roman"/>
          <w:b/>
          <w:bCs/>
          <w:i/>
          <w:iCs/>
          <w:color w:val="000000"/>
          <w:sz w:val="20"/>
          <w:szCs w:val="20"/>
        </w:rPr>
        <w:t>2020 Employee Stock Purchase Plan</w:t>
      </w:r>
    </w:p>
    <w:p w:rsidR="00000000" w:rsidRDefault="009012B9">
      <w:pPr>
        <w:ind w:firstLine="1260"/>
        <w:divId w:val="1462265586"/>
        <w:rPr>
          <w:rFonts w:eastAsia="Times New Roman"/>
        </w:rPr>
      </w:pPr>
      <w:r>
        <w:rPr>
          <w:rFonts w:eastAsia="Times New Roman"/>
          <w:color w:val="000000"/>
          <w:sz w:val="20"/>
          <w:szCs w:val="20"/>
        </w:rPr>
        <w:t>In June 2020, the Company adopted the Company's 2020 Employee Stock Purchase Plan (the "2020 ESPP"). The</w:t>
      </w:r>
      <w:r>
        <w:rPr>
          <w:rFonts w:eastAsia="Times New Roman"/>
          <w:color w:val="000000"/>
          <w:sz w:val="20"/>
          <w:szCs w:val="20"/>
        </w:rPr>
        <w:t xml:space="preserve"> Company reserved 700,000 shares of common stock for future issuance under the plan. The 2020 ESPP provides that the number of shares reserved and available for issuance will automatically increase on January 1 of each calendar year, beginning January 1, 2</w:t>
      </w:r>
      <w:r>
        <w:rPr>
          <w:rFonts w:eastAsia="Times New Roman"/>
          <w:color w:val="000000"/>
          <w:sz w:val="20"/>
          <w:szCs w:val="20"/>
        </w:rPr>
        <w:t>021, by the least of (1) 1.0% of the total number of shares of common stock outstanding on December 31 of the preceding calendar year, (2) 700,000 shares or (3) such lesser amount as determined by the administrator of the 2020 ESPP, which is the compensati</w:t>
      </w:r>
      <w:r>
        <w:rPr>
          <w:rFonts w:eastAsia="Times New Roman"/>
          <w:color w:val="000000"/>
          <w:sz w:val="20"/>
          <w:szCs w:val="20"/>
        </w:rPr>
        <w:t>on committee of the board of directors of the Company.</w:t>
      </w:r>
    </w:p>
    <w:p w:rsidR="00000000" w:rsidRDefault="009012B9">
      <w:pPr>
        <w:ind w:firstLine="1260"/>
        <w:divId w:val="100418047"/>
        <w:rPr>
          <w:rFonts w:eastAsia="Times New Roman"/>
        </w:rPr>
      </w:pPr>
      <w:r>
        <w:rPr>
          <w:rFonts w:eastAsia="Times New Roman"/>
          <w:color w:val="000000"/>
          <w:sz w:val="20"/>
          <w:szCs w:val="20"/>
        </w:rPr>
        <w:t>Under the 2020 ESPP, eligible employees may purchase shares of our common stock through payroll deductions that cannot exceed 15% of each employee’s salary. The 2020 ESPP provides for a six-month offering period. At the end of the purchase period, eligible</w:t>
      </w:r>
      <w:r>
        <w:rPr>
          <w:rFonts w:eastAsia="Times New Roman"/>
          <w:color w:val="000000"/>
          <w:sz w:val="20"/>
          <w:szCs w:val="20"/>
        </w:rPr>
        <w:t xml:space="preserve"> employees are permitted to purchase shares of common stock at the lower of 85% of the fair market value at the beginning of the offering period or 85% of the fair market value at the end of the purchase period, subject to tax limitations on the total valu</w:t>
      </w:r>
      <w:r>
        <w:rPr>
          <w:rFonts w:eastAsia="Times New Roman"/>
          <w:color w:val="000000"/>
          <w:sz w:val="20"/>
          <w:szCs w:val="20"/>
        </w:rPr>
        <w:t>e of the purchase. The 2020 ESPP is considered a compensatory plan, and the Company recorded $0.3 million in stock-based compensation expense for the three months ended March 31, 2021. There was no stock-based compensation expense attributed to the 2020 ES</w:t>
      </w:r>
      <w:r>
        <w:rPr>
          <w:rFonts w:eastAsia="Times New Roman"/>
          <w:color w:val="000000"/>
          <w:sz w:val="20"/>
          <w:szCs w:val="20"/>
        </w:rPr>
        <w:t>PP for the three months ended March 31, 2020 as the 2020 ESPP was adopted in August 2020. As of March 31, 2021, 59,766 shares of common stock were issued under the 2020 ESPP. The Company used Black-Scholes option pricing model to estimate stock-based compe</w:t>
      </w:r>
      <w:r>
        <w:rPr>
          <w:rFonts w:eastAsia="Times New Roman"/>
          <w:color w:val="000000"/>
          <w:sz w:val="20"/>
          <w:szCs w:val="20"/>
        </w:rPr>
        <w:t>nsation expense for the 2020 ESPP with the following assumptions:</w:t>
      </w:r>
    </w:p>
    <w:p w:rsidR="00000000" w:rsidRDefault="009012B9">
      <w:pPr>
        <w:jc w:val="center"/>
        <w:divId w:val="1638225297"/>
        <w:rPr>
          <w:rFonts w:eastAsia="Times New Roman"/>
        </w:rPr>
      </w:pPr>
      <w:r>
        <w:rPr>
          <w:rFonts w:eastAsia="Times New Roman"/>
          <w:color w:val="000000"/>
          <w:sz w:val="20"/>
          <w:szCs w:val="20"/>
        </w:rPr>
        <w:t>18</w:t>
      </w:r>
    </w:p>
    <w:p w:rsidR="00000000" w:rsidRDefault="009012B9">
      <w:pPr>
        <w:rPr>
          <w:rFonts w:eastAsia="Times New Roman"/>
        </w:rPr>
      </w:pPr>
      <w:r>
        <w:rPr>
          <w:rFonts w:eastAsia="Times New Roman"/>
        </w:rPr>
        <w:pict>
          <v:rect id="_x0000_i1042" style="width:0;height:1.5pt" o:hralign="center" o:hrstd="t" o:hr="t" fillcolor="#a0a0a0" stroked="f"/>
        </w:pict>
      </w:r>
    </w:p>
    <w:p w:rsidR="00000000" w:rsidRDefault="009012B9">
      <w:pPr>
        <w:divId w:val="1348485067"/>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38"/>
        <w:gridCol w:w="6539"/>
        <w:gridCol w:w="37"/>
        <w:gridCol w:w="37"/>
        <w:gridCol w:w="1095"/>
        <w:gridCol w:w="187"/>
        <w:gridCol w:w="36"/>
        <w:gridCol w:w="36"/>
        <w:gridCol w:w="36"/>
        <w:gridCol w:w="36"/>
        <w:gridCol w:w="36"/>
        <w:gridCol w:w="36"/>
        <w:gridCol w:w="36"/>
        <w:gridCol w:w="36"/>
        <w:gridCol w:w="36"/>
        <w:gridCol w:w="36"/>
      </w:tblGrid>
      <w:tr w:rsidR="00000000">
        <w:trPr>
          <w:divId w:val="244875047"/>
        </w:trPr>
        <w:tc>
          <w:tcPr>
            <w:tcW w:w="50" w:type="pct"/>
            <w:vAlign w:val="center"/>
            <w:hideMark/>
          </w:tcPr>
          <w:p w:rsidR="00000000" w:rsidRDefault="009012B9">
            <w:pPr>
              <w:rPr>
                <w:rFonts w:eastAsia="Times New Roman"/>
              </w:rPr>
            </w:pPr>
          </w:p>
        </w:tc>
        <w:tc>
          <w:tcPr>
            <w:tcW w:w="4161"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728"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244875047"/>
        </w:trPr>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color w:val="000000"/>
              </w:rPr>
              <w:t> </w:t>
            </w:r>
          </w:p>
        </w:tc>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March 31,</w:t>
            </w:r>
          </w:p>
        </w:tc>
        <w:tc>
          <w:tcPr>
            <w:tcW w:w="0" w:type="auto"/>
            <w:vAlign w:val="center"/>
            <w:hideMark/>
          </w:tcPr>
          <w:p w:rsidR="00000000" w:rsidRDefault="009012B9">
            <w:pPr>
              <w:spacing w:after="100"/>
              <w:jc w:val="center"/>
              <w:rPr>
                <w:rFonts w:eastAsia="Times New Roman"/>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r>
      <w:tr w:rsidR="00000000">
        <w:trPr>
          <w:divId w:val="244875047"/>
        </w:trPr>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2021</w:t>
            </w:r>
          </w:p>
        </w:tc>
        <w:tc>
          <w:tcPr>
            <w:tcW w:w="0" w:type="auto"/>
            <w:vAlign w:val="center"/>
            <w:hideMark/>
          </w:tcPr>
          <w:p w:rsidR="00000000" w:rsidRDefault="009012B9">
            <w:pPr>
              <w:spacing w:after="100"/>
              <w:jc w:val="center"/>
              <w:rPr>
                <w:rFonts w:eastAsia="Times New Roman"/>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244875047"/>
        </w:trPr>
        <w:tc>
          <w:tcPr>
            <w:tcW w:w="0" w:type="auto"/>
            <w:gridSpan w:val="3"/>
            <w:shd w:val="clear" w:color="auto" w:fill="CFF0FC"/>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Risk-free interest rate</w:t>
            </w: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0.07 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9012B9">
            <w:pPr>
              <w:spacing w:after="100"/>
              <w:jc w:val="right"/>
              <w:rPr>
                <w:rFonts w:eastAsia="Times New Roman"/>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244875047"/>
        </w:trPr>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Expected term of options (in years)</w:t>
            </w:r>
          </w:p>
        </w:tc>
        <w:tc>
          <w:tcPr>
            <w:tcW w:w="0" w:type="auto"/>
            <w:gridSpan w:val="3"/>
            <w:tcMar>
              <w:top w:w="30" w:type="dxa"/>
              <w:left w:w="20" w:type="dxa"/>
              <w:bottom w:w="30" w:type="dxa"/>
              <w:right w:w="20" w:type="dxa"/>
            </w:tcMar>
            <w:vAlign w:val="bottom"/>
            <w:hideMark/>
          </w:tcPr>
          <w:p w:rsidR="00000000" w:rsidRDefault="009012B9">
            <w:pPr>
              <w:spacing w:after="100"/>
              <w:jc w:val="right"/>
              <w:rPr>
                <w:rFonts w:eastAsia="Times New Roman"/>
              </w:rPr>
            </w:pPr>
            <w:r>
              <w:rPr>
                <w:rFonts w:eastAsia="Times New Roman"/>
                <w:color w:val="000000"/>
                <w:sz w:val="20"/>
                <w:szCs w:val="20"/>
              </w:rPr>
              <w:t>0.5</w:t>
            </w:r>
          </w:p>
        </w:tc>
        <w:tc>
          <w:tcPr>
            <w:tcW w:w="0" w:type="auto"/>
            <w:vAlign w:val="center"/>
            <w:hideMark/>
          </w:tcPr>
          <w:p w:rsidR="00000000" w:rsidRDefault="009012B9">
            <w:pPr>
              <w:spacing w:after="100"/>
              <w:jc w:val="right"/>
              <w:rPr>
                <w:rFonts w:eastAsia="Times New Roman"/>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244875047"/>
        </w:trPr>
        <w:tc>
          <w:tcPr>
            <w:tcW w:w="0" w:type="auto"/>
            <w:gridSpan w:val="3"/>
            <w:shd w:val="clear" w:color="auto" w:fill="CFF0FC"/>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Expected stock price volatility</w:t>
            </w:r>
          </w:p>
        </w:tc>
        <w:tc>
          <w:tcPr>
            <w:tcW w:w="0" w:type="auto"/>
            <w:gridSpan w:val="2"/>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89.51 </w:t>
            </w:r>
          </w:p>
        </w:tc>
        <w:tc>
          <w:tcPr>
            <w:tcW w:w="0" w:type="auto"/>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9012B9">
            <w:pPr>
              <w:spacing w:after="100"/>
              <w:jc w:val="right"/>
              <w:rPr>
                <w:rFonts w:eastAsia="Times New Roman"/>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244875047"/>
        </w:trPr>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Expected dividends</w:t>
            </w: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vAlign w:val="center"/>
            <w:hideMark/>
          </w:tcPr>
          <w:p w:rsidR="00000000" w:rsidRDefault="009012B9">
            <w:pPr>
              <w:spacing w:after="100"/>
              <w:jc w:val="right"/>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bl>
    <w:p w:rsidR="00000000" w:rsidRDefault="009012B9">
      <w:pPr>
        <w:divId w:val="891624836"/>
        <w:rPr>
          <w:rFonts w:eastAsia="Times New Roman"/>
        </w:rPr>
      </w:pPr>
      <w:r>
        <w:rPr>
          <w:rFonts w:eastAsia="Times New Roman"/>
          <w:b/>
          <w:bCs/>
          <w:color w:val="000000"/>
          <w:sz w:val="20"/>
          <w:szCs w:val="20"/>
        </w:rPr>
        <w:t>12. Income Taxes</w:t>
      </w:r>
    </w:p>
    <w:p w:rsidR="00000000" w:rsidRDefault="009012B9">
      <w:pPr>
        <w:ind w:firstLine="1260"/>
        <w:divId w:val="1677000972"/>
        <w:rPr>
          <w:rFonts w:eastAsia="Times New Roman"/>
        </w:rPr>
      </w:pPr>
      <w:r>
        <w:rPr>
          <w:rFonts w:eastAsia="Times New Roman"/>
          <w:color w:val="000000"/>
          <w:sz w:val="20"/>
          <w:szCs w:val="20"/>
        </w:rPr>
        <w:t>For the three months ended March 31, 2021 and 2020, the Company did not record an income tax provision. The Company will continue to maintain a 100% valuation allowance on total deferred tax assets. The Company believes it is more likely t</w:t>
      </w:r>
      <w:r>
        <w:rPr>
          <w:rFonts w:eastAsia="Times New Roman"/>
          <w:color w:val="000000"/>
          <w:sz w:val="20"/>
          <w:szCs w:val="20"/>
        </w:rPr>
        <w:t>han not that the related deferred tax asset will not be realized. As a result, the Company’s effective tax rate will remain at 0% because no items that are either estimated or discrete items would impact the tax provision.</w:t>
      </w:r>
    </w:p>
    <w:p w:rsidR="00000000" w:rsidRDefault="009012B9">
      <w:pPr>
        <w:divId w:val="677318113"/>
        <w:rPr>
          <w:rFonts w:eastAsia="Times New Roman"/>
        </w:rPr>
      </w:pPr>
      <w:r>
        <w:rPr>
          <w:rFonts w:eastAsia="Times New Roman"/>
          <w:b/>
          <w:bCs/>
          <w:color w:val="000000"/>
          <w:sz w:val="20"/>
          <w:szCs w:val="20"/>
        </w:rPr>
        <w:t>13. Commitments and Contingencies</w:t>
      </w:r>
    </w:p>
    <w:p w:rsidR="00000000" w:rsidRDefault="009012B9">
      <w:pPr>
        <w:ind w:firstLine="540"/>
        <w:divId w:val="261112681"/>
        <w:rPr>
          <w:rFonts w:eastAsia="Times New Roman"/>
        </w:rPr>
      </w:pPr>
      <w:r>
        <w:rPr>
          <w:rFonts w:eastAsia="Times New Roman"/>
          <w:b/>
          <w:bCs/>
          <w:i/>
          <w:iCs/>
          <w:color w:val="000000"/>
          <w:sz w:val="20"/>
          <w:szCs w:val="20"/>
        </w:rPr>
        <w:t>Purchase Commitments</w:t>
      </w:r>
    </w:p>
    <w:p w:rsidR="00000000" w:rsidRDefault="009012B9">
      <w:pPr>
        <w:ind w:firstLine="1260"/>
        <w:divId w:val="937249331"/>
        <w:rPr>
          <w:rFonts w:eastAsia="Times New Roman"/>
        </w:rPr>
      </w:pPr>
      <w:r>
        <w:rPr>
          <w:rFonts w:eastAsia="Times New Roman"/>
          <w:color w:val="000000"/>
          <w:sz w:val="20"/>
          <w:szCs w:val="20"/>
        </w:rPr>
        <w:t xml:space="preserve">The Company has contractual arrangements with research and development organizations and suppliers; however, these contracts are generally cancellable on 30 days’ notice and the obligations under these contracts are largely based on services performed. </w:t>
      </w:r>
    </w:p>
    <w:p w:rsidR="00000000" w:rsidRDefault="009012B9">
      <w:pPr>
        <w:ind w:firstLine="540"/>
        <w:divId w:val="871066944"/>
        <w:rPr>
          <w:rFonts w:eastAsia="Times New Roman"/>
        </w:rPr>
      </w:pPr>
      <w:r>
        <w:rPr>
          <w:rFonts w:eastAsia="Times New Roman"/>
          <w:b/>
          <w:bCs/>
          <w:i/>
          <w:iCs/>
          <w:color w:val="000000"/>
          <w:sz w:val="20"/>
          <w:szCs w:val="20"/>
        </w:rPr>
        <w:t>Li</w:t>
      </w:r>
      <w:r>
        <w:rPr>
          <w:rFonts w:eastAsia="Times New Roman"/>
          <w:b/>
          <w:bCs/>
          <w:i/>
          <w:iCs/>
          <w:color w:val="000000"/>
          <w:sz w:val="20"/>
          <w:szCs w:val="20"/>
        </w:rPr>
        <w:t>cense and Collaboration Agreements</w:t>
      </w:r>
    </w:p>
    <w:p w:rsidR="00000000" w:rsidRDefault="009012B9">
      <w:pPr>
        <w:ind w:firstLine="1260"/>
        <w:divId w:val="1535314241"/>
        <w:rPr>
          <w:rFonts w:eastAsia="Times New Roman"/>
        </w:rPr>
      </w:pPr>
      <w:r>
        <w:rPr>
          <w:rFonts w:eastAsia="Times New Roman"/>
          <w:color w:val="000000"/>
          <w:sz w:val="20"/>
          <w:szCs w:val="20"/>
        </w:rPr>
        <w:t>Potential payments related to the Company’s license and research agreements, including milestone and royalty payments, are detailed in Notes 6 and 7.</w:t>
      </w:r>
    </w:p>
    <w:p w:rsidR="00000000" w:rsidRDefault="009012B9">
      <w:pPr>
        <w:ind w:firstLine="540"/>
        <w:divId w:val="472260966"/>
        <w:rPr>
          <w:rFonts w:eastAsia="Times New Roman"/>
        </w:rPr>
      </w:pPr>
      <w:r>
        <w:rPr>
          <w:rFonts w:eastAsia="Times New Roman"/>
          <w:b/>
          <w:bCs/>
          <w:i/>
          <w:iCs/>
          <w:color w:val="000000"/>
          <w:sz w:val="20"/>
          <w:szCs w:val="20"/>
        </w:rPr>
        <w:t>Leases</w:t>
      </w:r>
    </w:p>
    <w:p w:rsidR="00000000" w:rsidRDefault="009012B9">
      <w:pPr>
        <w:ind w:firstLine="1260"/>
        <w:divId w:val="1371689489"/>
        <w:rPr>
          <w:rFonts w:eastAsia="Times New Roman"/>
        </w:rPr>
      </w:pPr>
      <w:r>
        <w:rPr>
          <w:rFonts w:eastAsia="Times New Roman"/>
          <w:color w:val="000000"/>
          <w:sz w:val="20"/>
          <w:szCs w:val="20"/>
        </w:rPr>
        <w:t>In February 2018, the Company entered into a non-cancelable leas</w:t>
      </w:r>
      <w:r>
        <w:rPr>
          <w:rFonts w:eastAsia="Times New Roman"/>
          <w:color w:val="000000"/>
          <w:sz w:val="20"/>
          <w:szCs w:val="20"/>
        </w:rPr>
        <w:t>e agreement (the “Lease”) for premises consisting of approximately 32,974 square feet located in South San Francisco, California (the “Premises”). The Company moved into the Premises in July 2018. The Premises is being used for the Company’s corporate head</w:t>
      </w:r>
      <w:r>
        <w:rPr>
          <w:rFonts w:eastAsia="Times New Roman"/>
          <w:color w:val="000000"/>
          <w:sz w:val="20"/>
          <w:szCs w:val="20"/>
        </w:rPr>
        <w:t>quarters and principal operating facility. The term of the Lease is eighty-four months, which commenced on July 1, 2018. Base rent was abated for the first two months of the lease term and thereafter is $0.2 million per month during the first year of the l</w:t>
      </w:r>
      <w:r>
        <w:rPr>
          <w:rFonts w:eastAsia="Times New Roman"/>
          <w:color w:val="000000"/>
          <w:sz w:val="20"/>
          <w:szCs w:val="20"/>
        </w:rPr>
        <w:t>ease term, with specified annual increases thereafter. The Company paid a refundable security deposit of approximately $0.4 million, which is included in other non-current assets in the Balance Sheets at March 31, 2021 and December 31, 2020. The Company ha</w:t>
      </w:r>
      <w:r>
        <w:rPr>
          <w:rFonts w:eastAsia="Times New Roman"/>
          <w:color w:val="000000"/>
          <w:sz w:val="20"/>
          <w:szCs w:val="20"/>
        </w:rPr>
        <w:t>s the right to extend the lease term by seven years upon written notice not more than twelve months nor less than nine months prior to the expiration of the original lease term, with monthly payments equal to the “fair rental value” as defined in the Lease</w:t>
      </w:r>
      <w:r>
        <w:rPr>
          <w:rFonts w:eastAsia="Times New Roman"/>
          <w:color w:val="000000"/>
          <w:sz w:val="20"/>
          <w:szCs w:val="20"/>
        </w:rPr>
        <w:t>.</w:t>
      </w:r>
    </w:p>
    <w:p w:rsidR="00000000" w:rsidRDefault="009012B9">
      <w:pPr>
        <w:ind w:firstLine="1260"/>
        <w:divId w:val="25451016"/>
        <w:rPr>
          <w:rFonts w:eastAsia="Times New Roman"/>
        </w:rPr>
      </w:pPr>
      <w:r>
        <w:rPr>
          <w:rFonts w:eastAsia="Times New Roman"/>
          <w:color w:val="000000"/>
          <w:sz w:val="20"/>
          <w:szCs w:val="20"/>
        </w:rPr>
        <w:t>During the three months ended March 31, 2021 and 2020, rent expense, including common area maintenance expense, was $0.6 million.</w:t>
      </w:r>
    </w:p>
    <w:p w:rsidR="00000000" w:rsidRDefault="009012B9">
      <w:pPr>
        <w:ind w:firstLine="1260"/>
        <w:divId w:val="428088004"/>
        <w:rPr>
          <w:rFonts w:eastAsia="Times New Roman"/>
        </w:rPr>
      </w:pPr>
      <w:r>
        <w:rPr>
          <w:rFonts w:eastAsia="Times New Roman"/>
          <w:color w:val="000000"/>
          <w:sz w:val="20"/>
          <w:szCs w:val="20"/>
        </w:rPr>
        <w:t>Future minimum lease payments under the Lease as of March 31, 2021 were as follows (in thousands):</w:t>
      </w:r>
    </w:p>
    <w:tbl>
      <w:tblPr>
        <w:tblW w:w="4992" w:type="pct"/>
        <w:tblCellMar>
          <w:top w:w="15" w:type="dxa"/>
          <w:left w:w="15" w:type="dxa"/>
          <w:bottom w:w="15" w:type="dxa"/>
          <w:right w:w="15" w:type="dxa"/>
        </w:tblCellMar>
        <w:tblLook w:val="04A0" w:firstRow="1" w:lastRow="0" w:firstColumn="1" w:lastColumn="0" w:noHBand="0" w:noVBand="1"/>
      </w:tblPr>
      <w:tblGrid>
        <w:gridCol w:w="45"/>
        <w:gridCol w:w="7049"/>
        <w:gridCol w:w="37"/>
        <w:gridCol w:w="36"/>
        <w:gridCol w:w="36"/>
        <w:gridCol w:w="36"/>
        <w:gridCol w:w="121"/>
        <w:gridCol w:w="897"/>
        <w:gridCol w:w="36"/>
      </w:tblGrid>
      <w:tr w:rsidR="00000000">
        <w:trPr>
          <w:divId w:val="1155802703"/>
        </w:trPr>
        <w:tc>
          <w:tcPr>
            <w:tcW w:w="50" w:type="pct"/>
            <w:vAlign w:val="center"/>
            <w:hideMark/>
          </w:tcPr>
          <w:p w:rsidR="00000000" w:rsidRDefault="009012B9">
            <w:pPr>
              <w:ind w:firstLine="1260"/>
              <w:rPr>
                <w:rFonts w:eastAsia="Times New Roman"/>
              </w:rPr>
            </w:pPr>
          </w:p>
        </w:tc>
        <w:tc>
          <w:tcPr>
            <w:tcW w:w="4271"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26"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581"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r>
      <w:tr w:rsidR="00000000">
        <w:trPr>
          <w:divId w:val="1155802703"/>
        </w:trPr>
        <w:tc>
          <w:tcPr>
            <w:tcW w:w="0" w:type="auto"/>
            <w:gridSpan w:val="3"/>
            <w:tcMar>
              <w:top w:w="30" w:type="dxa"/>
              <w:left w:w="20" w:type="dxa"/>
              <w:bottom w:w="30" w:type="dxa"/>
              <w:right w:w="20" w:type="dxa"/>
            </w:tcMar>
            <w:vAlign w:val="bottom"/>
            <w:hideMark/>
          </w:tcPr>
          <w:p w:rsidR="00000000" w:rsidRDefault="009012B9">
            <w:pPr>
              <w:spacing w:after="100"/>
              <w:rPr>
                <w:rFonts w:eastAsia="Times New Roman"/>
              </w:rPr>
            </w:pPr>
            <w:r>
              <w:rPr>
                <w:rFonts w:eastAsia="Times New Roman"/>
                <w:b/>
                <w:bCs/>
                <w:color w:val="000000"/>
                <w:sz w:val="16"/>
                <w:szCs w:val="16"/>
              </w:rPr>
              <w:t>Year ending Dec</w:t>
            </w:r>
            <w:r>
              <w:rPr>
                <w:rFonts w:eastAsia="Times New Roman"/>
                <w:b/>
                <w:bCs/>
                <w:color w:val="000000"/>
                <w:sz w:val="16"/>
                <w:szCs w:val="16"/>
              </w:rPr>
              <w:t>ember 31:</w:t>
            </w: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Operating</w:t>
            </w:r>
            <w:r>
              <w:rPr>
                <w:rFonts w:eastAsia="Times New Roman"/>
                <w:b/>
                <w:bCs/>
                <w:color w:val="000000"/>
                <w:sz w:val="16"/>
                <w:szCs w:val="16"/>
              </w:rPr>
              <w:br/>
              <w:t>Lease</w:t>
            </w:r>
          </w:p>
        </w:tc>
      </w:tr>
      <w:tr w:rsidR="00000000">
        <w:trPr>
          <w:divId w:val="1155802703"/>
        </w:trPr>
        <w:tc>
          <w:tcPr>
            <w:tcW w:w="0" w:type="auto"/>
            <w:gridSpan w:val="3"/>
            <w:tcBorders>
              <w:top w:val="single" w:sz="8" w:space="0" w:color="000000"/>
            </w:tcBorders>
            <w:shd w:val="clear" w:color="auto" w:fill="CFF0FC"/>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2021 (remainder of the year)</w:t>
            </w: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rPr>
                <w:rFonts w:eastAsia="Times New Roman"/>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1,529 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1155802703"/>
        </w:trPr>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2,098 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1155802703"/>
        </w:trPr>
        <w:tc>
          <w:tcPr>
            <w:tcW w:w="0" w:type="auto"/>
            <w:gridSpan w:val="3"/>
            <w:shd w:val="clear" w:color="auto" w:fill="CFF0FC"/>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2023</w:t>
            </w: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2"/>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2,171 </w:t>
            </w:r>
          </w:p>
        </w:tc>
        <w:tc>
          <w:tcPr>
            <w:tcW w:w="0" w:type="auto"/>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1155802703"/>
        </w:trPr>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2024</w:t>
            </w: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2,247 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1155802703"/>
        </w:trPr>
        <w:tc>
          <w:tcPr>
            <w:tcW w:w="0" w:type="auto"/>
            <w:gridSpan w:val="3"/>
            <w:shd w:val="clear" w:color="auto" w:fill="CFF0FC"/>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2025 and beyond</w:t>
            </w: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2"/>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1,143 </w:t>
            </w:r>
          </w:p>
        </w:tc>
        <w:tc>
          <w:tcPr>
            <w:tcW w:w="0" w:type="auto"/>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1155802703"/>
        </w:trPr>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Total</w:t>
            </w: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9,188 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012B9">
            <w:pPr>
              <w:spacing w:after="100"/>
              <w:jc w:val="right"/>
              <w:rPr>
                <w:rFonts w:eastAsia="Times New Roman"/>
              </w:rPr>
            </w:pPr>
          </w:p>
        </w:tc>
      </w:tr>
    </w:tbl>
    <w:p w:rsidR="00000000" w:rsidRDefault="009012B9">
      <w:pPr>
        <w:divId w:val="683558000"/>
        <w:rPr>
          <w:rFonts w:eastAsia="Times New Roman"/>
        </w:rPr>
      </w:pPr>
      <w:r>
        <w:rPr>
          <w:rFonts w:eastAsia="Times New Roman"/>
          <w:b/>
          <w:bCs/>
          <w:color w:val="000000"/>
          <w:sz w:val="20"/>
          <w:szCs w:val="20"/>
        </w:rPr>
        <w:t>14. Related Party Transactions</w:t>
      </w:r>
    </w:p>
    <w:p w:rsidR="00000000" w:rsidRDefault="009012B9">
      <w:pPr>
        <w:jc w:val="center"/>
        <w:divId w:val="339893580"/>
        <w:rPr>
          <w:rFonts w:eastAsia="Times New Roman"/>
        </w:rPr>
      </w:pPr>
      <w:r>
        <w:rPr>
          <w:rFonts w:eastAsia="Times New Roman"/>
          <w:color w:val="000000"/>
          <w:sz w:val="20"/>
          <w:szCs w:val="20"/>
        </w:rPr>
        <w:t>19</w:t>
      </w:r>
    </w:p>
    <w:p w:rsidR="00000000" w:rsidRDefault="009012B9">
      <w:pPr>
        <w:rPr>
          <w:rFonts w:eastAsia="Times New Roman"/>
        </w:rPr>
      </w:pPr>
      <w:r>
        <w:rPr>
          <w:rFonts w:eastAsia="Times New Roman"/>
        </w:rPr>
        <w:pict>
          <v:rect id="_x0000_i1043" style="width:0;height:1.5pt" o:hralign="center" o:hrstd="t" o:hr="t" fillcolor="#a0a0a0" stroked="f"/>
        </w:pict>
      </w:r>
    </w:p>
    <w:p w:rsidR="00000000" w:rsidRDefault="009012B9">
      <w:pPr>
        <w:divId w:val="639308969"/>
        <w:rPr>
          <w:rFonts w:eastAsia="Times New Roman"/>
        </w:rPr>
      </w:pPr>
    </w:p>
    <w:p w:rsidR="00000000" w:rsidRDefault="009012B9">
      <w:pPr>
        <w:ind w:firstLine="1260"/>
        <w:divId w:val="164514558"/>
        <w:rPr>
          <w:rFonts w:eastAsia="Times New Roman"/>
        </w:rPr>
      </w:pPr>
      <w:r>
        <w:rPr>
          <w:rFonts w:eastAsia="Times New Roman"/>
          <w:color w:val="000000"/>
          <w:sz w:val="20"/>
          <w:szCs w:val="20"/>
        </w:rPr>
        <w:t>In March 2020, the Company granted 26,573 stock options with a grant date fair value of $0.1 million to a partner at Third Rock Ventures, who is also serving as a non-employee director</w:t>
      </w:r>
      <w:r>
        <w:rPr>
          <w:rFonts w:eastAsia="Times New Roman"/>
          <w:color w:val="000000"/>
          <w:sz w:val="20"/>
          <w:szCs w:val="20"/>
        </w:rPr>
        <w:t xml:space="preserve"> on the Company’s board of directors. The shares of common stock subject to these options vest 1/12th on the last day of each calendar quarter over a three-year period and commenced vesting upon completion of our IPO. Lastly, in order to vest at each calen</w:t>
      </w:r>
      <w:r>
        <w:rPr>
          <w:rFonts w:eastAsia="Times New Roman"/>
          <w:color w:val="000000"/>
          <w:sz w:val="20"/>
          <w:szCs w:val="20"/>
        </w:rPr>
        <w:t>dar quarter end date, the stockholder must be providing continuous service to the Company through such vesting date. See Note 11 for additional information.</w:t>
      </w:r>
    </w:p>
    <w:p w:rsidR="00000000" w:rsidRDefault="009012B9">
      <w:pPr>
        <w:ind w:firstLine="1260"/>
        <w:divId w:val="195504264"/>
        <w:rPr>
          <w:rFonts w:eastAsia="Times New Roman"/>
        </w:rPr>
      </w:pPr>
      <w:r>
        <w:rPr>
          <w:rFonts w:eastAsia="Times New Roman"/>
          <w:color w:val="000000"/>
          <w:sz w:val="20"/>
          <w:szCs w:val="20"/>
        </w:rPr>
        <w:t xml:space="preserve">From time to time, the Company makes charitable contributions to the University of California, San </w:t>
      </w:r>
      <w:r>
        <w:rPr>
          <w:rFonts w:eastAsia="Times New Roman"/>
          <w:color w:val="000000"/>
          <w:sz w:val="20"/>
          <w:szCs w:val="20"/>
        </w:rPr>
        <w:t>Francisco Foundation (the “UCSF Foundation”), which are directed to support research performed in the laboratories of two of the Company’s scientific founders. The Company made no charitable contributions to the UCSF Foundation during the three months ende</w:t>
      </w:r>
      <w:r>
        <w:rPr>
          <w:rFonts w:eastAsia="Times New Roman"/>
          <w:color w:val="000000"/>
          <w:sz w:val="20"/>
          <w:szCs w:val="20"/>
        </w:rPr>
        <w:t>d March 31, 2021. The Company made charitable contributions to the UCSF Foundation in the amount of $0.7 million during the three months ended March 31, 2020.   </w:t>
      </w:r>
    </w:p>
    <w:p w:rsidR="00000000" w:rsidRDefault="009012B9">
      <w:pPr>
        <w:ind w:firstLine="1260"/>
        <w:divId w:val="1892306697"/>
        <w:rPr>
          <w:rFonts w:eastAsia="Times New Roman"/>
        </w:rPr>
      </w:pPr>
      <w:r>
        <w:rPr>
          <w:rFonts w:eastAsia="Times New Roman"/>
          <w:color w:val="000000"/>
          <w:sz w:val="20"/>
          <w:szCs w:val="20"/>
        </w:rPr>
        <w:t>In October 2019, the Company entered into the Novartis Agreement with Novartis covering the development and commercialization of the Company's preclinical product candidate, PLN-1474 and up to three additional targets. Upon execution of the Agreement, Plia</w:t>
      </w:r>
      <w:r>
        <w:rPr>
          <w:rFonts w:eastAsia="Times New Roman"/>
          <w:color w:val="000000"/>
          <w:sz w:val="20"/>
          <w:szCs w:val="20"/>
        </w:rPr>
        <w:t>nt also entered into a financing side letter with Novartis, whereby Novartis committed to provide up to $30.0 million in equity financing of which $20.0 million was provided for preferred stock as a part of a Series C equity offering and the remaining $10.</w:t>
      </w:r>
      <w:r>
        <w:rPr>
          <w:rFonts w:eastAsia="Times New Roman"/>
          <w:color w:val="000000"/>
          <w:sz w:val="20"/>
          <w:szCs w:val="20"/>
        </w:rPr>
        <w:t>0 million was completed in a private placement for common stock concurrently with the completion of the Company’s IPO. As of March 31, 2021 and December 31, 2020, Novartis owned approximately 6.0% and 6.1%, respectively, of our outstanding shares of common</w:t>
      </w:r>
      <w:r>
        <w:rPr>
          <w:rFonts w:eastAsia="Times New Roman"/>
          <w:color w:val="000000"/>
          <w:sz w:val="20"/>
          <w:szCs w:val="20"/>
        </w:rPr>
        <w:t xml:space="preserve"> stock on a fully diluted basis. See Note 6 for additional information.</w:t>
      </w:r>
    </w:p>
    <w:p w:rsidR="00000000" w:rsidRDefault="009012B9">
      <w:pPr>
        <w:divId w:val="938176892"/>
        <w:rPr>
          <w:rFonts w:eastAsia="Times New Roman"/>
        </w:rPr>
      </w:pPr>
      <w:r>
        <w:rPr>
          <w:rFonts w:eastAsia="Times New Roman"/>
          <w:b/>
          <w:bCs/>
          <w:color w:val="000000"/>
          <w:sz w:val="20"/>
          <w:szCs w:val="20"/>
        </w:rPr>
        <w:t>15. Defined Contribution Plan</w:t>
      </w:r>
    </w:p>
    <w:p w:rsidR="00000000" w:rsidRDefault="009012B9">
      <w:pPr>
        <w:ind w:firstLine="1260"/>
        <w:divId w:val="1177042656"/>
        <w:rPr>
          <w:rFonts w:eastAsia="Times New Roman"/>
        </w:rPr>
      </w:pPr>
      <w:r>
        <w:rPr>
          <w:rFonts w:eastAsia="Times New Roman"/>
          <w:color w:val="000000"/>
          <w:sz w:val="20"/>
          <w:szCs w:val="20"/>
        </w:rPr>
        <w:t>The Company sponsors a defined contribution plan under Section 401(k) of the Internal Revenue Code covering substantially all full-time U.S. employees. Em</w:t>
      </w:r>
      <w:r>
        <w:rPr>
          <w:rFonts w:eastAsia="Times New Roman"/>
          <w:color w:val="000000"/>
          <w:sz w:val="20"/>
          <w:szCs w:val="20"/>
        </w:rPr>
        <w:t>ployee contributions are voluntary and are determined on an individual basis subject to the maximum allowable under federal tax regulations. The Company made contributions to the plan of $0.2 million</w:t>
      </w:r>
      <w:r>
        <w:rPr>
          <w:rFonts w:eastAsia="Times New Roman"/>
          <w:color w:val="000000"/>
        </w:rPr>
        <w:t> </w:t>
      </w:r>
      <w:r>
        <w:rPr>
          <w:rFonts w:eastAsia="Times New Roman"/>
          <w:color w:val="000000"/>
          <w:sz w:val="20"/>
          <w:szCs w:val="20"/>
        </w:rPr>
        <w:t>for the three months ended March 31, 2021 and 2020.</w:t>
      </w:r>
    </w:p>
    <w:p w:rsidR="00000000" w:rsidRDefault="009012B9">
      <w:pPr>
        <w:divId w:val="1034113942"/>
        <w:rPr>
          <w:rFonts w:eastAsia="Times New Roman"/>
        </w:rPr>
      </w:pPr>
      <w:r>
        <w:rPr>
          <w:rFonts w:eastAsia="Times New Roman"/>
          <w:b/>
          <w:bCs/>
          <w:color w:val="000000"/>
          <w:sz w:val="20"/>
          <w:szCs w:val="20"/>
        </w:rPr>
        <w:t xml:space="preserve">16. </w:t>
      </w:r>
      <w:r>
        <w:rPr>
          <w:rFonts w:eastAsia="Times New Roman"/>
          <w:b/>
          <w:bCs/>
          <w:color w:val="000000"/>
          <w:sz w:val="20"/>
          <w:szCs w:val="20"/>
        </w:rPr>
        <w:t>Net (Loss)/Income Per Share Attributable to Common Stockholders</w:t>
      </w:r>
    </w:p>
    <w:p w:rsidR="00000000" w:rsidRDefault="009012B9">
      <w:pPr>
        <w:ind w:firstLine="1260"/>
        <w:divId w:val="1232697625"/>
        <w:rPr>
          <w:rFonts w:eastAsia="Times New Roman"/>
        </w:rPr>
      </w:pPr>
      <w:r>
        <w:rPr>
          <w:rFonts w:eastAsia="Times New Roman"/>
          <w:color w:val="000000"/>
          <w:sz w:val="20"/>
          <w:szCs w:val="20"/>
        </w:rPr>
        <w:t>The following outstanding shares of potentially dilutive securities were excluded from the computation of diluted net (loss)/income per share attributable to common stockholders for the period</w:t>
      </w:r>
      <w:r>
        <w:rPr>
          <w:rFonts w:eastAsia="Times New Roman"/>
          <w:color w:val="000000"/>
          <w:sz w:val="20"/>
          <w:szCs w:val="20"/>
        </w:rPr>
        <w:t>s presented, because including them would have been antidilutive:</w:t>
      </w:r>
    </w:p>
    <w:tbl>
      <w:tblPr>
        <w:tblW w:w="4948" w:type="pct"/>
        <w:tblCellMar>
          <w:top w:w="15" w:type="dxa"/>
          <w:left w:w="15" w:type="dxa"/>
          <w:bottom w:w="15" w:type="dxa"/>
          <w:right w:w="15" w:type="dxa"/>
        </w:tblCellMar>
        <w:tblLook w:val="04A0" w:firstRow="1" w:lastRow="0" w:firstColumn="1" w:lastColumn="0" w:noHBand="0" w:noVBand="1"/>
      </w:tblPr>
      <w:tblGrid>
        <w:gridCol w:w="61"/>
        <w:gridCol w:w="5330"/>
        <w:gridCol w:w="36"/>
        <w:gridCol w:w="62"/>
        <w:gridCol w:w="1249"/>
        <w:gridCol w:w="38"/>
        <w:gridCol w:w="37"/>
        <w:gridCol w:w="37"/>
        <w:gridCol w:w="36"/>
        <w:gridCol w:w="60"/>
        <w:gridCol w:w="1237"/>
        <w:gridCol w:w="37"/>
      </w:tblGrid>
      <w:tr w:rsidR="00000000">
        <w:trPr>
          <w:divId w:val="1744326719"/>
        </w:trPr>
        <w:tc>
          <w:tcPr>
            <w:tcW w:w="50" w:type="pct"/>
            <w:vAlign w:val="center"/>
            <w:hideMark/>
          </w:tcPr>
          <w:p w:rsidR="00000000" w:rsidRDefault="009012B9">
            <w:pPr>
              <w:ind w:firstLine="1260"/>
              <w:rPr>
                <w:rFonts w:eastAsia="Times New Roman"/>
              </w:rPr>
            </w:pPr>
          </w:p>
        </w:tc>
        <w:tc>
          <w:tcPr>
            <w:tcW w:w="3253"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772"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26"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772"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r>
      <w:tr w:rsidR="00000000">
        <w:trPr>
          <w:divId w:val="1744326719"/>
        </w:trPr>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Three Months Ended March 31,</w:t>
            </w:r>
          </w:p>
        </w:tc>
      </w:tr>
      <w:tr w:rsidR="00000000">
        <w:trPr>
          <w:divId w:val="1744326719"/>
        </w:trPr>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2020</w:t>
            </w:r>
          </w:p>
        </w:tc>
      </w:tr>
      <w:tr w:rsidR="00000000">
        <w:trPr>
          <w:divId w:val="1744326719"/>
        </w:trPr>
        <w:tc>
          <w:tcPr>
            <w:tcW w:w="0" w:type="auto"/>
            <w:gridSpan w:val="3"/>
            <w:shd w:val="clear" w:color="auto" w:fill="CFF0FC"/>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Redeemable convertible preferred stock (on an as-converted basis)</w:t>
            </w: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22,432,029 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1744326719"/>
        </w:trPr>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Options to purchase common stock</w:t>
            </w: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3,928,287 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2,603,744 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1744326719"/>
        </w:trPr>
        <w:tc>
          <w:tcPr>
            <w:tcW w:w="0" w:type="auto"/>
            <w:gridSpan w:val="3"/>
            <w:shd w:val="clear" w:color="auto" w:fill="CFF0FC"/>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Restricted stock awards granted and not purchased</w:t>
            </w:r>
          </w:p>
        </w:tc>
        <w:tc>
          <w:tcPr>
            <w:tcW w:w="0" w:type="auto"/>
            <w:gridSpan w:val="2"/>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4,195 </w:t>
            </w:r>
          </w:p>
        </w:tc>
        <w:tc>
          <w:tcPr>
            <w:tcW w:w="0" w:type="auto"/>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4,195 </w:t>
            </w:r>
          </w:p>
        </w:tc>
        <w:tc>
          <w:tcPr>
            <w:tcW w:w="0" w:type="auto"/>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1744326719"/>
        </w:trPr>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Unvested restricted shares</w:t>
            </w: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96,245 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237,997 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1744326719"/>
        </w:trPr>
        <w:tc>
          <w:tcPr>
            <w:tcW w:w="0" w:type="auto"/>
            <w:gridSpan w:val="3"/>
            <w:shd w:val="clear" w:color="auto" w:fill="CFF0FC"/>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4,028,727 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25,277,965 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r>
    </w:tbl>
    <w:p w:rsidR="00000000" w:rsidRDefault="009012B9">
      <w:pPr>
        <w:ind w:firstLine="1260"/>
        <w:divId w:val="856895090"/>
        <w:rPr>
          <w:rFonts w:eastAsia="Times New Roman"/>
        </w:rPr>
      </w:pPr>
      <w:r>
        <w:rPr>
          <w:rFonts w:eastAsia="Times New Roman"/>
          <w:color w:val="000000"/>
          <w:sz w:val="20"/>
          <w:szCs w:val="20"/>
        </w:rPr>
        <w:t>A reconciliation of the numerator and denominator used in the calculation of the basic and diluted net loss per share attributable to common stockholders is as follows (in thousands, except share and per share amounts):</w:t>
      </w:r>
    </w:p>
    <w:p w:rsidR="00000000" w:rsidRDefault="009012B9">
      <w:pPr>
        <w:jc w:val="center"/>
        <w:divId w:val="1623076744"/>
        <w:rPr>
          <w:rFonts w:eastAsia="Times New Roman"/>
        </w:rPr>
      </w:pPr>
      <w:r>
        <w:rPr>
          <w:rFonts w:eastAsia="Times New Roman"/>
          <w:color w:val="000000"/>
          <w:sz w:val="20"/>
          <w:szCs w:val="20"/>
        </w:rPr>
        <w:t>20</w:t>
      </w:r>
    </w:p>
    <w:p w:rsidR="00000000" w:rsidRDefault="009012B9">
      <w:pPr>
        <w:rPr>
          <w:rFonts w:eastAsia="Times New Roman"/>
        </w:rPr>
      </w:pPr>
      <w:r>
        <w:rPr>
          <w:rFonts w:eastAsia="Times New Roman"/>
        </w:rPr>
        <w:pict>
          <v:rect id="_x0000_i1044" style="width:0;height:1.5pt" o:hralign="center" o:hrstd="t" o:hr="t" fillcolor="#a0a0a0" stroked="f"/>
        </w:pict>
      </w:r>
    </w:p>
    <w:p w:rsidR="00000000" w:rsidRDefault="009012B9">
      <w:pPr>
        <w:divId w:val="1052730926"/>
        <w:rPr>
          <w:rFonts w:eastAsia="Times New Roman"/>
        </w:rPr>
      </w:pPr>
    </w:p>
    <w:tbl>
      <w:tblPr>
        <w:tblW w:w="4941" w:type="pct"/>
        <w:tblCellMar>
          <w:top w:w="15" w:type="dxa"/>
          <w:left w:w="15" w:type="dxa"/>
          <w:bottom w:w="15" w:type="dxa"/>
          <w:right w:w="15" w:type="dxa"/>
        </w:tblCellMar>
        <w:tblLook w:val="04A0" w:firstRow="1" w:lastRow="0" w:firstColumn="1" w:lastColumn="0" w:noHBand="0" w:noVBand="1"/>
      </w:tblPr>
      <w:tblGrid>
        <w:gridCol w:w="39"/>
        <w:gridCol w:w="5687"/>
        <w:gridCol w:w="38"/>
        <w:gridCol w:w="121"/>
        <w:gridCol w:w="894"/>
        <w:gridCol w:w="36"/>
        <w:gridCol w:w="36"/>
        <w:gridCol w:w="36"/>
        <w:gridCol w:w="36"/>
        <w:gridCol w:w="121"/>
        <w:gridCol w:w="840"/>
        <w:gridCol w:w="36"/>
        <w:gridCol w:w="36"/>
        <w:gridCol w:w="36"/>
        <w:gridCol w:w="36"/>
        <w:gridCol w:w="36"/>
        <w:gridCol w:w="36"/>
        <w:gridCol w:w="36"/>
        <w:gridCol w:w="36"/>
        <w:gridCol w:w="36"/>
      </w:tblGrid>
      <w:tr w:rsidR="00000000">
        <w:trPr>
          <w:divId w:val="2024744300"/>
        </w:trPr>
        <w:tc>
          <w:tcPr>
            <w:tcW w:w="50" w:type="pct"/>
            <w:vAlign w:val="center"/>
            <w:hideMark/>
          </w:tcPr>
          <w:p w:rsidR="00000000" w:rsidRDefault="009012B9">
            <w:pPr>
              <w:rPr>
                <w:rFonts w:eastAsia="Times New Roman"/>
              </w:rPr>
            </w:pPr>
          </w:p>
        </w:tc>
        <w:tc>
          <w:tcPr>
            <w:tcW w:w="3621"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588"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26"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588"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2024744300"/>
        </w:trPr>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9012B9">
            <w:pPr>
              <w:spacing w:after="100"/>
              <w:jc w:val="center"/>
              <w:rPr>
                <w:rFonts w:eastAsia="Times New Roman"/>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r>
      <w:tr w:rsidR="00000000">
        <w:trPr>
          <w:divId w:val="2024744300"/>
        </w:trPr>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2020</w:t>
            </w:r>
          </w:p>
        </w:tc>
        <w:tc>
          <w:tcPr>
            <w:tcW w:w="0" w:type="auto"/>
            <w:vAlign w:val="center"/>
            <w:hideMark/>
          </w:tcPr>
          <w:p w:rsidR="00000000" w:rsidRDefault="009012B9">
            <w:pPr>
              <w:spacing w:after="100"/>
              <w:jc w:val="center"/>
              <w:rPr>
                <w:rFonts w:eastAsia="Times New Roman"/>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2024744300"/>
        </w:trPr>
        <w:tc>
          <w:tcPr>
            <w:tcW w:w="0" w:type="auto"/>
            <w:gridSpan w:val="3"/>
            <w:shd w:val="clear" w:color="auto" w:fill="CFF0FC"/>
            <w:tcMar>
              <w:top w:w="30" w:type="dxa"/>
              <w:left w:w="20" w:type="dxa"/>
              <w:bottom w:w="30" w:type="dxa"/>
              <w:right w:w="20" w:type="dxa"/>
            </w:tcMar>
            <w:hideMark/>
          </w:tcPr>
          <w:p w:rsidR="00000000" w:rsidRDefault="009012B9">
            <w:pPr>
              <w:spacing w:after="100"/>
              <w:rPr>
                <w:rFonts w:eastAsia="Times New Roman"/>
              </w:rPr>
            </w:pPr>
            <w:r>
              <w:rPr>
                <w:rFonts w:eastAsia="Times New Roman"/>
                <w:b/>
                <w:bCs/>
                <w:color w:val="000000"/>
                <w:sz w:val="20"/>
                <w:szCs w:val="20"/>
              </w:rPr>
              <w:t>Net income (loss) per share:</w:t>
            </w: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vAlign w:val="center"/>
            <w:hideMark/>
          </w:tcPr>
          <w:p w:rsidR="00000000" w:rsidRDefault="009012B9">
            <w:pPr>
              <w:spacing w:after="100"/>
              <w:jc w:val="right"/>
              <w:rPr>
                <w:rFonts w:eastAsia="Times New Roman"/>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2024744300"/>
        </w:trPr>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Numerator</w:t>
            </w:r>
          </w:p>
        </w:tc>
        <w:tc>
          <w:tcPr>
            <w:tcW w:w="0" w:type="auto"/>
            <w:gridSpan w:val="3"/>
            <w:tcMar>
              <w:top w:w="30" w:type="dxa"/>
              <w:left w:w="20" w:type="dxa"/>
              <w:bottom w:w="30" w:type="dxa"/>
              <w:right w:w="2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vAlign w:val="center"/>
            <w:hideMark/>
          </w:tcPr>
          <w:p w:rsidR="00000000" w:rsidRDefault="009012B9">
            <w:pPr>
              <w:spacing w:after="100"/>
              <w:jc w:val="right"/>
              <w:rPr>
                <w:rFonts w:eastAsia="Times New Roman"/>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2024744300"/>
        </w:trPr>
        <w:tc>
          <w:tcPr>
            <w:tcW w:w="0" w:type="auto"/>
            <w:gridSpan w:val="3"/>
            <w:shd w:val="clear" w:color="auto" w:fill="CFF0FC"/>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Net income (loss)</w:t>
            </w:r>
          </w:p>
        </w:tc>
        <w:tc>
          <w:tcPr>
            <w:tcW w:w="0" w:type="auto"/>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(22,856)</w:t>
            </w:r>
          </w:p>
        </w:tc>
        <w:tc>
          <w:tcPr>
            <w:tcW w:w="0" w:type="auto"/>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11,029 </w:t>
            </w:r>
          </w:p>
        </w:tc>
        <w:tc>
          <w:tcPr>
            <w:tcW w:w="0" w:type="auto"/>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vAlign w:val="center"/>
            <w:hideMark/>
          </w:tcPr>
          <w:p w:rsidR="00000000" w:rsidRDefault="009012B9">
            <w:pPr>
              <w:spacing w:after="100"/>
              <w:jc w:val="right"/>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2024744300"/>
        </w:trPr>
        <w:tc>
          <w:tcPr>
            <w:tcW w:w="0" w:type="auto"/>
            <w:gridSpan w:val="3"/>
            <w:tcMar>
              <w:top w:w="30" w:type="dxa"/>
              <w:left w:w="20" w:type="dxa"/>
              <w:bottom w:w="30" w:type="dxa"/>
              <w:right w:w="20" w:type="dxa"/>
            </w:tcMar>
            <w:vAlign w:val="bottom"/>
            <w:hideMark/>
          </w:tcPr>
          <w:p w:rsidR="00000000" w:rsidRDefault="009012B9">
            <w:pPr>
              <w:spacing w:after="100"/>
              <w:rPr>
                <w:rFonts w:eastAsia="Times New Roman"/>
              </w:rPr>
            </w:pPr>
            <w:r>
              <w:rPr>
                <w:rFonts w:eastAsia="Times New Roman"/>
                <w:color w:val="000000"/>
                <w:sz w:val="20"/>
                <w:szCs w:val="20"/>
              </w:rPr>
              <w:t>Less: undistributed earnings to preferred stockholders</w:t>
            </w: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(11,029)</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vAlign w:val="center"/>
            <w:hideMark/>
          </w:tcPr>
          <w:p w:rsidR="00000000" w:rsidRDefault="009012B9">
            <w:pPr>
              <w:spacing w:after="100"/>
              <w:jc w:val="right"/>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2024744300"/>
        </w:trPr>
        <w:tc>
          <w:tcPr>
            <w:tcW w:w="0" w:type="auto"/>
            <w:gridSpan w:val="3"/>
            <w:shd w:val="clear" w:color="auto" w:fill="CFF0FC"/>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Net loss attributable to common stockholders</w:t>
            </w: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(22,856)</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vAlign w:val="center"/>
            <w:hideMark/>
          </w:tcPr>
          <w:p w:rsidR="00000000" w:rsidRDefault="009012B9">
            <w:pPr>
              <w:spacing w:after="100"/>
              <w:jc w:val="right"/>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2024744300"/>
        </w:trPr>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Denominator</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2024744300"/>
        </w:trPr>
        <w:tc>
          <w:tcPr>
            <w:tcW w:w="0" w:type="auto"/>
            <w:gridSpan w:val="3"/>
            <w:shd w:val="clear" w:color="auto" w:fill="CFF0FC"/>
            <w:tcMar>
              <w:top w:w="30" w:type="dxa"/>
              <w:left w:w="20" w:type="dxa"/>
              <w:bottom w:w="30" w:type="dxa"/>
              <w:right w:w="20" w:type="dxa"/>
            </w:tcMar>
            <w:vAlign w:val="bottom"/>
            <w:hideMark/>
          </w:tcPr>
          <w:p w:rsidR="00000000" w:rsidRDefault="009012B9">
            <w:pPr>
              <w:spacing w:after="100"/>
              <w:ind w:hanging="180"/>
              <w:divId w:val="203834217"/>
              <w:rPr>
                <w:rFonts w:eastAsia="Times New Roman"/>
              </w:rPr>
            </w:pPr>
            <w:r>
              <w:rPr>
                <w:rFonts w:eastAsia="Times New Roman"/>
                <w:color w:val="000000"/>
                <w:sz w:val="20"/>
                <w:szCs w:val="20"/>
              </w:rPr>
              <w:t>Weighted-average common shares outstanding used to calculate net loss per share attributable to common stockholders:</w:t>
            </w: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ind w:hanging="180"/>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2024744300"/>
        </w:trPr>
        <w:tc>
          <w:tcPr>
            <w:tcW w:w="0" w:type="auto"/>
            <w:gridSpan w:val="3"/>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20"/>
                <w:szCs w:val="20"/>
              </w:rPr>
              <w:t>Basic</w:t>
            </w: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35,645,205 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1,897,669 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vAlign w:val="center"/>
            <w:hideMark/>
          </w:tcPr>
          <w:p w:rsidR="00000000" w:rsidRDefault="009012B9">
            <w:pPr>
              <w:spacing w:after="100"/>
              <w:jc w:val="right"/>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2024744300"/>
        </w:trPr>
        <w:tc>
          <w:tcPr>
            <w:tcW w:w="0" w:type="auto"/>
            <w:gridSpan w:val="3"/>
            <w:shd w:val="clear" w:color="auto" w:fill="CFF0FC"/>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20"/>
                <w:szCs w:val="20"/>
              </w:rPr>
              <w:t>Diluted</w:t>
            </w:r>
          </w:p>
        </w:tc>
        <w:tc>
          <w:tcPr>
            <w:tcW w:w="0" w:type="auto"/>
            <w:gridSpan w:val="2"/>
            <w:tcBorders>
              <w:top w:val="double" w:sz="6" w:space="0" w:color="000000"/>
            </w:tcBorders>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35,645,205 </w:t>
            </w:r>
          </w:p>
        </w:tc>
        <w:tc>
          <w:tcPr>
            <w:tcW w:w="0" w:type="auto"/>
            <w:tcBorders>
              <w:top w:val="double" w:sz="6"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Borders>
              <w:top w:val="double" w:sz="6" w:space="0" w:color="000000"/>
            </w:tcBorders>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1,897,669 </w:t>
            </w:r>
          </w:p>
        </w:tc>
        <w:tc>
          <w:tcPr>
            <w:tcW w:w="0" w:type="auto"/>
            <w:tcBorders>
              <w:top w:val="double" w:sz="6"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vAlign w:val="center"/>
            <w:hideMark/>
          </w:tcPr>
          <w:p w:rsidR="00000000" w:rsidRDefault="009012B9">
            <w:pPr>
              <w:spacing w:after="100"/>
              <w:jc w:val="right"/>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2024744300"/>
        </w:trPr>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Net loss per share attributable to common stockholders:</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2024744300"/>
        </w:trPr>
        <w:tc>
          <w:tcPr>
            <w:tcW w:w="0" w:type="auto"/>
            <w:gridSpan w:val="3"/>
            <w:shd w:val="clear" w:color="auto" w:fill="CFF0FC"/>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20"/>
                <w:szCs w:val="20"/>
              </w:rPr>
              <w:t>Basic</w:t>
            </w:r>
          </w:p>
        </w:tc>
        <w:tc>
          <w:tcPr>
            <w:tcW w:w="0" w:type="auto"/>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(0.64)</w:t>
            </w:r>
          </w:p>
        </w:tc>
        <w:tc>
          <w:tcPr>
            <w:tcW w:w="0" w:type="auto"/>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vAlign w:val="center"/>
            <w:hideMark/>
          </w:tcPr>
          <w:p w:rsidR="00000000" w:rsidRDefault="009012B9">
            <w:pPr>
              <w:spacing w:after="100"/>
              <w:jc w:val="right"/>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r w:rsidR="00000000">
        <w:trPr>
          <w:divId w:val="2024744300"/>
        </w:trPr>
        <w:tc>
          <w:tcPr>
            <w:tcW w:w="0" w:type="auto"/>
            <w:gridSpan w:val="3"/>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20"/>
                <w:szCs w:val="20"/>
              </w:rPr>
              <w:t>Diluted</w:t>
            </w:r>
          </w:p>
        </w:tc>
        <w:tc>
          <w:tcPr>
            <w:tcW w:w="0" w:type="auto"/>
            <w:tcBorders>
              <w:top w:val="double" w:sz="6" w:space="0" w:color="000000"/>
              <w:bottom w:val="double" w:sz="6" w:space="0" w:color="000000"/>
            </w:tcBorders>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(0.64)</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double" w:sz="6" w:space="0" w:color="000000"/>
              <w:bottom w:val="double" w:sz="6" w:space="0" w:color="000000"/>
            </w:tcBorders>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vAlign w:val="center"/>
            <w:hideMark/>
          </w:tcPr>
          <w:p w:rsidR="00000000" w:rsidRDefault="009012B9">
            <w:pPr>
              <w:spacing w:after="100"/>
              <w:jc w:val="right"/>
              <w:rPr>
                <w:rFonts w:eastAsia="Times New Roman"/>
                <w:sz w:val="20"/>
                <w:szCs w:val="20"/>
              </w:rPr>
            </w:pPr>
          </w:p>
        </w:tc>
        <w:tc>
          <w:tcPr>
            <w:tcW w:w="0" w:type="auto"/>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c>
          <w:tcPr>
            <w:tcW w:w="0" w:type="auto"/>
            <w:gridSpan w:val="3"/>
            <w:vAlign w:val="center"/>
            <w:hideMark/>
          </w:tcPr>
          <w:p w:rsidR="00000000" w:rsidRDefault="009012B9">
            <w:pPr>
              <w:spacing w:after="100"/>
              <w:rPr>
                <w:rFonts w:eastAsia="Times New Roman"/>
                <w:sz w:val="20"/>
                <w:szCs w:val="20"/>
              </w:rPr>
            </w:pPr>
          </w:p>
        </w:tc>
      </w:tr>
    </w:tbl>
    <w:p w:rsidR="00000000" w:rsidRDefault="009012B9">
      <w:pPr>
        <w:divId w:val="1028221764"/>
        <w:rPr>
          <w:rFonts w:eastAsia="Times New Roman"/>
        </w:rPr>
      </w:pPr>
    </w:p>
    <w:p w:rsidR="00000000" w:rsidRDefault="009012B9">
      <w:pPr>
        <w:divId w:val="1002007805"/>
        <w:rPr>
          <w:rFonts w:eastAsia="Times New Roman"/>
        </w:rPr>
      </w:pPr>
      <w:r>
        <w:rPr>
          <w:rFonts w:eastAsia="Times New Roman"/>
          <w:b/>
          <w:bCs/>
          <w:color w:val="000000"/>
          <w:sz w:val="20"/>
          <w:szCs w:val="20"/>
        </w:rPr>
        <w:t>17. Subsequent Events</w:t>
      </w:r>
    </w:p>
    <w:p w:rsidR="00000000" w:rsidRDefault="009012B9">
      <w:pPr>
        <w:ind w:firstLine="1260"/>
        <w:divId w:val="1580207840"/>
        <w:rPr>
          <w:rFonts w:eastAsia="Times New Roman"/>
        </w:rPr>
      </w:pPr>
      <w:r>
        <w:rPr>
          <w:rFonts w:eastAsia="Times New Roman"/>
          <w:color w:val="000000"/>
          <w:sz w:val="20"/>
          <w:szCs w:val="20"/>
        </w:rPr>
        <w:t>The Company has evaluated subsequent events for financial statement purposes occurring through May 10, 2021, the date these financial statements were issued.</w:t>
      </w:r>
    </w:p>
    <w:p w:rsidR="00000000" w:rsidRDefault="009012B9">
      <w:pPr>
        <w:jc w:val="center"/>
        <w:divId w:val="672804465"/>
        <w:rPr>
          <w:rFonts w:eastAsia="Times New Roman"/>
        </w:rPr>
      </w:pPr>
      <w:r>
        <w:rPr>
          <w:rFonts w:eastAsia="Times New Roman"/>
          <w:color w:val="000000"/>
          <w:sz w:val="20"/>
          <w:szCs w:val="20"/>
        </w:rPr>
        <w:t>21</w:t>
      </w:r>
    </w:p>
    <w:p w:rsidR="00000000" w:rsidRDefault="009012B9">
      <w:pPr>
        <w:rPr>
          <w:rFonts w:eastAsia="Times New Roman"/>
        </w:rPr>
      </w:pPr>
      <w:r>
        <w:rPr>
          <w:rFonts w:eastAsia="Times New Roman"/>
        </w:rPr>
        <w:pict>
          <v:rect id="_x0000_i1045" style="width:0;height:1.5pt" o:hralign="center" o:hrstd="t" o:hr="t" fillcolor="#a0a0a0" stroked="f"/>
        </w:pict>
      </w:r>
    </w:p>
    <w:p w:rsidR="00000000" w:rsidRDefault="009012B9">
      <w:pPr>
        <w:divId w:val="2084378247"/>
        <w:rPr>
          <w:rFonts w:eastAsia="Times New Roman"/>
        </w:rPr>
      </w:pPr>
    </w:p>
    <w:p w:rsidR="00000000" w:rsidRDefault="009012B9">
      <w:pPr>
        <w:divId w:val="2043703922"/>
        <w:rPr>
          <w:rFonts w:eastAsia="Times New Roman"/>
        </w:rPr>
      </w:pPr>
      <w:r>
        <w:rPr>
          <w:rFonts w:eastAsia="Times New Roman"/>
          <w:b/>
          <w:bCs/>
          <w:color w:val="000000"/>
          <w:sz w:val="20"/>
          <w:szCs w:val="20"/>
        </w:rPr>
        <w:t>Item 2. Management’</w:t>
      </w:r>
      <w:r>
        <w:rPr>
          <w:rFonts w:eastAsia="Times New Roman"/>
          <w:b/>
          <w:bCs/>
          <w:color w:val="000000"/>
          <w:sz w:val="20"/>
          <w:szCs w:val="20"/>
        </w:rPr>
        <w:t xml:space="preserve">s Discussion and Analysis of Financial Condition and Results of Operations. </w:t>
      </w:r>
    </w:p>
    <w:p w:rsidR="00000000" w:rsidRDefault="009012B9">
      <w:pPr>
        <w:ind w:firstLine="1260"/>
        <w:divId w:val="639648946"/>
        <w:rPr>
          <w:rFonts w:eastAsia="Times New Roman"/>
        </w:rPr>
      </w:pPr>
      <w:r>
        <w:rPr>
          <w:rFonts w:eastAsia="Times New Roman"/>
          <w:i/>
          <w:iCs/>
          <w:color w:val="000000"/>
          <w:sz w:val="20"/>
          <w:szCs w:val="20"/>
        </w:rPr>
        <w:t xml:space="preserve">The following discussion and analysis should be read in conjunction with our condensed financial statements and related notes appearing elsewhere in this Quarterly Report on Form </w:t>
      </w:r>
      <w:r>
        <w:rPr>
          <w:rFonts w:eastAsia="Times New Roman"/>
          <w:i/>
          <w:iCs/>
          <w:color w:val="000000"/>
          <w:sz w:val="20"/>
          <w:szCs w:val="20"/>
        </w:rPr>
        <w:t>10-Q, or this Report, as well as our audited financial statements and related notes included in our Annual Report on Form 10-K for the fiscal year ended December 31, 2020, filed with the Securities and Exchange Commission, or SEC. This discussion and analy</w:t>
      </w:r>
      <w:r>
        <w:rPr>
          <w:rFonts w:eastAsia="Times New Roman"/>
          <w:i/>
          <w:iCs/>
          <w:color w:val="000000"/>
          <w:sz w:val="20"/>
          <w:szCs w:val="20"/>
        </w:rPr>
        <w:t>sis contains forward-looking statements based upon current beliefs, plans and expectations that involve risks, uncertainties and assumptions, such as statements regarding our plans, objectives, expectations, intention, beliefs and projections. Our actual r</w:t>
      </w:r>
      <w:r>
        <w:rPr>
          <w:rFonts w:eastAsia="Times New Roman"/>
          <w:i/>
          <w:iCs/>
          <w:color w:val="000000"/>
          <w:sz w:val="20"/>
          <w:szCs w:val="20"/>
        </w:rPr>
        <w:t>esults and the timing of events could differ materially from those anticipated in these forward-looking statements as a result of several factors, including those set forth in the section titled “Risk Factors” under Part II, Item 1A of this Report and unde</w:t>
      </w:r>
      <w:r>
        <w:rPr>
          <w:rFonts w:eastAsia="Times New Roman"/>
          <w:i/>
          <w:iCs/>
          <w:color w:val="000000"/>
          <w:sz w:val="20"/>
          <w:szCs w:val="20"/>
        </w:rPr>
        <w:t>r Part I, Item 1A of our Annual Report on Form 10-K for the fiscal year ended December 31, 2020. In some cases, you can identify forward-looking statements by terminology such as “anticipate,” “believe,” “continue,” “could,” “estimate,” “expect,” “intend,”</w:t>
      </w:r>
      <w:r>
        <w:rPr>
          <w:rFonts w:eastAsia="Times New Roman"/>
          <w:i/>
          <w:iCs/>
          <w:color w:val="000000"/>
          <w:sz w:val="20"/>
          <w:szCs w:val="20"/>
        </w:rPr>
        <w:t xml:space="preserve"> “may,” “plan,” “potentially,” “predict,” “should,” “will” or the negative of these terms or other similar expressions.</w:t>
      </w:r>
    </w:p>
    <w:p w:rsidR="00000000" w:rsidRDefault="009012B9">
      <w:pPr>
        <w:ind w:firstLine="1260"/>
        <w:divId w:val="1944530015"/>
        <w:rPr>
          <w:rFonts w:eastAsia="Times New Roman"/>
        </w:rPr>
      </w:pPr>
      <w:r>
        <w:rPr>
          <w:rFonts w:eastAsia="Times New Roman"/>
          <w:i/>
          <w:iCs/>
          <w:color w:val="000000"/>
          <w:sz w:val="20"/>
          <w:szCs w:val="20"/>
        </w:rPr>
        <w:t>In addition, statements that “we believe” and similar statements reflect our beliefs and opinions on the relevant subject. These stateme</w:t>
      </w:r>
      <w:r>
        <w:rPr>
          <w:rFonts w:eastAsia="Times New Roman"/>
          <w:i/>
          <w:iCs/>
          <w:color w:val="000000"/>
          <w:sz w:val="20"/>
          <w:szCs w:val="20"/>
        </w:rPr>
        <w:t>nts are based upon information available to us as of the date of this Report, and while we believe such information forms a reasonable basis for such statements, such information may be limited or incomplete, and our statements should not be read to indica</w:t>
      </w:r>
      <w:r>
        <w:rPr>
          <w:rFonts w:eastAsia="Times New Roman"/>
          <w:i/>
          <w:iCs/>
          <w:color w:val="000000"/>
          <w:sz w:val="20"/>
          <w:szCs w:val="20"/>
        </w:rPr>
        <w:t>te we have conducted exhaustive inquiry into, or review of, all potentially available relevant information. These statements are inherently uncertain and investors are cautioned not to unduly rely upon these statements.</w:t>
      </w:r>
    </w:p>
    <w:p w:rsidR="00000000" w:rsidRDefault="009012B9">
      <w:pPr>
        <w:jc w:val="center"/>
        <w:divId w:val="1228685790"/>
        <w:rPr>
          <w:rFonts w:eastAsia="Times New Roman"/>
        </w:rPr>
      </w:pPr>
      <w:r>
        <w:rPr>
          <w:rFonts w:eastAsia="Times New Roman"/>
          <w:b/>
          <w:bCs/>
          <w:color w:val="000000"/>
          <w:sz w:val="20"/>
          <w:szCs w:val="20"/>
        </w:rPr>
        <w:t>Overview</w:t>
      </w:r>
    </w:p>
    <w:p w:rsidR="00000000" w:rsidRDefault="009012B9">
      <w:pPr>
        <w:ind w:firstLine="1260"/>
        <w:divId w:val="120920989"/>
        <w:rPr>
          <w:rFonts w:eastAsia="Times New Roman"/>
        </w:rPr>
      </w:pPr>
      <w:r>
        <w:rPr>
          <w:rFonts w:eastAsia="Times New Roman"/>
          <w:color w:val="000000"/>
          <w:sz w:val="20"/>
          <w:szCs w:val="20"/>
        </w:rPr>
        <w:t>We are a clinical stage bio</w:t>
      </w:r>
      <w:r>
        <w:rPr>
          <w:rFonts w:eastAsia="Times New Roman"/>
          <w:color w:val="000000"/>
          <w:sz w:val="20"/>
          <w:szCs w:val="20"/>
        </w:rPr>
        <w:t>pharmaceutical company focused on discovering and developing novel therapies for the treatment of fibrosis and related diseases. Our initial focus is on treating fibrosis by inhibiting integrin-mediated activation of TGF-ß. We have applied our deep underst</w:t>
      </w:r>
      <w:r>
        <w:rPr>
          <w:rFonts w:eastAsia="Times New Roman"/>
          <w:color w:val="000000"/>
          <w:sz w:val="20"/>
          <w:szCs w:val="20"/>
        </w:rPr>
        <w:t xml:space="preserve">anding of fibrosis biology, along with our medicinal chemistry and translational medicine expertise to develop a set of proprietary tools designed to discover and de-risk product candidates quickly and efficiently. Our wholly owned lead product candidate, </w:t>
      </w:r>
      <w:r>
        <w:rPr>
          <w:rFonts w:eastAsia="Times New Roman"/>
          <w:color w:val="000000"/>
          <w:sz w:val="20"/>
          <w:szCs w:val="20"/>
        </w:rPr>
        <w:t>PLN-74809, is an oral, small-molecule, dual selective inhibitor of αvβ6 and αvβ1 integrins that we are developing for the treatment of idiopathic pulmonary fibrosis, or IPF, and primary sclerosing cholangitis, or PSC. We have completed a Phase 1a SAD/MAD t</w:t>
      </w:r>
      <w:r>
        <w:rPr>
          <w:rFonts w:eastAsia="Times New Roman"/>
          <w:color w:val="000000"/>
          <w:sz w:val="20"/>
          <w:szCs w:val="20"/>
        </w:rPr>
        <w:t>rial and a Phase 1b proof-of-mechanism trial of PLN-74809 in IPF and are currently recruiting three Phase 2a trials in our lead indications: two in IPF and one in PSC. We expect to announce preliminary data from our first Phase 2a IPF trial in the first ha</w:t>
      </w:r>
      <w:r>
        <w:rPr>
          <w:rFonts w:eastAsia="Times New Roman"/>
          <w:color w:val="000000"/>
          <w:sz w:val="20"/>
          <w:szCs w:val="20"/>
        </w:rPr>
        <w:t xml:space="preserve">lf of 2021. Our second product candidate, PLN-1474, is a small-molecule selective inhibitor of αvβ1 for the treatment of liver fibrosis associated with nonalcoholic steatohepatitis, or NASH, which we have partnered with Novartis. PLN-1474 has successfully </w:t>
      </w:r>
      <w:r>
        <w:rPr>
          <w:rFonts w:eastAsia="Times New Roman"/>
          <w:color w:val="000000"/>
          <w:sz w:val="20"/>
          <w:szCs w:val="20"/>
        </w:rPr>
        <w:t>completed a Phase 1 SAD/MAD trial and the Investigational New Drug, or IND, application was transferred to Novartis in the first quarter of 2021. Novartis will be responsible for all future PLN-1474 development, manufacturing, and commercialization activit</w:t>
      </w:r>
      <w:r>
        <w:rPr>
          <w:rFonts w:eastAsia="Times New Roman"/>
          <w:color w:val="000000"/>
          <w:sz w:val="20"/>
          <w:szCs w:val="20"/>
        </w:rPr>
        <w:t>ies. In addition to our clinical programs, we currently have preclinical integrin-based programs targeting oncology and muscular dystrophies.</w:t>
      </w:r>
    </w:p>
    <w:p w:rsidR="00000000" w:rsidRDefault="009012B9">
      <w:pPr>
        <w:ind w:firstLine="1260"/>
        <w:divId w:val="1891838328"/>
        <w:rPr>
          <w:rFonts w:eastAsia="Times New Roman"/>
        </w:rPr>
      </w:pPr>
      <w:r>
        <w:rPr>
          <w:rFonts w:eastAsia="Times New Roman"/>
          <w:b/>
          <w:bCs/>
          <w:i/>
          <w:iCs/>
          <w:color w:val="000000"/>
          <w:sz w:val="20"/>
          <w:szCs w:val="20"/>
        </w:rPr>
        <w:t>First Quarter and Recent Highlights</w:t>
      </w:r>
    </w:p>
    <w:p w:rsidR="00000000" w:rsidRDefault="009012B9">
      <w:pPr>
        <w:divId w:val="1707411253"/>
        <w:rPr>
          <w:rFonts w:eastAsia="Times New Roman"/>
        </w:rPr>
      </w:pPr>
    </w:p>
    <w:p w:rsidR="00000000" w:rsidRDefault="009012B9">
      <w:pPr>
        <w:ind w:hanging="1260"/>
        <w:divId w:val="246577252"/>
        <w:rPr>
          <w:rFonts w:eastAsia="Times New Roman"/>
        </w:rPr>
      </w:pPr>
      <w:r>
        <w:rPr>
          <w:rFonts w:eastAsia="Times New Roman"/>
          <w:color w:val="000000"/>
          <w:sz w:val="20"/>
          <w:szCs w:val="20"/>
        </w:rPr>
        <w:t>•    </w:t>
      </w:r>
      <w:r>
        <w:rPr>
          <w:rFonts w:eastAsia="Times New Roman"/>
          <w:b/>
          <w:bCs/>
          <w:color w:val="000000"/>
          <w:sz w:val="20"/>
          <w:szCs w:val="20"/>
        </w:rPr>
        <w:t>PLN-74809 Phase 2a positron emission tomography (PET) imaging trial pre</w:t>
      </w:r>
      <w:r>
        <w:rPr>
          <w:rFonts w:eastAsia="Times New Roman"/>
          <w:b/>
          <w:bCs/>
          <w:color w:val="000000"/>
          <w:sz w:val="20"/>
          <w:szCs w:val="20"/>
        </w:rPr>
        <w:t>liminary data expected in the first half 2021.</w:t>
      </w:r>
      <w:r>
        <w:rPr>
          <w:rFonts w:eastAsia="Times New Roman"/>
          <w:color w:val="000000"/>
          <w:sz w:val="20"/>
          <w:szCs w:val="20"/>
        </w:rPr>
        <w:t xml:space="preserve"> This open-label, dose ranging trial is evaluating target receptor occupancy levels of PLN-74809 in the lungs of IPF patients across multiple single-dose cohorts utilizing a PET tracer of the integrin αvβ6. The</w:t>
      </w:r>
      <w:r>
        <w:rPr>
          <w:rFonts w:eastAsia="Times New Roman"/>
          <w:color w:val="000000"/>
          <w:sz w:val="20"/>
          <w:szCs w:val="20"/>
        </w:rPr>
        <w:t xml:space="preserve"> goal of the trial is to confirm the ability of PLN-74809, a dual selective inhibitor of αvβ6/αvβ1, to penetrate highly fibrotic areas of the lung where αvβ6 expression is highest and bind to its target receptor. Additionally, the trial will establish a ph</w:t>
      </w:r>
      <w:r>
        <w:rPr>
          <w:rFonts w:eastAsia="Times New Roman"/>
          <w:color w:val="000000"/>
          <w:sz w:val="20"/>
          <w:szCs w:val="20"/>
        </w:rPr>
        <w:t>armacokinetic/ pharmacodynamic (PK/PD) relationship between PLN-74809 plasma exposure and αvβ6 receptor occupancy, allowing us to build a PK/PD model that will inform dose selection in later stage trials.</w:t>
      </w:r>
    </w:p>
    <w:p w:rsidR="00000000" w:rsidRDefault="009012B9">
      <w:pPr>
        <w:ind w:hanging="1260"/>
        <w:divId w:val="959841132"/>
        <w:rPr>
          <w:rFonts w:eastAsia="Times New Roman"/>
        </w:rPr>
      </w:pPr>
    </w:p>
    <w:p w:rsidR="00000000" w:rsidRDefault="009012B9">
      <w:pPr>
        <w:ind w:hanging="1260"/>
        <w:divId w:val="1332413880"/>
        <w:rPr>
          <w:rFonts w:eastAsia="Times New Roman"/>
        </w:rPr>
      </w:pPr>
      <w:r>
        <w:rPr>
          <w:rFonts w:eastAsia="Times New Roman"/>
          <w:color w:val="000000"/>
          <w:sz w:val="20"/>
          <w:szCs w:val="20"/>
        </w:rPr>
        <w:t>•    </w:t>
      </w:r>
      <w:r>
        <w:rPr>
          <w:rFonts w:eastAsia="Times New Roman"/>
          <w:b/>
          <w:bCs/>
          <w:color w:val="000000"/>
          <w:sz w:val="20"/>
          <w:szCs w:val="20"/>
        </w:rPr>
        <w:t>PLN-74809 Phase 2a INTEGRIS trial in idiopat</w:t>
      </w:r>
      <w:r>
        <w:rPr>
          <w:rFonts w:eastAsia="Times New Roman"/>
          <w:b/>
          <w:bCs/>
          <w:color w:val="000000"/>
          <w:sz w:val="20"/>
          <w:szCs w:val="20"/>
        </w:rPr>
        <w:t>hic pulmonary fibrosis (IPF) continued to build momentum, currently on track to complete enrollment by the end of 2021.</w:t>
      </w:r>
      <w:r>
        <w:rPr>
          <w:rFonts w:eastAsia="Times New Roman"/>
          <w:color w:val="000000"/>
          <w:sz w:val="20"/>
          <w:szCs w:val="20"/>
        </w:rPr>
        <w:t xml:space="preserve"> The primary endpoints of this 12-week randomized, dose-ranging, double-blind, placebo-controlled trial are the evaluation of PLN-74809’s</w:t>
      </w:r>
      <w:r>
        <w:rPr>
          <w:rFonts w:eastAsia="Times New Roman"/>
          <w:color w:val="000000"/>
          <w:sz w:val="20"/>
          <w:szCs w:val="20"/>
        </w:rPr>
        <w:t xml:space="preserve"> safety, tolerability, and pharmacokinetics in IPF patients. The Company will also evaluate exploratory efficacy endpoints including Quantitative Lung Fibrosis, or QLF, imaging as well as pulmonary function tests.</w:t>
      </w:r>
    </w:p>
    <w:p w:rsidR="00000000" w:rsidRDefault="009012B9">
      <w:pPr>
        <w:ind w:hanging="1260"/>
        <w:divId w:val="2022733390"/>
        <w:rPr>
          <w:rFonts w:eastAsia="Times New Roman"/>
        </w:rPr>
      </w:pPr>
    </w:p>
    <w:p w:rsidR="00000000" w:rsidRDefault="009012B9">
      <w:pPr>
        <w:jc w:val="center"/>
        <w:divId w:val="1154024675"/>
        <w:rPr>
          <w:rFonts w:eastAsia="Times New Roman"/>
        </w:rPr>
      </w:pPr>
      <w:r>
        <w:rPr>
          <w:rFonts w:eastAsia="Times New Roman"/>
          <w:color w:val="000000"/>
          <w:sz w:val="20"/>
          <w:szCs w:val="20"/>
        </w:rPr>
        <w:t>22</w:t>
      </w:r>
    </w:p>
    <w:p w:rsidR="00000000" w:rsidRDefault="009012B9">
      <w:pPr>
        <w:rPr>
          <w:rFonts w:eastAsia="Times New Roman"/>
        </w:rPr>
      </w:pPr>
      <w:r>
        <w:rPr>
          <w:rFonts w:eastAsia="Times New Roman"/>
        </w:rPr>
        <w:pict>
          <v:rect id="_x0000_i1046" style="width:0;height:1.5pt" o:hralign="center" o:hrstd="t" o:hr="t" fillcolor="#a0a0a0" stroked="f"/>
        </w:pict>
      </w:r>
    </w:p>
    <w:p w:rsidR="00000000" w:rsidRDefault="009012B9">
      <w:pPr>
        <w:divId w:val="1878853119"/>
        <w:rPr>
          <w:rFonts w:eastAsia="Times New Roman"/>
        </w:rPr>
      </w:pPr>
    </w:p>
    <w:p w:rsidR="00000000" w:rsidRDefault="009012B9">
      <w:pPr>
        <w:ind w:hanging="1260"/>
        <w:divId w:val="888765347"/>
        <w:rPr>
          <w:rFonts w:eastAsia="Times New Roman"/>
        </w:rPr>
      </w:pPr>
      <w:r>
        <w:rPr>
          <w:rFonts w:eastAsia="Times New Roman"/>
          <w:color w:val="000000"/>
          <w:sz w:val="20"/>
          <w:szCs w:val="20"/>
        </w:rPr>
        <w:t>•    </w:t>
      </w:r>
      <w:r>
        <w:rPr>
          <w:rFonts w:eastAsia="Times New Roman"/>
          <w:b/>
          <w:bCs/>
          <w:color w:val="000000"/>
          <w:sz w:val="20"/>
          <w:szCs w:val="20"/>
        </w:rPr>
        <w:t>PLN-74809 Phase 2a INTEGRIS trial in primary sclerosing cholangitis (PSC) continued to advance, currently on track to complete enrollment in the first half 2022.</w:t>
      </w:r>
      <w:r>
        <w:rPr>
          <w:rFonts w:eastAsia="Times New Roman"/>
          <w:color w:val="000000"/>
          <w:sz w:val="20"/>
          <w:szCs w:val="20"/>
        </w:rPr>
        <w:t xml:space="preserve"> The primary endpoints of this 12-week randomized, dose-ranging, double-blind, placebo-c</w:t>
      </w:r>
      <w:r>
        <w:rPr>
          <w:rFonts w:eastAsia="Times New Roman"/>
          <w:color w:val="000000"/>
          <w:sz w:val="20"/>
          <w:szCs w:val="20"/>
        </w:rPr>
        <w:t>ontrolled trial are the evaluation of PLN-74809’s safety, tolerability, and pharmacokinetics in PSC patients. The Company will also evaluate exploratory efficacy endpoints including fibrosis biomarkers such as Pro-C3 and ELF, changes in ALP, and liver imag</w:t>
      </w:r>
      <w:r>
        <w:rPr>
          <w:rFonts w:eastAsia="Times New Roman"/>
          <w:color w:val="000000"/>
          <w:sz w:val="20"/>
          <w:szCs w:val="20"/>
        </w:rPr>
        <w:t>ing.</w:t>
      </w:r>
    </w:p>
    <w:p w:rsidR="00000000" w:rsidRDefault="009012B9">
      <w:pPr>
        <w:ind w:hanging="1260"/>
        <w:divId w:val="1199662002"/>
        <w:rPr>
          <w:rFonts w:eastAsia="Times New Roman"/>
        </w:rPr>
      </w:pPr>
    </w:p>
    <w:p w:rsidR="00000000" w:rsidRDefault="009012B9">
      <w:pPr>
        <w:ind w:hanging="1260"/>
        <w:divId w:val="1174765133"/>
        <w:rPr>
          <w:rFonts w:eastAsia="Times New Roman"/>
        </w:rPr>
      </w:pPr>
      <w:r>
        <w:rPr>
          <w:rFonts w:eastAsia="Times New Roman"/>
          <w:color w:val="000000"/>
          <w:sz w:val="20"/>
          <w:szCs w:val="20"/>
        </w:rPr>
        <w:t>•    </w:t>
      </w:r>
      <w:r>
        <w:rPr>
          <w:rFonts w:eastAsia="Times New Roman"/>
          <w:b/>
          <w:bCs/>
          <w:color w:val="000000"/>
          <w:sz w:val="20"/>
          <w:szCs w:val="20"/>
        </w:rPr>
        <w:t>Successful completion of PLN-1474 Phase 1 trial and transfer of PLN-1474 to Novartis.</w:t>
      </w:r>
      <w:r>
        <w:rPr>
          <w:rFonts w:eastAsia="Times New Roman"/>
          <w:color w:val="000000"/>
          <w:sz w:val="20"/>
          <w:szCs w:val="20"/>
        </w:rPr>
        <w:t xml:space="preserve"> </w:t>
      </w:r>
      <w:r>
        <w:rPr>
          <w:rFonts w:eastAsia="Times New Roman"/>
          <w:color w:val="000000"/>
          <w:sz w:val="20"/>
          <w:szCs w:val="20"/>
        </w:rPr>
        <w:t>The Phase 1 trial of PLN-1474 was a safety, tolerability, and pharmacokinetics dose-escalating first-in-human trial that enrolled 84 healthy volunteers. PLN-1474 was rapidly absorbed and well tolerated with no dose-or treatment-limiting toxicities or sever</w:t>
      </w:r>
      <w:r>
        <w:rPr>
          <w:rFonts w:eastAsia="Times New Roman"/>
          <w:color w:val="000000"/>
          <w:sz w:val="20"/>
          <w:szCs w:val="20"/>
        </w:rPr>
        <w:t>e/ serious adverse events observed. In preclinical studies, PLN-1474 was observed to selectively block the αvβ1 integrin-mediated activation of TGF-β, reducing liver fibrosis in animal models. Following the successful completion of this study, PLN-1474 has</w:t>
      </w:r>
      <w:r>
        <w:rPr>
          <w:rFonts w:eastAsia="Times New Roman"/>
          <w:color w:val="000000"/>
          <w:sz w:val="20"/>
          <w:szCs w:val="20"/>
        </w:rPr>
        <w:t xml:space="preserve"> been transferred to Novartis. </w:t>
      </w:r>
    </w:p>
    <w:p w:rsidR="00000000" w:rsidRDefault="009012B9">
      <w:pPr>
        <w:divId w:val="113063823"/>
        <w:rPr>
          <w:rFonts w:eastAsia="Times New Roman"/>
        </w:rPr>
      </w:pPr>
    </w:p>
    <w:p w:rsidR="00000000" w:rsidRDefault="009012B9">
      <w:pPr>
        <w:ind w:firstLine="1260"/>
        <w:divId w:val="259025167"/>
        <w:rPr>
          <w:rFonts w:eastAsia="Times New Roman"/>
        </w:rPr>
      </w:pPr>
      <w:r>
        <w:rPr>
          <w:rFonts w:eastAsia="Times New Roman"/>
          <w:color w:val="000000"/>
          <w:sz w:val="20"/>
          <w:szCs w:val="20"/>
        </w:rPr>
        <w:t>Since inception, we have had significant operating losses. Our net loss was $22.9 million for the three months ended March 31, 2021. As of March 31, 2021, we had an accumulated deficit of $140.7 million and cash, cash equi</w:t>
      </w:r>
      <w:r>
        <w:rPr>
          <w:rFonts w:eastAsia="Times New Roman"/>
          <w:color w:val="000000"/>
          <w:sz w:val="20"/>
          <w:szCs w:val="20"/>
        </w:rPr>
        <w:t xml:space="preserve">valents and short-term investments of $264.1 million. We expect to continue to incur net losses for the foreseeable future, and we expect our research and development expenses, general and administrative expenses, and capital expenditures will increase in </w:t>
      </w:r>
      <w:r>
        <w:rPr>
          <w:rFonts w:eastAsia="Times New Roman"/>
          <w:color w:val="000000"/>
          <w:sz w:val="20"/>
          <w:szCs w:val="20"/>
        </w:rPr>
        <w:t>connection with our ongoing activities, as we:</w:t>
      </w:r>
    </w:p>
    <w:p w:rsidR="00000000" w:rsidRDefault="009012B9">
      <w:pPr>
        <w:ind w:hanging="1260"/>
        <w:divId w:val="441648726"/>
        <w:rPr>
          <w:rFonts w:eastAsia="Times New Roman"/>
        </w:rPr>
      </w:pPr>
      <w:r>
        <w:rPr>
          <w:rFonts w:eastAsia="Times New Roman"/>
          <w:color w:val="000000"/>
          <w:sz w:val="20"/>
          <w:szCs w:val="20"/>
        </w:rPr>
        <w:t>•perform research and development activities to identify and develop product candidates;</w:t>
      </w:r>
    </w:p>
    <w:p w:rsidR="00000000" w:rsidRDefault="009012B9">
      <w:pPr>
        <w:ind w:hanging="1260"/>
        <w:divId w:val="207180805"/>
        <w:rPr>
          <w:rFonts w:eastAsia="Times New Roman"/>
        </w:rPr>
      </w:pPr>
      <w:r>
        <w:rPr>
          <w:rFonts w:eastAsia="Times New Roman"/>
          <w:color w:val="000000"/>
          <w:sz w:val="20"/>
          <w:szCs w:val="20"/>
        </w:rPr>
        <w:t>•advance product candidates into and through clinical development;</w:t>
      </w:r>
    </w:p>
    <w:p w:rsidR="00000000" w:rsidRDefault="009012B9">
      <w:pPr>
        <w:ind w:hanging="1260"/>
        <w:divId w:val="1996297542"/>
        <w:rPr>
          <w:rFonts w:eastAsia="Times New Roman"/>
        </w:rPr>
      </w:pPr>
      <w:r>
        <w:rPr>
          <w:rFonts w:eastAsia="Times New Roman"/>
          <w:color w:val="000000"/>
          <w:sz w:val="20"/>
          <w:szCs w:val="20"/>
        </w:rPr>
        <w:t>•require the manufacture of supplies to support resea</w:t>
      </w:r>
      <w:r>
        <w:rPr>
          <w:rFonts w:eastAsia="Times New Roman"/>
          <w:color w:val="000000"/>
          <w:sz w:val="20"/>
          <w:szCs w:val="20"/>
        </w:rPr>
        <w:t>rch and development, preclinical studies and clinical trials;</w:t>
      </w:r>
    </w:p>
    <w:p w:rsidR="00000000" w:rsidRDefault="009012B9">
      <w:pPr>
        <w:ind w:hanging="1260"/>
        <w:divId w:val="451562211"/>
        <w:rPr>
          <w:rFonts w:eastAsia="Times New Roman"/>
        </w:rPr>
      </w:pPr>
      <w:r>
        <w:rPr>
          <w:rFonts w:eastAsia="Times New Roman"/>
          <w:color w:val="000000"/>
          <w:sz w:val="20"/>
          <w:szCs w:val="20"/>
        </w:rPr>
        <w:t>•seek regulatory approvals for any product candidates that successfully complete clinical trials;</w:t>
      </w:r>
    </w:p>
    <w:p w:rsidR="00000000" w:rsidRDefault="009012B9">
      <w:pPr>
        <w:ind w:hanging="1260"/>
        <w:divId w:val="31461652"/>
        <w:rPr>
          <w:rFonts w:eastAsia="Times New Roman"/>
        </w:rPr>
      </w:pPr>
      <w:r>
        <w:rPr>
          <w:rFonts w:eastAsia="Times New Roman"/>
          <w:color w:val="000000"/>
          <w:sz w:val="20"/>
          <w:szCs w:val="20"/>
        </w:rPr>
        <w:t xml:space="preserve">•expand our operational, financial and management systems and increase personnel to support our </w:t>
      </w:r>
      <w:r>
        <w:rPr>
          <w:rFonts w:eastAsia="Times New Roman"/>
          <w:color w:val="000000"/>
          <w:sz w:val="20"/>
          <w:szCs w:val="20"/>
        </w:rPr>
        <w:t>clinical development, manufacturing and commercialization efforts and our operations as a public company;</w:t>
      </w:r>
    </w:p>
    <w:p w:rsidR="00000000" w:rsidRDefault="009012B9">
      <w:pPr>
        <w:ind w:hanging="1260"/>
        <w:divId w:val="1020813743"/>
        <w:rPr>
          <w:rFonts w:eastAsia="Times New Roman"/>
        </w:rPr>
      </w:pPr>
      <w:r>
        <w:rPr>
          <w:rFonts w:eastAsia="Times New Roman"/>
          <w:color w:val="000000"/>
          <w:sz w:val="20"/>
          <w:szCs w:val="20"/>
        </w:rPr>
        <w:t>•maintain, expand and protect our intellectual property portfolio; and</w:t>
      </w:r>
    </w:p>
    <w:p w:rsidR="00000000" w:rsidRDefault="009012B9">
      <w:pPr>
        <w:ind w:hanging="1260"/>
        <w:divId w:val="185680459"/>
        <w:rPr>
          <w:rFonts w:eastAsia="Times New Roman"/>
        </w:rPr>
      </w:pPr>
      <w:r>
        <w:rPr>
          <w:rFonts w:eastAsia="Times New Roman"/>
          <w:color w:val="000000"/>
          <w:sz w:val="20"/>
          <w:szCs w:val="20"/>
        </w:rPr>
        <w:t>•invest in or in-license other technologies or product candidates.</w:t>
      </w:r>
    </w:p>
    <w:p w:rsidR="00000000" w:rsidRDefault="009012B9">
      <w:pPr>
        <w:divId w:val="1490901317"/>
        <w:rPr>
          <w:rFonts w:eastAsia="Times New Roman"/>
        </w:rPr>
      </w:pPr>
      <w:r>
        <w:rPr>
          <w:rFonts w:eastAsia="Times New Roman"/>
          <w:b/>
          <w:bCs/>
          <w:color w:val="000000"/>
          <w:sz w:val="20"/>
          <w:szCs w:val="20"/>
        </w:rPr>
        <w:t>COVID-19 Pan</w:t>
      </w:r>
      <w:r>
        <w:rPr>
          <w:rFonts w:eastAsia="Times New Roman"/>
          <w:b/>
          <w:bCs/>
          <w:color w:val="000000"/>
          <w:sz w:val="20"/>
          <w:szCs w:val="20"/>
        </w:rPr>
        <w:t>demic</w:t>
      </w:r>
    </w:p>
    <w:p w:rsidR="00000000" w:rsidRDefault="009012B9">
      <w:pPr>
        <w:ind w:firstLine="1260"/>
        <w:divId w:val="1220827503"/>
        <w:rPr>
          <w:rFonts w:eastAsia="Times New Roman"/>
        </w:rPr>
      </w:pPr>
      <w:r>
        <w:rPr>
          <w:rFonts w:eastAsia="Times New Roman"/>
          <w:color w:val="000000"/>
          <w:sz w:val="20"/>
          <w:szCs w:val="20"/>
        </w:rPr>
        <w:t xml:space="preserve">In March 2020, the World Health Organization declared the outbreak of a novel coronavirus, or COVID-19, as a pandemic, which, to date, continues to spread throughout the United States and worldwide. We have been, and in the future could be, materially and </w:t>
      </w:r>
      <w:r>
        <w:rPr>
          <w:rFonts w:eastAsia="Times New Roman"/>
          <w:color w:val="000000"/>
          <w:sz w:val="20"/>
          <w:szCs w:val="20"/>
        </w:rPr>
        <w:t>adversely affected by the risks, or the public perception of the risks, related to an epidemic, pandemic, outbreak, or other public health crisis, such as the recent outbreak of COVID-19. While difficult to predict or quantify the overall impact to our ope</w:t>
      </w:r>
      <w:r>
        <w:rPr>
          <w:rFonts w:eastAsia="Times New Roman"/>
          <w:color w:val="000000"/>
          <w:sz w:val="20"/>
          <w:szCs w:val="20"/>
        </w:rPr>
        <w:t>rations, among other things, our clinical trials have experienced delays, and may experience additional delays in the future, extending the timelines and increasing the overall costs to finish the clinical trials, as our fixed costs are not substantially r</w:t>
      </w:r>
      <w:r>
        <w:rPr>
          <w:rFonts w:eastAsia="Times New Roman"/>
          <w:color w:val="000000"/>
          <w:sz w:val="20"/>
          <w:szCs w:val="20"/>
        </w:rPr>
        <w:t xml:space="preserve">educed while the clinical trials are delayed. For example, the clinical site conducting our Phase 2a PET trial of PLN-74809 in IPF was closed to clinical research in March 2020, but resumed enrollment and trial activities in the third quarter of 2020. The </w:t>
      </w:r>
      <w:r>
        <w:rPr>
          <w:rFonts w:eastAsia="Times New Roman"/>
          <w:color w:val="000000"/>
          <w:sz w:val="20"/>
          <w:szCs w:val="20"/>
        </w:rPr>
        <w:t>ultimate extent of the impact of any epidemic, pandemic, outbreak, or other public health crisis on our business, financial condition and results of operations will depend on future developments, which are highly uncertain and cannot be predicted, includin</w:t>
      </w:r>
      <w:r>
        <w:rPr>
          <w:rFonts w:eastAsia="Times New Roman"/>
          <w:color w:val="000000"/>
          <w:sz w:val="20"/>
          <w:szCs w:val="20"/>
        </w:rPr>
        <w:t>g new information that may emerge concerning the severity of such epidemic, pandemic, outbreak, or other public health crisis and actions taken to contain or prevent the further spread, among others. Accordingly, we cannot predict the extent to which our b</w:t>
      </w:r>
      <w:r>
        <w:rPr>
          <w:rFonts w:eastAsia="Times New Roman"/>
          <w:color w:val="000000"/>
          <w:sz w:val="20"/>
          <w:szCs w:val="20"/>
        </w:rPr>
        <w:t>usiness, financial condition and results of operations have been and will be affected. We remain focused on maintaining a strong balance sheet, liquidity and financial flexibility and continue to monitor developments as we deal with the disruptions and unc</w:t>
      </w:r>
      <w:r>
        <w:rPr>
          <w:rFonts w:eastAsia="Times New Roman"/>
          <w:color w:val="000000"/>
          <w:sz w:val="20"/>
          <w:szCs w:val="20"/>
        </w:rPr>
        <w:t>ertainties from a business and financial perspective relating to COVID-19.</w:t>
      </w:r>
    </w:p>
    <w:p w:rsidR="00000000" w:rsidRDefault="009012B9">
      <w:pPr>
        <w:divId w:val="395320417"/>
        <w:rPr>
          <w:rFonts w:eastAsia="Times New Roman"/>
        </w:rPr>
      </w:pPr>
    </w:p>
    <w:p w:rsidR="00000000" w:rsidRDefault="009012B9">
      <w:pPr>
        <w:jc w:val="center"/>
        <w:divId w:val="1221864167"/>
        <w:rPr>
          <w:rFonts w:eastAsia="Times New Roman"/>
        </w:rPr>
      </w:pPr>
      <w:r>
        <w:rPr>
          <w:rFonts w:eastAsia="Times New Roman"/>
          <w:b/>
          <w:bCs/>
          <w:color w:val="000000"/>
          <w:sz w:val="20"/>
          <w:szCs w:val="20"/>
        </w:rPr>
        <w:t>Components of Operations</w:t>
      </w:r>
    </w:p>
    <w:p w:rsidR="00000000" w:rsidRDefault="009012B9">
      <w:pPr>
        <w:divId w:val="1787381847"/>
        <w:rPr>
          <w:rFonts w:eastAsia="Times New Roman"/>
        </w:rPr>
      </w:pPr>
      <w:r>
        <w:rPr>
          <w:rFonts w:eastAsia="Times New Roman"/>
          <w:b/>
          <w:bCs/>
          <w:i/>
          <w:iCs/>
          <w:color w:val="000000"/>
          <w:sz w:val="20"/>
          <w:szCs w:val="20"/>
        </w:rPr>
        <w:t>Revenue</w:t>
      </w:r>
    </w:p>
    <w:p w:rsidR="00000000" w:rsidRDefault="009012B9">
      <w:pPr>
        <w:jc w:val="center"/>
        <w:divId w:val="1223058209"/>
        <w:rPr>
          <w:rFonts w:eastAsia="Times New Roman"/>
        </w:rPr>
      </w:pPr>
      <w:r>
        <w:rPr>
          <w:rFonts w:eastAsia="Times New Roman"/>
          <w:color w:val="000000"/>
          <w:sz w:val="20"/>
          <w:szCs w:val="20"/>
        </w:rPr>
        <w:t>23</w:t>
      </w:r>
    </w:p>
    <w:p w:rsidR="00000000" w:rsidRDefault="009012B9">
      <w:pPr>
        <w:rPr>
          <w:rFonts w:eastAsia="Times New Roman"/>
        </w:rPr>
      </w:pPr>
      <w:r>
        <w:rPr>
          <w:rFonts w:eastAsia="Times New Roman"/>
        </w:rPr>
        <w:pict>
          <v:rect id="_x0000_i1047" style="width:0;height:1.5pt" o:hralign="center" o:hrstd="t" o:hr="t" fillcolor="#a0a0a0" stroked="f"/>
        </w:pict>
      </w:r>
    </w:p>
    <w:p w:rsidR="00000000" w:rsidRDefault="009012B9">
      <w:pPr>
        <w:divId w:val="2111075662"/>
        <w:rPr>
          <w:rFonts w:eastAsia="Times New Roman"/>
        </w:rPr>
      </w:pPr>
    </w:p>
    <w:p w:rsidR="00000000" w:rsidRDefault="009012B9">
      <w:pPr>
        <w:ind w:firstLine="1260"/>
        <w:divId w:val="1095979806"/>
        <w:rPr>
          <w:rFonts w:eastAsia="Times New Roman"/>
        </w:rPr>
      </w:pPr>
      <w:r>
        <w:rPr>
          <w:rFonts w:eastAsia="Times New Roman"/>
          <w:color w:val="000000"/>
          <w:sz w:val="20"/>
          <w:szCs w:val="20"/>
        </w:rPr>
        <w:t xml:space="preserve">We have not generated any revenue from product sales and do not expect to do so in the near future. Our </w:t>
      </w:r>
      <w:r>
        <w:rPr>
          <w:rFonts w:eastAsia="Times New Roman"/>
          <w:color w:val="000000"/>
          <w:sz w:val="20"/>
          <w:szCs w:val="20"/>
        </w:rPr>
        <w:t>revenue to date is derived from a Collaboration and License Agreement with Novartis (the "Novartis Agreement") that was executed in 2019. Our revenue from Novartis is included under the caption "Revenue - related party" because Novartis had aggregate holdi</w:t>
      </w:r>
      <w:r>
        <w:rPr>
          <w:rFonts w:eastAsia="Times New Roman"/>
          <w:color w:val="000000"/>
          <w:sz w:val="20"/>
          <w:szCs w:val="20"/>
        </w:rPr>
        <w:t>ngs of our outstanding common stock of greater than 5% upon the close of our IPO. As of March 31, 2021 and December 31, 2020, Novartis owned approximately 6.0% and 6.1%, respectively, of our outstanding shares of common stock on a fully diluted basis.</w:t>
      </w:r>
    </w:p>
    <w:p w:rsidR="00000000" w:rsidRDefault="009012B9">
      <w:pPr>
        <w:ind w:firstLine="1260"/>
        <w:divId w:val="1295912830"/>
        <w:rPr>
          <w:rFonts w:eastAsia="Times New Roman"/>
        </w:rPr>
      </w:pPr>
      <w:r>
        <w:rPr>
          <w:rFonts w:eastAsia="Times New Roman"/>
          <w:color w:val="000000"/>
          <w:sz w:val="20"/>
          <w:szCs w:val="20"/>
        </w:rPr>
        <w:t xml:space="preserve">The </w:t>
      </w:r>
      <w:r>
        <w:rPr>
          <w:rFonts w:eastAsia="Times New Roman"/>
          <w:color w:val="000000"/>
          <w:sz w:val="20"/>
          <w:szCs w:val="20"/>
        </w:rPr>
        <w:t>Novartis Agreement is for the development and commercialization of PLN-1474 and up to three additional integrin research targets. Under the terms of the Novartis Agreement, we received an upfront license fee payment of $50.0 million for the worldwide, excl</w:t>
      </w:r>
      <w:r>
        <w:rPr>
          <w:rFonts w:eastAsia="Times New Roman"/>
          <w:color w:val="000000"/>
          <w:sz w:val="20"/>
          <w:szCs w:val="20"/>
        </w:rPr>
        <w:t>usive license to PLN-1474 and an additional $25.0 million upon first-patient dosed in our Phase 1 trial of PLN-1474 in the first quarter of 2020. We are eligible to receive additional milestone payments of up to $391.0 million in total, if defined developm</w:t>
      </w:r>
      <w:r>
        <w:rPr>
          <w:rFonts w:eastAsia="Times New Roman"/>
          <w:color w:val="000000"/>
          <w:sz w:val="20"/>
          <w:szCs w:val="20"/>
        </w:rPr>
        <w:t>ental, regulatory and commercialization milestones are achieved, and tiered royalties on a product-by-product basis based on annual nets sales of products. Additionally, Novartis is providing $19.6 million and up to $13.4 million in funding for the initial</w:t>
      </w:r>
      <w:r>
        <w:rPr>
          <w:rFonts w:eastAsia="Times New Roman"/>
          <w:color w:val="000000"/>
          <w:sz w:val="20"/>
          <w:szCs w:val="20"/>
        </w:rPr>
        <w:t xml:space="preserve"> research and development activities associated with PLN-1474 and integrin research targets, respectively. </w:t>
      </w:r>
    </w:p>
    <w:p w:rsidR="00000000" w:rsidRDefault="009012B9">
      <w:pPr>
        <w:divId w:val="1444762458"/>
        <w:rPr>
          <w:rFonts w:eastAsia="Times New Roman"/>
        </w:rPr>
      </w:pPr>
      <w:r>
        <w:rPr>
          <w:rFonts w:eastAsia="Times New Roman"/>
          <w:b/>
          <w:bCs/>
          <w:i/>
          <w:iCs/>
          <w:color w:val="000000"/>
          <w:sz w:val="20"/>
          <w:szCs w:val="20"/>
        </w:rPr>
        <w:t>Operating Expenses</w:t>
      </w:r>
    </w:p>
    <w:p w:rsidR="00000000" w:rsidRDefault="009012B9">
      <w:pPr>
        <w:divId w:val="1033338438"/>
        <w:rPr>
          <w:rFonts w:eastAsia="Times New Roman"/>
        </w:rPr>
      </w:pPr>
      <w:r>
        <w:rPr>
          <w:rFonts w:eastAsia="Times New Roman"/>
          <w:i/>
          <w:iCs/>
          <w:color w:val="000000"/>
          <w:sz w:val="20"/>
          <w:szCs w:val="20"/>
        </w:rPr>
        <w:t>Research and Development</w:t>
      </w:r>
    </w:p>
    <w:p w:rsidR="00000000" w:rsidRDefault="009012B9">
      <w:pPr>
        <w:ind w:firstLine="1260"/>
        <w:divId w:val="1901134144"/>
        <w:rPr>
          <w:rFonts w:eastAsia="Times New Roman"/>
        </w:rPr>
      </w:pPr>
      <w:r>
        <w:rPr>
          <w:rFonts w:eastAsia="Times New Roman"/>
          <w:color w:val="000000"/>
          <w:sz w:val="20"/>
          <w:szCs w:val="20"/>
        </w:rPr>
        <w:t>Our research and development expenses consist of expenses incurred in connection with the development of</w:t>
      </w:r>
      <w:r>
        <w:rPr>
          <w:rFonts w:eastAsia="Times New Roman"/>
          <w:color w:val="000000"/>
          <w:sz w:val="20"/>
          <w:szCs w:val="20"/>
        </w:rPr>
        <w:t xml:space="preserve"> our product candidates. Research and development expenses include:</w:t>
      </w:r>
    </w:p>
    <w:p w:rsidR="00000000" w:rsidRDefault="009012B9">
      <w:pPr>
        <w:ind w:hanging="1260"/>
        <w:divId w:val="1965966178"/>
        <w:rPr>
          <w:rFonts w:eastAsia="Times New Roman"/>
        </w:rPr>
      </w:pPr>
      <w:r>
        <w:rPr>
          <w:rFonts w:eastAsia="Times New Roman"/>
          <w:color w:val="000000"/>
          <w:sz w:val="20"/>
          <w:szCs w:val="20"/>
        </w:rPr>
        <w:t>•employee-related expenses, which include salaries, benefits and stock-based compensation for our research and development personnel;</w:t>
      </w:r>
    </w:p>
    <w:p w:rsidR="00000000" w:rsidRDefault="009012B9">
      <w:pPr>
        <w:ind w:hanging="1260"/>
        <w:divId w:val="465591748"/>
        <w:rPr>
          <w:rFonts w:eastAsia="Times New Roman"/>
        </w:rPr>
      </w:pPr>
      <w:r>
        <w:rPr>
          <w:rFonts w:eastAsia="Times New Roman"/>
          <w:color w:val="000000"/>
          <w:sz w:val="20"/>
          <w:szCs w:val="20"/>
        </w:rPr>
        <w:t>•expenses incurred under agreements with third-party c</w:t>
      </w:r>
      <w:r>
        <w:rPr>
          <w:rFonts w:eastAsia="Times New Roman"/>
          <w:color w:val="000000"/>
          <w:sz w:val="20"/>
          <w:szCs w:val="20"/>
        </w:rPr>
        <w:t>ontract organizations for pre-clinical studies, clinical trials and consultants that conduct research and development activities on our behalf;</w:t>
      </w:r>
    </w:p>
    <w:p w:rsidR="00000000" w:rsidRDefault="009012B9">
      <w:pPr>
        <w:ind w:hanging="1260"/>
        <w:divId w:val="1465350913"/>
        <w:rPr>
          <w:rFonts w:eastAsia="Times New Roman"/>
        </w:rPr>
      </w:pPr>
      <w:r>
        <w:rPr>
          <w:rFonts w:eastAsia="Times New Roman"/>
          <w:color w:val="000000"/>
          <w:sz w:val="20"/>
          <w:szCs w:val="20"/>
        </w:rPr>
        <w:t xml:space="preserve">•costs associated with the manufacture of supplies to support research and development, preclinical studies and </w:t>
      </w:r>
      <w:r>
        <w:rPr>
          <w:rFonts w:eastAsia="Times New Roman"/>
          <w:color w:val="000000"/>
          <w:sz w:val="20"/>
          <w:szCs w:val="20"/>
        </w:rPr>
        <w:t>clinical trials;</w:t>
      </w:r>
    </w:p>
    <w:p w:rsidR="00000000" w:rsidRDefault="009012B9">
      <w:pPr>
        <w:ind w:hanging="1260"/>
        <w:divId w:val="140586339"/>
        <w:rPr>
          <w:rFonts w:eastAsia="Times New Roman"/>
        </w:rPr>
      </w:pPr>
      <w:r>
        <w:rPr>
          <w:rFonts w:eastAsia="Times New Roman"/>
          <w:color w:val="000000"/>
          <w:sz w:val="20"/>
          <w:szCs w:val="20"/>
        </w:rPr>
        <w:t>•depreciation of laboratory equipment and costs of equipment and supplies;</w:t>
      </w:r>
    </w:p>
    <w:p w:rsidR="00000000" w:rsidRDefault="009012B9">
      <w:pPr>
        <w:ind w:hanging="1260"/>
        <w:divId w:val="1011877255"/>
        <w:rPr>
          <w:rFonts w:eastAsia="Times New Roman"/>
        </w:rPr>
      </w:pPr>
      <w:r>
        <w:rPr>
          <w:rFonts w:eastAsia="Times New Roman"/>
          <w:color w:val="000000"/>
          <w:sz w:val="20"/>
          <w:szCs w:val="20"/>
        </w:rPr>
        <w:t>•costs associated with technology and intellectual property licenses; and</w:t>
      </w:r>
    </w:p>
    <w:p w:rsidR="00000000" w:rsidRDefault="009012B9">
      <w:pPr>
        <w:ind w:hanging="1260"/>
        <w:divId w:val="350885648"/>
        <w:rPr>
          <w:rFonts w:eastAsia="Times New Roman"/>
        </w:rPr>
      </w:pPr>
      <w:r>
        <w:rPr>
          <w:rFonts w:eastAsia="Times New Roman"/>
          <w:color w:val="000000"/>
          <w:sz w:val="20"/>
          <w:szCs w:val="20"/>
        </w:rPr>
        <w:t>•facilities and other allocated expenses, which include expenses for rent and other facili</w:t>
      </w:r>
      <w:r>
        <w:rPr>
          <w:rFonts w:eastAsia="Times New Roman"/>
          <w:color w:val="000000"/>
          <w:sz w:val="20"/>
          <w:szCs w:val="20"/>
        </w:rPr>
        <w:t>ty related costs and other supplies.</w:t>
      </w:r>
    </w:p>
    <w:p w:rsidR="00000000" w:rsidRDefault="009012B9">
      <w:pPr>
        <w:ind w:hanging="1800"/>
        <w:divId w:val="1550992313"/>
        <w:rPr>
          <w:rFonts w:eastAsia="Times New Roman"/>
        </w:rPr>
      </w:pPr>
      <w:r>
        <w:rPr>
          <w:rFonts w:eastAsia="Times New Roman"/>
          <w:i/>
          <w:iCs/>
          <w:color w:val="000000"/>
          <w:sz w:val="20"/>
          <w:szCs w:val="20"/>
        </w:rPr>
        <w:t>General and Administrative</w:t>
      </w:r>
    </w:p>
    <w:p w:rsidR="00000000" w:rsidRDefault="009012B9">
      <w:pPr>
        <w:ind w:firstLine="1260"/>
        <w:divId w:val="595944734"/>
        <w:rPr>
          <w:rFonts w:eastAsia="Times New Roman"/>
        </w:rPr>
      </w:pPr>
      <w:r>
        <w:rPr>
          <w:rFonts w:eastAsia="Times New Roman"/>
          <w:color w:val="000000"/>
          <w:sz w:val="20"/>
          <w:szCs w:val="20"/>
        </w:rPr>
        <w:t>Our general and administrative expenses consist primarily of salaries, benefits and stock-based compensation for our general and administrative personnel, allocated facilities costs, insurance</w:t>
      </w:r>
      <w:r>
        <w:rPr>
          <w:rFonts w:eastAsia="Times New Roman"/>
          <w:color w:val="000000"/>
          <w:sz w:val="20"/>
          <w:szCs w:val="20"/>
        </w:rPr>
        <w:t xml:space="preserve"> and other expenses for outside professional services, including legal, marketing, investor relations, human resource and accounting services. </w:t>
      </w:r>
    </w:p>
    <w:p w:rsidR="00000000" w:rsidRDefault="009012B9">
      <w:pPr>
        <w:divId w:val="1277448614"/>
        <w:rPr>
          <w:rFonts w:eastAsia="Times New Roman"/>
        </w:rPr>
      </w:pPr>
      <w:r>
        <w:rPr>
          <w:rFonts w:eastAsia="Times New Roman"/>
          <w:i/>
          <w:iCs/>
          <w:color w:val="000000"/>
          <w:sz w:val="20"/>
          <w:szCs w:val="20"/>
        </w:rPr>
        <w:t>Interest and Other Income (Expense), net</w:t>
      </w:r>
    </w:p>
    <w:p w:rsidR="00000000" w:rsidRDefault="009012B9">
      <w:pPr>
        <w:ind w:firstLine="1260"/>
        <w:divId w:val="2009021135"/>
        <w:rPr>
          <w:rFonts w:eastAsia="Times New Roman"/>
        </w:rPr>
      </w:pPr>
      <w:r>
        <w:rPr>
          <w:rFonts w:eastAsia="Times New Roman"/>
          <w:color w:val="000000"/>
          <w:sz w:val="20"/>
          <w:szCs w:val="20"/>
        </w:rPr>
        <w:t>Our interest and other income (expense), net consists of interest incom</w:t>
      </w:r>
      <w:r>
        <w:rPr>
          <w:rFonts w:eastAsia="Times New Roman"/>
          <w:color w:val="000000"/>
          <w:sz w:val="20"/>
          <w:szCs w:val="20"/>
        </w:rPr>
        <w:t>e earned on cash and cash equivalents, money market funds and short-term investments, realized gains and losses on investments and foreign exchange transactions.</w:t>
      </w:r>
    </w:p>
    <w:p w:rsidR="00000000" w:rsidRDefault="009012B9">
      <w:pPr>
        <w:jc w:val="center"/>
        <w:divId w:val="1129519022"/>
        <w:rPr>
          <w:rFonts w:eastAsia="Times New Roman"/>
        </w:rPr>
      </w:pPr>
      <w:r>
        <w:rPr>
          <w:rFonts w:eastAsia="Times New Roman"/>
          <w:b/>
          <w:bCs/>
          <w:color w:val="000000"/>
          <w:sz w:val="20"/>
          <w:szCs w:val="20"/>
        </w:rPr>
        <w:t>Financial Operations Overview</w:t>
      </w:r>
    </w:p>
    <w:p w:rsidR="00000000" w:rsidRDefault="009012B9">
      <w:pPr>
        <w:divId w:val="79063784"/>
        <w:rPr>
          <w:rFonts w:eastAsia="Times New Roman"/>
        </w:rPr>
      </w:pPr>
      <w:r>
        <w:rPr>
          <w:rFonts w:eastAsia="Times New Roman"/>
          <w:b/>
          <w:bCs/>
          <w:i/>
          <w:iCs/>
          <w:color w:val="000000"/>
          <w:sz w:val="20"/>
          <w:szCs w:val="20"/>
        </w:rPr>
        <w:t>Comparison of the three months ended March 31, 2021 and 2020 (in</w:t>
      </w:r>
      <w:r>
        <w:rPr>
          <w:rFonts w:eastAsia="Times New Roman"/>
          <w:b/>
          <w:bCs/>
          <w:i/>
          <w:iCs/>
          <w:color w:val="000000"/>
          <w:sz w:val="20"/>
          <w:szCs w:val="20"/>
        </w:rPr>
        <w:t xml:space="preserve"> thousands)</w:t>
      </w:r>
    </w:p>
    <w:p w:rsidR="00000000" w:rsidRDefault="009012B9">
      <w:pPr>
        <w:jc w:val="center"/>
        <w:divId w:val="1741905782"/>
        <w:rPr>
          <w:rFonts w:eastAsia="Times New Roman"/>
        </w:rPr>
      </w:pPr>
      <w:r>
        <w:rPr>
          <w:rFonts w:eastAsia="Times New Roman"/>
          <w:color w:val="000000"/>
          <w:sz w:val="20"/>
          <w:szCs w:val="20"/>
        </w:rPr>
        <w:t>24</w:t>
      </w:r>
    </w:p>
    <w:p w:rsidR="00000000" w:rsidRDefault="009012B9">
      <w:pPr>
        <w:rPr>
          <w:rFonts w:eastAsia="Times New Roman"/>
        </w:rPr>
      </w:pPr>
      <w:r>
        <w:rPr>
          <w:rFonts w:eastAsia="Times New Roman"/>
        </w:rPr>
        <w:pict>
          <v:rect id="_x0000_i1048" style="width:0;height:1.5pt" o:hralign="center" o:hrstd="t" o:hr="t" fillcolor="#a0a0a0" stroked="f"/>
        </w:pict>
      </w:r>
    </w:p>
    <w:p w:rsidR="00000000" w:rsidRDefault="009012B9">
      <w:pPr>
        <w:divId w:val="570623229"/>
        <w:rPr>
          <w:rFonts w:eastAsia="Times New Roman"/>
        </w:rPr>
      </w:pPr>
    </w:p>
    <w:tbl>
      <w:tblPr>
        <w:tblW w:w="4817" w:type="pct"/>
        <w:jc w:val="center"/>
        <w:tblCellMar>
          <w:top w:w="15" w:type="dxa"/>
          <w:left w:w="15" w:type="dxa"/>
          <w:bottom w:w="15" w:type="dxa"/>
          <w:right w:w="15" w:type="dxa"/>
        </w:tblCellMar>
        <w:tblLook w:val="04A0" w:firstRow="1" w:lastRow="0" w:firstColumn="1" w:lastColumn="0" w:noHBand="0" w:noVBand="1"/>
      </w:tblPr>
      <w:tblGrid>
        <w:gridCol w:w="39"/>
        <w:gridCol w:w="4568"/>
        <w:gridCol w:w="38"/>
        <w:gridCol w:w="120"/>
        <w:gridCol w:w="919"/>
        <w:gridCol w:w="36"/>
        <w:gridCol w:w="36"/>
        <w:gridCol w:w="36"/>
        <w:gridCol w:w="36"/>
        <w:gridCol w:w="120"/>
        <w:gridCol w:w="877"/>
        <w:gridCol w:w="36"/>
        <w:gridCol w:w="36"/>
        <w:gridCol w:w="36"/>
        <w:gridCol w:w="36"/>
        <w:gridCol w:w="120"/>
        <w:gridCol w:w="877"/>
        <w:gridCol w:w="36"/>
      </w:tblGrid>
      <w:tr w:rsidR="00000000">
        <w:trPr>
          <w:divId w:val="2145269892"/>
          <w:jc w:val="center"/>
        </w:trPr>
        <w:tc>
          <w:tcPr>
            <w:tcW w:w="50" w:type="pct"/>
            <w:vAlign w:val="center"/>
            <w:hideMark/>
          </w:tcPr>
          <w:p w:rsidR="00000000" w:rsidRDefault="009012B9">
            <w:pPr>
              <w:rPr>
                <w:rFonts w:eastAsia="Times New Roman"/>
              </w:rPr>
            </w:pPr>
          </w:p>
        </w:tc>
        <w:tc>
          <w:tcPr>
            <w:tcW w:w="2888"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60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27"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60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27"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60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r>
      <w:tr w:rsidR="00000000">
        <w:trPr>
          <w:divId w:val="2145269892"/>
          <w:jc w:val="center"/>
        </w:trPr>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 </w:t>
            </w:r>
          </w:p>
        </w:tc>
      </w:tr>
      <w:tr w:rsidR="00000000">
        <w:trPr>
          <w:divId w:val="2145269892"/>
          <w:jc w:val="center"/>
        </w:trPr>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 Change</w:t>
            </w:r>
          </w:p>
        </w:tc>
      </w:tr>
      <w:tr w:rsidR="00000000">
        <w:trPr>
          <w:divId w:val="2145269892"/>
          <w:jc w:val="center"/>
        </w:trPr>
        <w:tc>
          <w:tcPr>
            <w:tcW w:w="0" w:type="auto"/>
            <w:gridSpan w:val="3"/>
            <w:shd w:val="clear" w:color="auto" w:fill="CCEEFF"/>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Revenue—related party</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2,174 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28,938 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(26,764)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2145269892"/>
          <w:jc w:val="center"/>
        </w:trPr>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Operating expenses:</w:t>
            </w: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r>
      <w:tr w:rsidR="00000000">
        <w:trPr>
          <w:divId w:val="2145269892"/>
          <w:jc w:val="center"/>
        </w:trPr>
        <w:tc>
          <w:tcPr>
            <w:tcW w:w="0" w:type="auto"/>
            <w:gridSpan w:val="3"/>
            <w:shd w:val="clear" w:color="auto" w:fill="CCEEFF"/>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20"/>
                <w:szCs w:val="20"/>
              </w:rPr>
              <w:t>Research and development</w:t>
            </w: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(18,527)</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(13,919)</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(4,608)</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2145269892"/>
          <w:jc w:val="center"/>
        </w:trPr>
        <w:tc>
          <w:tcPr>
            <w:tcW w:w="0" w:type="auto"/>
            <w:gridSpan w:val="3"/>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20"/>
                <w:szCs w:val="20"/>
              </w:rPr>
              <w:t>General and administrative</w:t>
            </w: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(6,566)</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(4,011)</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(2,555)</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2145269892"/>
          <w:jc w:val="center"/>
        </w:trPr>
        <w:tc>
          <w:tcPr>
            <w:tcW w:w="0" w:type="auto"/>
            <w:gridSpan w:val="3"/>
            <w:shd w:val="clear" w:color="auto" w:fill="CCEEFF"/>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20"/>
                <w:szCs w:val="20"/>
              </w:rPr>
              <w:t>Total operating expenses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(25,093)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(17,930)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(7,163)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2145269892"/>
          <w:jc w:val="center"/>
        </w:trPr>
        <w:tc>
          <w:tcPr>
            <w:tcW w:w="0" w:type="auto"/>
            <w:gridSpan w:val="3"/>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20"/>
                <w:szCs w:val="20"/>
              </w:rPr>
              <w:t>(Loss) income from operations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(22,919)</w:t>
            </w:r>
          </w:p>
        </w:tc>
        <w:tc>
          <w:tcPr>
            <w:tcW w:w="0" w:type="auto"/>
            <w:tcBorders>
              <w:top w:val="single" w:sz="8" w:space="0" w:color="000000"/>
            </w:tcBorders>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11,008 </w:t>
            </w:r>
          </w:p>
        </w:tc>
        <w:tc>
          <w:tcPr>
            <w:tcW w:w="0" w:type="auto"/>
            <w:tcBorders>
              <w:top w:val="single" w:sz="8" w:space="0" w:color="000000"/>
            </w:tcBorders>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(33,927)</w:t>
            </w:r>
          </w:p>
        </w:tc>
        <w:tc>
          <w:tcPr>
            <w:tcW w:w="0" w:type="auto"/>
            <w:tcBorders>
              <w:top w:val="single" w:sz="8" w:space="0" w:color="000000"/>
            </w:tcBorders>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2145269892"/>
          <w:jc w:val="center"/>
        </w:trPr>
        <w:tc>
          <w:tcPr>
            <w:tcW w:w="0" w:type="auto"/>
            <w:gridSpan w:val="3"/>
            <w:shd w:val="clear" w:color="auto" w:fill="CCEEFF"/>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Interest and other income, net</w:t>
            </w: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63 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2145269892"/>
          <w:jc w:val="center"/>
        </w:trPr>
        <w:tc>
          <w:tcPr>
            <w:tcW w:w="0" w:type="auto"/>
            <w:gridSpan w:val="3"/>
            <w:shd w:val="clear" w:color="auto" w:fill="FFFFFF"/>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20"/>
                <w:szCs w:val="20"/>
              </w:rPr>
              <w:t>Net income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(22,856)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11,029 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(33,885)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012B9">
            <w:pPr>
              <w:spacing w:after="100"/>
              <w:jc w:val="right"/>
              <w:rPr>
                <w:rFonts w:eastAsia="Times New Roman"/>
              </w:rPr>
            </w:pPr>
          </w:p>
        </w:tc>
      </w:tr>
    </w:tbl>
    <w:p w:rsidR="00000000" w:rsidRDefault="009012B9">
      <w:pPr>
        <w:divId w:val="1233614049"/>
        <w:rPr>
          <w:rFonts w:eastAsia="Times New Roman"/>
        </w:rPr>
      </w:pPr>
    </w:p>
    <w:p w:rsidR="00000000" w:rsidRDefault="009012B9">
      <w:pPr>
        <w:divId w:val="136457018"/>
        <w:rPr>
          <w:rFonts w:eastAsia="Times New Roman"/>
        </w:rPr>
      </w:pPr>
      <w:r>
        <w:rPr>
          <w:rFonts w:eastAsia="Times New Roman"/>
          <w:i/>
          <w:iCs/>
          <w:color w:val="000000"/>
          <w:sz w:val="20"/>
          <w:szCs w:val="20"/>
        </w:rPr>
        <w:t>Revenue—Related Party</w:t>
      </w:r>
    </w:p>
    <w:p w:rsidR="00000000" w:rsidRDefault="009012B9">
      <w:pPr>
        <w:ind w:firstLine="1260"/>
        <w:divId w:val="1463841703"/>
        <w:rPr>
          <w:rFonts w:eastAsia="Times New Roman"/>
        </w:rPr>
      </w:pPr>
      <w:r>
        <w:rPr>
          <w:rFonts w:eastAsia="Times New Roman"/>
          <w:color w:val="000000"/>
          <w:sz w:val="20"/>
          <w:szCs w:val="20"/>
        </w:rPr>
        <w:t>Revenue-related party was $2.2 million for the three months ended March 31, 2021 compared to $28.9 </w:t>
      </w:r>
      <w:r>
        <w:rPr>
          <w:rFonts w:eastAsia="Times New Roman"/>
          <w:color w:val="000000"/>
          <w:sz w:val="20"/>
          <w:szCs w:val="20"/>
        </w:rPr>
        <w:t xml:space="preserve">million for the three months ended March 31, 2020. The decrease of $26.8 million is primarily attributable to a $25.0 million milestone achieved in the first quarter of 2020 for first-patient-first-dose in our Phase 1 clinical trial of PLN-1474 in healthy </w:t>
      </w:r>
      <w:r>
        <w:rPr>
          <w:rFonts w:eastAsia="Times New Roman"/>
          <w:color w:val="000000"/>
          <w:sz w:val="20"/>
          <w:szCs w:val="20"/>
        </w:rPr>
        <w:t xml:space="preserve">volunteers. </w:t>
      </w:r>
    </w:p>
    <w:p w:rsidR="00000000" w:rsidRDefault="009012B9">
      <w:pPr>
        <w:divId w:val="1853690057"/>
        <w:rPr>
          <w:rFonts w:eastAsia="Times New Roman"/>
        </w:rPr>
      </w:pPr>
      <w:r>
        <w:rPr>
          <w:rFonts w:eastAsia="Times New Roman"/>
          <w:i/>
          <w:iCs/>
          <w:color w:val="000000"/>
          <w:sz w:val="20"/>
          <w:szCs w:val="20"/>
        </w:rPr>
        <w:t>Research and development expenses</w:t>
      </w:r>
    </w:p>
    <w:p w:rsidR="00000000" w:rsidRDefault="009012B9">
      <w:pPr>
        <w:ind w:firstLine="1260"/>
        <w:divId w:val="245387894"/>
        <w:rPr>
          <w:rFonts w:eastAsia="Times New Roman"/>
        </w:rPr>
      </w:pPr>
      <w:r>
        <w:rPr>
          <w:rFonts w:eastAsia="Times New Roman"/>
          <w:color w:val="000000"/>
          <w:sz w:val="20"/>
          <w:szCs w:val="20"/>
        </w:rPr>
        <w:t>The following table summarizes our research and development expenses for the three months ended March 31, 2021 and 2020 (in thousands):</w:t>
      </w:r>
    </w:p>
    <w:tbl>
      <w:tblPr>
        <w:tblW w:w="4846" w:type="pct"/>
        <w:jc w:val="center"/>
        <w:tblCellMar>
          <w:top w:w="15" w:type="dxa"/>
          <w:left w:w="15" w:type="dxa"/>
          <w:bottom w:w="15" w:type="dxa"/>
          <w:right w:w="15" w:type="dxa"/>
        </w:tblCellMar>
        <w:tblLook w:val="04A0" w:firstRow="1" w:lastRow="0" w:firstColumn="1" w:lastColumn="0" w:noHBand="0" w:noVBand="1"/>
      </w:tblPr>
      <w:tblGrid>
        <w:gridCol w:w="40"/>
        <w:gridCol w:w="4543"/>
        <w:gridCol w:w="38"/>
        <w:gridCol w:w="120"/>
        <w:gridCol w:w="907"/>
        <w:gridCol w:w="36"/>
        <w:gridCol w:w="36"/>
        <w:gridCol w:w="36"/>
        <w:gridCol w:w="36"/>
        <w:gridCol w:w="120"/>
        <w:gridCol w:w="864"/>
        <w:gridCol w:w="36"/>
        <w:gridCol w:w="36"/>
        <w:gridCol w:w="36"/>
        <w:gridCol w:w="36"/>
        <w:gridCol w:w="121"/>
        <w:gridCol w:w="865"/>
        <w:gridCol w:w="36"/>
        <w:gridCol w:w="36"/>
        <w:gridCol w:w="36"/>
        <w:gridCol w:w="36"/>
      </w:tblGrid>
      <w:tr w:rsidR="00000000">
        <w:trPr>
          <w:divId w:val="1909262542"/>
          <w:jc w:val="center"/>
        </w:trPr>
        <w:tc>
          <w:tcPr>
            <w:tcW w:w="50" w:type="pct"/>
            <w:vAlign w:val="center"/>
            <w:hideMark/>
          </w:tcPr>
          <w:p w:rsidR="00000000" w:rsidRDefault="009012B9">
            <w:pPr>
              <w:ind w:firstLine="1260"/>
              <w:rPr>
                <w:rFonts w:eastAsia="Times New Roman"/>
              </w:rPr>
            </w:pPr>
          </w:p>
        </w:tc>
        <w:tc>
          <w:tcPr>
            <w:tcW w:w="2863"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601"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27"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601"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27"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601"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27"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r>
      <w:tr w:rsidR="00000000">
        <w:trPr>
          <w:divId w:val="1909262542"/>
          <w:jc w:val="center"/>
        </w:trPr>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color w:val="000000"/>
              </w:rPr>
              <w:t>  </w:t>
            </w:r>
          </w:p>
        </w:tc>
        <w:tc>
          <w:tcPr>
            <w:tcW w:w="0" w:type="auto"/>
            <w:gridSpan w:val="9"/>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r>
      <w:tr w:rsidR="00000000">
        <w:trPr>
          <w:divId w:val="1909262542"/>
          <w:jc w:val="center"/>
        </w:trPr>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 Change</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r>
      <w:tr w:rsidR="00000000">
        <w:trPr>
          <w:divId w:val="1909262542"/>
          <w:jc w:val="center"/>
        </w:trPr>
        <w:tc>
          <w:tcPr>
            <w:tcW w:w="0" w:type="auto"/>
            <w:gridSpan w:val="3"/>
            <w:shd w:val="clear" w:color="auto" w:fill="CFF0FC"/>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Employee-related expenses</w:t>
            </w:r>
          </w:p>
        </w:tc>
        <w:tc>
          <w:tcPr>
            <w:tcW w:w="0" w:type="auto"/>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5,504 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3,251 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2,253 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r>
      <w:tr w:rsidR="00000000">
        <w:trPr>
          <w:divId w:val="1909262542"/>
          <w:jc w:val="center"/>
        </w:trPr>
        <w:tc>
          <w:tcPr>
            <w:tcW w:w="0" w:type="auto"/>
            <w:gridSpan w:val="3"/>
            <w:tcMar>
              <w:top w:w="30" w:type="dxa"/>
              <w:left w:w="20" w:type="dxa"/>
              <w:bottom w:w="30" w:type="dxa"/>
              <w:right w:w="20" w:type="dxa"/>
            </w:tcMar>
            <w:vAlign w:val="bottom"/>
            <w:hideMark/>
          </w:tcPr>
          <w:p w:rsidR="00000000" w:rsidRDefault="009012B9">
            <w:pPr>
              <w:spacing w:after="100"/>
              <w:ind w:hanging="180"/>
              <w:divId w:val="227885714"/>
              <w:rPr>
                <w:rFonts w:eastAsia="Times New Roman"/>
              </w:rPr>
            </w:pPr>
            <w:r>
              <w:rPr>
                <w:rFonts w:eastAsia="Times New Roman"/>
                <w:color w:val="000000"/>
                <w:sz w:val="20"/>
                <w:szCs w:val="20"/>
              </w:rPr>
              <w:t>Outside and consulting services for preclinical studies and research and development activities by third party contract organizations</w:t>
            </w: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2,691 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4,995 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(2,304)</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r>
      <w:tr w:rsidR="00000000">
        <w:trPr>
          <w:divId w:val="1909262542"/>
          <w:jc w:val="center"/>
        </w:trPr>
        <w:tc>
          <w:tcPr>
            <w:tcW w:w="0" w:type="auto"/>
            <w:gridSpan w:val="3"/>
            <w:shd w:val="clear" w:color="auto" w:fill="CFF0FC"/>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Clinical trials expenses</w:t>
            </w: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7,259 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3,515 </w:t>
            </w:r>
          </w:p>
        </w:tc>
        <w:tc>
          <w:tcPr>
            <w:tcW w:w="0" w:type="auto"/>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3,744 </w:t>
            </w:r>
          </w:p>
        </w:tc>
        <w:tc>
          <w:tcPr>
            <w:tcW w:w="0" w:type="auto"/>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r>
      <w:tr w:rsidR="00000000">
        <w:trPr>
          <w:divId w:val="1909262542"/>
          <w:jc w:val="center"/>
        </w:trPr>
        <w:tc>
          <w:tcPr>
            <w:tcW w:w="0" w:type="auto"/>
            <w:gridSpan w:val="3"/>
            <w:tcMar>
              <w:top w:w="30" w:type="dxa"/>
              <w:left w:w="20" w:type="dxa"/>
              <w:bottom w:w="30" w:type="dxa"/>
              <w:right w:w="20" w:type="dxa"/>
            </w:tcMar>
            <w:vAlign w:val="bottom"/>
            <w:hideMark/>
          </w:tcPr>
          <w:p w:rsidR="00000000" w:rsidRDefault="009012B9">
            <w:pPr>
              <w:spacing w:after="100"/>
              <w:ind w:hanging="180"/>
              <w:divId w:val="2135557342"/>
              <w:rPr>
                <w:rFonts w:eastAsia="Times New Roman"/>
              </w:rPr>
            </w:pPr>
            <w:r>
              <w:rPr>
                <w:rFonts w:eastAsia="Times New Roman"/>
                <w:color w:val="000000"/>
                <w:sz w:val="20"/>
                <w:szCs w:val="20"/>
              </w:rPr>
              <w:t>Depreciation of lab equipment and costs of equipment and supplies</w:t>
            </w: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1,530 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1,198 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332 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r>
      <w:tr w:rsidR="00000000">
        <w:trPr>
          <w:divId w:val="1909262542"/>
          <w:jc w:val="center"/>
        </w:trPr>
        <w:tc>
          <w:tcPr>
            <w:tcW w:w="0" w:type="auto"/>
            <w:gridSpan w:val="3"/>
            <w:shd w:val="clear" w:color="auto" w:fill="CCEEFF"/>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Facilities and other allocated expenses</w:t>
            </w: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1,543 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960 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583 </w:t>
            </w:r>
          </w:p>
        </w:tc>
        <w:tc>
          <w:tcPr>
            <w:tcW w:w="0" w:type="auto"/>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r>
      <w:tr w:rsidR="00000000">
        <w:trPr>
          <w:divId w:val="1909262542"/>
          <w:jc w:val="center"/>
        </w:trPr>
        <w:tc>
          <w:tcPr>
            <w:tcW w:w="0" w:type="auto"/>
            <w:gridSpan w:val="3"/>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20"/>
                <w:szCs w:val="20"/>
              </w:rPr>
              <w:t>Total research and development expenses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18,527 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13,919 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4,608 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r>
    </w:tbl>
    <w:p w:rsidR="00000000" w:rsidRDefault="009012B9">
      <w:pPr>
        <w:ind w:firstLine="1260"/>
        <w:divId w:val="1560819776"/>
        <w:rPr>
          <w:rFonts w:eastAsia="Times New Roman"/>
        </w:rPr>
      </w:pPr>
      <w:r>
        <w:rPr>
          <w:rFonts w:eastAsia="Times New Roman"/>
          <w:color w:val="000000"/>
          <w:sz w:val="20"/>
          <w:szCs w:val="20"/>
        </w:rPr>
        <w:t>Research and development expenses for the three months ended March </w:t>
      </w:r>
      <w:r>
        <w:rPr>
          <w:rFonts w:eastAsia="Times New Roman"/>
          <w:color w:val="000000"/>
          <w:sz w:val="20"/>
          <w:szCs w:val="20"/>
        </w:rPr>
        <w:t xml:space="preserve">31, 2021 was $18.5 million compared to $13.9 million for the three months ended March 31, 2020. The increase of $4.6 million is primarily attributable to employee related expenses, driven by headcount, salaries and stock-based compensation expense, and an </w:t>
      </w:r>
      <w:r>
        <w:rPr>
          <w:rFonts w:eastAsia="Times New Roman"/>
          <w:color w:val="000000"/>
          <w:sz w:val="20"/>
          <w:szCs w:val="20"/>
        </w:rPr>
        <w:t xml:space="preserve">increase in clinical trial expenses largely due to underlying clinical conduct associated with our Phase 2 trials for PLN 74809. </w:t>
      </w:r>
    </w:p>
    <w:p w:rsidR="00000000" w:rsidRDefault="009012B9">
      <w:pPr>
        <w:ind w:firstLine="1260"/>
        <w:divId w:val="2015956350"/>
        <w:rPr>
          <w:rFonts w:eastAsia="Times New Roman"/>
        </w:rPr>
      </w:pPr>
      <w:r>
        <w:rPr>
          <w:rFonts w:eastAsia="Times New Roman"/>
          <w:color w:val="000000"/>
          <w:sz w:val="20"/>
          <w:szCs w:val="20"/>
        </w:rPr>
        <w:t xml:space="preserve">We do not allocate our costs by product candidates or by preclinical programs as these are in early stages of clinical trials </w:t>
      </w:r>
      <w:r>
        <w:rPr>
          <w:rFonts w:eastAsia="Times New Roman"/>
          <w:color w:val="000000"/>
          <w:sz w:val="20"/>
          <w:szCs w:val="20"/>
        </w:rPr>
        <w:t>or development, and our internal expenses are not allocated between product candidates and programs. Although external third-party costs are allocable between product candidates and programs, we do not perform this allocation. We expect our research and de</w:t>
      </w:r>
      <w:r>
        <w:rPr>
          <w:rFonts w:eastAsia="Times New Roman"/>
          <w:color w:val="000000"/>
          <w:sz w:val="20"/>
          <w:szCs w:val="20"/>
        </w:rPr>
        <w:t>velopment expenses to increase for the foreseeable future as we continue to invest in research and development activities related to developing our product candidates and our preclinical programs and as they advance into later stages of development.</w:t>
      </w:r>
    </w:p>
    <w:p w:rsidR="00000000" w:rsidRDefault="009012B9">
      <w:pPr>
        <w:divId w:val="565802403"/>
        <w:rPr>
          <w:rFonts w:eastAsia="Times New Roman"/>
        </w:rPr>
      </w:pPr>
      <w:r>
        <w:rPr>
          <w:rFonts w:eastAsia="Times New Roman"/>
          <w:i/>
          <w:iCs/>
          <w:color w:val="000000"/>
          <w:sz w:val="20"/>
          <w:szCs w:val="20"/>
        </w:rPr>
        <w:t>Genera</w:t>
      </w:r>
      <w:r>
        <w:rPr>
          <w:rFonts w:eastAsia="Times New Roman"/>
          <w:i/>
          <w:iCs/>
          <w:color w:val="000000"/>
          <w:sz w:val="20"/>
          <w:szCs w:val="20"/>
        </w:rPr>
        <w:t>l and Administrative Expenses</w:t>
      </w:r>
    </w:p>
    <w:p w:rsidR="00000000" w:rsidRDefault="009012B9">
      <w:pPr>
        <w:ind w:firstLine="1260"/>
        <w:divId w:val="443770465"/>
        <w:rPr>
          <w:rFonts w:eastAsia="Times New Roman"/>
        </w:rPr>
      </w:pPr>
      <w:r>
        <w:rPr>
          <w:rFonts w:eastAsia="Times New Roman"/>
          <w:color w:val="000000"/>
          <w:sz w:val="20"/>
          <w:szCs w:val="20"/>
        </w:rPr>
        <w:t>General and administrative expenses for the three months ended March 31, 2021 was $6.6 million compared to $4.0 million for the three months ended March 31, 2020. The increase of $2.6 million is primarily attributable to emplo</w:t>
      </w:r>
      <w:r>
        <w:rPr>
          <w:rFonts w:eastAsia="Times New Roman"/>
          <w:color w:val="000000"/>
          <w:sz w:val="20"/>
          <w:szCs w:val="20"/>
        </w:rPr>
        <w:t xml:space="preserve">yee related expenses, driven by salaries and stock-based compensation expense, and increased costs associated with our operating as a public company, for example, insurance premiums and accounting and audit expenses. </w:t>
      </w:r>
    </w:p>
    <w:p w:rsidR="00000000" w:rsidRDefault="009012B9">
      <w:pPr>
        <w:ind w:firstLine="1260"/>
        <w:divId w:val="766652578"/>
        <w:rPr>
          <w:rFonts w:eastAsia="Times New Roman"/>
        </w:rPr>
      </w:pPr>
      <w:r>
        <w:rPr>
          <w:rFonts w:eastAsia="Times New Roman"/>
          <w:color w:val="000000"/>
          <w:sz w:val="20"/>
          <w:szCs w:val="20"/>
        </w:rPr>
        <w:t>We expect our general and administrati</w:t>
      </w:r>
      <w:r>
        <w:rPr>
          <w:rFonts w:eastAsia="Times New Roman"/>
          <w:color w:val="000000"/>
          <w:sz w:val="20"/>
          <w:szCs w:val="20"/>
        </w:rPr>
        <w:t xml:space="preserve">ve expenses to increase for the foreseeable future as we continue to build our administrative function to support our growth in operations and to meet the requirements of operating as a public company. </w:t>
      </w:r>
    </w:p>
    <w:p w:rsidR="00000000" w:rsidRDefault="009012B9">
      <w:pPr>
        <w:jc w:val="center"/>
        <w:divId w:val="1401178044"/>
        <w:rPr>
          <w:rFonts w:eastAsia="Times New Roman"/>
        </w:rPr>
      </w:pPr>
      <w:r>
        <w:rPr>
          <w:rFonts w:eastAsia="Times New Roman"/>
          <w:color w:val="000000"/>
          <w:sz w:val="20"/>
          <w:szCs w:val="20"/>
        </w:rPr>
        <w:t>25</w:t>
      </w:r>
    </w:p>
    <w:p w:rsidR="00000000" w:rsidRDefault="009012B9">
      <w:pPr>
        <w:rPr>
          <w:rFonts w:eastAsia="Times New Roman"/>
        </w:rPr>
      </w:pPr>
      <w:r>
        <w:rPr>
          <w:rFonts w:eastAsia="Times New Roman"/>
        </w:rPr>
        <w:pict>
          <v:rect id="_x0000_i1049" style="width:0;height:1.5pt" o:hralign="center" o:hrstd="t" o:hr="t" fillcolor="#a0a0a0" stroked="f"/>
        </w:pict>
      </w:r>
    </w:p>
    <w:p w:rsidR="00000000" w:rsidRDefault="009012B9">
      <w:pPr>
        <w:divId w:val="1762263276"/>
        <w:rPr>
          <w:rFonts w:eastAsia="Times New Roman"/>
        </w:rPr>
      </w:pPr>
    </w:p>
    <w:p w:rsidR="00000000" w:rsidRDefault="009012B9">
      <w:pPr>
        <w:divId w:val="1453331150"/>
        <w:rPr>
          <w:rFonts w:eastAsia="Times New Roman"/>
        </w:rPr>
      </w:pPr>
      <w:r>
        <w:rPr>
          <w:rFonts w:eastAsia="Times New Roman"/>
          <w:i/>
          <w:iCs/>
          <w:color w:val="000000"/>
          <w:sz w:val="20"/>
          <w:szCs w:val="20"/>
        </w:rPr>
        <w:t>Interest and</w:t>
      </w:r>
      <w:r>
        <w:rPr>
          <w:rFonts w:eastAsia="Times New Roman"/>
          <w:i/>
          <w:iCs/>
          <w:color w:val="000000"/>
          <w:sz w:val="20"/>
          <w:szCs w:val="20"/>
        </w:rPr>
        <w:t xml:space="preserve"> Other Income (Expense), net</w:t>
      </w:r>
    </w:p>
    <w:p w:rsidR="00000000" w:rsidRDefault="009012B9">
      <w:pPr>
        <w:ind w:firstLine="1260"/>
        <w:divId w:val="2095516305"/>
        <w:rPr>
          <w:rFonts w:eastAsia="Times New Roman"/>
        </w:rPr>
      </w:pPr>
      <w:r>
        <w:rPr>
          <w:rFonts w:eastAsia="Times New Roman"/>
          <w:color w:val="000000"/>
          <w:sz w:val="20"/>
          <w:szCs w:val="20"/>
        </w:rPr>
        <w:t xml:space="preserve">Interest and other income (expense), net for the three months ended March 31, 2021 was $63,000 compared to $21,000 million for the three months ended March 31, 2020. The increase of $42,000 resulted from higher interest income </w:t>
      </w:r>
      <w:r>
        <w:rPr>
          <w:rFonts w:eastAsia="Times New Roman"/>
          <w:color w:val="000000"/>
          <w:sz w:val="20"/>
          <w:szCs w:val="20"/>
        </w:rPr>
        <w:t xml:space="preserve">in the current period owing to larger investment balances following the increase in cash, cash equivalents and short-term investments resulting from our IPO. </w:t>
      </w:r>
    </w:p>
    <w:p w:rsidR="00000000" w:rsidRDefault="009012B9">
      <w:pPr>
        <w:divId w:val="1565409094"/>
        <w:rPr>
          <w:rFonts w:eastAsia="Times New Roman"/>
        </w:rPr>
      </w:pPr>
      <w:r>
        <w:rPr>
          <w:rFonts w:eastAsia="Times New Roman"/>
          <w:b/>
          <w:bCs/>
          <w:color w:val="000000"/>
          <w:sz w:val="20"/>
          <w:szCs w:val="20"/>
        </w:rPr>
        <w:t>Liquidity and Capital Resources</w:t>
      </w:r>
    </w:p>
    <w:p w:rsidR="00000000" w:rsidRDefault="009012B9">
      <w:pPr>
        <w:divId w:val="1952975041"/>
        <w:rPr>
          <w:rFonts w:eastAsia="Times New Roman"/>
        </w:rPr>
      </w:pPr>
      <w:r>
        <w:rPr>
          <w:rFonts w:eastAsia="Times New Roman"/>
          <w:i/>
          <w:iCs/>
          <w:color w:val="000000"/>
          <w:sz w:val="20"/>
          <w:szCs w:val="20"/>
        </w:rPr>
        <w:t>Overview</w:t>
      </w:r>
    </w:p>
    <w:p w:rsidR="00000000" w:rsidRDefault="009012B9">
      <w:pPr>
        <w:ind w:firstLine="1260"/>
        <w:divId w:val="1417358038"/>
        <w:rPr>
          <w:rFonts w:eastAsia="Times New Roman"/>
        </w:rPr>
      </w:pPr>
      <w:r>
        <w:rPr>
          <w:rFonts w:eastAsia="Times New Roman"/>
          <w:color w:val="000000"/>
          <w:sz w:val="20"/>
          <w:szCs w:val="20"/>
        </w:rPr>
        <w:t>As of March </w:t>
      </w:r>
      <w:r>
        <w:rPr>
          <w:rFonts w:eastAsia="Times New Roman"/>
          <w:color w:val="000000"/>
          <w:sz w:val="20"/>
          <w:szCs w:val="20"/>
        </w:rPr>
        <w:t>31, 2021, we had $264.1 million of cash, cash equivalents and short-term investments. Our short-term investments consist of U.S. Treasury securities, U.S. Government agency securities and highly rated, investment-grade corporate debt securities. Based on o</w:t>
      </w:r>
      <w:r>
        <w:rPr>
          <w:rFonts w:eastAsia="Times New Roman"/>
          <w:color w:val="000000"/>
          <w:sz w:val="20"/>
          <w:szCs w:val="20"/>
        </w:rPr>
        <w:t>ur current operating plan, we anticipate that the aggregate of our current cash, cash equivalents and short-term investments will be sufficient to fund our planned operations, commitments and contractual obligations for a period of at least one year follow</w:t>
      </w:r>
      <w:r>
        <w:rPr>
          <w:rFonts w:eastAsia="Times New Roman"/>
          <w:color w:val="000000"/>
          <w:sz w:val="20"/>
          <w:szCs w:val="20"/>
        </w:rPr>
        <w:t xml:space="preserve">ing the date of this Report and into 2023. However, our future capital requirements and the period for which our existing resources will support our operations may vary significantly from what we expect, and we will in any event require additional capital </w:t>
      </w:r>
      <w:r>
        <w:rPr>
          <w:rFonts w:eastAsia="Times New Roman"/>
          <w:color w:val="000000"/>
          <w:sz w:val="20"/>
          <w:szCs w:val="20"/>
        </w:rPr>
        <w:t xml:space="preserve">in order to complete clinical development of any of our current programs. </w:t>
      </w:r>
    </w:p>
    <w:p w:rsidR="00000000" w:rsidRDefault="009012B9">
      <w:pPr>
        <w:ind w:firstLine="1260"/>
        <w:divId w:val="1586916731"/>
        <w:rPr>
          <w:rFonts w:eastAsia="Times New Roman"/>
        </w:rPr>
      </w:pPr>
      <w:r>
        <w:rPr>
          <w:rFonts w:eastAsia="Times New Roman"/>
          <w:color w:val="000000"/>
          <w:sz w:val="20"/>
          <w:szCs w:val="20"/>
        </w:rPr>
        <w:t>Our operations have been financed primarily through the issuance and sale of convertible preferred stock, our collaboration with Novartis and issuance of common stock via our IPO. W</w:t>
      </w:r>
      <w:r>
        <w:rPr>
          <w:rFonts w:eastAsia="Times New Roman"/>
          <w:color w:val="000000"/>
          <w:sz w:val="20"/>
          <w:szCs w:val="20"/>
        </w:rPr>
        <w:t>e completed our IPO in June 2020 and received $148.3 million, net of underwriting discounts, commissions and offering expenses. Concurrent with the completion of the IPO, we also issued 625,000 shares of our common stock to Novartis for proceeds of $10.0 m</w:t>
      </w:r>
      <w:r>
        <w:rPr>
          <w:rFonts w:eastAsia="Times New Roman"/>
          <w:color w:val="000000"/>
          <w:sz w:val="20"/>
          <w:szCs w:val="20"/>
        </w:rPr>
        <w:t xml:space="preserve">illion. </w:t>
      </w:r>
    </w:p>
    <w:p w:rsidR="00000000" w:rsidRDefault="009012B9">
      <w:pPr>
        <w:divId w:val="756941354"/>
        <w:rPr>
          <w:rFonts w:eastAsia="Times New Roman"/>
        </w:rPr>
      </w:pPr>
      <w:r>
        <w:rPr>
          <w:rFonts w:eastAsia="Times New Roman"/>
          <w:i/>
          <w:iCs/>
          <w:color w:val="000000"/>
          <w:sz w:val="20"/>
          <w:szCs w:val="20"/>
        </w:rPr>
        <w:t>Funding Requirements</w:t>
      </w:r>
    </w:p>
    <w:p w:rsidR="00000000" w:rsidRDefault="009012B9">
      <w:pPr>
        <w:ind w:firstLine="1260"/>
        <w:divId w:val="370300910"/>
        <w:rPr>
          <w:rFonts w:eastAsia="Times New Roman"/>
        </w:rPr>
      </w:pPr>
      <w:r>
        <w:rPr>
          <w:rFonts w:eastAsia="Times New Roman"/>
          <w:color w:val="000000"/>
          <w:sz w:val="20"/>
          <w:szCs w:val="20"/>
        </w:rPr>
        <w:t>Our primary use of cash is to fund operating expenses, primarily research and development expenditures. Cash used to fund operating expenses is impacted by the timing of when we pay these expenses, as reflected in the change i</w:t>
      </w:r>
      <w:r>
        <w:rPr>
          <w:rFonts w:eastAsia="Times New Roman"/>
          <w:color w:val="000000"/>
          <w:sz w:val="20"/>
          <w:szCs w:val="20"/>
        </w:rPr>
        <w:t>n our outstanding accounts payable, accrued expenses and prepaid expenses.</w:t>
      </w:r>
    </w:p>
    <w:p w:rsidR="00000000" w:rsidRDefault="009012B9">
      <w:pPr>
        <w:ind w:firstLine="1260"/>
        <w:divId w:val="1951469133"/>
        <w:rPr>
          <w:rFonts w:eastAsia="Times New Roman"/>
        </w:rPr>
      </w:pPr>
      <w:r>
        <w:rPr>
          <w:rFonts w:eastAsia="Times New Roman"/>
          <w:color w:val="000000"/>
          <w:sz w:val="20"/>
          <w:szCs w:val="20"/>
        </w:rPr>
        <w:t>Our future funding requirements will depend on many factors, including the following:</w:t>
      </w:r>
    </w:p>
    <w:p w:rsidR="00000000" w:rsidRDefault="009012B9">
      <w:pPr>
        <w:ind w:hanging="1080"/>
        <w:divId w:val="890456733"/>
        <w:rPr>
          <w:rFonts w:eastAsia="Times New Roman"/>
        </w:rPr>
      </w:pPr>
      <w:r>
        <w:rPr>
          <w:rFonts w:eastAsia="Times New Roman"/>
          <w:color w:val="000000"/>
          <w:sz w:val="20"/>
          <w:szCs w:val="20"/>
        </w:rPr>
        <w:t>•the initiation, progress, timing, costs and results of preclinical studies and clinical trials</w:t>
      </w:r>
      <w:r>
        <w:rPr>
          <w:rFonts w:eastAsia="Times New Roman"/>
          <w:color w:val="000000"/>
          <w:sz w:val="20"/>
          <w:szCs w:val="20"/>
        </w:rPr>
        <w:t xml:space="preserve"> for our product candidates;</w:t>
      </w:r>
    </w:p>
    <w:p w:rsidR="00000000" w:rsidRDefault="009012B9">
      <w:pPr>
        <w:ind w:hanging="1080"/>
        <w:divId w:val="2106071738"/>
        <w:rPr>
          <w:rFonts w:eastAsia="Times New Roman"/>
        </w:rPr>
      </w:pPr>
      <w:r>
        <w:rPr>
          <w:rFonts w:eastAsia="Times New Roman"/>
          <w:color w:val="000000"/>
          <w:sz w:val="20"/>
          <w:szCs w:val="20"/>
        </w:rPr>
        <w:t>•the clinical development plans we establish for these product candidates;</w:t>
      </w:r>
    </w:p>
    <w:p w:rsidR="00000000" w:rsidRDefault="009012B9">
      <w:pPr>
        <w:ind w:hanging="1080"/>
        <w:divId w:val="1620456477"/>
        <w:rPr>
          <w:rFonts w:eastAsia="Times New Roman"/>
        </w:rPr>
      </w:pPr>
      <w:r>
        <w:rPr>
          <w:rFonts w:eastAsia="Times New Roman"/>
          <w:color w:val="000000"/>
          <w:sz w:val="20"/>
          <w:szCs w:val="20"/>
        </w:rPr>
        <w:t>•the timelines of our clinical trials and the overall costs to conduct and complete the clinical trials, which may be impacted by the COVID-19 pandemic;</w:t>
      </w:r>
    </w:p>
    <w:p w:rsidR="00000000" w:rsidRDefault="009012B9">
      <w:pPr>
        <w:ind w:hanging="1080"/>
        <w:divId w:val="1205171714"/>
        <w:rPr>
          <w:rFonts w:eastAsia="Times New Roman"/>
        </w:rPr>
      </w:pPr>
      <w:r>
        <w:rPr>
          <w:rFonts w:eastAsia="Times New Roman"/>
          <w:color w:val="000000"/>
          <w:sz w:val="20"/>
          <w:szCs w:val="20"/>
        </w:rPr>
        <w:t>•the number and characteristics of product candidates that we develop;</w:t>
      </w:r>
    </w:p>
    <w:p w:rsidR="00000000" w:rsidRDefault="009012B9">
      <w:pPr>
        <w:ind w:hanging="1080"/>
        <w:divId w:val="1592935346"/>
        <w:rPr>
          <w:rFonts w:eastAsia="Times New Roman"/>
        </w:rPr>
      </w:pPr>
      <w:r>
        <w:rPr>
          <w:rFonts w:eastAsia="Times New Roman"/>
          <w:color w:val="000000"/>
          <w:sz w:val="20"/>
          <w:szCs w:val="20"/>
        </w:rPr>
        <w:t>•the outcome, timing and cost of meeting regulatory requirements established by the U.S. Food and Drug Administration, or FDA, and other comparable foreign regulatory authorities;</w:t>
      </w:r>
    </w:p>
    <w:p w:rsidR="00000000" w:rsidRDefault="009012B9">
      <w:pPr>
        <w:ind w:hanging="1080"/>
        <w:divId w:val="324206660"/>
        <w:rPr>
          <w:rFonts w:eastAsia="Times New Roman"/>
        </w:rPr>
      </w:pPr>
      <w:r>
        <w:rPr>
          <w:rFonts w:eastAsia="Times New Roman"/>
          <w:color w:val="000000"/>
          <w:sz w:val="20"/>
          <w:szCs w:val="20"/>
        </w:rPr>
        <w:t>•whe</w:t>
      </w:r>
      <w:r>
        <w:rPr>
          <w:rFonts w:eastAsia="Times New Roman"/>
          <w:color w:val="000000"/>
          <w:sz w:val="20"/>
          <w:szCs w:val="20"/>
        </w:rPr>
        <w:t>ther we enter into any collaboration agreements and the terms of any such agreements;</w:t>
      </w:r>
    </w:p>
    <w:p w:rsidR="00000000" w:rsidRDefault="009012B9">
      <w:pPr>
        <w:ind w:hanging="1080"/>
        <w:divId w:val="1018317724"/>
        <w:rPr>
          <w:rFonts w:eastAsia="Times New Roman"/>
        </w:rPr>
      </w:pPr>
      <w:r>
        <w:rPr>
          <w:rFonts w:eastAsia="Times New Roman"/>
          <w:color w:val="000000"/>
          <w:sz w:val="20"/>
          <w:szCs w:val="20"/>
        </w:rPr>
        <w:t>•the cost of filing, prosecuting, defending and enforcing our patent claims and other intellectual property rights;</w:t>
      </w:r>
    </w:p>
    <w:p w:rsidR="00000000" w:rsidRDefault="009012B9">
      <w:pPr>
        <w:ind w:hanging="1080"/>
        <w:divId w:val="1104299698"/>
        <w:rPr>
          <w:rFonts w:eastAsia="Times New Roman"/>
        </w:rPr>
      </w:pPr>
      <w:r>
        <w:rPr>
          <w:rFonts w:eastAsia="Times New Roman"/>
          <w:color w:val="000000"/>
          <w:sz w:val="20"/>
          <w:szCs w:val="20"/>
        </w:rPr>
        <w:t>•the cost of defending intellectual property disputes,</w:t>
      </w:r>
      <w:r>
        <w:rPr>
          <w:rFonts w:eastAsia="Times New Roman"/>
          <w:color w:val="000000"/>
          <w:sz w:val="20"/>
          <w:szCs w:val="20"/>
        </w:rPr>
        <w:t xml:space="preserve"> including patent infringement actions brought by third parties against us or our product candidates;</w:t>
      </w:r>
    </w:p>
    <w:p w:rsidR="00000000" w:rsidRDefault="009012B9">
      <w:pPr>
        <w:ind w:hanging="1080"/>
        <w:divId w:val="642852539"/>
        <w:rPr>
          <w:rFonts w:eastAsia="Times New Roman"/>
        </w:rPr>
      </w:pPr>
      <w:r>
        <w:rPr>
          <w:rFonts w:eastAsia="Times New Roman"/>
          <w:color w:val="000000"/>
          <w:sz w:val="20"/>
          <w:szCs w:val="20"/>
        </w:rPr>
        <w:t>•the effect of competing technological and market developments;</w:t>
      </w:r>
    </w:p>
    <w:p w:rsidR="00000000" w:rsidRDefault="009012B9">
      <w:pPr>
        <w:ind w:hanging="1080"/>
        <w:divId w:val="1977880393"/>
        <w:rPr>
          <w:rFonts w:eastAsia="Times New Roman"/>
        </w:rPr>
      </w:pPr>
      <w:r>
        <w:rPr>
          <w:rFonts w:eastAsia="Times New Roman"/>
          <w:color w:val="000000"/>
          <w:sz w:val="20"/>
          <w:szCs w:val="20"/>
        </w:rPr>
        <w:t>•</w:t>
      </w:r>
      <w:r>
        <w:rPr>
          <w:rFonts w:eastAsia="Times New Roman"/>
          <w:color w:val="000000"/>
          <w:sz w:val="20"/>
          <w:szCs w:val="20"/>
        </w:rPr>
        <w:t>the cost and timing of completion of commercial-scale outsourced manufacturing activities;  </w:t>
      </w:r>
    </w:p>
    <w:p w:rsidR="00000000" w:rsidRDefault="009012B9">
      <w:pPr>
        <w:ind w:hanging="1080"/>
        <w:divId w:val="1750540048"/>
        <w:rPr>
          <w:rFonts w:eastAsia="Times New Roman"/>
        </w:rPr>
      </w:pPr>
      <w:r>
        <w:rPr>
          <w:rFonts w:eastAsia="Times New Roman"/>
          <w:color w:val="000000"/>
          <w:sz w:val="20"/>
          <w:szCs w:val="20"/>
        </w:rPr>
        <w:t>•the cost of establishing sales, marketing and distribution capabilities for any product candidates for which we may receive regulatory approval in regions where w</w:t>
      </w:r>
      <w:r>
        <w:rPr>
          <w:rFonts w:eastAsia="Times New Roman"/>
          <w:color w:val="000000"/>
          <w:sz w:val="20"/>
          <w:szCs w:val="20"/>
        </w:rPr>
        <w:t>e choose to commercialize our products on our own; and</w:t>
      </w:r>
    </w:p>
    <w:p w:rsidR="00000000" w:rsidRDefault="009012B9">
      <w:pPr>
        <w:ind w:hanging="1080"/>
        <w:divId w:val="1289355895"/>
        <w:rPr>
          <w:rFonts w:eastAsia="Times New Roman"/>
        </w:rPr>
      </w:pPr>
      <w:r>
        <w:rPr>
          <w:rFonts w:eastAsia="Times New Roman"/>
          <w:color w:val="000000"/>
          <w:sz w:val="20"/>
          <w:szCs w:val="20"/>
        </w:rPr>
        <w:t>•the cost of operating as a public company.</w:t>
      </w:r>
    </w:p>
    <w:p w:rsidR="00000000" w:rsidRDefault="009012B9">
      <w:pPr>
        <w:ind w:firstLine="1260"/>
        <w:divId w:val="482893765"/>
        <w:rPr>
          <w:rFonts w:eastAsia="Times New Roman"/>
        </w:rPr>
      </w:pPr>
      <w:r>
        <w:rPr>
          <w:rFonts w:eastAsia="Times New Roman"/>
          <w:color w:val="000000"/>
          <w:sz w:val="20"/>
          <w:szCs w:val="20"/>
        </w:rPr>
        <w:t>Further, our operating plan may change, and we may need additional funds to meet operational needs and capital requirements for clinical trials and other res</w:t>
      </w:r>
      <w:r>
        <w:rPr>
          <w:rFonts w:eastAsia="Times New Roman"/>
          <w:color w:val="000000"/>
          <w:sz w:val="20"/>
          <w:szCs w:val="20"/>
        </w:rPr>
        <w:t xml:space="preserve">earch and development expenditures. If we need to raise additional capital to fund our operations, funding may not be available to us on acceptable terms, or at all. If we are unable to obtain adequate </w:t>
      </w:r>
    </w:p>
    <w:p w:rsidR="00000000" w:rsidRDefault="009012B9">
      <w:pPr>
        <w:jc w:val="center"/>
        <w:divId w:val="571895345"/>
        <w:rPr>
          <w:rFonts w:eastAsia="Times New Roman"/>
        </w:rPr>
      </w:pPr>
      <w:r>
        <w:rPr>
          <w:rFonts w:eastAsia="Times New Roman"/>
          <w:color w:val="000000"/>
          <w:sz w:val="20"/>
          <w:szCs w:val="20"/>
        </w:rPr>
        <w:t>26</w:t>
      </w:r>
    </w:p>
    <w:p w:rsidR="00000000" w:rsidRDefault="009012B9">
      <w:pPr>
        <w:rPr>
          <w:rFonts w:eastAsia="Times New Roman"/>
        </w:rPr>
      </w:pPr>
      <w:r>
        <w:rPr>
          <w:rFonts w:eastAsia="Times New Roman"/>
        </w:rPr>
        <w:pict>
          <v:rect id="_x0000_i1050" style="width:0;height:1.5pt" o:hralign="center" o:hrstd="t" o:hr="t" fillcolor="#a0a0a0" stroked="f"/>
        </w:pict>
      </w:r>
    </w:p>
    <w:p w:rsidR="00000000" w:rsidRDefault="009012B9">
      <w:pPr>
        <w:divId w:val="1361518007"/>
        <w:rPr>
          <w:rFonts w:eastAsia="Times New Roman"/>
        </w:rPr>
      </w:pPr>
    </w:p>
    <w:p w:rsidR="00000000" w:rsidRDefault="009012B9">
      <w:pPr>
        <w:divId w:val="1773239512"/>
        <w:rPr>
          <w:rFonts w:eastAsia="Times New Roman"/>
        </w:rPr>
      </w:pPr>
      <w:r>
        <w:rPr>
          <w:rFonts w:eastAsia="Times New Roman"/>
          <w:color w:val="000000"/>
          <w:sz w:val="20"/>
          <w:szCs w:val="20"/>
        </w:rPr>
        <w:t>financing wh</w:t>
      </w:r>
      <w:r>
        <w:rPr>
          <w:rFonts w:eastAsia="Times New Roman"/>
          <w:color w:val="000000"/>
          <w:sz w:val="20"/>
          <w:szCs w:val="20"/>
        </w:rPr>
        <w:t>en needed, we may have to delay, reduce the scope of or suspend one or more of our preclinical studies, clinical trials, research and development programs or commercialization efforts. We may seek to raise any necessary additional capital through a combina</w:t>
      </w:r>
      <w:r>
        <w:rPr>
          <w:rFonts w:eastAsia="Times New Roman"/>
          <w:color w:val="000000"/>
          <w:sz w:val="20"/>
          <w:szCs w:val="20"/>
        </w:rPr>
        <w:t>tion of public or private equity offerings, debt financings, collaborations and other licensing arrangements. If we raise additional capital through debt financing, we may be subject to covenants limiting or restricting our ability to take specific actions</w:t>
      </w:r>
      <w:r>
        <w:rPr>
          <w:rFonts w:eastAsia="Times New Roman"/>
          <w:color w:val="000000"/>
          <w:sz w:val="20"/>
          <w:szCs w:val="20"/>
        </w:rPr>
        <w:t>, such as incurring additional debt, making capital expenditures or declaring dividends. If we raise additional capital through marketing and distribution arrangements or other collaborations, strategic alliances or licensing arrangements with third partie</w:t>
      </w:r>
      <w:r>
        <w:rPr>
          <w:rFonts w:eastAsia="Times New Roman"/>
          <w:color w:val="000000"/>
          <w:sz w:val="20"/>
          <w:szCs w:val="20"/>
        </w:rPr>
        <w:t>s, we may have to relinquish certain valuable rights to our product candidates, technologies, future revenue streams or research programs or grant licenses on terms that may not be favorable to us.</w:t>
      </w:r>
    </w:p>
    <w:p w:rsidR="00000000" w:rsidRDefault="009012B9">
      <w:pPr>
        <w:divId w:val="360595393"/>
        <w:rPr>
          <w:rFonts w:eastAsia="Times New Roman"/>
        </w:rPr>
      </w:pPr>
      <w:r>
        <w:rPr>
          <w:rFonts w:eastAsia="Times New Roman"/>
          <w:b/>
          <w:bCs/>
          <w:color w:val="000000"/>
          <w:sz w:val="20"/>
          <w:szCs w:val="20"/>
        </w:rPr>
        <w:t>Cash Flows</w:t>
      </w:r>
    </w:p>
    <w:p w:rsidR="00000000" w:rsidRDefault="009012B9">
      <w:pPr>
        <w:divId w:val="1936669699"/>
        <w:rPr>
          <w:rFonts w:eastAsia="Times New Roman"/>
        </w:rPr>
      </w:pPr>
      <w:r>
        <w:rPr>
          <w:rFonts w:eastAsia="Times New Roman"/>
          <w:b/>
          <w:bCs/>
          <w:i/>
          <w:iCs/>
          <w:color w:val="000000"/>
          <w:sz w:val="20"/>
          <w:szCs w:val="20"/>
        </w:rPr>
        <w:t xml:space="preserve">Comparison of the three months ended March 31, </w:t>
      </w:r>
      <w:r>
        <w:rPr>
          <w:rFonts w:eastAsia="Times New Roman"/>
          <w:b/>
          <w:bCs/>
          <w:i/>
          <w:iCs/>
          <w:color w:val="000000"/>
          <w:sz w:val="20"/>
          <w:szCs w:val="20"/>
        </w:rPr>
        <w:t>2021 and 2020</w:t>
      </w:r>
    </w:p>
    <w:p w:rsidR="00000000" w:rsidRDefault="009012B9">
      <w:pPr>
        <w:ind w:firstLine="1260"/>
        <w:divId w:val="1639602926"/>
        <w:rPr>
          <w:rFonts w:eastAsia="Times New Roman"/>
        </w:rPr>
      </w:pPr>
      <w:r>
        <w:rPr>
          <w:rFonts w:eastAsia="Times New Roman"/>
          <w:color w:val="000000"/>
          <w:sz w:val="20"/>
          <w:szCs w:val="20"/>
        </w:rPr>
        <w:t>The following summarizes our cash flows for the periods indicated (in thousands):</w:t>
      </w:r>
    </w:p>
    <w:tbl>
      <w:tblPr>
        <w:tblW w:w="4166" w:type="pct"/>
        <w:jc w:val="center"/>
        <w:tblCellMar>
          <w:top w:w="15" w:type="dxa"/>
          <w:left w:w="15" w:type="dxa"/>
          <w:bottom w:w="15" w:type="dxa"/>
          <w:right w:w="15" w:type="dxa"/>
        </w:tblCellMar>
        <w:tblLook w:val="04A0" w:firstRow="1" w:lastRow="0" w:firstColumn="1" w:lastColumn="0" w:noHBand="0" w:noVBand="1"/>
      </w:tblPr>
      <w:tblGrid>
        <w:gridCol w:w="39"/>
        <w:gridCol w:w="4602"/>
        <w:gridCol w:w="37"/>
        <w:gridCol w:w="120"/>
        <w:gridCol w:w="931"/>
        <w:gridCol w:w="36"/>
        <w:gridCol w:w="36"/>
        <w:gridCol w:w="36"/>
        <w:gridCol w:w="36"/>
        <w:gridCol w:w="120"/>
        <w:gridCol w:w="892"/>
        <w:gridCol w:w="36"/>
      </w:tblGrid>
      <w:tr w:rsidR="00000000">
        <w:trPr>
          <w:divId w:val="1935936557"/>
          <w:jc w:val="center"/>
        </w:trPr>
        <w:tc>
          <w:tcPr>
            <w:tcW w:w="50" w:type="pct"/>
            <w:vAlign w:val="center"/>
            <w:hideMark/>
          </w:tcPr>
          <w:p w:rsidR="00000000" w:rsidRDefault="009012B9">
            <w:pPr>
              <w:ind w:firstLine="1260"/>
              <w:rPr>
                <w:rFonts w:eastAsia="Times New Roman"/>
              </w:rPr>
            </w:pPr>
          </w:p>
        </w:tc>
        <w:tc>
          <w:tcPr>
            <w:tcW w:w="3374"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708"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33"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708"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r>
      <w:tr w:rsidR="00000000">
        <w:trPr>
          <w:divId w:val="1935936557"/>
          <w:jc w:val="center"/>
        </w:trPr>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color w:val="000000"/>
              </w:rPr>
              <w:t>  </w:t>
            </w:r>
          </w:p>
        </w:tc>
        <w:tc>
          <w:tcPr>
            <w:tcW w:w="0" w:type="auto"/>
            <w:gridSpan w:val="9"/>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Three Months Ended March 31,</w:t>
            </w:r>
          </w:p>
        </w:tc>
      </w:tr>
      <w:tr w:rsidR="00000000">
        <w:trPr>
          <w:divId w:val="1935936557"/>
          <w:jc w:val="center"/>
        </w:trPr>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2020</w:t>
            </w:r>
          </w:p>
        </w:tc>
      </w:tr>
      <w:tr w:rsidR="00000000">
        <w:trPr>
          <w:divId w:val="1935936557"/>
          <w:jc w:val="center"/>
        </w:trPr>
        <w:tc>
          <w:tcPr>
            <w:tcW w:w="0" w:type="auto"/>
            <w:gridSpan w:val="3"/>
            <w:shd w:val="clear" w:color="auto" w:fill="CCEEFF"/>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Net cash used in operating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(13,665)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(12,766)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1935936557"/>
          <w:jc w:val="center"/>
        </w:trPr>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Net cash provided by/(used in) investing activities</w:t>
            </w: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12,232 </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(11,373)</w:t>
            </w:r>
          </w:p>
        </w:tc>
        <w:tc>
          <w:tcPr>
            <w:tcW w:w="0" w:type="auto"/>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1935936557"/>
          <w:jc w:val="center"/>
        </w:trPr>
        <w:tc>
          <w:tcPr>
            <w:tcW w:w="0" w:type="auto"/>
            <w:gridSpan w:val="3"/>
            <w:shd w:val="clear" w:color="auto" w:fill="CFF0FC"/>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Net cash provided by financing activities</w:t>
            </w:r>
          </w:p>
        </w:tc>
        <w:tc>
          <w:tcPr>
            <w:tcW w:w="0" w:type="auto"/>
            <w:gridSpan w:val="2"/>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1,370 </w:t>
            </w:r>
          </w:p>
        </w:tc>
        <w:tc>
          <w:tcPr>
            <w:tcW w:w="0" w:type="auto"/>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51,700 </w:t>
            </w:r>
          </w:p>
        </w:tc>
        <w:tc>
          <w:tcPr>
            <w:tcW w:w="0" w:type="auto"/>
            <w:shd w:val="clear" w:color="auto" w:fill="CFF0FC"/>
            <w:tcMar>
              <w:top w:w="30" w:type="dxa"/>
              <w:left w:w="0" w:type="dxa"/>
              <w:bottom w:w="30" w:type="dxa"/>
              <w:right w:w="20" w:type="dxa"/>
            </w:tcMar>
            <w:vAlign w:val="bottom"/>
            <w:hideMark/>
          </w:tcPr>
          <w:p w:rsidR="00000000" w:rsidRDefault="009012B9">
            <w:pPr>
              <w:spacing w:after="100"/>
              <w:jc w:val="right"/>
              <w:rPr>
                <w:rFonts w:eastAsia="Times New Roman"/>
              </w:rPr>
            </w:pPr>
          </w:p>
        </w:tc>
      </w:tr>
      <w:tr w:rsidR="00000000">
        <w:trPr>
          <w:divId w:val="1935936557"/>
          <w:jc w:val="center"/>
        </w:trPr>
        <w:tc>
          <w:tcPr>
            <w:tcW w:w="0" w:type="auto"/>
            <w:gridSpan w:val="3"/>
            <w:tcMar>
              <w:top w:w="30" w:type="dxa"/>
              <w:left w:w="245" w:type="dxa"/>
              <w:bottom w:w="30" w:type="dxa"/>
              <w:right w:w="20" w:type="dxa"/>
            </w:tcMar>
            <w:hideMark/>
          </w:tcPr>
          <w:p w:rsidR="00000000" w:rsidRDefault="009012B9">
            <w:pPr>
              <w:spacing w:after="100"/>
              <w:rPr>
                <w:rFonts w:eastAsia="Times New Roman"/>
              </w:rPr>
            </w:pPr>
            <w:r>
              <w:rPr>
                <w:rFonts w:eastAsia="Times New Roman"/>
                <w:color w:val="000000"/>
                <w:sz w:val="20"/>
                <w:szCs w:val="20"/>
              </w:rPr>
              <w:t>Net (decrease)/increase in cash and cash equivalents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(63)</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012B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012B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012B9">
            <w:pPr>
              <w:spacing w:after="100"/>
              <w:jc w:val="right"/>
              <w:rPr>
                <w:rFonts w:eastAsia="Times New Roman"/>
              </w:rPr>
            </w:pPr>
            <w:r>
              <w:rPr>
                <w:rFonts w:eastAsia="Times New Roman"/>
                <w:color w:val="000000"/>
                <w:sz w:val="20"/>
                <w:szCs w:val="20"/>
              </w:rPr>
              <w:t>27,561 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012B9">
            <w:pPr>
              <w:spacing w:after="100"/>
              <w:jc w:val="right"/>
              <w:rPr>
                <w:rFonts w:eastAsia="Times New Roman"/>
              </w:rPr>
            </w:pPr>
          </w:p>
        </w:tc>
      </w:tr>
    </w:tbl>
    <w:p w:rsidR="00000000" w:rsidRDefault="009012B9">
      <w:pPr>
        <w:divId w:val="851991526"/>
        <w:rPr>
          <w:rFonts w:eastAsia="Times New Roman"/>
        </w:rPr>
      </w:pPr>
      <w:r>
        <w:rPr>
          <w:rFonts w:eastAsia="Times New Roman"/>
          <w:b/>
          <w:bCs/>
          <w:i/>
          <w:iCs/>
          <w:color w:val="000000"/>
          <w:sz w:val="20"/>
          <w:szCs w:val="20"/>
        </w:rPr>
        <w:t>Cash Used in Operating Activities</w:t>
      </w:r>
    </w:p>
    <w:p w:rsidR="00000000" w:rsidRDefault="009012B9">
      <w:pPr>
        <w:ind w:firstLine="1260"/>
        <w:divId w:val="674041950"/>
        <w:rPr>
          <w:rFonts w:eastAsia="Times New Roman"/>
        </w:rPr>
      </w:pPr>
      <w:r>
        <w:rPr>
          <w:rFonts w:eastAsia="Times New Roman"/>
          <w:color w:val="000000"/>
          <w:sz w:val="20"/>
          <w:szCs w:val="20"/>
        </w:rPr>
        <w:t>Net cash used in operating activities increased by $0.9 million to $13.7 million for the three months ended March 31, 2021 compared to the same period in 2020. The change over prior year is primarily attributable to higher</w:t>
      </w:r>
      <w:r>
        <w:rPr>
          <w:rFonts w:eastAsia="Times New Roman"/>
          <w:color w:val="000000"/>
          <w:sz w:val="20"/>
          <w:szCs w:val="20"/>
        </w:rPr>
        <w:t xml:space="preserve"> compensation related costs settled during the quarter, partially offset by the receipt of outstanding receivables from Novartis and other less significant changes in our working assets and liabilities attributable to the timing of settlement. </w:t>
      </w:r>
    </w:p>
    <w:p w:rsidR="00000000" w:rsidRDefault="009012B9">
      <w:pPr>
        <w:divId w:val="1926575153"/>
        <w:rPr>
          <w:rFonts w:eastAsia="Times New Roman"/>
        </w:rPr>
      </w:pPr>
      <w:r>
        <w:rPr>
          <w:rFonts w:eastAsia="Times New Roman"/>
          <w:b/>
          <w:bCs/>
          <w:i/>
          <w:iCs/>
          <w:color w:val="000000"/>
          <w:sz w:val="20"/>
          <w:szCs w:val="20"/>
        </w:rPr>
        <w:t>Cash Provid</w:t>
      </w:r>
      <w:r>
        <w:rPr>
          <w:rFonts w:eastAsia="Times New Roman"/>
          <w:b/>
          <w:bCs/>
          <w:i/>
          <w:iCs/>
          <w:color w:val="000000"/>
          <w:sz w:val="20"/>
          <w:szCs w:val="20"/>
        </w:rPr>
        <w:t>ed by/Used in Investing Activities</w:t>
      </w:r>
    </w:p>
    <w:p w:rsidR="00000000" w:rsidRDefault="009012B9">
      <w:pPr>
        <w:ind w:firstLine="1260"/>
        <w:divId w:val="1312322444"/>
        <w:rPr>
          <w:rFonts w:eastAsia="Times New Roman"/>
        </w:rPr>
      </w:pPr>
      <w:r>
        <w:rPr>
          <w:rFonts w:eastAsia="Times New Roman"/>
          <w:color w:val="000000"/>
          <w:sz w:val="20"/>
          <w:szCs w:val="20"/>
        </w:rPr>
        <w:t>Net cash provided by investing activities was $12.2 million for the three months ended March 31, 2021 compared to net cash used in investing activities of $11.4 for the same period in 2020. The increase is attributable to</w:t>
      </w:r>
      <w:r>
        <w:rPr>
          <w:rFonts w:eastAsia="Times New Roman"/>
          <w:color w:val="000000"/>
          <w:sz w:val="20"/>
          <w:szCs w:val="20"/>
        </w:rPr>
        <w:t xml:space="preserve"> the maturity of short-term investments exceeding purchases during the period. </w:t>
      </w:r>
    </w:p>
    <w:p w:rsidR="00000000" w:rsidRDefault="009012B9">
      <w:pPr>
        <w:divId w:val="1691223179"/>
        <w:rPr>
          <w:rFonts w:eastAsia="Times New Roman"/>
        </w:rPr>
      </w:pPr>
      <w:r>
        <w:rPr>
          <w:rFonts w:eastAsia="Times New Roman"/>
          <w:b/>
          <w:bCs/>
          <w:i/>
          <w:iCs/>
          <w:color w:val="000000"/>
          <w:sz w:val="20"/>
          <w:szCs w:val="20"/>
        </w:rPr>
        <w:t>Cash Provided by Financing Activities</w:t>
      </w:r>
    </w:p>
    <w:p w:rsidR="00000000" w:rsidRDefault="009012B9">
      <w:pPr>
        <w:ind w:firstLine="1260"/>
        <w:divId w:val="1134442819"/>
        <w:rPr>
          <w:rFonts w:eastAsia="Times New Roman"/>
        </w:rPr>
      </w:pPr>
      <w:r>
        <w:rPr>
          <w:rFonts w:eastAsia="Times New Roman"/>
          <w:color w:val="000000"/>
          <w:sz w:val="20"/>
          <w:szCs w:val="20"/>
        </w:rPr>
        <w:t>Net cash provided by financing activities decreased by $50.3 </w:t>
      </w:r>
      <w:r>
        <w:rPr>
          <w:rFonts w:eastAsia="Times New Roman"/>
          <w:color w:val="000000"/>
          <w:sz w:val="20"/>
          <w:szCs w:val="20"/>
        </w:rPr>
        <w:t>million to $1.4 million for the three months ended March 31, 2021 compared to the same period in 2020. The decrease is attributable to proceeds from the Series C preferred stock being received in 2020 whereas the only financing activity during 2021 was der</w:t>
      </w:r>
      <w:r>
        <w:rPr>
          <w:rFonts w:eastAsia="Times New Roman"/>
          <w:color w:val="000000"/>
          <w:sz w:val="20"/>
          <w:szCs w:val="20"/>
        </w:rPr>
        <w:t xml:space="preserve">ived from the exercise of stock options. </w:t>
      </w:r>
    </w:p>
    <w:p w:rsidR="00000000" w:rsidRDefault="009012B9">
      <w:pPr>
        <w:divId w:val="1588658819"/>
        <w:rPr>
          <w:rFonts w:eastAsia="Times New Roman"/>
        </w:rPr>
      </w:pPr>
      <w:r>
        <w:rPr>
          <w:rFonts w:eastAsia="Times New Roman"/>
          <w:b/>
          <w:bCs/>
          <w:color w:val="000000"/>
          <w:sz w:val="20"/>
          <w:szCs w:val="20"/>
        </w:rPr>
        <w:t>Contractual Obligations and Other Commitments</w:t>
      </w:r>
    </w:p>
    <w:p w:rsidR="00000000" w:rsidRDefault="009012B9">
      <w:pPr>
        <w:ind w:firstLine="1260"/>
        <w:divId w:val="1832983379"/>
        <w:rPr>
          <w:rFonts w:eastAsia="Times New Roman"/>
        </w:rPr>
      </w:pPr>
      <w:r>
        <w:rPr>
          <w:rFonts w:eastAsia="Times New Roman"/>
          <w:color w:val="000000"/>
          <w:sz w:val="20"/>
          <w:szCs w:val="20"/>
        </w:rPr>
        <w:t>There have been no material changes to our contractual obligations and other commitments as of March 31, 2021, as compared to those disclosed in our Annual Report on Fo</w:t>
      </w:r>
      <w:r>
        <w:rPr>
          <w:rFonts w:eastAsia="Times New Roman"/>
          <w:color w:val="000000"/>
          <w:sz w:val="20"/>
          <w:szCs w:val="20"/>
        </w:rPr>
        <w:t>rm 10-K for the fiscal year ended December 31, 2020.</w:t>
      </w:r>
    </w:p>
    <w:p w:rsidR="00000000" w:rsidRDefault="009012B9">
      <w:pPr>
        <w:divId w:val="1629319153"/>
        <w:rPr>
          <w:rFonts w:eastAsia="Times New Roman"/>
        </w:rPr>
      </w:pPr>
      <w:r>
        <w:rPr>
          <w:rFonts w:eastAsia="Times New Roman"/>
          <w:b/>
          <w:bCs/>
          <w:color w:val="000000"/>
          <w:sz w:val="20"/>
          <w:szCs w:val="20"/>
        </w:rPr>
        <w:t>Off-Balance Sheet Arrangements</w:t>
      </w:r>
    </w:p>
    <w:p w:rsidR="00000000" w:rsidRDefault="009012B9">
      <w:pPr>
        <w:ind w:firstLine="1260"/>
        <w:divId w:val="662313596"/>
        <w:rPr>
          <w:rFonts w:eastAsia="Times New Roman"/>
        </w:rPr>
      </w:pPr>
      <w:r>
        <w:rPr>
          <w:rFonts w:eastAsia="Times New Roman"/>
          <w:color w:val="000000"/>
          <w:sz w:val="20"/>
          <w:szCs w:val="20"/>
        </w:rPr>
        <w:t>During the periods presented, we did not have, nor do we currently have, any off-balance sheet arrangements or holdings in any variable interest entities.</w:t>
      </w:r>
    </w:p>
    <w:p w:rsidR="00000000" w:rsidRDefault="009012B9">
      <w:pPr>
        <w:divId w:val="163789637"/>
        <w:rPr>
          <w:rFonts w:eastAsia="Times New Roman"/>
        </w:rPr>
      </w:pPr>
      <w:r>
        <w:rPr>
          <w:rFonts w:eastAsia="Times New Roman"/>
          <w:b/>
          <w:bCs/>
          <w:color w:val="000000"/>
          <w:sz w:val="20"/>
          <w:szCs w:val="20"/>
        </w:rPr>
        <w:t>Critical Accounti</w:t>
      </w:r>
      <w:r>
        <w:rPr>
          <w:rFonts w:eastAsia="Times New Roman"/>
          <w:b/>
          <w:bCs/>
          <w:color w:val="000000"/>
          <w:sz w:val="20"/>
          <w:szCs w:val="20"/>
        </w:rPr>
        <w:t>ng Polices and Estimates</w:t>
      </w:r>
    </w:p>
    <w:p w:rsidR="00000000" w:rsidRDefault="009012B9">
      <w:pPr>
        <w:ind w:firstLine="1260"/>
        <w:divId w:val="1720664696"/>
        <w:rPr>
          <w:rFonts w:eastAsia="Times New Roman"/>
        </w:rPr>
      </w:pPr>
      <w:r>
        <w:rPr>
          <w:rFonts w:eastAsia="Times New Roman"/>
          <w:color w:val="000000"/>
          <w:sz w:val="20"/>
          <w:szCs w:val="20"/>
        </w:rPr>
        <w:t>Our management’s discussion and analysis of our financial condition and results of operations is based on our financial statements, which have been prepared in accordance with U.S. GAAP. The preparation of these financial statement</w:t>
      </w:r>
      <w:r>
        <w:rPr>
          <w:rFonts w:eastAsia="Times New Roman"/>
          <w:color w:val="000000"/>
          <w:sz w:val="20"/>
          <w:szCs w:val="20"/>
        </w:rPr>
        <w:t>s requires us to make estimates and assumptions that affect the reported amounts of assets and liabilities and the disclosure of contingent assets and liabilities at the date of the financial statements, as well as the reported expenses incurred during the</w:t>
      </w:r>
      <w:r>
        <w:rPr>
          <w:rFonts w:eastAsia="Times New Roman"/>
          <w:color w:val="000000"/>
          <w:sz w:val="20"/>
          <w:szCs w:val="20"/>
        </w:rPr>
        <w:t xml:space="preserve"> reporting periods. Our estimates are based on our historical experience and on various other factors that we believe are reasonable under the circumstances, the results of which form the basis for making judgments about the carrying value of assets </w:t>
      </w:r>
    </w:p>
    <w:p w:rsidR="00000000" w:rsidRDefault="009012B9">
      <w:pPr>
        <w:jc w:val="center"/>
        <w:divId w:val="421294050"/>
        <w:rPr>
          <w:rFonts w:eastAsia="Times New Roman"/>
        </w:rPr>
      </w:pPr>
      <w:r>
        <w:rPr>
          <w:rFonts w:eastAsia="Times New Roman"/>
          <w:color w:val="000000"/>
          <w:sz w:val="20"/>
          <w:szCs w:val="20"/>
        </w:rPr>
        <w:t>27</w:t>
      </w:r>
    </w:p>
    <w:p w:rsidR="00000000" w:rsidRDefault="009012B9">
      <w:pPr>
        <w:rPr>
          <w:rFonts w:eastAsia="Times New Roman"/>
        </w:rPr>
      </w:pPr>
      <w:r>
        <w:rPr>
          <w:rFonts w:eastAsia="Times New Roman"/>
        </w:rPr>
        <w:pict>
          <v:rect id="_x0000_i1051" style="width:0;height:1.5pt" o:hralign="center" o:hrstd="t" o:hr="t" fillcolor="#a0a0a0" stroked="f"/>
        </w:pict>
      </w:r>
    </w:p>
    <w:p w:rsidR="00000000" w:rsidRDefault="009012B9">
      <w:pPr>
        <w:divId w:val="541524467"/>
        <w:rPr>
          <w:rFonts w:eastAsia="Times New Roman"/>
        </w:rPr>
      </w:pPr>
    </w:p>
    <w:p w:rsidR="00000000" w:rsidRDefault="009012B9">
      <w:pPr>
        <w:divId w:val="543254366"/>
        <w:rPr>
          <w:rFonts w:eastAsia="Times New Roman"/>
        </w:rPr>
      </w:pPr>
      <w:r>
        <w:rPr>
          <w:rFonts w:eastAsia="Times New Roman"/>
          <w:color w:val="000000"/>
          <w:sz w:val="20"/>
          <w:szCs w:val="20"/>
        </w:rPr>
        <w:t>and liabilities that are not readily apparent from other sources. Actual results may differ from these estimates under different assumptions or conditions.</w:t>
      </w:r>
    </w:p>
    <w:p w:rsidR="00000000" w:rsidRDefault="009012B9">
      <w:pPr>
        <w:ind w:firstLine="1260"/>
        <w:divId w:val="721094912"/>
        <w:rPr>
          <w:rFonts w:eastAsia="Times New Roman"/>
        </w:rPr>
      </w:pPr>
      <w:r>
        <w:rPr>
          <w:rFonts w:eastAsia="Times New Roman"/>
          <w:color w:val="000000"/>
          <w:sz w:val="20"/>
          <w:szCs w:val="20"/>
        </w:rPr>
        <w:t>There have been no material changes to our critical accounting policies and estimates from those des</w:t>
      </w:r>
      <w:r>
        <w:rPr>
          <w:rFonts w:eastAsia="Times New Roman"/>
          <w:color w:val="000000"/>
          <w:sz w:val="20"/>
          <w:szCs w:val="20"/>
        </w:rPr>
        <w:t>cribed in “Part II, Item 7. Management’s Discussion and Analysis of Financial Condition and Results of Operations” included in our Annual Report on Form 10-K for the fiscal year ended December 31, 2020 filed with the SEC.</w:t>
      </w:r>
    </w:p>
    <w:p w:rsidR="00000000" w:rsidRDefault="009012B9">
      <w:pPr>
        <w:divId w:val="1471288974"/>
        <w:rPr>
          <w:rFonts w:eastAsia="Times New Roman"/>
        </w:rPr>
      </w:pPr>
      <w:r>
        <w:rPr>
          <w:rFonts w:eastAsia="Times New Roman"/>
          <w:b/>
          <w:bCs/>
          <w:color w:val="000000"/>
          <w:sz w:val="20"/>
          <w:szCs w:val="20"/>
        </w:rPr>
        <w:t>Recent Accounting Pronouncements</w:t>
      </w:r>
    </w:p>
    <w:p w:rsidR="00000000" w:rsidRDefault="009012B9">
      <w:pPr>
        <w:ind w:firstLine="1260"/>
        <w:divId w:val="1579097260"/>
        <w:rPr>
          <w:rFonts w:eastAsia="Times New Roman"/>
        </w:rPr>
      </w:pPr>
      <w:r>
        <w:rPr>
          <w:rFonts w:eastAsia="Times New Roman"/>
          <w:color w:val="000000"/>
          <w:sz w:val="20"/>
          <w:szCs w:val="20"/>
        </w:rPr>
        <w:t>S</w:t>
      </w:r>
      <w:r>
        <w:rPr>
          <w:rFonts w:eastAsia="Times New Roman"/>
          <w:color w:val="000000"/>
          <w:sz w:val="20"/>
          <w:szCs w:val="20"/>
        </w:rPr>
        <w:t>ee Note 2 to our condensed financial statements appearing elsewhere in this Report for more information.</w:t>
      </w:r>
    </w:p>
    <w:p w:rsidR="00000000" w:rsidRDefault="009012B9">
      <w:pPr>
        <w:divId w:val="361052871"/>
        <w:rPr>
          <w:rFonts w:eastAsia="Times New Roman"/>
        </w:rPr>
      </w:pPr>
      <w:r>
        <w:rPr>
          <w:rFonts w:eastAsia="Times New Roman"/>
          <w:b/>
          <w:bCs/>
          <w:color w:val="000000"/>
          <w:sz w:val="20"/>
          <w:szCs w:val="20"/>
        </w:rPr>
        <w:t>Emerging Growth Company Status and JOBS Act Accounting Election</w:t>
      </w:r>
    </w:p>
    <w:p w:rsidR="00000000" w:rsidRDefault="009012B9">
      <w:pPr>
        <w:ind w:firstLine="1260"/>
        <w:divId w:val="111362045"/>
        <w:rPr>
          <w:rFonts w:eastAsia="Times New Roman"/>
        </w:rPr>
      </w:pPr>
      <w:r>
        <w:rPr>
          <w:rFonts w:eastAsia="Times New Roman"/>
          <w:color w:val="000000"/>
          <w:sz w:val="20"/>
          <w:szCs w:val="20"/>
        </w:rPr>
        <w:t>We are an “emerging growth company,” as defined in the JOBS Act. Under the JOBS Act, em</w:t>
      </w:r>
      <w:r>
        <w:rPr>
          <w:rFonts w:eastAsia="Times New Roman"/>
          <w:color w:val="000000"/>
          <w:sz w:val="20"/>
          <w:szCs w:val="20"/>
        </w:rPr>
        <w:t xml:space="preserve">erging growth companies can delay adopting new or revised accounting standards issued subsequent to the enactment of the JOBS Act until such time as those standards apply to private companies. We have elected to avail ourselves of this exemption and adopt </w:t>
      </w:r>
      <w:r>
        <w:rPr>
          <w:rFonts w:eastAsia="Times New Roman"/>
          <w:color w:val="000000"/>
          <w:sz w:val="20"/>
          <w:szCs w:val="20"/>
        </w:rPr>
        <w:t xml:space="preserve">ASU No. 2016-02 </w:t>
      </w:r>
      <w:r>
        <w:rPr>
          <w:rFonts w:eastAsia="Times New Roman"/>
          <w:i/>
          <w:iCs/>
          <w:color w:val="000000"/>
          <w:sz w:val="20"/>
          <w:szCs w:val="20"/>
        </w:rPr>
        <w:t>(Topic 842</w:t>
      </w:r>
      <w:r>
        <w:rPr>
          <w:rFonts w:eastAsia="Times New Roman"/>
          <w:color w:val="000000"/>
          <w:sz w:val="20"/>
          <w:szCs w:val="20"/>
        </w:rPr>
        <w:t>), Leases when the standard is effective for private companies which is for fiscal years beginning after December 15, 2021. As a result, our financial statements may not be comparable to companies that comply with new or revised a</w:t>
      </w:r>
      <w:r>
        <w:rPr>
          <w:rFonts w:eastAsia="Times New Roman"/>
          <w:color w:val="000000"/>
          <w:sz w:val="20"/>
          <w:szCs w:val="20"/>
        </w:rPr>
        <w:t>ccounting pronouncements as of public company effective dates.</w:t>
      </w:r>
    </w:p>
    <w:p w:rsidR="00000000" w:rsidRDefault="009012B9">
      <w:pPr>
        <w:ind w:firstLine="1260"/>
        <w:divId w:val="1578175922"/>
        <w:rPr>
          <w:rFonts w:eastAsia="Times New Roman"/>
        </w:rPr>
      </w:pPr>
      <w:r>
        <w:rPr>
          <w:rFonts w:eastAsia="Times New Roman"/>
          <w:color w:val="000000"/>
          <w:sz w:val="20"/>
          <w:szCs w:val="20"/>
        </w:rPr>
        <w:t>In addition, we intend to rely on the other exemptions and reduced reporting requirements provided by the JOBS Act. Subject to certain conditions set forth in the JOBS Act, if as an “emerging g</w:t>
      </w:r>
      <w:r>
        <w:rPr>
          <w:rFonts w:eastAsia="Times New Roman"/>
          <w:color w:val="000000"/>
          <w:sz w:val="20"/>
          <w:szCs w:val="20"/>
        </w:rPr>
        <w:t>rowth company” we intend to rely on such exemptions, we are not required to, among other things, (i) provide an auditor’s attestation report on our system of internal controls over financial reporting pursuant to Section 404(b) of the Sarbanes-Oxley Act of</w:t>
      </w:r>
      <w:r>
        <w:rPr>
          <w:rFonts w:eastAsia="Times New Roman"/>
          <w:color w:val="000000"/>
          <w:sz w:val="20"/>
          <w:szCs w:val="20"/>
        </w:rPr>
        <w:t xml:space="preserve"> 2002, (ii) provide all of the compensation disclosure that may be required of non-emerging growth public companies under the Dodd-Frank Wall Street Reform and Consumer Protection Act, (iii) comply with any requirement that may be adopted by the Public Com</w:t>
      </w:r>
      <w:r>
        <w:rPr>
          <w:rFonts w:eastAsia="Times New Roman"/>
          <w:color w:val="000000"/>
          <w:sz w:val="20"/>
          <w:szCs w:val="20"/>
        </w:rPr>
        <w:t>pany Accounting Oversight Board regarding mandatory audit firm rotation or a supplement to the auditor’s report providing additional information about the audit and the financial statements (auditor discussion and analysis) and (iv) disclose certain execut</w:t>
      </w:r>
      <w:r>
        <w:rPr>
          <w:rFonts w:eastAsia="Times New Roman"/>
          <w:color w:val="000000"/>
          <w:sz w:val="20"/>
          <w:szCs w:val="20"/>
        </w:rPr>
        <w:t>ive compensation-related items such as the correlation between executive compensation and performance and comparisons of the Chief Executive Officer’s compensation to median employee compensation. These exemptions will apply until we no longer meet the req</w:t>
      </w:r>
      <w:r>
        <w:rPr>
          <w:rFonts w:eastAsia="Times New Roman"/>
          <w:color w:val="000000"/>
          <w:sz w:val="20"/>
          <w:szCs w:val="20"/>
        </w:rPr>
        <w:t>uirements of being an emerging growth company. We will remain an emerging growth company until the earliest of (i) December 31, 2025; (ii) the last day of the fiscal year in which we have total annual gross revenue of at least $1.07 billion; (iii) the last</w:t>
      </w:r>
      <w:r>
        <w:rPr>
          <w:rFonts w:eastAsia="Times New Roman"/>
          <w:color w:val="000000"/>
          <w:sz w:val="20"/>
          <w:szCs w:val="20"/>
        </w:rPr>
        <w:t xml:space="preserve"> day of the fiscal year in which we are deemed to be a “large accelerated filer” as defined in Rule 12b-2 under the Exchange Act, which would occur if the market value of our common stock held by non-affiliates exceeded $700.0 million as of the last busine</w:t>
      </w:r>
      <w:r>
        <w:rPr>
          <w:rFonts w:eastAsia="Times New Roman"/>
          <w:color w:val="000000"/>
          <w:sz w:val="20"/>
          <w:szCs w:val="20"/>
        </w:rPr>
        <w:t>ss day of the second fiscal quarter of such year; or (iv) the date on which we have issued more than $1.0 billion in non-convertible debt securities during the prior three-year period.</w:t>
      </w:r>
    </w:p>
    <w:p w:rsidR="00000000" w:rsidRDefault="009012B9">
      <w:pPr>
        <w:divId w:val="1778790547"/>
        <w:rPr>
          <w:rFonts w:eastAsia="Times New Roman"/>
        </w:rPr>
      </w:pPr>
      <w:r>
        <w:rPr>
          <w:rFonts w:eastAsia="Times New Roman"/>
          <w:b/>
          <w:bCs/>
          <w:color w:val="000000"/>
          <w:sz w:val="20"/>
          <w:szCs w:val="20"/>
        </w:rPr>
        <w:t>Item 3. Quantitative and Qualitative Disclosures About Market Risk.</w:t>
      </w:r>
    </w:p>
    <w:p w:rsidR="00000000" w:rsidRDefault="009012B9">
      <w:pPr>
        <w:ind w:firstLine="1260"/>
        <w:divId w:val="2057776008"/>
        <w:rPr>
          <w:rFonts w:eastAsia="Times New Roman"/>
        </w:rPr>
      </w:pPr>
      <w:r>
        <w:rPr>
          <w:rFonts w:eastAsia="Times New Roman"/>
          <w:color w:val="000000"/>
          <w:sz w:val="20"/>
          <w:szCs w:val="20"/>
        </w:rPr>
        <w:t>The</w:t>
      </w:r>
      <w:r>
        <w:rPr>
          <w:rFonts w:eastAsia="Times New Roman"/>
          <w:color w:val="000000"/>
          <w:sz w:val="20"/>
          <w:szCs w:val="20"/>
        </w:rPr>
        <w:t xml:space="preserve"> primary objectives of our investment activities are to ensure liquidity and to preserve capital. We are exposed to market risks in the ordinary course of our business. These risks primarily include interest rate sensitivities. We had cash, cash equivalent</w:t>
      </w:r>
      <w:r>
        <w:rPr>
          <w:rFonts w:eastAsia="Times New Roman"/>
          <w:color w:val="000000"/>
          <w:sz w:val="20"/>
          <w:szCs w:val="20"/>
        </w:rPr>
        <w:t xml:space="preserve">s and short-term investments of $264.1 million as of March 31, 2021 which consisted of bank deposits, highly liquid money market funds and short-term investments in U.S. treasury securities, U.S. government agency securities and corporate debt securities. </w:t>
      </w:r>
      <w:r>
        <w:rPr>
          <w:rFonts w:eastAsia="Times New Roman"/>
          <w:color w:val="000000"/>
          <w:sz w:val="20"/>
          <w:szCs w:val="20"/>
        </w:rPr>
        <w:t>Historical fluctuations in interest rates have not been significant for us. We had no outstanding debt as of March 31, 2021. Due to the short-term maturities of our cash equivalents and short-term investments, an immediate 100 basis point change in interes</w:t>
      </w:r>
      <w:r>
        <w:rPr>
          <w:rFonts w:eastAsia="Times New Roman"/>
          <w:color w:val="000000"/>
          <w:sz w:val="20"/>
          <w:szCs w:val="20"/>
        </w:rPr>
        <w:t>t rates would not have a material effect on the fair market value of our cash equivalents or short-term investments. To minimize the risk, we maintain our portfolio of cash equivalents and short-term investments in institutional market funds that are compo</w:t>
      </w:r>
      <w:r>
        <w:rPr>
          <w:rFonts w:eastAsia="Times New Roman"/>
          <w:color w:val="000000"/>
          <w:sz w:val="20"/>
          <w:szCs w:val="20"/>
        </w:rPr>
        <w:t>sed of U.S. Treasury and U.S. Treasury-backed repurchase agreements or short-term U.S. Treasury securities, U.S. government agency securities and corporate debt securities. We do not believe that inflation, interest rate changes, or exchange rate fluctuati</w:t>
      </w:r>
      <w:r>
        <w:rPr>
          <w:rFonts w:eastAsia="Times New Roman"/>
          <w:color w:val="000000"/>
          <w:sz w:val="20"/>
          <w:szCs w:val="20"/>
        </w:rPr>
        <w:t>ons had a significant impact on our results of operations for any periods presented herein.</w:t>
      </w:r>
    </w:p>
    <w:p w:rsidR="00000000" w:rsidRDefault="009012B9">
      <w:pPr>
        <w:divId w:val="358510237"/>
        <w:rPr>
          <w:rFonts w:eastAsia="Times New Roman"/>
        </w:rPr>
      </w:pPr>
      <w:r>
        <w:rPr>
          <w:rFonts w:eastAsia="Times New Roman"/>
          <w:b/>
          <w:bCs/>
          <w:color w:val="000000"/>
          <w:sz w:val="20"/>
          <w:szCs w:val="20"/>
        </w:rPr>
        <w:t>Item 4. Controls and Procedures.</w:t>
      </w:r>
    </w:p>
    <w:p w:rsidR="00000000" w:rsidRDefault="009012B9">
      <w:pPr>
        <w:divId w:val="507796171"/>
        <w:rPr>
          <w:rFonts w:eastAsia="Times New Roman"/>
        </w:rPr>
      </w:pPr>
      <w:r>
        <w:rPr>
          <w:rFonts w:eastAsia="Times New Roman"/>
          <w:b/>
          <w:bCs/>
          <w:color w:val="000000"/>
          <w:sz w:val="20"/>
          <w:szCs w:val="20"/>
        </w:rPr>
        <w:t>Evaluation of Disclosure Controls and Procedures</w:t>
      </w:r>
    </w:p>
    <w:p w:rsidR="00000000" w:rsidRDefault="009012B9">
      <w:pPr>
        <w:ind w:firstLine="1260"/>
        <w:divId w:val="947851530"/>
        <w:rPr>
          <w:rFonts w:eastAsia="Times New Roman"/>
        </w:rPr>
      </w:pPr>
      <w:r>
        <w:rPr>
          <w:rFonts w:eastAsia="Times New Roman"/>
          <w:color w:val="000000"/>
          <w:sz w:val="20"/>
          <w:szCs w:val="20"/>
        </w:rPr>
        <w:t>As of March 31, 2021, management, with the participation of our Chief Executive Of</w:t>
      </w:r>
      <w:r>
        <w:rPr>
          <w:rFonts w:eastAsia="Times New Roman"/>
          <w:color w:val="000000"/>
          <w:sz w:val="20"/>
          <w:szCs w:val="20"/>
        </w:rPr>
        <w:t>ficer and Chief Financial Officer, performed an evaluation of the effectiveness of the design and operation of our disclosure controls and procedures as defined in Rules 13a-15(e) and 15d-15(e) under the Exchange Act. Our disclosure controls and procedures</w:t>
      </w:r>
      <w:r>
        <w:rPr>
          <w:rFonts w:eastAsia="Times New Roman"/>
          <w:color w:val="000000"/>
          <w:sz w:val="20"/>
          <w:szCs w:val="20"/>
        </w:rPr>
        <w:t xml:space="preserve"> are designed to </w:t>
      </w:r>
    </w:p>
    <w:p w:rsidR="00000000" w:rsidRDefault="009012B9">
      <w:pPr>
        <w:jc w:val="center"/>
        <w:divId w:val="820653094"/>
        <w:rPr>
          <w:rFonts w:eastAsia="Times New Roman"/>
        </w:rPr>
      </w:pPr>
      <w:r>
        <w:rPr>
          <w:rFonts w:eastAsia="Times New Roman"/>
          <w:color w:val="000000"/>
          <w:sz w:val="20"/>
          <w:szCs w:val="20"/>
        </w:rPr>
        <w:t>28</w:t>
      </w:r>
    </w:p>
    <w:p w:rsidR="00000000" w:rsidRDefault="009012B9">
      <w:pPr>
        <w:rPr>
          <w:rFonts w:eastAsia="Times New Roman"/>
        </w:rPr>
      </w:pPr>
      <w:r>
        <w:rPr>
          <w:rFonts w:eastAsia="Times New Roman"/>
        </w:rPr>
        <w:pict>
          <v:rect id="_x0000_i1052" style="width:0;height:1.5pt" o:hralign="center" o:hrstd="t" o:hr="t" fillcolor="#a0a0a0" stroked="f"/>
        </w:pict>
      </w:r>
    </w:p>
    <w:p w:rsidR="00000000" w:rsidRDefault="009012B9">
      <w:pPr>
        <w:divId w:val="521669076"/>
        <w:rPr>
          <w:rFonts w:eastAsia="Times New Roman"/>
        </w:rPr>
      </w:pPr>
    </w:p>
    <w:p w:rsidR="00000000" w:rsidRDefault="009012B9">
      <w:pPr>
        <w:divId w:val="884684068"/>
        <w:rPr>
          <w:rFonts w:eastAsia="Times New Roman"/>
        </w:rPr>
      </w:pPr>
      <w:r>
        <w:rPr>
          <w:rFonts w:eastAsia="Times New Roman"/>
          <w:color w:val="000000"/>
          <w:sz w:val="20"/>
          <w:szCs w:val="20"/>
        </w:rPr>
        <w:t xml:space="preserve">ensure that information required to be disclosed by us in the reports we file or submit under the Exchange Act is recorded, processed, summarized and reported within the time periods specified in </w:t>
      </w:r>
      <w:r>
        <w:rPr>
          <w:rFonts w:eastAsia="Times New Roman"/>
          <w:color w:val="000000"/>
          <w:sz w:val="20"/>
          <w:szCs w:val="20"/>
        </w:rPr>
        <w:t>the SEC’s rules and forms, and that such information is accumulated and communicated to our management, including our Chief Executive Officer and Chief Financial Officer, to allow timely decisions regarding required disclosures.</w:t>
      </w:r>
    </w:p>
    <w:p w:rsidR="00000000" w:rsidRDefault="009012B9">
      <w:pPr>
        <w:ind w:firstLine="1260"/>
        <w:divId w:val="1308852093"/>
        <w:rPr>
          <w:rFonts w:eastAsia="Times New Roman"/>
        </w:rPr>
      </w:pPr>
      <w:r>
        <w:rPr>
          <w:rFonts w:eastAsia="Times New Roman"/>
          <w:color w:val="000000"/>
          <w:sz w:val="20"/>
          <w:szCs w:val="20"/>
        </w:rPr>
        <w:t>Any controls and procedures</w:t>
      </w:r>
      <w:r>
        <w:rPr>
          <w:rFonts w:eastAsia="Times New Roman"/>
          <w:color w:val="000000"/>
          <w:sz w:val="20"/>
          <w:szCs w:val="20"/>
        </w:rPr>
        <w:t>, no matter how well designed and operated, can provide only reasonable assurance of achieving the desired control objective and management necessarily applies its judgment in evaluating the cost-benefit relationship of possible controls and procedures. Ba</w:t>
      </w:r>
      <w:r>
        <w:rPr>
          <w:rFonts w:eastAsia="Times New Roman"/>
          <w:color w:val="000000"/>
          <w:sz w:val="20"/>
          <w:szCs w:val="20"/>
        </w:rPr>
        <w:t>sed on this evaluation, our Chief Executive Officer and Chief Financial Officer concluded that, as of March 31, 2021, the design and operation of our disclosure controls and procedures were effective at a reasonable assurance level.</w:t>
      </w:r>
    </w:p>
    <w:p w:rsidR="00000000" w:rsidRDefault="009012B9">
      <w:pPr>
        <w:divId w:val="163712220"/>
        <w:rPr>
          <w:rFonts w:eastAsia="Times New Roman"/>
        </w:rPr>
      </w:pPr>
      <w:r>
        <w:rPr>
          <w:rFonts w:eastAsia="Times New Roman"/>
          <w:b/>
          <w:bCs/>
          <w:color w:val="000000"/>
          <w:sz w:val="20"/>
          <w:szCs w:val="20"/>
        </w:rPr>
        <w:t>Changes in Internal Con</w:t>
      </w:r>
      <w:r>
        <w:rPr>
          <w:rFonts w:eastAsia="Times New Roman"/>
          <w:b/>
          <w:bCs/>
          <w:color w:val="000000"/>
          <w:sz w:val="20"/>
          <w:szCs w:val="20"/>
        </w:rPr>
        <w:t>trol over Financial Reporting</w:t>
      </w:r>
    </w:p>
    <w:p w:rsidR="00000000" w:rsidRDefault="009012B9">
      <w:pPr>
        <w:ind w:firstLine="1260"/>
        <w:divId w:val="1669554545"/>
        <w:rPr>
          <w:rFonts w:eastAsia="Times New Roman"/>
        </w:rPr>
      </w:pPr>
      <w:r>
        <w:rPr>
          <w:rFonts w:eastAsia="Times New Roman"/>
          <w:color w:val="000000"/>
          <w:sz w:val="20"/>
          <w:szCs w:val="20"/>
        </w:rPr>
        <w:t>There was no change in our internal controls over financial reporting identified in connection with the evaluation required by Rule 13a-15(d) and 15d-15(d) under the Exchange Act that occurred during the quarter ended March 31, 2021 that has materially aff</w:t>
      </w:r>
      <w:r>
        <w:rPr>
          <w:rFonts w:eastAsia="Times New Roman"/>
          <w:color w:val="000000"/>
          <w:sz w:val="20"/>
          <w:szCs w:val="20"/>
        </w:rPr>
        <w:t>ected, or is reasonably likely to materially affect, our internal control over financial reporting. We considered our internal controls over financial reporting in regards to the impact of COVID-19 and concluded that our controls continue to operate in a r</w:t>
      </w:r>
      <w:r>
        <w:rPr>
          <w:rFonts w:eastAsia="Times New Roman"/>
          <w:color w:val="000000"/>
          <w:sz w:val="20"/>
          <w:szCs w:val="20"/>
        </w:rPr>
        <w:t>emote environment without material effect on our internal controls over financial reporting.</w:t>
      </w:r>
    </w:p>
    <w:p w:rsidR="00000000" w:rsidRDefault="009012B9">
      <w:pPr>
        <w:jc w:val="center"/>
        <w:divId w:val="1352141529"/>
        <w:rPr>
          <w:rFonts w:eastAsia="Times New Roman"/>
        </w:rPr>
      </w:pPr>
      <w:r>
        <w:rPr>
          <w:rFonts w:eastAsia="Times New Roman"/>
          <w:b/>
          <w:bCs/>
          <w:color w:val="000000"/>
          <w:sz w:val="20"/>
          <w:szCs w:val="20"/>
        </w:rPr>
        <w:t>PART II—OTHER INFORMATION</w:t>
      </w:r>
    </w:p>
    <w:p w:rsidR="00000000" w:rsidRDefault="009012B9">
      <w:pPr>
        <w:divId w:val="920943773"/>
        <w:rPr>
          <w:rFonts w:eastAsia="Times New Roman"/>
        </w:rPr>
      </w:pPr>
      <w:r>
        <w:rPr>
          <w:rFonts w:eastAsia="Times New Roman"/>
          <w:b/>
          <w:bCs/>
          <w:color w:val="000000"/>
          <w:sz w:val="20"/>
          <w:szCs w:val="20"/>
        </w:rPr>
        <w:t>Item 1. Legal Proceedings.</w:t>
      </w:r>
    </w:p>
    <w:p w:rsidR="00000000" w:rsidRDefault="009012B9">
      <w:pPr>
        <w:ind w:firstLine="1260"/>
        <w:divId w:val="1143736394"/>
        <w:rPr>
          <w:rFonts w:eastAsia="Times New Roman"/>
        </w:rPr>
      </w:pPr>
      <w:r>
        <w:rPr>
          <w:rFonts w:eastAsia="Times New Roman"/>
          <w:color w:val="000000"/>
          <w:sz w:val="20"/>
          <w:szCs w:val="20"/>
        </w:rPr>
        <w:t>As of the date of this filing, we are not party to any material legal matters or claims. We may become party t</w:t>
      </w:r>
      <w:r>
        <w:rPr>
          <w:rFonts w:eastAsia="Times New Roman"/>
          <w:color w:val="000000"/>
          <w:sz w:val="20"/>
          <w:szCs w:val="20"/>
        </w:rPr>
        <w:t>o legal matters and claims arising in the ordinary course of business. We cannot predict the outcome of any such legal matters or claims, and despite the potential outcomes, the existence thereof may have an adverse impact on us because of defense and sett</w:t>
      </w:r>
      <w:r>
        <w:rPr>
          <w:rFonts w:eastAsia="Times New Roman"/>
          <w:color w:val="000000"/>
          <w:sz w:val="20"/>
          <w:szCs w:val="20"/>
        </w:rPr>
        <w:t>lement costs, diversion of management resources and other factors.</w:t>
      </w:r>
    </w:p>
    <w:p w:rsidR="00000000" w:rsidRDefault="009012B9">
      <w:pPr>
        <w:divId w:val="2076855217"/>
        <w:rPr>
          <w:rFonts w:eastAsia="Times New Roman"/>
        </w:rPr>
      </w:pPr>
      <w:r>
        <w:rPr>
          <w:rFonts w:eastAsia="Times New Roman"/>
          <w:b/>
          <w:bCs/>
          <w:color w:val="000000"/>
          <w:sz w:val="20"/>
          <w:szCs w:val="20"/>
        </w:rPr>
        <w:t>Item 1A. Risk Factors.</w:t>
      </w:r>
    </w:p>
    <w:p w:rsidR="00000000" w:rsidRDefault="009012B9">
      <w:pPr>
        <w:jc w:val="center"/>
        <w:divId w:val="1637488208"/>
        <w:rPr>
          <w:rFonts w:eastAsia="Times New Roman"/>
        </w:rPr>
      </w:pPr>
      <w:r>
        <w:rPr>
          <w:rFonts w:eastAsia="Times New Roman"/>
          <w:b/>
          <w:bCs/>
          <w:color w:val="000000"/>
          <w:sz w:val="20"/>
          <w:szCs w:val="20"/>
        </w:rPr>
        <w:t>RISK FACTORS</w:t>
      </w:r>
    </w:p>
    <w:p w:rsidR="00000000" w:rsidRDefault="009012B9">
      <w:pPr>
        <w:divId w:val="139657878"/>
        <w:rPr>
          <w:rFonts w:eastAsia="Times New Roman"/>
        </w:rPr>
      </w:pPr>
      <w:r>
        <w:rPr>
          <w:rFonts w:eastAsia="Times New Roman"/>
          <w:b/>
          <w:bCs/>
          <w:color w:val="000000"/>
          <w:sz w:val="20"/>
          <w:szCs w:val="20"/>
        </w:rPr>
        <w:t>Risks Related to Our Financial Position and Need for Additional Capital</w:t>
      </w:r>
    </w:p>
    <w:p w:rsidR="00000000" w:rsidRDefault="009012B9">
      <w:pPr>
        <w:divId w:val="1131285814"/>
        <w:rPr>
          <w:rFonts w:eastAsia="Times New Roman"/>
        </w:rPr>
      </w:pPr>
      <w:r>
        <w:rPr>
          <w:rFonts w:eastAsia="Times New Roman"/>
          <w:b/>
          <w:bCs/>
          <w:i/>
          <w:iCs/>
          <w:color w:val="000000"/>
          <w:sz w:val="20"/>
          <w:szCs w:val="20"/>
        </w:rPr>
        <w:t>We have incurred significant net losses since inception and we expect to continue</w:t>
      </w:r>
      <w:r>
        <w:rPr>
          <w:rFonts w:eastAsia="Times New Roman"/>
          <w:b/>
          <w:bCs/>
          <w:i/>
          <w:iCs/>
          <w:color w:val="000000"/>
          <w:sz w:val="20"/>
          <w:szCs w:val="20"/>
        </w:rPr>
        <w:t xml:space="preserve"> to incur significant net losses for the foreseeable future.</w:t>
      </w:r>
    </w:p>
    <w:p w:rsidR="00000000" w:rsidRDefault="009012B9">
      <w:pPr>
        <w:ind w:firstLine="482"/>
        <w:divId w:val="1337029502"/>
        <w:rPr>
          <w:rFonts w:eastAsia="Times New Roman"/>
        </w:rPr>
      </w:pPr>
      <w:r>
        <w:rPr>
          <w:rFonts w:eastAsia="Times New Roman"/>
          <w:color w:val="000000"/>
          <w:sz w:val="20"/>
          <w:szCs w:val="20"/>
        </w:rPr>
        <w:t>We have incurred significant net losses since our inception and have financed our operations principally through equity financing and our collaboration with Novartis. We continue to incur signifi</w:t>
      </w:r>
      <w:r>
        <w:rPr>
          <w:rFonts w:eastAsia="Times New Roman"/>
          <w:color w:val="000000"/>
          <w:sz w:val="20"/>
          <w:szCs w:val="20"/>
        </w:rPr>
        <w:t>cant research and development and other expenses related to our ongoing operations. Our net loss was $22.9 million for the three months ended March 31, 2021. As of March 31, 2021, we had an accumulated deficit of $140.7 million. We have devoted substantial</w:t>
      </w:r>
      <w:r>
        <w:rPr>
          <w:rFonts w:eastAsia="Times New Roman"/>
          <w:color w:val="000000"/>
          <w:sz w:val="20"/>
          <w:szCs w:val="20"/>
        </w:rPr>
        <w:t>ly all of our resources and efforts to research and development, and we expect that it will be at least several years, if ever, before we generate revenue from product sales. Even if we receive marketing approval for and commercialize one or more of our pr</w:t>
      </w:r>
      <w:r>
        <w:rPr>
          <w:rFonts w:eastAsia="Times New Roman"/>
          <w:color w:val="000000"/>
          <w:sz w:val="20"/>
          <w:szCs w:val="20"/>
        </w:rPr>
        <w:t>oduct candidates, we expect that we will continue to incur substantial research and development and other expenses in order to further develop and, if approved, market additional potential product candidates.</w:t>
      </w:r>
    </w:p>
    <w:p w:rsidR="00000000" w:rsidRDefault="009012B9">
      <w:pPr>
        <w:ind w:firstLine="482"/>
        <w:divId w:val="1083338960"/>
        <w:rPr>
          <w:rFonts w:eastAsia="Times New Roman"/>
        </w:rPr>
      </w:pPr>
      <w:r>
        <w:rPr>
          <w:rFonts w:eastAsia="Times New Roman"/>
          <w:color w:val="000000"/>
          <w:sz w:val="20"/>
          <w:szCs w:val="20"/>
        </w:rPr>
        <w:t>We expect to continue to incur significant loss</w:t>
      </w:r>
      <w:r>
        <w:rPr>
          <w:rFonts w:eastAsia="Times New Roman"/>
          <w:color w:val="000000"/>
          <w:sz w:val="20"/>
          <w:szCs w:val="20"/>
        </w:rPr>
        <w:t>es for the foreseeable future, and we anticipate that our expenses will increase substantially if, and as, we:</w:t>
      </w:r>
    </w:p>
    <w:p w:rsidR="00000000" w:rsidRDefault="009012B9">
      <w:pPr>
        <w:ind w:hanging="480"/>
        <w:divId w:val="402333893"/>
        <w:rPr>
          <w:rFonts w:eastAsia="Times New Roman"/>
        </w:rPr>
      </w:pPr>
      <w:r>
        <w:rPr>
          <w:rFonts w:eastAsia="Times New Roman"/>
          <w:color w:val="000000"/>
          <w:sz w:val="20"/>
          <w:szCs w:val="20"/>
        </w:rPr>
        <w:t>•advance our lead product candidate, PLN-74809 and our other product candidates through clinical development, and, if successful, later-stage cli</w:t>
      </w:r>
      <w:r>
        <w:rPr>
          <w:rFonts w:eastAsia="Times New Roman"/>
          <w:color w:val="000000"/>
          <w:sz w:val="20"/>
          <w:szCs w:val="20"/>
        </w:rPr>
        <w:t>nical trials;</w:t>
      </w:r>
    </w:p>
    <w:p w:rsidR="00000000" w:rsidRDefault="009012B9">
      <w:pPr>
        <w:ind w:hanging="480"/>
        <w:divId w:val="1198277780"/>
        <w:rPr>
          <w:rFonts w:eastAsia="Times New Roman"/>
        </w:rPr>
      </w:pPr>
      <w:r>
        <w:rPr>
          <w:rFonts w:eastAsia="Times New Roman"/>
          <w:color w:val="000000"/>
          <w:sz w:val="20"/>
          <w:szCs w:val="20"/>
        </w:rPr>
        <w:t>•discover and develop new product candidates;</w:t>
      </w:r>
    </w:p>
    <w:p w:rsidR="00000000" w:rsidRDefault="009012B9">
      <w:pPr>
        <w:ind w:hanging="480"/>
        <w:divId w:val="2046560245"/>
        <w:rPr>
          <w:rFonts w:eastAsia="Times New Roman"/>
        </w:rPr>
      </w:pPr>
      <w:r>
        <w:rPr>
          <w:rFonts w:eastAsia="Times New Roman"/>
          <w:color w:val="000000"/>
          <w:sz w:val="20"/>
          <w:szCs w:val="20"/>
        </w:rPr>
        <w:t>•advance our preclinical development programs into clinical development;</w:t>
      </w:r>
    </w:p>
    <w:p w:rsidR="00000000" w:rsidRDefault="009012B9">
      <w:pPr>
        <w:ind w:hanging="480"/>
        <w:divId w:val="1225723975"/>
        <w:rPr>
          <w:rFonts w:eastAsia="Times New Roman"/>
        </w:rPr>
      </w:pPr>
      <w:r>
        <w:rPr>
          <w:rFonts w:eastAsia="Times New Roman"/>
          <w:color w:val="000000"/>
          <w:sz w:val="20"/>
          <w:szCs w:val="20"/>
        </w:rPr>
        <w:t>•further develop manufacturing processes and manufacture our product candidates;</w:t>
      </w:r>
    </w:p>
    <w:p w:rsidR="00000000" w:rsidRDefault="009012B9">
      <w:pPr>
        <w:jc w:val="center"/>
        <w:divId w:val="1938517670"/>
        <w:rPr>
          <w:rFonts w:eastAsia="Times New Roman"/>
        </w:rPr>
      </w:pPr>
      <w:r>
        <w:rPr>
          <w:rFonts w:eastAsia="Times New Roman"/>
          <w:color w:val="000000"/>
          <w:sz w:val="20"/>
          <w:szCs w:val="20"/>
        </w:rPr>
        <w:t>29</w:t>
      </w:r>
    </w:p>
    <w:p w:rsidR="00000000" w:rsidRDefault="009012B9">
      <w:pPr>
        <w:rPr>
          <w:rFonts w:eastAsia="Times New Roman"/>
        </w:rPr>
      </w:pPr>
      <w:r>
        <w:rPr>
          <w:rFonts w:eastAsia="Times New Roman"/>
        </w:rPr>
        <w:pict>
          <v:rect id="_x0000_i1053" style="width:0;height:1.5pt" o:hralign="center" o:hrstd="t" o:hr="t" fillcolor="#a0a0a0" stroked="f"/>
        </w:pict>
      </w:r>
    </w:p>
    <w:p w:rsidR="00000000" w:rsidRDefault="009012B9">
      <w:pPr>
        <w:divId w:val="1540630629"/>
        <w:rPr>
          <w:rFonts w:eastAsia="Times New Roman"/>
        </w:rPr>
      </w:pPr>
    </w:p>
    <w:p w:rsidR="00000000" w:rsidRDefault="009012B9">
      <w:pPr>
        <w:ind w:hanging="480"/>
        <w:divId w:val="1098253464"/>
        <w:rPr>
          <w:rFonts w:eastAsia="Times New Roman"/>
        </w:rPr>
      </w:pPr>
      <w:r>
        <w:rPr>
          <w:rFonts w:eastAsia="Times New Roman"/>
          <w:color w:val="000000"/>
          <w:sz w:val="20"/>
          <w:szCs w:val="20"/>
        </w:rPr>
        <w:t>•experience delays or interruptions to preclinical studies, clinical trials, our receipt of services from our third-party service providers on whom we rely, or our supply chain due to the COVID-19 pandemic;</w:t>
      </w:r>
    </w:p>
    <w:p w:rsidR="00000000" w:rsidRDefault="009012B9">
      <w:pPr>
        <w:ind w:hanging="480"/>
        <w:divId w:val="1159616008"/>
        <w:rPr>
          <w:rFonts w:eastAsia="Times New Roman"/>
        </w:rPr>
      </w:pPr>
      <w:r>
        <w:rPr>
          <w:rFonts w:eastAsia="Times New Roman"/>
          <w:color w:val="000000"/>
          <w:sz w:val="20"/>
          <w:szCs w:val="20"/>
        </w:rPr>
        <w:t>•seek regulatory approvals for any product candid</w:t>
      </w:r>
      <w:r>
        <w:rPr>
          <w:rFonts w:eastAsia="Times New Roman"/>
          <w:color w:val="000000"/>
          <w:sz w:val="20"/>
          <w:szCs w:val="20"/>
        </w:rPr>
        <w:t>ates that successfully complete clinical trials;</w:t>
      </w:r>
    </w:p>
    <w:p w:rsidR="00000000" w:rsidRDefault="009012B9">
      <w:pPr>
        <w:ind w:hanging="480"/>
        <w:divId w:val="52587585"/>
        <w:rPr>
          <w:rFonts w:eastAsia="Times New Roman"/>
        </w:rPr>
      </w:pPr>
      <w:r>
        <w:rPr>
          <w:rFonts w:eastAsia="Times New Roman"/>
          <w:color w:val="000000"/>
          <w:sz w:val="20"/>
          <w:szCs w:val="20"/>
        </w:rPr>
        <w:t>•commercialize PLN-74809, our other product candidates and any future product candidates, if approved;</w:t>
      </w:r>
    </w:p>
    <w:p w:rsidR="00000000" w:rsidRDefault="009012B9">
      <w:pPr>
        <w:ind w:hanging="480"/>
        <w:divId w:val="419566216"/>
        <w:rPr>
          <w:rFonts w:eastAsia="Times New Roman"/>
        </w:rPr>
      </w:pPr>
      <w:r>
        <w:rPr>
          <w:rFonts w:eastAsia="Times New Roman"/>
          <w:color w:val="000000"/>
          <w:sz w:val="20"/>
          <w:szCs w:val="20"/>
        </w:rPr>
        <w:t>•increase the amount of research and development activities to identify and develop product candidates;</w:t>
      </w:r>
    </w:p>
    <w:p w:rsidR="00000000" w:rsidRDefault="009012B9">
      <w:pPr>
        <w:ind w:hanging="480"/>
        <w:divId w:val="1719890000"/>
        <w:rPr>
          <w:rFonts w:eastAsia="Times New Roman"/>
        </w:rPr>
      </w:pPr>
      <w:r>
        <w:rPr>
          <w:rFonts w:eastAsia="Times New Roman"/>
          <w:color w:val="000000"/>
          <w:sz w:val="20"/>
          <w:szCs w:val="20"/>
        </w:rPr>
        <w:t>•hire additional clinical development, quality control, scientific and management personnel;</w:t>
      </w:r>
    </w:p>
    <w:p w:rsidR="00000000" w:rsidRDefault="009012B9">
      <w:pPr>
        <w:ind w:hanging="480"/>
        <w:divId w:val="1681277961"/>
        <w:rPr>
          <w:rFonts w:eastAsia="Times New Roman"/>
        </w:rPr>
      </w:pPr>
      <w:r>
        <w:rPr>
          <w:rFonts w:eastAsia="Times New Roman"/>
          <w:color w:val="000000"/>
          <w:sz w:val="20"/>
          <w:szCs w:val="20"/>
        </w:rPr>
        <w:t>•expand our operational, financial and management systems and increase personnel, including personnel to support our clinical development and manufacturing efforts</w:t>
      </w:r>
      <w:r>
        <w:rPr>
          <w:rFonts w:eastAsia="Times New Roman"/>
          <w:color w:val="000000"/>
          <w:sz w:val="20"/>
          <w:szCs w:val="20"/>
        </w:rPr>
        <w:t xml:space="preserve"> and our operations as a public company;</w:t>
      </w:r>
    </w:p>
    <w:p w:rsidR="00000000" w:rsidRDefault="009012B9">
      <w:pPr>
        <w:ind w:hanging="480"/>
        <w:divId w:val="768232412"/>
        <w:rPr>
          <w:rFonts w:eastAsia="Times New Roman"/>
        </w:rPr>
      </w:pPr>
      <w:r>
        <w:rPr>
          <w:rFonts w:eastAsia="Times New Roman"/>
          <w:color w:val="000000"/>
          <w:sz w:val="20"/>
          <w:szCs w:val="20"/>
        </w:rPr>
        <w:t>•establish a sales, marketing, medical affairs and distribution infrastructure to commercialize any products for which we may obtain marketing approval and intend to commercialize on our own or jointly with third pa</w:t>
      </w:r>
      <w:r>
        <w:rPr>
          <w:rFonts w:eastAsia="Times New Roman"/>
          <w:color w:val="000000"/>
          <w:sz w:val="20"/>
          <w:szCs w:val="20"/>
        </w:rPr>
        <w:t>rties;</w:t>
      </w:r>
    </w:p>
    <w:p w:rsidR="00000000" w:rsidRDefault="009012B9">
      <w:pPr>
        <w:ind w:hanging="480"/>
        <w:divId w:val="1706907256"/>
        <w:rPr>
          <w:rFonts w:eastAsia="Times New Roman"/>
        </w:rPr>
      </w:pPr>
      <w:r>
        <w:rPr>
          <w:rFonts w:eastAsia="Times New Roman"/>
          <w:color w:val="000000"/>
          <w:sz w:val="20"/>
          <w:szCs w:val="20"/>
        </w:rPr>
        <w:t>•maintain, expand and protect our intellectual property portfolio;</w:t>
      </w:r>
    </w:p>
    <w:p w:rsidR="00000000" w:rsidRDefault="009012B9">
      <w:pPr>
        <w:ind w:hanging="480"/>
        <w:divId w:val="1705130222"/>
        <w:rPr>
          <w:rFonts w:eastAsia="Times New Roman"/>
        </w:rPr>
      </w:pPr>
      <w:r>
        <w:rPr>
          <w:rFonts w:eastAsia="Times New Roman"/>
          <w:color w:val="000000"/>
          <w:sz w:val="20"/>
          <w:szCs w:val="20"/>
        </w:rPr>
        <w:t>•invest in or in-license other technologies or product candidates; and</w:t>
      </w:r>
    </w:p>
    <w:p w:rsidR="00000000" w:rsidRDefault="009012B9">
      <w:pPr>
        <w:ind w:hanging="480"/>
        <w:divId w:val="606693145"/>
        <w:rPr>
          <w:rFonts w:eastAsia="Times New Roman"/>
        </w:rPr>
      </w:pPr>
      <w:r>
        <w:rPr>
          <w:rFonts w:eastAsia="Times New Roman"/>
          <w:color w:val="000000"/>
          <w:sz w:val="20"/>
          <w:szCs w:val="20"/>
        </w:rPr>
        <w:t>•</w:t>
      </w:r>
      <w:r>
        <w:rPr>
          <w:rFonts w:eastAsia="Times New Roman"/>
          <w:color w:val="000000"/>
          <w:sz w:val="20"/>
          <w:szCs w:val="20"/>
        </w:rPr>
        <w:t>continue to build out our organization to engage in such activities.</w:t>
      </w:r>
    </w:p>
    <w:p w:rsidR="00000000" w:rsidRDefault="009012B9">
      <w:pPr>
        <w:ind w:firstLine="475"/>
        <w:divId w:val="1470123013"/>
        <w:rPr>
          <w:rFonts w:eastAsia="Times New Roman"/>
        </w:rPr>
      </w:pPr>
      <w:r>
        <w:rPr>
          <w:rFonts w:eastAsia="Times New Roman"/>
          <w:color w:val="000000"/>
          <w:sz w:val="20"/>
          <w:szCs w:val="20"/>
        </w:rPr>
        <w:t>To become and remain profitable, we must develop and eventually commercialize products with significant market potential. This will require us to be successful in a range of challenging a</w:t>
      </w:r>
      <w:r>
        <w:rPr>
          <w:rFonts w:eastAsia="Times New Roman"/>
          <w:color w:val="000000"/>
          <w:sz w:val="20"/>
          <w:szCs w:val="20"/>
        </w:rPr>
        <w:t>ctivities, including completing preclinical studies and clinical trials, obtaining marketing approval for product candidates, manufacturing, marketing, and selling products for which we may obtain marketing approval and satisfying any post-marketing requir</w:t>
      </w:r>
      <w:r>
        <w:rPr>
          <w:rFonts w:eastAsia="Times New Roman"/>
          <w:color w:val="000000"/>
          <w:sz w:val="20"/>
          <w:szCs w:val="20"/>
        </w:rPr>
        <w:t>ements. We may never succeed in any or all of these activities and, even if we do, we may never generate revenue that is significant enough to achieve profitability. If we do achieve profitability, we may not be able to sustain or increase profitability on</w:t>
      </w:r>
      <w:r>
        <w:rPr>
          <w:rFonts w:eastAsia="Times New Roman"/>
          <w:color w:val="000000"/>
          <w:sz w:val="20"/>
          <w:szCs w:val="20"/>
        </w:rPr>
        <w:t xml:space="preserve"> a quarterly or annual basis. Our failure to become and remain profitable would decrease the value of our company and could impair our ability to raise capital, maintain our research and development efforts, expand our business, or continue our operations.</w:t>
      </w:r>
    </w:p>
    <w:p w:rsidR="00000000" w:rsidRDefault="009012B9">
      <w:pPr>
        <w:jc w:val="both"/>
        <w:divId w:val="1751778212"/>
        <w:rPr>
          <w:rFonts w:eastAsia="Times New Roman"/>
        </w:rPr>
      </w:pPr>
      <w:r>
        <w:rPr>
          <w:rFonts w:eastAsia="Times New Roman"/>
          <w:b/>
          <w:bCs/>
          <w:i/>
          <w:iCs/>
          <w:color w:val="000000"/>
          <w:sz w:val="20"/>
          <w:szCs w:val="20"/>
        </w:rPr>
        <w:t>We will require substantial additional capital to finance our operations. If we are unable to raise such capital when needed, or on acceptable terms, we may be forced to delay, reduce and/or eliminate one or more of our research and drug development progr</w:t>
      </w:r>
      <w:r>
        <w:rPr>
          <w:rFonts w:eastAsia="Times New Roman"/>
          <w:b/>
          <w:bCs/>
          <w:i/>
          <w:iCs/>
          <w:color w:val="000000"/>
          <w:sz w:val="20"/>
          <w:szCs w:val="20"/>
        </w:rPr>
        <w:t>ams, future commercialization efforts or other operations.</w:t>
      </w:r>
    </w:p>
    <w:p w:rsidR="00000000" w:rsidRDefault="009012B9">
      <w:pPr>
        <w:ind w:firstLine="482"/>
        <w:divId w:val="1089303918"/>
        <w:rPr>
          <w:rFonts w:eastAsia="Times New Roman"/>
        </w:rPr>
      </w:pPr>
      <w:r>
        <w:rPr>
          <w:rFonts w:eastAsia="Times New Roman"/>
          <w:color w:val="000000"/>
          <w:sz w:val="20"/>
          <w:szCs w:val="20"/>
        </w:rPr>
        <w:t>Developing biopharmaceutical products, including conducting preclinical studies and clinical trials, is a very time-consuming, expensive, and uncertain process that takes years to complete. Our ope</w:t>
      </w:r>
      <w:r>
        <w:rPr>
          <w:rFonts w:eastAsia="Times New Roman"/>
          <w:color w:val="000000"/>
          <w:sz w:val="20"/>
          <w:szCs w:val="20"/>
        </w:rPr>
        <w:t>rations have consumed substantial amounts of cash since inception. We expect our expenses to increase in connection with our ongoing activities, particularly as we conduct our planned clinical trials of PLN-74809 and any future product candidates that we m</w:t>
      </w:r>
      <w:r>
        <w:rPr>
          <w:rFonts w:eastAsia="Times New Roman"/>
          <w:color w:val="000000"/>
          <w:sz w:val="20"/>
          <w:szCs w:val="20"/>
        </w:rPr>
        <w:t xml:space="preserve">ay develop, seek regulatory approvals for our product candidates and to launch and commercialize any products for which we receive regulatory approval. We also expect to incur additional costs associated with operating as a public company. Accordingly, we </w:t>
      </w:r>
      <w:r>
        <w:rPr>
          <w:rFonts w:eastAsia="Times New Roman"/>
          <w:color w:val="000000"/>
          <w:sz w:val="20"/>
          <w:szCs w:val="20"/>
        </w:rPr>
        <w:t>will need to obtain substantial additional funding in order to maintain our continuing operations. If we are unable to raise capital when needed or on acceptable terms, we may be forced to delay, reduce, or eliminate one or more of our research and drug de</w:t>
      </w:r>
      <w:r>
        <w:rPr>
          <w:rFonts w:eastAsia="Times New Roman"/>
          <w:color w:val="000000"/>
          <w:sz w:val="20"/>
          <w:szCs w:val="20"/>
        </w:rPr>
        <w:t>velopment programs or future commercialization efforts.</w:t>
      </w:r>
    </w:p>
    <w:p w:rsidR="00000000" w:rsidRDefault="009012B9">
      <w:pPr>
        <w:ind w:firstLine="482"/>
        <w:divId w:val="617641429"/>
        <w:rPr>
          <w:rFonts w:eastAsia="Times New Roman"/>
        </w:rPr>
      </w:pPr>
      <w:r>
        <w:rPr>
          <w:rFonts w:eastAsia="Times New Roman"/>
          <w:color w:val="000000"/>
          <w:sz w:val="20"/>
          <w:szCs w:val="20"/>
        </w:rPr>
        <w:t>As of March 31, 2021, we had approximately $264.1 million in cash, cash equivalents and short-term investments. Based on our current operating plan, we believe that the existing cash, cash equivalents</w:t>
      </w:r>
      <w:r>
        <w:rPr>
          <w:rFonts w:eastAsia="Times New Roman"/>
          <w:color w:val="000000"/>
          <w:sz w:val="20"/>
          <w:szCs w:val="20"/>
        </w:rPr>
        <w:t xml:space="preserve"> and short-term investments, will be sufficient to fund our operating expenses and capital expenditure requirements into 2023. However, our future capital requirements and the period for which our existing resources will support our operations may vary sig</w:t>
      </w:r>
      <w:r>
        <w:rPr>
          <w:rFonts w:eastAsia="Times New Roman"/>
          <w:color w:val="000000"/>
          <w:sz w:val="20"/>
          <w:szCs w:val="20"/>
        </w:rPr>
        <w:t>nificantly from what we expect, and we will in any event require additional capital in order to complete clinical development of any of our current programs. Our monthly spending levels will vary based on new and ongoing development and corporate activitie</w:t>
      </w:r>
      <w:r>
        <w:rPr>
          <w:rFonts w:eastAsia="Times New Roman"/>
          <w:color w:val="000000"/>
          <w:sz w:val="20"/>
          <w:szCs w:val="20"/>
        </w:rPr>
        <w:t xml:space="preserve">s. Because the length of time and activities associated with development of our product candidates is highly uncertain, we are unable to estimate the actual funds </w:t>
      </w:r>
    </w:p>
    <w:p w:rsidR="00000000" w:rsidRDefault="009012B9">
      <w:pPr>
        <w:jc w:val="center"/>
        <w:divId w:val="560025524"/>
        <w:rPr>
          <w:rFonts w:eastAsia="Times New Roman"/>
        </w:rPr>
      </w:pPr>
      <w:r>
        <w:rPr>
          <w:rFonts w:eastAsia="Times New Roman"/>
          <w:color w:val="000000"/>
          <w:sz w:val="20"/>
          <w:szCs w:val="20"/>
        </w:rPr>
        <w:t>30</w:t>
      </w:r>
    </w:p>
    <w:p w:rsidR="00000000" w:rsidRDefault="009012B9">
      <w:pPr>
        <w:rPr>
          <w:rFonts w:eastAsia="Times New Roman"/>
        </w:rPr>
      </w:pPr>
      <w:r>
        <w:rPr>
          <w:rFonts w:eastAsia="Times New Roman"/>
        </w:rPr>
        <w:pict>
          <v:rect id="_x0000_i1054" style="width:0;height:1.5pt" o:hralign="center" o:hrstd="t" o:hr="t" fillcolor="#a0a0a0" stroked="f"/>
        </w:pict>
      </w:r>
    </w:p>
    <w:p w:rsidR="00000000" w:rsidRDefault="009012B9">
      <w:pPr>
        <w:divId w:val="1141002074"/>
        <w:rPr>
          <w:rFonts w:eastAsia="Times New Roman"/>
        </w:rPr>
      </w:pPr>
    </w:p>
    <w:p w:rsidR="00000000" w:rsidRDefault="009012B9">
      <w:pPr>
        <w:divId w:val="58286277"/>
        <w:rPr>
          <w:rFonts w:eastAsia="Times New Roman"/>
        </w:rPr>
      </w:pPr>
      <w:r>
        <w:rPr>
          <w:rFonts w:eastAsia="Times New Roman"/>
          <w:color w:val="000000"/>
          <w:sz w:val="20"/>
          <w:szCs w:val="20"/>
        </w:rPr>
        <w:t>we will require for development, marketing, and co</w:t>
      </w:r>
      <w:r>
        <w:rPr>
          <w:rFonts w:eastAsia="Times New Roman"/>
          <w:color w:val="000000"/>
          <w:sz w:val="20"/>
          <w:szCs w:val="20"/>
        </w:rPr>
        <w:t>mmercialization activities. Our future funding requirements, both near and long-term, will depend on many factors, including, but not limited to:</w:t>
      </w:r>
    </w:p>
    <w:p w:rsidR="00000000" w:rsidRDefault="009012B9">
      <w:pPr>
        <w:ind w:hanging="480"/>
        <w:divId w:val="2136873695"/>
        <w:rPr>
          <w:rFonts w:eastAsia="Times New Roman"/>
        </w:rPr>
      </w:pPr>
      <w:r>
        <w:rPr>
          <w:rFonts w:eastAsia="Times New Roman"/>
          <w:color w:val="000000"/>
          <w:sz w:val="20"/>
          <w:szCs w:val="20"/>
        </w:rPr>
        <w:t>•the initiation, progress, timing, costs and results of preclinical studies and clinical trials for our produc</w:t>
      </w:r>
      <w:r>
        <w:rPr>
          <w:rFonts w:eastAsia="Times New Roman"/>
          <w:color w:val="000000"/>
          <w:sz w:val="20"/>
          <w:szCs w:val="20"/>
        </w:rPr>
        <w:t>t candidates;</w:t>
      </w:r>
    </w:p>
    <w:p w:rsidR="00000000" w:rsidRDefault="009012B9">
      <w:pPr>
        <w:ind w:hanging="480"/>
        <w:divId w:val="1613174180"/>
        <w:rPr>
          <w:rFonts w:eastAsia="Times New Roman"/>
        </w:rPr>
      </w:pPr>
      <w:r>
        <w:rPr>
          <w:rFonts w:eastAsia="Times New Roman"/>
          <w:color w:val="000000"/>
          <w:sz w:val="20"/>
          <w:szCs w:val="20"/>
        </w:rPr>
        <w:t>•the clinical development plans we establish for these product candidates;</w:t>
      </w:r>
    </w:p>
    <w:p w:rsidR="00000000" w:rsidRDefault="009012B9">
      <w:pPr>
        <w:ind w:hanging="480"/>
        <w:divId w:val="1137606334"/>
        <w:rPr>
          <w:rFonts w:eastAsia="Times New Roman"/>
        </w:rPr>
      </w:pPr>
      <w:r>
        <w:rPr>
          <w:rFonts w:eastAsia="Times New Roman"/>
          <w:color w:val="000000"/>
          <w:sz w:val="20"/>
          <w:szCs w:val="20"/>
        </w:rPr>
        <w:t>•the timelines of our clinical trials and the overall costs to conduct and complete the clinical trials due to the COVID-19 pandemic;</w:t>
      </w:r>
    </w:p>
    <w:p w:rsidR="00000000" w:rsidRDefault="009012B9">
      <w:pPr>
        <w:ind w:hanging="480"/>
        <w:divId w:val="1599680388"/>
        <w:rPr>
          <w:rFonts w:eastAsia="Times New Roman"/>
        </w:rPr>
      </w:pPr>
      <w:r>
        <w:rPr>
          <w:rFonts w:eastAsia="Times New Roman"/>
          <w:color w:val="000000"/>
          <w:sz w:val="20"/>
          <w:szCs w:val="20"/>
        </w:rPr>
        <w:t>•the cost and capital commitments</w:t>
      </w:r>
      <w:r>
        <w:rPr>
          <w:rFonts w:eastAsia="Times New Roman"/>
          <w:color w:val="000000"/>
          <w:sz w:val="20"/>
          <w:szCs w:val="20"/>
        </w:rPr>
        <w:t xml:space="preserve"> required for developing manufacturing processes for our product candidates and manufacturing our product candidates at clinical and commercial scales;</w:t>
      </w:r>
    </w:p>
    <w:p w:rsidR="00000000" w:rsidRDefault="009012B9">
      <w:pPr>
        <w:ind w:hanging="480"/>
        <w:divId w:val="1728144104"/>
        <w:rPr>
          <w:rFonts w:eastAsia="Times New Roman"/>
        </w:rPr>
      </w:pPr>
      <w:r>
        <w:rPr>
          <w:rFonts w:eastAsia="Times New Roman"/>
          <w:color w:val="000000"/>
          <w:sz w:val="20"/>
          <w:szCs w:val="20"/>
        </w:rPr>
        <w:t>•the number and characteristics of product candidates that we develop;</w:t>
      </w:r>
    </w:p>
    <w:p w:rsidR="00000000" w:rsidRDefault="009012B9">
      <w:pPr>
        <w:ind w:hanging="480"/>
        <w:divId w:val="1944337354"/>
        <w:rPr>
          <w:rFonts w:eastAsia="Times New Roman"/>
        </w:rPr>
      </w:pPr>
      <w:r>
        <w:rPr>
          <w:rFonts w:eastAsia="Times New Roman"/>
          <w:color w:val="000000"/>
          <w:sz w:val="20"/>
          <w:szCs w:val="20"/>
        </w:rPr>
        <w:t xml:space="preserve">•the outcome, timing and cost of </w:t>
      </w:r>
      <w:r>
        <w:rPr>
          <w:rFonts w:eastAsia="Times New Roman"/>
          <w:color w:val="000000"/>
          <w:sz w:val="20"/>
          <w:szCs w:val="20"/>
        </w:rPr>
        <w:t>meeting regulatory requirements established by the U.S. Food and Drug Administration, or FDA, and other comparable foreign regulatory authorities;</w:t>
      </w:r>
    </w:p>
    <w:p w:rsidR="00000000" w:rsidRDefault="009012B9">
      <w:pPr>
        <w:ind w:hanging="480"/>
        <w:divId w:val="1615016107"/>
        <w:rPr>
          <w:rFonts w:eastAsia="Times New Roman"/>
        </w:rPr>
      </w:pPr>
      <w:r>
        <w:rPr>
          <w:rFonts w:eastAsia="Times New Roman"/>
          <w:color w:val="000000"/>
          <w:sz w:val="20"/>
          <w:szCs w:val="20"/>
        </w:rPr>
        <w:t>•whether we are able to maintain our existing collaboration with Novartis and enter into additional collabora</w:t>
      </w:r>
      <w:r>
        <w:rPr>
          <w:rFonts w:eastAsia="Times New Roman"/>
          <w:color w:val="000000"/>
          <w:sz w:val="20"/>
          <w:szCs w:val="20"/>
        </w:rPr>
        <w:t>tion agreements and the terms of any such agreements;</w:t>
      </w:r>
    </w:p>
    <w:p w:rsidR="00000000" w:rsidRDefault="009012B9">
      <w:pPr>
        <w:ind w:hanging="480"/>
        <w:divId w:val="935359379"/>
        <w:rPr>
          <w:rFonts w:eastAsia="Times New Roman"/>
        </w:rPr>
      </w:pPr>
      <w:r>
        <w:rPr>
          <w:rFonts w:eastAsia="Times New Roman"/>
          <w:color w:val="000000"/>
          <w:sz w:val="20"/>
          <w:szCs w:val="20"/>
        </w:rPr>
        <w:t>•the cost of filing, prosecuting, defending and enforcing our patent claims and other intellectual property rights;</w:t>
      </w:r>
    </w:p>
    <w:p w:rsidR="00000000" w:rsidRDefault="009012B9">
      <w:pPr>
        <w:ind w:hanging="480"/>
        <w:divId w:val="161238896"/>
        <w:rPr>
          <w:rFonts w:eastAsia="Times New Roman"/>
        </w:rPr>
      </w:pPr>
      <w:r>
        <w:rPr>
          <w:rFonts w:eastAsia="Times New Roman"/>
          <w:color w:val="000000"/>
          <w:sz w:val="20"/>
          <w:szCs w:val="20"/>
        </w:rPr>
        <w:t>•the cost of defending intellectual property disputes, including patent infringement a</w:t>
      </w:r>
      <w:r>
        <w:rPr>
          <w:rFonts w:eastAsia="Times New Roman"/>
          <w:color w:val="000000"/>
          <w:sz w:val="20"/>
          <w:szCs w:val="20"/>
        </w:rPr>
        <w:t>ctions brought by third parties against us or our product candidates;</w:t>
      </w:r>
    </w:p>
    <w:p w:rsidR="00000000" w:rsidRDefault="009012B9">
      <w:pPr>
        <w:ind w:hanging="480"/>
        <w:divId w:val="579483303"/>
        <w:rPr>
          <w:rFonts w:eastAsia="Times New Roman"/>
        </w:rPr>
      </w:pPr>
      <w:r>
        <w:rPr>
          <w:rFonts w:eastAsia="Times New Roman"/>
          <w:color w:val="000000"/>
          <w:sz w:val="20"/>
          <w:szCs w:val="20"/>
        </w:rPr>
        <w:t>•the effect of competing technological and market developments;</w:t>
      </w:r>
    </w:p>
    <w:p w:rsidR="00000000" w:rsidRDefault="009012B9">
      <w:pPr>
        <w:ind w:hanging="480"/>
        <w:divId w:val="1313565576"/>
        <w:rPr>
          <w:rFonts w:eastAsia="Times New Roman"/>
        </w:rPr>
      </w:pPr>
      <w:r>
        <w:rPr>
          <w:rFonts w:eastAsia="Times New Roman"/>
          <w:color w:val="000000"/>
          <w:sz w:val="20"/>
          <w:szCs w:val="20"/>
        </w:rPr>
        <w:t>•the cost and timing of completion of commercial-scale outsourced manufacturing activities; and</w:t>
      </w:r>
    </w:p>
    <w:p w:rsidR="00000000" w:rsidRDefault="009012B9">
      <w:pPr>
        <w:ind w:hanging="480"/>
        <w:divId w:val="2045517633"/>
        <w:rPr>
          <w:rFonts w:eastAsia="Times New Roman"/>
        </w:rPr>
      </w:pPr>
      <w:r>
        <w:rPr>
          <w:rFonts w:eastAsia="Times New Roman"/>
          <w:color w:val="000000"/>
          <w:sz w:val="20"/>
          <w:szCs w:val="20"/>
        </w:rPr>
        <w:t xml:space="preserve">•the cost of establishing </w:t>
      </w:r>
      <w:r>
        <w:rPr>
          <w:rFonts w:eastAsia="Times New Roman"/>
          <w:color w:val="000000"/>
          <w:sz w:val="20"/>
          <w:szCs w:val="20"/>
        </w:rPr>
        <w:t>sales, marketing and distribution capabilities for any product candidates for which we may receive regulatory approval in regions where we choose to commercialize our products on our own.</w:t>
      </w:r>
    </w:p>
    <w:p w:rsidR="00000000" w:rsidRDefault="009012B9">
      <w:pPr>
        <w:ind w:firstLine="482"/>
        <w:divId w:val="287009342"/>
        <w:rPr>
          <w:rFonts w:eastAsia="Times New Roman"/>
        </w:rPr>
      </w:pPr>
      <w:r>
        <w:rPr>
          <w:rFonts w:eastAsia="Times New Roman"/>
          <w:color w:val="000000"/>
          <w:sz w:val="20"/>
          <w:szCs w:val="20"/>
        </w:rPr>
        <w:t>We do not have any committed external source of funds or other suppo</w:t>
      </w:r>
      <w:r>
        <w:rPr>
          <w:rFonts w:eastAsia="Times New Roman"/>
          <w:color w:val="000000"/>
          <w:sz w:val="20"/>
          <w:szCs w:val="20"/>
        </w:rPr>
        <w:t>rt for our development efforts and we cannot be certain that additional funding will be available on acceptable terms, or at all. Until we can generate sufficient revenue to finance our cash requirements, which we may never do, we expect to finance our fut</w:t>
      </w:r>
      <w:r>
        <w:rPr>
          <w:rFonts w:eastAsia="Times New Roman"/>
          <w:color w:val="000000"/>
          <w:sz w:val="20"/>
          <w:szCs w:val="20"/>
        </w:rPr>
        <w:t>ure cash needs through a combination of public or private equity offerings, debt financings, collaborations, strategic alliances, licensing arrangements and other marketing or distribution arrangements. If we raise additional funds through public or privat</w:t>
      </w:r>
      <w:r>
        <w:rPr>
          <w:rFonts w:eastAsia="Times New Roman"/>
          <w:color w:val="000000"/>
          <w:sz w:val="20"/>
          <w:szCs w:val="20"/>
        </w:rPr>
        <w:t>e equity offerings, the terms of these securities may include liquidation or other preferences that adversely the rights of our common stockholders. Further, to the extent that we raise additional capital through the sale of common stock or securities conv</w:t>
      </w:r>
      <w:r>
        <w:rPr>
          <w:rFonts w:eastAsia="Times New Roman"/>
          <w:color w:val="000000"/>
          <w:sz w:val="20"/>
          <w:szCs w:val="20"/>
        </w:rPr>
        <w:t>ertible or exchangeable into common stock, your ownership interest will be diluted. In addition, any debt financing may subject us to fixed payment obligations and covenants limiting or restricting our ability to take specific actions, such as incurring ad</w:t>
      </w:r>
      <w:r>
        <w:rPr>
          <w:rFonts w:eastAsia="Times New Roman"/>
          <w:color w:val="000000"/>
          <w:sz w:val="20"/>
          <w:szCs w:val="20"/>
        </w:rPr>
        <w:t>ditional debt, making capital expenditures, or declaring dividends. If we raise additional capital through marketing and distribution arrangements or other collaborations, strategic alliances, or licensing arrangements with third parties, we may have to re</w:t>
      </w:r>
      <w:r>
        <w:rPr>
          <w:rFonts w:eastAsia="Times New Roman"/>
          <w:color w:val="000000"/>
          <w:sz w:val="20"/>
          <w:szCs w:val="20"/>
        </w:rPr>
        <w:t>linquish certain valuable intellectual property or other rights to our product candidates, technologies, future revenue streams or research programs or grant licenses on terms that may not be favorable to us. We also may be required to seek collaborators f</w:t>
      </w:r>
      <w:r>
        <w:rPr>
          <w:rFonts w:eastAsia="Times New Roman"/>
          <w:color w:val="000000"/>
          <w:sz w:val="20"/>
          <w:szCs w:val="20"/>
        </w:rPr>
        <w:t>or any of our product candidates at an earlier stage than otherwise would be desirable or relinquish our rights to product candidates or technologies that we otherwise would seek to develop or commercialize ourselves. Market volatility resulting from the C</w:t>
      </w:r>
      <w:r>
        <w:rPr>
          <w:rFonts w:eastAsia="Times New Roman"/>
          <w:color w:val="000000"/>
          <w:sz w:val="20"/>
          <w:szCs w:val="20"/>
        </w:rPr>
        <w:t xml:space="preserve">OVID-19 pandemic or other factors could also adversely impact our ability to access capital as and when needed. If we are unable to raise additional capital in sufficient amounts or on terms acceptable to us, we may have to significantly delay, scale back </w:t>
      </w:r>
      <w:r>
        <w:rPr>
          <w:rFonts w:eastAsia="Times New Roman"/>
          <w:color w:val="000000"/>
          <w:sz w:val="20"/>
          <w:szCs w:val="20"/>
        </w:rPr>
        <w:t>or discontinue the development or commercialization of one or more of our product candidates or one or more of our other research and development initiatives. Any of the above events could significantly harm our business, prospects, financial condition, an</w:t>
      </w:r>
      <w:r>
        <w:rPr>
          <w:rFonts w:eastAsia="Times New Roman"/>
          <w:color w:val="000000"/>
          <w:sz w:val="20"/>
          <w:szCs w:val="20"/>
        </w:rPr>
        <w:t>d results of operations and cause the price of our common stock to decline.</w:t>
      </w:r>
    </w:p>
    <w:p w:rsidR="00000000" w:rsidRDefault="009012B9">
      <w:pPr>
        <w:jc w:val="center"/>
        <w:divId w:val="1719087481"/>
        <w:rPr>
          <w:rFonts w:eastAsia="Times New Roman"/>
        </w:rPr>
      </w:pPr>
      <w:r>
        <w:rPr>
          <w:rFonts w:eastAsia="Times New Roman"/>
          <w:color w:val="000000"/>
          <w:sz w:val="20"/>
          <w:szCs w:val="20"/>
        </w:rPr>
        <w:t>31</w:t>
      </w:r>
    </w:p>
    <w:p w:rsidR="00000000" w:rsidRDefault="009012B9">
      <w:pPr>
        <w:rPr>
          <w:rFonts w:eastAsia="Times New Roman"/>
        </w:rPr>
      </w:pPr>
      <w:r>
        <w:rPr>
          <w:rFonts w:eastAsia="Times New Roman"/>
        </w:rPr>
        <w:pict>
          <v:rect id="_x0000_i1055" style="width:0;height:1.5pt" o:hralign="center" o:hrstd="t" o:hr="t" fillcolor="#a0a0a0" stroked="f"/>
        </w:pict>
      </w:r>
    </w:p>
    <w:p w:rsidR="00000000" w:rsidRDefault="009012B9">
      <w:pPr>
        <w:divId w:val="745416649"/>
        <w:rPr>
          <w:rFonts w:eastAsia="Times New Roman"/>
        </w:rPr>
      </w:pPr>
    </w:p>
    <w:p w:rsidR="00000000" w:rsidRDefault="009012B9">
      <w:pPr>
        <w:jc w:val="both"/>
        <w:divId w:val="806750023"/>
        <w:rPr>
          <w:rFonts w:eastAsia="Times New Roman"/>
        </w:rPr>
      </w:pPr>
      <w:r>
        <w:rPr>
          <w:rFonts w:eastAsia="Times New Roman"/>
          <w:b/>
          <w:bCs/>
          <w:i/>
          <w:iCs/>
          <w:color w:val="000000"/>
          <w:sz w:val="20"/>
          <w:szCs w:val="20"/>
        </w:rPr>
        <w:t>The amount of our future losses is uncertain and our quarterly operating results may fluctuate significantly or may fall below the expecta</w:t>
      </w:r>
      <w:r>
        <w:rPr>
          <w:rFonts w:eastAsia="Times New Roman"/>
          <w:b/>
          <w:bCs/>
          <w:i/>
          <w:iCs/>
          <w:color w:val="000000"/>
          <w:sz w:val="20"/>
          <w:szCs w:val="20"/>
        </w:rPr>
        <w:t>tions of investors or securities analysts, each of which may cause our stock price to fluctuate or decline.</w:t>
      </w:r>
    </w:p>
    <w:p w:rsidR="00000000" w:rsidRDefault="009012B9">
      <w:pPr>
        <w:ind w:firstLine="482"/>
        <w:divId w:val="701707589"/>
        <w:rPr>
          <w:rFonts w:eastAsia="Times New Roman"/>
        </w:rPr>
      </w:pPr>
      <w:r>
        <w:rPr>
          <w:rFonts w:eastAsia="Times New Roman"/>
          <w:color w:val="000000"/>
          <w:sz w:val="20"/>
          <w:szCs w:val="20"/>
        </w:rPr>
        <w:t>Our quarterly and annual operating results may fluctuate significantly in the future due to a variety of factors, many of which are outside of our control and may be difficult to predict, including the following:</w:t>
      </w:r>
    </w:p>
    <w:p w:rsidR="00000000" w:rsidRDefault="009012B9">
      <w:pPr>
        <w:ind w:hanging="480"/>
        <w:divId w:val="748963237"/>
        <w:rPr>
          <w:rFonts w:eastAsia="Times New Roman"/>
        </w:rPr>
      </w:pPr>
      <w:r>
        <w:rPr>
          <w:rFonts w:eastAsia="Times New Roman"/>
          <w:color w:val="000000"/>
          <w:sz w:val="20"/>
          <w:szCs w:val="20"/>
        </w:rPr>
        <w:t>•the timing and success or failure of clini</w:t>
      </w:r>
      <w:r>
        <w:rPr>
          <w:rFonts w:eastAsia="Times New Roman"/>
          <w:color w:val="000000"/>
          <w:sz w:val="20"/>
          <w:szCs w:val="20"/>
        </w:rPr>
        <w:t>cal trials for our product candidates or competing product candidates, or any other change in the competitive landscape of our industry, including consolidation among our competitors or partners;</w:t>
      </w:r>
    </w:p>
    <w:p w:rsidR="00000000" w:rsidRDefault="009012B9">
      <w:pPr>
        <w:ind w:hanging="480"/>
        <w:divId w:val="1773934080"/>
        <w:rPr>
          <w:rFonts w:eastAsia="Times New Roman"/>
        </w:rPr>
      </w:pPr>
      <w:r>
        <w:rPr>
          <w:rFonts w:eastAsia="Times New Roman"/>
          <w:color w:val="000000"/>
          <w:sz w:val="20"/>
          <w:szCs w:val="20"/>
        </w:rPr>
        <w:t>•our ability to successfully recruit and retain subjects for</w:t>
      </w:r>
      <w:r>
        <w:rPr>
          <w:rFonts w:eastAsia="Times New Roman"/>
          <w:color w:val="000000"/>
          <w:sz w:val="20"/>
          <w:szCs w:val="20"/>
        </w:rPr>
        <w:t xml:space="preserve"> clinical trials, and any delays caused by difficulties in such efforts;</w:t>
      </w:r>
    </w:p>
    <w:p w:rsidR="00000000" w:rsidRDefault="009012B9">
      <w:pPr>
        <w:ind w:hanging="480"/>
        <w:divId w:val="410856007"/>
        <w:rPr>
          <w:rFonts w:eastAsia="Times New Roman"/>
        </w:rPr>
      </w:pPr>
      <w:r>
        <w:rPr>
          <w:rFonts w:eastAsia="Times New Roman"/>
          <w:color w:val="000000"/>
          <w:sz w:val="20"/>
          <w:szCs w:val="20"/>
        </w:rPr>
        <w:t>•our ability to obtain marketing approval for our product candidates, and the timing and scope of any such approvals we may receive;</w:t>
      </w:r>
    </w:p>
    <w:p w:rsidR="00000000" w:rsidRDefault="009012B9">
      <w:pPr>
        <w:ind w:hanging="480"/>
        <w:divId w:val="1778519634"/>
        <w:rPr>
          <w:rFonts w:eastAsia="Times New Roman"/>
        </w:rPr>
      </w:pPr>
      <w:r>
        <w:rPr>
          <w:rFonts w:eastAsia="Times New Roman"/>
          <w:color w:val="000000"/>
          <w:sz w:val="20"/>
          <w:szCs w:val="20"/>
        </w:rPr>
        <w:t>•the timing and cost of, and level of investment i</w:t>
      </w:r>
      <w:r>
        <w:rPr>
          <w:rFonts w:eastAsia="Times New Roman"/>
          <w:color w:val="000000"/>
          <w:sz w:val="20"/>
          <w:szCs w:val="20"/>
        </w:rPr>
        <w:t>n, research and development activities relating to our product candidates, which may change from time to time;</w:t>
      </w:r>
    </w:p>
    <w:p w:rsidR="00000000" w:rsidRDefault="009012B9">
      <w:pPr>
        <w:ind w:hanging="480"/>
        <w:divId w:val="1666661531"/>
        <w:rPr>
          <w:rFonts w:eastAsia="Times New Roman"/>
        </w:rPr>
      </w:pPr>
      <w:r>
        <w:rPr>
          <w:rFonts w:eastAsia="Times New Roman"/>
          <w:color w:val="000000"/>
          <w:sz w:val="20"/>
          <w:szCs w:val="20"/>
        </w:rPr>
        <w:t>•the cost of manufacturing our product candidates, which may vary depending on the difficulty of manufacture, quantity of production and the term</w:t>
      </w:r>
      <w:r>
        <w:rPr>
          <w:rFonts w:eastAsia="Times New Roman"/>
          <w:color w:val="000000"/>
          <w:sz w:val="20"/>
          <w:szCs w:val="20"/>
        </w:rPr>
        <w:t>s of our agreements with manufacturers;</w:t>
      </w:r>
    </w:p>
    <w:p w:rsidR="00000000" w:rsidRDefault="009012B9">
      <w:pPr>
        <w:ind w:hanging="480"/>
        <w:divId w:val="378363610"/>
        <w:rPr>
          <w:rFonts w:eastAsia="Times New Roman"/>
        </w:rPr>
      </w:pPr>
      <w:r>
        <w:rPr>
          <w:rFonts w:eastAsia="Times New Roman"/>
          <w:color w:val="000000"/>
          <w:sz w:val="20"/>
          <w:szCs w:val="20"/>
        </w:rPr>
        <w:t>•our ability to attract, hire and retain qualified personnel;</w:t>
      </w:r>
    </w:p>
    <w:p w:rsidR="00000000" w:rsidRDefault="009012B9">
      <w:pPr>
        <w:ind w:hanging="480"/>
        <w:divId w:val="20059615"/>
        <w:rPr>
          <w:rFonts w:eastAsia="Times New Roman"/>
        </w:rPr>
      </w:pPr>
      <w:r>
        <w:rPr>
          <w:rFonts w:eastAsia="Times New Roman"/>
          <w:color w:val="000000"/>
          <w:sz w:val="20"/>
          <w:szCs w:val="20"/>
        </w:rPr>
        <w:t>•expenditures that we will or may incur to develop additional product candidates;</w:t>
      </w:r>
    </w:p>
    <w:p w:rsidR="00000000" w:rsidRDefault="009012B9">
      <w:pPr>
        <w:ind w:hanging="480"/>
        <w:divId w:val="124933657"/>
        <w:rPr>
          <w:rFonts w:eastAsia="Times New Roman"/>
        </w:rPr>
      </w:pPr>
      <w:r>
        <w:rPr>
          <w:rFonts w:eastAsia="Times New Roman"/>
          <w:color w:val="000000"/>
          <w:sz w:val="20"/>
          <w:szCs w:val="20"/>
        </w:rPr>
        <w:t>•the level of demand for our product candidates should they receive appr</w:t>
      </w:r>
      <w:r>
        <w:rPr>
          <w:rFonts w:eastAsia="Times New Roman"/>
          <w:color w:val="000000"/>
          <w:sz w:val="20"/>
          <w:szCs w:val="20"/>
        </w:rPr>
        <w:t>oval, which may vary significantly;</w:t>
      </w:r>
    </w:p>
    <w:p w:rsidR="00000000" w:rsidRDefault="009012B9">
      <w:pPr>
        <w:ind w:hanging="480"/>
        <w:divId w:val="350575313"/>
        <w:rPr>
          <w:rFonts w:eastAsia="Times New Roman"/>
        </w:rPr>
      </w:pPr>
      <w:r>
        <w:rPr>
          <w:rFonts w:eastAsia="Times New Roman"/>
          <w:color w:val="000000"/>
          <w:sz w:val="20"/>
          <w:szCs w:val="20"/>
        </w:rPr>
        <w:t>•</w:t>
      </w:r>
      <w:r>
        <w:rPr>
          <w:rFonts w:eastAsia="Times New Roman"/>
          <w:color w:val="000000"/>
          <w:sz w:val="20"/>
          <w:szCs w:val="20"/>
        </w:rPr>
        <w:t>the risk/benefit profile, cost and reimbursement policies with respect to our product candidates, if approved, and existing and potential future therapeutics that compete with our product candidates;</w:t>
      </w:r>
    </w:p>
    <w:p w:rsidR="00000000" w:rsidRDefault="009012B9">
      <w:pPr>
        <w:ind w:hanging="480"/>
        <w:divId w:val="912351600"/>
        <w:rPr>
          <w:rFonts w:eastAsia="Times New Roman"/>
        </w:rPr>
      </w:pPr>
      <w:r>
        <w:rPr>
          <w:rFonts w:eastAsia="Times New Roman"/>
          <w:color w:val="000000"/>
          <w:sz w:val="20"/>
          <w:szCs w:val="20"/>
        </w:rPr>
        <w:t>•general market conditions or extraordinary external eve</w:t>
      </w:r>
      <w:r>
        <w:rPr>
          <w:rFonts w:eastAsia="Times New Roman"/>
          <w:color w:val="000000"/>
          <w:sz w:val="20"/>
          <w:szCs w:val="20"/>
        </w:rPr>
        <w:t>nts, such as recessions or the COVID-19 pandemic;</w:t>
      </w:r>
    </w:p>
    <w:p w:rsidR="00000000" w:rsidRDefault="009012B9">
      <w:pPr>
        <w:ind w:hanging="480"/>
        <w:divId w:val="403528337"/>
        <w:rPr>
          <w:rFonts w:eastAsia="Times New Roman"/>
        </w:rPr>
      </w:pPr>
      <w:r>
        <w:rPr>
          <w:rFonts w:eastAsia="Times New Roman"/>
          <w:color w:val="000000"/>
          <w:sz w:val="20"/>
          <w:szCs w:val="20"/>
        </w:rPr>
        <w:t>•the changing and volatile U.S. and global economic environments; and</w:t>
      </w:r>
    </w:p>
    <w:p w:rsidR="00000000" w:rsidRDefault="009012B9">
      <w:pPr>
        <w:ind w:hanging="480"/>
        <w:divId w:val="155997362"/>
        <w:rPr>
          <w:rFonts w:eastAsia="Times New Roman"/>
        </w:rPr>
      </w:pPr>
      <w:r>
        <w:rPr>
          <w:rFonts w:eastAsia="Times New Roman"/>
          <w:color w:val="000000"/>
          <w:sz w:val="20"/>
          <w:szCs w:val="20"/>
        </w:rPr>
        <w:t>•future accounting pronouncements or changes in our accounting policies.</w:t>
      </w:r>
    </w:p>
    <w:p w:rsidR="00000000" w:rsidRDefault="009012B9">
      <w:pPr>
        <w:ind w:firstLine="482"/>
        <w:divId w:val="1589650969"/>
        <w:rPr>
          <w:rFonts w:eastAsia="Times New Roman"/>
        </w:rPr>
      </w:pPr>
      <w:r>
        <w:rPr>
          <w:rFonts w:eastAsia="Times New Roman"/>
          <w:color w:val="000000"/>
          <w:sz w:val="20"/>
          <w:szCs w:val="20"/>
        </w:rPr>
        <w:t>The cumulative effects of these factors could result in large f</w:t>
      </w:r>
      <w:r>
        <w:rPr>
          <w:rFonts w:eastAsia="Times New Roman"/>
          <w:color w:val="000000"/>
          <w:sz w:val="20"/>
          <w:szCs w:val="20"/>
        </w:rPr>
        <w:t>luctuations and unpredictability in our quarterly and annual operating results. As a result, comparing our operating results on a period-to-period basis may not be meaningful. This variability and unpredictability could also result in our failing to meet t</w:t>
      </w:r>
      <w:r>
        <w:rPr>
          <w:rFonts w:eastAsia="Times New Roman"/>
          <w:color w:val="000000"/>
          <w:sz w:val="20"/>
          <w:szCs w:val="20"/>
        </w:rPr>
        <w:t>he expectations of industry or financial analysts or investors for any period. If our revenue or operating results fall below the expectations of analysts or investors or below any forecasts we may provide to the market, or if the forecasts we provide to t</w:t>
      </w:r>
      <w:r>
        <w:rPr>
          <w:rFonts w:eastAsia="Times New Roman"/>
          <w:color w:val="000000"/>
          <w:sz w:val="20"/>
          <w:szCs w:val="20"/>
        </w:rPr>
        <w:t>he market are below the expectations of analysts or investors, the price of our common stock could decline substantially. Such a stock price decline could occur even when we have met any previously publicly stated guidance we may provide.</w:t>
      </w:r>
    </w:p>
    <w:p w:rsidR="00000000" w:rsidRDefault="009012B9">
      <w:pPr>
        <w:divId w:val="467162770"/>
        <w:rPr>
          <w:rFonts w:eastAsia="Times New Roman"/>
        </w:rPr>
      </w:pPr>
      <w:r>
        <w:rPr>
          <w:rFonts w:eastAsia="Times New Roman"/>
          <w:b/>
          <w:bCs/>
          <w:color w:val="000000"/>
          <w:sz w:val="20"/>
          <w:szCs w:val="20"/>
        </w:rPr>
        <w:t xml:space="preserve">Risks Related to </w:t>
      </w:r>
      <w:r>
        <w:rPr>
          <w:rFonts w:eastAsia="Times New Roman"/>
          <w:b/>
          <w:bCs/>
          <w:color w:val="000000"/>
          <w:sz w:val="20"/>
          <w:szCs w:val="20"/>
        </w:rPr>
        <w:t>Research and Development and the Biopharmaceutical Industry</w:t>
      </w:r>
    </w:p>
    <w:p w:rsidR="00000000" w:rsidRDefault="009012B9">
      <w:pPr>
        <w:divId w:val="950089216"/>
        <w:rPr>
          <w:rFonts w:eastAsia="Times New Roman"/>
        </w:rPr>
      </w:pPr>
      <w:r>
        <w:rPr>
          <w:rFonts w:eastAsia="Times New Roman"/>
          <w:b/>
          <w:bCs/>
          <w:i/>
          <w:iCs/>
          <w:color w:val="000000"/>
          <w:sz w:val="20"/>
          <w:szCs w:val="20"/>
        </w:rPr>
        <w:t>We have a limited operating history, which may make it difficult to evaluate our prospects and likelihood of success.</w:t>
      </w:r>
    </w:p>
    <w:p w:rsidR="00000000" w:rsidRDefault="009012B9">
      <w:pPr>
        <w:ind w:firstLine="475"/>
        <w:divId w:val="1172523670"/>
        <w:rPr>
          <w:rFonts w:eastAsia="Times New Roman"/>
        </w:rPr>
      </w:pPr>
      <w:r>
        <w:rPr>
          <w:rFonts w:eastAsia="Times New Roman"/>
          <w:color w:val="000000"/>
          <w:sz w:val="20"/>
          <w:szCs w:val="20"/>
        </w:rPr>
        <w:t>We are a clinical-stage biopharmaceutical company with a limited operating his</w:t>
      </w:r>
      <w:r>
        <w:rPr>
          <w:rFonts w:eastAsia="Times New Roman"/>
          <w:color w:val="000000"/>
          <w:sz w:val="20"/>
          <w:szCs w:val="20"/>
        </w:rPr>
        <w:t>tory. We were incorporated in 2015, have no products approved for commercial sale and have not generated any revenue. Our operations to date have been limited to organizing and staffing our company, business planning, raising capital, establishing our inte</w:t>
      </w:r>
      <w:r>
        <w:rPr>
          <w:rFonts w:eastAsia="Times New Roman"/>
          <w:color w:val="000000"/>
          <w:sz w:val="20"/>
          <w:szCs w:val="20"/>
        </w:rPr>
        <w:t>llectual property portfolio, and performing research and development of our product candidates and our technology related to transforming growth factor beta, or TGF-ß, signaling and integrin biology, medicinal chemistry, translational screening technologie</w:t>
      </w:r>
      <w:r>
        <w:rPr>
          <w:rFonts w:eastAsia="Times New Roman"/>
          <w:color w:val="000000"/>
          <w:sz w:val="20"/>
          <w:szCs w:val="20"/>
        </w:rPr>
        <w:t>s, and clinical insights to discover and develop novel therapies for the treatment of fibrosis. Our approach to the discovery and development of product candidates is unproven, and we do not know whether we will be able to develop any products of commercia</w:t>
      </w:r>
      <w:r>
        <w:rPr>
          <w:rFonts w:eastAsia="Times New Roman"/>
          <w:color w:val="000000"/>
          <w:sz w:val="20"/>
          <w:szCs w:val="20"/>
        </w:rPr>
        <w:t xml:space="preserve">l value. In addition, our lead product candidate, PLN-74809, is in early clinical development for the treatment of IPF and PSC, and our second product candidate, PLN-1474, is in early clinical development. Both programs will require substantial additional </w:t>
      </w:r>
      <w:r>
        <w:rPr>
          <w:rFonts w:eastAsia="Times New Roman"/>
          <w:color w:val="000000"/>
          <w:sz w:val="20"/>
          <w:szCs w:val="20"/>
        </w:rPr>
        <w:t>development and clinical research time and resources, either from us or our collaborators, before we would be able to apply for or receive regulatory approvals and begin generating revenue from product sales. We have not yet demonstrated the ability to pro</w:t>
      </w:r>
      <w:r>
        <w:rPr>
          <w:rFonts w:eastAsia="Times New Roman"/>
          <w:color w:val="000000"/>
          <w:sz w:val="20"/>
          <w:szCs w:val="20"/>
        </w:rPr>
        <w:t xml:space="preserve">gress any product candidate through clinical trials. We are still in preclinical and early clinical </w:t>
      </w:r>
    </w:p>
    <w:p w:rsidR="00000000" w:rsidRDefault="009012B9">
      <w:pPr>
        <w:jc w:val="center"/>
        <w:divId w:val="63576508"/>
        <w:rPr>
          <w:rFonts w:eastAsia="Times New Roman"/>
        </w:rPr>
      </w:pPr>
      <w:r>
        <w:rPr>
          <w:rFonts w:eastAsia="Times New Roman"/>
          <w:color w:val="000000"/>
          <w:sz w:val="20"/>
          <w:szCs w:val="20"/>
        </w:rPr>
        <w:t>32</w:t>
      </w:r>
    </w:p>
    <w:p w:rsidR="00000000" w:rsidRDefault="009012B9">
      <w:pPr>
        <w:rPr>
          <w:rFonts w:eastAsia="Times New Roman"/>
        </w:rPr>
      </w:pPr>
      <w:r>
        <w:rPr>
          <w:rFonts w:eastAsia="Times New Roman"/>
        </w:rPr>
        <w:pict>
          <v:rect id="_x0000_i1056" style="width:0;height:1.5pt" o:hralign="center" o:hrstd="t" o:hr="t" fillcolor="#a0a0a0" stroked="f"/>
        </w:pict>
      </w:r>
    </w:p>
    <w:p w:rsidR="00000000" w:rsidRDefault="009012B9">
      <w:pPr>
        <w:divId w:val="948731776"/>
        <w:rPr>
          <w:rFonts w:eastAsia="Times New Roman"/>
        </w:rPr>
      </w:pPr>
    </w:p>
    <w:p w:rsidR="00000000" w:rsidRDefault="009012B9">
      <w:pPr>
        <w:divId w:val="1552573363"/>
        <w:rPr>
          <w:rFonts w:eastAsia="Times New Roman"/>
        </w:rPr>
      </w:pPr>
      <w:r>
        <w:rPr>
          <w:rFonts w:eastAsia="Times New Roman"/>
          <w:color w:val="000000"/>
          <w:sz w:val="20"/>
          <w:szCs w:val="20"/>
        </w:rPr>
        <w:t>development and may be unable to obtain regulatory approval, manufacture a commercial scale product, or arrange fo</w:t>
      </w:r>
      <w:r>
        <w:rPr>
          <w:rFonts w:eastAsia="Times New Roman"/>
          <w:color w:val="000000"/>
          <w:sz w:val="20"/>
          <w:szCs w:val="20"/>
        </w:rPr>
        <w:t>r a third party to do so on our behalf, or conduct sales and marketing activities necessary for successful product commercialization. Investment in biopharmaceutical product development is highly speculative because it entails substantial upfront capital e</w:t>
      </w:r>
      <w:r>
        <w:rPr>
          <w:rFonts w:eastAsia="Times New Roman"/>
          <w:color w:val="000000"/>
          <w:sz w:val="20"/>
          <w:szCs w:val="20"/>
        </w:rPr>
        <w:t>xpenditures and significant risk that any potential product candidate will fail to demonstrate adequate efficacy or an acceptable safety profile, gain regulatory approval and become commercially viable. In addition, as a business with a limited operating h</w:t>
      </w:r>
      <w:r>
        <w:rPr>
          <w:rFonts w:eastAsia="Times New Roman"/>
          <w:color w:val="000000"/>
          <w:sz w:val="20"/>
          <w:szCs w:val="20"/>
        </w:rPr>
        <w:t>istory, we may encounter unforeseen expenses, difficulties, complications, delays and other known and unknown factors and risks frequently experienced by early-stage biopharmaceutical companies in rapidly evolving fields. Consequently, we have no meaningfu</w:t>
      </w:r>
      <w:r>
        <w:rPr>
          <w:rFonts w:eastAsia="Times New Roman"/>
          <w:color w:val="000000"/>
          <w:sz w:val="20"/>
          <w:szCs w:val="20"/>
        </w:rPr>
        <w:t>l history of operations upon which to evaluate our business, and predictions about our future success or viability may not be as accurate as they could be if we had a longer operating history or a history of successfully developing and commercializing drug</w:t>
      </w:r>
      <w:r>
        <w:rPr>
          <w:rFonts w:eastAsia="Times New Roman"/>
          <w:color w:val="000000"/>
          <w:sz w:val="20"/>
          <w:szCs w:val="20"/>
        </w:rPr>
        <w:t xml:space="preserve"> products.</w:t>
      </w:r>
    </w:p>
    <w:p w:rsidR="00000000" w:rsidRDefault="009012B9">
      <w:pPr>
        <w:ind w:firstLine="475"/>
        <w:jc w:val="both"/>
        <w:divId w:val="1837308898"/>
        <w:rPr>
          <w:rFonts w:eastAsia="Times New Roman"/>
        </w:rPr>
      </w:pPr>
      <w:r>
        <w:rPr>
          <w:rFonts w:eastAsia="Times New Roman"/>
          <w:b/>
          <w:bCs/>
          <w:i/>
          <w:iCs/>
          <w:color w:val="000000"/>
          <w:sz w:val="20"/>
          <w:szCs w:val="20"/>
        </w:rPr>
        <w:t>Our business is highly dependent on the success of our lead product candidate, PLN-74809, as well as PLN-1474 and any other product candidates that we advance into the clinic. All of our product candidates will require significant additional pre</w:t>
      </w:r>
      <w:r>
        <w:rPr>
          <w:rFonts w:eastAsia="Times New Roman"/>
          <w:b/>
          <w:bCs/>
          <w:i/>
          <w:iCs/>
          <w:color w:val="000000"/>
          <w:sz w:val="20"/>
          <w:szCs w:val="20"/>
        </w:rPr>
        <w:t>clinical and clinical development before we may be able to seek regulatory approval for and launch a product commercially.</w:t>
      </w:r>
    </w:p>
    <w:p w:rsidR="00000000" w:rsidRDefault="009012B9">
      <w:pPr>
        <w:ind w:firstLine="482"/>
        <w:divId w:val="826752384"/>
        <w:rPr>
          <w:rFonts w:eastAsia="Times New Roman"/>
        </w:rPr>
      </w:pPr>
      <w:r>
        <w:rPr>
          <w:rFonts w:eastAsia="Times New Roman"/>
          <w:color w:val="000000"/>
          <w:sz w:val="20"/>
          <w:szCs w:val="20"/>
        </w:rPr>
        <w:t>We currently have no products that are approved for commercial sale and may never be able to develop marketable products. We are very</w:t>
      </w:r>
      <w:r>
        <w:rPr>
          <w:rFonts w:eastAsia="Times New Roman"/>
          <w:color w:val="000000"/>
          <w:sz w:val="20"/>
          <w:szCs w:val="20"/>
        </w:rPr>
        <w:t xml:space="preserve"> early in our clinical development for both PLN-74809 and PLN-1474. Because PLN-74809 is our lead product candidate, if PLN-74809 encounters safety or efficacy problems, development delays, regulatory issues or other problems, our development plans and bus</w:t>
      </w:r>
      <w:r>
        <w:rPr>
          <w:rFonts w:eastAsia="Times New Roman"/>
          <w:color w:val="000000"/>
          <w:sz w:val="20"/>
          <w:szCs w:val="20"/>
        </w:rPr>
        <w:t>iness would be significantly harmed. We have completed various Phase 1 trials of PLN-74809. We are enrolling two Phase 2a trials in IPF, including a PET imaging trial. We are also conducting a Phase 2a PSC trial which is currently enrolling patients. PLN-7</w:t>
      </w:r>
      <w:r>
        <w:rPr>
          <w:rFonts w:eastAsia="Times New Roman"/>
          <w:color w:val="000000"/>
          <w:sz w:val="20"/>
          <w:szCs w:val="20"/>
        </w:rPr>
        <w:t>4809 is also being evaluated in an ongoing Phase 2a trial to evaluate its potential to address ARDS in patients with at least severe COVID-19. We are also collaborating with Novartis to develop PLN-1474 for liver fibrosis associated with NASH and have comp</w:t>
      </w:r>
      <w:r>
        <w:rPr>
          <w:rFonts w:eastAsia="Times New Roman"/>
          <w:color w:val="000000"/>
          <w:sz w:val="20"/>
          <w:szCs w:val="20"/>
        </w:rPr>
        <w:t>leted a Phase 1a SAD/MAD study evaluating PLN-1474 in healthy volunteers. The IND for this candidate was transferred to Novartis in the first quarter of 2021, and Novartis will be responsible for all future PLN-1474 development, manufacturing, and commerci</w:t>
      </w:r>
      <w:r>
        <w:rPr>
          <w:rFonts w:eastAsia="Times New Roman"/>
          <w:color w:val="000000"/>
          <w:sz w:val="20"/>
          <w:szCs w:val="20"/>
        </w:rPr>
        <w:t>alization activities. All of the risks and uncertainties that apply to PLN-74809 or any candidates that we develop independently apply equally to our collaborator with respect to advancement of PLN-1474. In addition, we also face risks resulting from our r</w:t>
      </w:r>
      <w:r>
        <w:rPr>
          <w:rFonts w:eastAsia="Times New Roman"/>
          <w:color w:val="000000"/>
          <w:sz w:val="20"/>
          <w:szCs w:val="20"/>
        </w:rPr>
        <w:t>eliance on Novartis for all future development of this candidate. See “—Risks Related to Our Reliance on Third Parties.”</w:t>
      </w:r>
    </w:p>
    <w:p w:rsidR="00000000" w:rsidRDefault="009012B9">
      <w:pPr>
        <w:ind w:firstLine="482"/>
        <w:divId w:val="1797798524"/>
        <w:rPr>
          <w:rFonts w:eastAsia="Times New Roman"/>
        </w:rPr>
      </w:pPr>
      <w:r>
        <w:rPr>
          <w:rFonts w:eastAsia="Times New Roman"/>
          <w:color w:val="000000"/>
          <w:sz w:val="20"/>
          <w:szCs w:val="20"/>
        </w:rPr>
        <w:t>Before we can generate any revenue from sales of our lead product candidate, PLN-74809, or any of our other product candidates, we must</w:t>
      </w:r>
      <w:r>
        <w:rPr>
          <w:rFonts w:eastAsia="Times New Roman"/>
          <w:color w:val="000000"/>
          <w:sz w:val="20"/>
          <w:szCs w:val="20"/>
        </w:rPr>
        <w:t xml:space="preserve"> undergo additional preclinical and clinical development, regulatory review, and approval in one or more jurisdictions. In addition, if one or more of our product candidates are approved, we must ensure access to sufficient commercial manufacturing capacit</w:t>
      </w:r>
      <w:r>
        <w:rPr>
          <w:rFonts w:eastAsia="Times New Roman"/>
          <w:color w:val="000000"/>
          <w:sz w:val="20"/>
          <w:szCs w:val="20"/>
        </w:rPr>
        <w:t>y and conduct significant marketing efforts in connection with any commercial launch. These efforts will require substantial investment, and we may not have the financial resources to continue development of our product candidates.</w:t>
      </w:r>
    </w:p>
    <w:p w:rsidR="00000000" w:rsidRDefault="009012B9">
      <w:pPr>
        <w:ind w:firstLine="482"/>
        <w:divId w:val="920336809"/>
        <w:rPr>
          <w:rFonts w:eastAsia="Times New Roman"/>
        </w:rPr>
      </w:pPr>
      <w:r>
        <w:rPr>
          <w:rFonts w:eastAsia="Times New Roman"/>
          <w:color w:val="000000"/>
          <w:sz w:val="20"/>
          <w:szCs w:val="20"/>
        </w:rPr>
        <w:t>We may experience setbac</w:t>
      </w:r>
      <w:r>
        <w:rPr>
          <w:rFonts w:eastAsia="Times New Roman"/>
          <w:color w:val="000000"/>
          <w:sz w:val="20"/>
          <w:szCs w:val="20"/>
        </w:rPr>
        <w:t>ks that could delay or prevent regulatory approval of, or our ability to commercialize, our product candidates, including:</w:t>
      </w:r>
    </w:p>
    <w:p w:rsidR="00000000" w:rsidRDefault="009012B9">
      <w:pPr>
        <w:ind w:hanging="480"/>
        <w:divId w:val="858851790"/>
        <w:rPr>
          <w:rFonts w:eastAsia="Times New Roman"/>
        </w:rPr>
      </w:pPr>
      <w:r>
        <w:rPr>
          <w:rFonts w:eastAsia="Times New Roman"/>
          <w:color w:val="000000"/>
          <w:sz w:val="20"/>
          <w:szCs w:val="20"/>
        </w:rPr>
        <w:t>•</w:t>
      </w:r>
      <w:r>
        <w:rPr>
          <w:rFonts w:eastAsia="Times New Roman"/>
          <w:color w:val="000000"/>
          <w:sz w:val="20"/>
          <w:szCs w:val="20"/>
        </w:rPr>
        <w:t>negative or inconclusive results from our preclinical studies or clinical trials or the clinical trials of others for product candidates similar to ours, leading to a decision or requirement to conduct additional preclinical testing or clinical trials or a</w:t>
      </w:r>
      <w:r>
        <w:rPr>
          <w:rFonts w:eastAsia="Times New Roman"/>
          <w:color w:val="000000"/>
          <w:sz w:val="20"/>
          <w:szCs w:val="20"/>
        </w:rPr>
        <w:t>bandon a program;</w:t>
      </w:r>
    </w:p>
    <w:p w:rsidR="00000000" w:rsidRDefault="009012B9">
      <w:pPr>
        <w:ind w:hanging="480"/>
        <w:divId w:val="834957813"/>
        <w:rPr>
          <w:rFonts w:eastAsia="Times New Roman"/>
        </w:rPr>
      </w:pPr>
      <w:r>
        <w:rPr>
          <w:rFonts w:eastAsia="Times New Roman"/>
          <w:color w:val="000000"/>
          <w:sz w:val="20"/>
          <w:szCs w:val="20"/>
        </w:rPr>
        <w:t>•product-related side effects experienced by subjects in our clinical trials or by individuals using drugs or therapeutics similar to our product candidates;</w:t>
      </w:r>
    </w:p>
    <w:p w:rsidR="00000000" w:rsidRDefault="009012B9">
      <w:pPr>
        <w:ind w:hanging="480"/>
        <w:divId w:val="1794129739"/>
        <w:rPr>
          <w:rFonts w:eastAsia="Times New Roman"/>
        </w:rPr>
      </w:pPr>
      <w:r>
        <w:rPr>
          <w:rFonts w:eastAsia="Times New Roman"/>
          <w:color w:val="000000"/>
          <w:sz w:val="20"/>
          <w:szCs w:val="20"/>
        </w:rPr>
        <w:t>•delays in submitting INDs or comparable foreign applications or delays or failu</w:t>
      </w:r>
      <w:r>
        <w:rPr>
          <w:rFonts w:eastAsia="Times New Roman"/>
          <w:color w:val="000000"/>
          <w:sz w:val="20"/>
          <w:szCs w:val="20"/>
        </w:rPr>
        <w:t>re in obtaining the necessary approvals from regulators to commence a clinical trial, or a suspension or termination of a clinical trial once commenced;</w:t>
      </w:r>
    </w:p>
    <w:p w:rsidR="00000000" w:rsidRDefault="009012B9">
      <w:pPr>
        <w:ind w:hanging="480"/>
        <w:divId w:val="961574067"/>
        <w:rPr>
          <w:rFonts w:eastAsia="Times New Roman"/>
        </w:rPr>
      </w:pPr>
      <w:r>
        <w:rPr>
          <w:rFonts w:eastAsia="Times New Roman"/>
          <w:color w:val="000000"/>
          <w:sz w:val="20"/>
          <w:szCs w:val="20"/>
        </w:rPr>
        <w:t>•conditions imposed by the FDA or comparable foreign authorities regarding the scope or design of our c</w:t>
      </w:r>
      <w:r>
        <w:rPr>
          <w:rFonts w:eastAsia="Times New Roman"/>
          <w:color w:val="000000"/>
          <w:sz w:val="20"/>
          <w:szCs w:val="20"/>
        </w:rPr>
        <w:t>linical trials;</w:t>
      </w:r>
    </w:p>
    <w:p w:rsidR="00000000" w:rsidRDefault="009012B9">
      <w:pPr>
        <w:ind w:hanging="480"/>
        <w:divId w:val="552623045"/>
        <w:rPr>
          <w:rFonts w:eastAsia="Times New Roman"/>
        </w:rPr>
      </w:pPr>
      <w:r>
        <w:rPr>
          <w:rFonts w:eastAsia="Times New Roman"/>
          <w:color w:val="000000"/>
          <w:sz w:val="20"/>
          <w:szCs w:val="20"/>
        </w:rPr>
        <w:t>•delays in enrolling subjects in clinical trials, including due to the COVID-19 pandemic;</w:t>
      </w:r>
    </w:p>
    <w:p w:rsidR="00000000" w:rsidRDefault="009012B9">
      <w:pPr>
        <w:ind w:hanging="480"/>
        <w:divId w:val="1158227604"/>
        <w:rPr>
          <w:rFonts w:eastAsia="Times New Roman"/>
        </w:rPr>
      </w:pPr>
      <w:r>
        <w:rPr>
          <w:rFonts w:eastAsia="Times New Roman"/>
          <w:color w:val="000000"/>
          <w:sz w:val="20"/>
          <w:szCs w:val="20"/>
        </w:rPr>
        <w:t>•high drop-out rates of subjects from clinical trials; inadequate supply or quality of product candidates or other materials necessary for the conduct</w:t>
      </w:r>
      <w:r>
        <w:rPr>
          <w:rFonts w:eastAsia="Times New Roman"/>
          <w:color w:val="000000"/>
          <w:sz w:val="20"/>
          <w:szCs w:val="20"/>
        </w:rPr>
        <w:t xml:space="preserve"> of our clinical trials;</w:t>
      </w:r>
    </w:p>
    <w:p w:rsidR="00000000" w:rsidRDefault="009012B9">
      <w:pPr>
        <w:ind w:hanging="480"/>
        <w:divId w:val="453064884"/>
        <w:rPr>
          <w:rFonts w:eastAsia="Times New Roman"/>
        </w:rPr>
      </w:pPr>
      <w:r>
        <w:rPr>
          <w:rFonts w:eastAsia="Times New Roman"/>
          <w:color w:val="000000"/>
          <w:sz w:val="20"/>
          <w:szCs w:val="20"/>
        </w:rPr>
        <w:t>•challenges manufacturing our product candidates to regulatory requirements in a cost effective manner;</w:t>
      </w:r>
    </w:p>
    <w:p w:rsidR="00000000" w:rsidRDefault="009012B9">
      <w:pPr>
        <w:jc w:val="center"/>
        <w:divId w:val="1760251500"/>
        <w:rPr>
          <w:rFonts w:eastAsia="Times New Roman"/>
        </w:rPr>
      </w:pPr>
      <w:r>
        <w:rPr>
          <w:rFonts w:eastAsia="Times New Roman"/>
          <w:color w:val="000000"/>
          <w:sz w:val="20"/>
          <w:szCs w:val="20"/>
        </w:rPr>
        <w:t>33</w:t>
      </w:r>
    </w:p>
    <w:p w:rsidR="00000000" w:rsidRDefault="009012B9">
      <w:pPr>
        <w:rPr>
          <w:rFonts w:eastAsia="Times New Roman"/>
        </w:rPr>
      </w:pPr>
      <w:r>
        <w:rPr>
          <w:rFonts w:eastAsia="Times New Roman"/>
        </w:rPr>
        <w:pict>
          <v:rect id="_x0000_i1057" style="width:0;height:1.5pt" o:hralign="center" o:hrstd="t" o:hr="t" fillcolor="#a0a0a0" stroked="f"/>
        </w:pict>
      </w:r>
    </w:p>
    <w:p w:rsidR="00000000" w:rsidRDefault="009012B9">
      <w:pPr>
        <w:divId w:val="2050295300"/>
        <w:rPr>
          <w:rFonts w:eastAsia="Times New Roman"/>
        </w:rPr>
      </w:pPr>
    </w:p>
    <w:p w:rsidR="00000000" w:rsidRDefault="009012B9">
      <w:pPr>
        <w:ind w:hanging="480"/>
        <w:divId w:val="248855737"/>
        <w:rPr>
          <w:rFonts w:eastAsia="Times New Roman"/>
        </w:rPr>
      </w:pPr>
      <w:r>
        <w:rPr>
          <w:rFonts w:eastAsia="Times New Roman"/>
          <w:color w:val="000000"/>
          <w:sz w:val="20"/>
          <w:szCs w:val="20"/>
        </w:rPr>
        <w:t>•greater than anticipated clinical trial costs;</w:t>
      </w:r>
    </w:p>
    <w:p w:rsidR="00000000" w:rsidRDefault="009012B9">
      <w:pPr>
        <w:ind w:hanging="480"/>
        <w:divId w:val="680281762"/>
        <w:rPr>
          <w:rFonts w:eastAsia="Times New Roman"/>
        </w:rPr>
      </w:pPr>
      <w:r>
        <w:rPr>
          <w:rFonts w:eastAsia="Times New Roman"/>
          <w:color w:val="000000"/>
          <w:sz w:val="20"/>
          <w:szCs w:val="20"/>
        </w:rPr>
        <w:t>•inability to compete with other thera</w:t>
      </w:r>
      <w:r>
        <w:rPr>
          <w:rFonts w:eastAsia="Times New Roman"/>
          <w:color w:val="000000"/>
          <w:sz w:val="20"/>
          <w:szCs w:val="20"/>
        </w:rPr>
        <w:t>pies;</w:t>
      </w:r>
    </w:p>
    <w:p w:rsidR="00000000" w:rsidRDefault="009012B9">
      <w:pPr>
        <w:ind w:hanging="480"/>
        <w:divId w:val="1320310995"/>
        <w:rPr>
          <w:rFonts w:eastAsia="Times New Roman"/>
        </w:rPr>
      </w:pPr>
      <w:r>
        <w:rPr>
          <w:rFonts w:eastAsia="Times New Roman"/>
          <w:color w:val="000000"/>
          <w:sz w:val="20"/>
          <w:szCs w:val="20"/>
        </w:rPr>
        <w:t>•poor efficacy of our product candidates during clinical trials;</w:t>
      </w:r>
    </w:p>
    <w:p w:rsidR="00000000" w:rsidRDefault="009012B9">
      <w:pPr>
        <w:ind w:hanging="480"/>
        <w:divId w:val="696194422"/>
        <w:rPr>
          <w:rFonts w:eastAsia="Times New Roman"/>
        </w:rPr>
      </w:pPr>
      <w:r>
        <w:rPr>
          <w:rFonts w:eastAsia="Times New Roman"/>
          <w:color w:val="000000"/>
          <w:sz w:val="20"/>
          <w:szCs w:val="20"/>
        </w:rPr>
        <w:t>•unfavorable FDA or other regulatory agency inspection and review of a clinical trial site;</w:t>
      </w:r>
    </w:p>
    <w:p w:rsidR="00000000" w:rsidRDefault="009012B9">
      <w:pPr>
        <w:ind w:hanging="480"/>
        <w:divId w:val="1524633454"/>
        <w:rPr>
          <w:rFonts w:eastAsia="Times New Roman"/>
        </w:rPr>
      </w:pPr>
      <w:r>
        <w:rPr>
          <w:rFonts w:eastAsia="Times New Roman"/>
          <w:color w:val="000000"/>
          <w:sz w:val="20"/>
          <w:szCs w:val="20"/>
        </w:rPr>
        <w:t>•failure of our third-party contractors or investigators to comply with regulatory requiremen</w:t>
      </w:r>
      <w:r>
        <w:rPr>
          <w:rFonts w:eastAsia="Times New Roman"/>
          <w:color w:val="000000"/>
          <w:sz w:val="20"/>
          <w:szCs w:val="20"/>
        </w:rPr>
        <w:t>ts or otherwise meet their contractual obligations in a timely manner, or at all;</w:t>
      </w:r>
    </w:p>
    <w:p w:rsidR="00000000" w:rsidRDefault="009012B9">
      <w:pPr>
        <w:ind w:hanging="480"/>
        <w:divId w:val="213586005"/>
        <w:rPr>
          <w:rFonts w:eastAsia="Times New Roman"/>
        </w:rPr>
      </w:pPr>
      <w:r>
        <w:rPr>
          <w:rFonts w:eastAsia="Times New Roman"/>
          <w:color w:val="000000"/>
          <w:sz w:val="20"/>
          <w:szCs w:val="20"/>
        </w:rPr>
        <w:t>•delays related to the impact of the spread of the COVID-19 pandemic, including the impact of COVID-19 on the FDA’s ability to continue its normal operations;</w:t>
      </w:r>
    </w:p>
    <w:p w:rsidR="00000000" w:rsidRDefault="009012B9">
      <w:pPr>
        <w:ind w:hanging="480"/>
        <w:divId w:val="154880822"/>
        <w:rPr>
          <w:rFonts w:eastAsia="Times New Roman"/>
        </w:rPr>
      </w:pPr>
      <w:r>
        <w:rPr>
          <w:rFonts w:eastAsia="Times New Roman"/>
          <w:color w:val="000000"/>
          <w:sz w:val="20"/>
          <w:szCs w:val="20"/>
        </w:rPr>
        <w:t>•delays and cha</w:t>
      </w:r>
      <w:r>
        <w:rPr>
          <w:rFonts w:eastAsia="Times New Roman"/>
          <w:color w:val="000000"/>
          <w:sz w:val="20"/>
          <w:szCs w:val="20"/>
        </w:rPr>
        <w:t>nges in regulatory requirements, policy and guidelines, including the imposition of additional regulatory oversight around clinical testing generally or with respect to our technology in particular; or</w:t>
      </w:r>
    </w:p>
    <w:p w:rsidR="00000000" w:rsidRDefault="009012B9">
      <w:pPr>
        <w:ind w:hanging="480"/>
        <w:divId w:val="1792750189"/>
        <w:rPr>
          <w:rFonts w:eastAsia="Times New Roman"/>
        </w:rPr>
      </w:pPr>
      <w:r>
        <w:rPr>
          <w:rFonts w:eastAsia="Times New Roman"/>
          <w:color w:val="000000"/>
          <w:sz w:val="20"/>
          <w:szCs w:val="20"/>
        </w:rPr>
        <w:t>•varying interpretations of data by the FDA and simila</w:t>
      </w:r>
      <w:r>
        <w:rPr>
          <w:rFonts w:eastAsia="Times New Roman"/>
          <w:color w:val="000000"/>
          <w:sz w:val="20"/>
          <w:szCs w:val="20"/>
        </w:rPr>
        <w:t>r foreign regulatory agencies.</w:t>
      </w:r>
    </w:p>
    <w:p w:rsidR="00000000" w:rsidRDefault="009012B9">
      <w:pPr>
        <w:ind w:firstLine="482"/>
        <w:divId w:val="413357637"/>
        <w:rPr>
          <w:rFonts w:eastAsia="Times New Roman"/>
        </w:rPr>
      </w:pPr>
      <w:r>
        <w:rPr>
          <w:rFonts w:eastAsia="Times New Roman"/>
          <w:color w:val="000000"/>
          <w:sz w:val="20"/>
          <w:szCs w:val="20"/>
        </w:rPr>
        <w:t>We do not have complete control over many of these factors, including certain aspects of clinical development and the regulatory submission process, potential threats to our intellectual property rights and our manufacturing,</w:t>
      </w:r>
      <w:r>
        <w:rPr>
          <w:rFonts w:eastAsia="Times New Roman"/>
          <w:color w:val="000000"/>
          <w:sz w:val="20"/>
          <w:szCs w:val="20"/>
        </w:rPr>
        <w:t xml:space="preserve"> marketing, distribution and sales efforts or that of any future collaborator.</w:t>
      </w:r>
    </w:p>
    <w:p w:rsidR="00000000" w:rsidRDefault="009012B9">
      <w:pPr>
        <w:divId w:val="1135754848"/>
        <w:rPr>
          <w:rFonts w:eastAsia="Times New Roman"/>
        </w:rPr>
      </w:pPr>
      <w:r>
        <w:rPr>
          <w:rFonts w:eastAsia="Times New Roman"/>
          <w:b/>
          <w:bCs/>
          <w:i/>
          <w:iCs/>
          <w:color w:val="000000"/>
          <w:sz w:val="20"/>
          <w:szCs w:val="20"/>
        </w:rPr>
        <w:t xml:space="preserve">Our approach to drug discovery and development in the area of fibrotic diseases, with an initial focus on tissue-specific integrin modulation and TGF-ß signaling inhibition, is </w:t>
      </w:r>
      <w:r>
        <w:rPr>
          <w:rFonts w:eastAsia="Times New Roman"/>
          <w:b/>
          <w:bCs/>
          <w:i/>
          <w:iCs/>
          <w:color w:val="000000"/>
          <w:sz w:val="20"/>
          <w:szCs w:val="20"/>
        </w:rPr>
        <w:t>unproven and may not result in marketable products.</w:t>
      </w:r>
    </w:p>
    <w:p w:rsidR="00000000" w:rsidRDefault="009012B9">
      <w:pPr>
        <w:ind w:firstLine="482"/>
        <w:divId w:val="226689952"/>
        <w:rPr>
          <w:rFonts w:eastAsia="Times New Roman"/>
        </w:rPr>
      </w:pPr>
      <w:r>
        <w:rPr>
          <w:rFonts w:eastAsia="Times New Roman"/>
          <w:color w:val="000000"/>
          <w:sz w:val="20"/>
          <w:szCs w:val="20"/>
        </w:rPr>
        <w:t>Our approach is designed to discover and develop targeted treatments for fibrosis with an initial focus on the antagonism of tissue-specific TGF-ß signaling through the inhibition of integrins known to me</w:t>
      </w:r>
      <w:r>
        <w:rPr>
          <w:rFonts w:eastAsia="Times New Roman"/>
          <w:color w:val="000000"/>
          <w:sz w:val="20"/>
          <w:szCs w:val="20"/>
        </w:rPr>
        <w:t>diate the release of activated TGF-ß in fibrotic tissue. However, although multiple studies are currently underway, to date, this mechanism has not been definitively proven to successfully treat fibrosis. Targeting integrins to treat fibrosis is a novel ap</w:t>
      </w:r>
      <w:r>
        <w:rPr>
          <w:rFonts w:eastAsia="Times New Roman"/>
          <w:color w:val="000000"/>
          <w:sz w:val="20"/>
          <w:szCs w:val="20"/>
        </w:rPr>
        <w:t>proach in a rapidly developing field, and there can be no assurance that we will not experience currently unknown problems or delays in developing our product candidates, that such problems or delays will not result in unanticipated costs, or that any such</w:t>
      </w:r>
      <w:r>
        <w:rPr>
          <w:rFonts w:eastAsia="Times New Roman"/>
          <w:color w:val="000000"/>
          <w:sz w:val="20"/>
          <w:szCs w:val="20"/>
        </w:rPr>
        <w:t xml:space="preserve"> development problems can be solved. We have primarily tested our lead product candidate, PLN-74809, in healthy volunteers. Therefore, we may ultimately discover that our approach and any product candidates resulting therefrom do not possess properties req</w:t>
      </w:r>
      <w:r>
        <w:rPr>
          <w:rFonts w:eastAsia="Times New Roman"/>
          <w:color w:val="000000"/>
          <w:sz w:val="20"/>
          <w:szCs w:val="20"/>
        </w:rPr>
        <w:t>uired for therapeutic effectiveness. As a result, we may never succeed in developing a marketable product.</w:t>
      </w:r>
    </w:p>
    <w:p w:rsidR="00000000" w:rsidRDefault="009012B9">
      <w:pPr>
        <w:ind w:firstLine="482"/>
        <w:divId w:val="671106082"/>
        <w:rPr>
          <w:rFonts w:eastAsia="Times New Roman"/>
        </w:rPr>
      </w:pPr>
      <w:r>
        <w:rPr>
          <w:rFonts w:eastAsia="Times New Roman"/>
          <w:color w:val="000000"/>
          <w:sz w:val="20"/>
          <w:szCs w:val="20"/>
        </w:rPr>
        <w:t>In addition, while we have developed an extensive panel of cell assays and precision cut tissue assays and have utilized animal models to uncover bio</w:t>
      </w:r>
      <w:r>
        <w:rPr>
          <w:rFonts w:eastAsia="Times New Roman"/>
          <w:color w:val="000000"/>
          <w:sz w:val="20"/>
          <w:szCs w:val="20"/>
        </w:rPr>
        <w:t>logical pathways, understood gene expression changes and optimized the potency and selectivity of our potential product candidates, there can be no assurance that our technology will yield their intended benefits. While we believe our assays represent a di</w:t>
      </w:r>
      <w:r>
        <w:rPr>
          <w:rFonts w:eastAsia="Times New Roman"/>
          <w:color w:val="000000"/>
          <w:sz w:val="20"/>
          <w:szCs w:val="20"/>
        </w:rPr>
        <w:t>fferentiator in our approach to drug development, our approach has not yet been clinically proven to yield results. Our practice of evaluating our product candidates in live human fibrotic tissue samples before advancing them into the clinic is intended to</w:t>
      </w:r>
      <w:r>
        <w:rPr>
          <w:rFonts w:eastAsia="Times New Roman"/>
          <w:color w:val="000000"/>
          <w:sz w:val="20"/>
          <w:szCs w:val="20"/>
        </w:rPr>
        <w:t xml:space="preserve"> serve as a bridge between animal models and clinical proof-of-concept. However, there can be no assurance that positive results observed from preclinical animal testing and human fibrotic tissue models will be replicated when a program is advanced into cl</w:t>
      </w:r>
      <w:r>
        <w:rPr>
          <w:rFonts w:eastAsia="Times New Roman"/>
          <w:color w:val="000000"/>
          <w:sz w:val="20"/>
          <w:szCs w:val="20"/>
        </w:rPr>
        <w:t>inical development. In addition, our practice of utilizing live human fibrotic tissue as part of our development efforts may become more widespread in the future, and this approach may be adopted and replicated by others, including our competitors.</w:t>
      </w:r>
    </w:p>
    <w:p w:rsidR="00000000" w:rsidRDefault="009012B9">
      <w:pPr>
        <w:ind w:firstLine="482"/>
        <w:divId w:val="2033024442"/>
        <w:rPr>
          <w:rFonts w:eastAsia="Times New Roman"/>
        </w:rPr>
      </w:pPr>
      <w:r>
        <w:rPr>
          <w:rFonts w:eastAsia="Times New Roman"/>
          <w:color w:val="000000"/>
          <w:sz w:val="20"/>
          <w:szCs w:val="20"/>
        </w:rPr>
        <w:t>Studies</w:t>
      </w:r>
      <w:r>
        <w:rPr>
          <w:rFonts w:eastAsia="Times New Roman"/>
          <w:color w:val="000000"/>
          <w:sz w:val="20"/>
          <w:szCs w:val="20"/>
        </w:rPr>
        <w:t xml:space="preserve"> involving human tissue samples may also be subject to institutional and government human subject privacy policies that may vary by territory. We or our partners who provide us with human tissue samples or conduct tissue and/or animal studies on our behalf</w:t>
      </w:r>
      <w:r>
        <w:rPr>
          <w:rFonts w:eastAsia="Times New Roman"/>
          <w:color w:val="000000"/>
          <w:sz w:val="20"/>
          <w:szCs w:val="20"/>
        </w:rPr>
        <w:t>, may be found to be in violation of one or more of these regulations or policies and may be subject to closure, censure or other penalties. In some cases, these penalties could materially impact the performance, availability, or validity of studies conduc</w:t>
      </w:r>
      <w:r>
        <w:rPr>
          <w:rFonts w:eastAsia="Times New Roman"/>
          <w:color w:val="000000"/>
          <w:sz w:val="20"/>
          <w:szCs w:val="20"/>
        </w:rPr>
        <w:t>ted by us on our behalf. Even in the absence of violations resulting in penalties, regulatory and other authorities may refuse to authorize the conduct or to accept the results of studies for regulatory or ethical reasons.</w:t>
      </w:r>
    </w:p>
    <w:p w:rsidR="00000000" w:rsidRDefault="009012B9">
      <w:pPr>
        <w:jc w:val="center"/>
        <w:divId w:val="1803116086"/>
        <w:rPr>
          <w:rFonts w:eastAsia="Times New Roman"/>
        </w:rPr>
      </w:pPr>
      <w:r>
        <w:rPr>
          <w:rFonts w:eastAsia="Times New Roman"/>
          <w:color w:val="000000"/>
          <w:sz w:val="20"/>
          <w:szCs w:val="20"/>
        </w:rPr>
        <w:t>34</w:t>
      </w:r>
    </w:p>
    <w:p w:rsidR="00000000" w:rsidRDefault="009012B9">
      <w:pPr>
        <w:rPr>
          <w:rFonts w:eastAsia="Times New Roman"/>
        </w:rPr>
      </w:pPr>
      <w:r>
        <w:rPr>
          <w:rFonts w:eastAsia="Times New Roman"/>
        </w:rPr>
        <w:pict>
          <v:rect id="_x0000_i1058" style="width:0;height:1.5pt" o:hralign="center" o:hrstd="t" o:hr="t" fillcolor="#a0a0a0" stroked="f"/>
        </w:pict>
      </w:r>
    </w:p>
    <w:p w:rsidR="00000000" w:rsidRDefault="009012B9">
      <w:pPr>
        <w:divId w:val="254675584"/>
        <w:rPr>
          <w:rFonts w:eastAsia="Times New Roman"/>
        </w:rPr>
      </w:pPr>
    </w:p>
    <w:p w:rsidR="00000000" w:rsidRDefault="009012B9">
      <w:pPr>
        <w:divId w:val="1675843474"/>
        <w:rPr>
          <w:rFonts w:eastAsia="Times New Roman"/>
        </w:rPr>
      </w:pPr>
      <w:r>
        <w:rPr>
          <w:rFonts w:eastAsia="Times New Roman"/>
          <w:b/>
          <w:bCs/>
          <w:i/>
          <w:iCs/>
          <w:color w:val="000000"/>
          <w:sz w:val="20"/>
          <w:szCs w:val="20"/>
        </w:rPr>
        <w:t>Clinical development involves a lengthy, complex, and expensive process, with an uncertain outcome.</w:t>
      </w:r>
    </w:p>
    <w:p w:rsidR="00000000" w:rsidRDefault="009012B9">
      <w:pPr>
        <w:ind w:firstLine="482"/>
        <w:divId w:val="438843057"/>
        <w:rPr>
          <w:rFonts w:eastAsia="Times New Roman"/>
        </w:rPr>
      </w:pPr>
      <w:r>
        <w:rPr>
          <w:rFonts w:eastAsia="Times New Roman"/>
          <w:color w:val="000000"/>
          <w:sz w:val="20"/>
          <w:szCs w:val="20"/>
        </w:rPr>
        <w:t xml:space="preserve">To obtain the requisite regulatory approvals to commercialize any product candidates, we must demonstrate through extensive preclinical studies and clinical trials that our product candidates are safe and effective in humans. Clinical testing is expensive </w:t>
      </w:r>
      <w:r>
        <w:rPr>
          <w:rFonts w:eastAsia="Times New Roman"/>
          <w:color w:val="000000"/>
          <w:sz w:val="20"/>
          <w:szCs w:val="20"/>
        </w:rPr>
        <w:t>and can take many years to complete, and its outcome is inherently uncertain. In particular, the general approach for FDA approval of a new drug is dispositive data from two well-controlled, Phase 3 clinical trials of the relevant drug in the relevant pati</w:t>
      </w:r>
      <w:r>
        <w:rPr>
          <w:rFonts w:eastAsia="Times New Roman"/>
          <w:color w:val="000000"/>
          <w:sz w:val="20"/>
          <w:szCs w:val="20"/>
        </w:rPr>
        <w:t>ent population. Phase 3 clinical trials typically involve hundreds of patients, have significant costs and take years to complete. A product candidate can fail at any stage of testing, even after observing promising signals of activity in earlier preclinic</w:t>
      </w:r>
      <w:r>
        <w:rPr>
          <w:rFonts w:eastAsia="Times New Roman"/>
          <w:color w:val="000000"/>
          <w:sz w:val="20"/>
          <w:szCs w:val="20"/>
        </w:rPr>
        <w:t>al studies or clinical trials. The results of preclinical studies and early clinical trials of our product candidates may not be predictive of the results of later-stage clinical trials. In addition, initial success in clinical trials may not be indicative</w:t>
      </w:r>
      <w:r>
        <w:rPr>
          <w:rFonts w:eastAsia="Times New Roman"/>
          <w:color w:val="000000"/>
          <w:sz w:val="20"/>
          <w:szCs w:val="20"/>
        </w:rPr>
        <w:t xml:space="preserve"> of results obtained when such trials are completed. There is typically an extremely high rate of attrition from the failure of product candidates proceeding through clinical trials. Product candidates in later stages of clinical trials may fail to show th</w:t>
      </w:r>
      <w:r>
        <w:rPr>
          <w:rFonts w:eastAsia="Times New Roman"/>
          <w:color w:val="000000"/>
          <w:sz w:val="20"/>
          <w:szCs w:val="20"/>
        </w:rPr>
        <w:t>e desired safety and efficacy profile despite having progressed through preclinical studies and initial clinical trials. A number of companies in the biopharmaceutical industry have suffered significant setbacks in advanced clinical trials due to lack of e</w:t>
      </w:r>
      <w:r>
        <w:rPr>
          <w:rFonts w:eastAsia="Times New Roman"/>
          <w:color w:val="000000"/>
          <w:sz w:val="20"/>
          <w:szCs w:val="20"/>
        </w:rPr>
        <w:t>fficacy or unacceptable safety issues, notwithstanding promising results in earlier trials. Most product candidates that commence clinical trials are never approved as products and there can be no assurance that any of our future clinical trials will ultim</w:t>
      </w:r>
      <w:r>
        <w:rPr>
          <w:rFonts w:eastAsia="Times New Roman"/>
          <w:color w:val="000000"/>
          <w:sz w:val="20"/>
          <w:szCs w:val="20"/>
        </w:rPr>
        <w:t>ately be successful or support further clinical development of PLN-74809 or any of our other product candidates. Product candidates that appear promising in the early phases of development may fail to reach the market for several reasons, including:</w:t>
      </w:r>
    </w:p>
    <w:p w:rsidR="00000000" w:rsidRDefault="009012B9">
      <w:pPr>
        <w:ind w:hanging="480"/>
        <w:divId w:val="1234661034"/>
        <w:rPr>
          <w:rFonts w:eastAsia="Times New Roman"/>
        </w:rPr>
      </w:pPr>
      <w:r>
        <w:rPr>
          <w:rFonts w:eastAsia="Times New Roman"/>
          <w:color w:val="000000"/>
          <w:sz w:val="20"/>
          <w:szCs w:val="20"/>
        </w:rPr>
        <w:t>•precl</w:t>
      </w:r>
      <w:r>
        <w:rPr>
          <w:rFonts w:eastAsia="Times New Roman"/>
          <w:color w:val="000000"/>
          <w:sz w:val="20"/>
          <w:szCs w:val="20"/>
        </w:rPr>
        <w:t>inical studies or clinical trials may show the product candidates to be less effective than expected (e.g., a clinical trial could fail to meet its primary endpoint(s)) or to have unacceptable side effects or toxicities;</w:t>
      </w:r>
    </w:p>
    <w:p w:rsidR="00000000" w:rsidRDefault="009012B9">
      <w:pPr>
        <w:ind w:hanging="480"/>
        <w:divId w:val="162354614"/>
        <w:rPr>
          <w:rFonts w:eastAsia="Times New Roman"/>
        </w:rPr>
      </w:pPr>
      <w:r>
        <w:rPr>
          <w:rFonts w:eastAsia="Times New Roman"/>
          <w:color w:val="000000"/>
          <w:sz w:val="20"/>
          <w:szCs w:val="20"/>
        </w:rPr>
        <w:t>•failure to establish clinical endp</w:t>
      </w:r>
      <w:r>
        <w:rPr>
          <w:rFonts w:eastAsia="Times New Roman"/>
          <w:color w:val="000000"/>
          <w:sz w:val="20"/>
          <w:szCs w:val="20"/>
        </w:rPr>
        <w:t>oints that applicable regulatory authorities would consider clinically meaningful;</w:t>
      </w:r>
    </w:p>
    <w:p w:rsidR="00000000" w:rsidRDefault="009012B9">
      <w:pPr>
        <w:ind w:hanging="480"/>
        <w:divId w:val="952632875"/>
        <w:rPr>
          <w:rFonts w:eastAsia="Times New Roman"/>
        </w:rPr>
      </w:pPr>
      <w:r>
        <w:rPr>
          <w:rFonts w:eastAsia="Times New Roman"/>
          <w:color w:val="000000"/>
          <w:sz w:val="20"/>
          <w:szCs w:val="20"/>
        </w:rPr>
        <w:t>•failure to receive the necessary regulatory approvals;</w:t>
      </w:r>
    </w:p>
    <w:p w:rsidR="00000000" w:rsidRDefault="009012B9">
      <w:pPr>
        <w:ind w:hanging="480"/>
        <w:divId w:val="414280834"/>
        <w:rPr>
          <w:rFonts w:eastAsia="Times New Roman"/>
        </w:rPr>
      </w:pPr>
      <w:r>
        <w:rPr>
          <w:rFonts w:eastAsia="Times New Roman"/>
          <w:color w:val="000000"/>
          <w:sz w:val="20"/>
          <w:szCs w:val="20"/>
        </w:rPr>
        <w:t>•development of competing products in the same disease state;</w:t>
      </w:r>
    </w:p>
    <w:p w:rsidR="00000000" w:rsidRDefault="009012B9">
      <w:pPr>
        <w:ind w:hanging="480"/>
        <w:divId w:val="1418479892"/>
        <w:rPr>
          <w:rFonts w:eastAsia="Times New Roman"/>
        </w:rPr>
      </w:pPr>
      <w:r>
        <w:rPr>
          <w:rFonts w:eastAsia="Times New Roman"/>
          <w:color w:val="000000"/>
          <w:sz w:val="20"/>
          <w:szCs w:val="20"/>
        </w:rPr>
        <w:t>•manufacturing costs, formulation issues, pricing or re</w:t>
      </w:r>
      <w:r>
        <w:rPr>
          <w:rFonts w:eastAsia="Times New Roman"/>
          <w:color w:val="000000"/>
          <w:sz w:val="20"/>
          <w:szCs w:val="20"/>
        </w:rPr>
        <w:t>imbursement issues, or other factors that make a product candidate uneconomical; and</w:t>
      </w:r>
    </w:p>
    <w:p w:rsidR="00000000" w:rsidRDefault="009012B9">
      <w:pPr>
        <w:ind w:hanging="480"/>
        <w:divId w:val="726806804"/>
        <w:rPr>
          <w:rFonts w:eastAsia="Times New Roman"/>
        </w:rPr>
      </w:pPr>
      <w:r>
        <w:rPr>
          <w:rFonts w:eastAsia="Times New Roman"/>
          <w:color w:val="000000"/>
          <w:sz w:val="20"/>
          <w:szCs w:val="20"/>
        </w:rPr>
        <w:t>•the proprietary rights of others and their competing products and technologies that may prevent one of our product candidates from being commercialized.</w:t>
      </w:r>
    </w:p>
    <w:p w:rsidR="00000000" w:rsidRDefault="009012B9">
      <w:pPr>
        <w:ind w:firstLine="482"/>
        <w:divId w:val="1552426416"/>
        <w:rPr>
          <w:rFonts w:eastAsia="Times New Roman"/>
        </w:rPr>
      </w:pPr>
      <w:r>
        <w:rPr>
          <w:rFonts w:eastAsia="Times New Roman"/>
          <w:color w:val="000000"/>
          <w:sz w:val="20"/>
          <w:szCs w:val="20"/>
        </w:rPr>
        <w:t>In addition, diff</w:t>
      </w:r>
      <w:r>
        <w:rPr>
          <w:rFonts w:eastAsia="Times New Roman"/>
          <w:color w:val="000000"/>
          <w:sz w:val="20"/>
          <w:szCs w:val="20"/>
        </w:rPr>
        <w:t>erences in trial design between early-stage clinical trials and later-stage clinical trials make it difficult to extrapolate the results of earlier clinical trials to later clinical trials. Moreover, clinical data are often susceptible to varying interpret</w:t>
      </w:r>
      <w:r>
        <w:rPr>
          <w:rFonts w:eastAsia="Times New Roman"/>
          <w:color w:val="000000"/>
          <w:sz w:val="20"/>
          <w:szCs w:val="20"/>
        </w:rPr>
        <w:t>ations and analyses, and many companies that have believed their product candidates performed satisfactorily in clinical trials have nonetheless failed to obtain marketing approval of their products. Additionally, some of our trials are open-label studies,</w:t>
      </w:r>
      <w:r>
        <w:rPr>
          <w:rFonts w:eastAsia="Times New Roman"/>
          <w:color w:val="000000"/>
          <w:sz w:val="20"/>
          <w:szCs w:val="20"/>
        </w:rPr>
        <w:t xml:space="preserve"> where both the patient and investigator know whether the patient is receiving the investigational product candidate or either an existing approved drug or placebo. Most typically, open-label clinical trials test only the investigational product candidate </w:t>
      </w:r>
      <w:r>
        <w:rPr>
          <w:rFonts w:eastAsia="Times New Roman"/>
          <w:color w:val="000000"/>
          <w:sz w:val="20"/>
          <w:szCs w:val="20"/>
        </w:rPr>
        <w:t>and sometimes do so at different dose levels. Open-label clinical trials are subject to various limitations that may exaggerate any therapeutic effect as patients in open-label clinical trials are aware when they are receiving treatment. In addition, open-</w:t>
      </w:r>
      <w:r>
        <w:rPr>
          <w:rFonts w:eastAsia="Times New Roman"/>
          <w:color w:val="000000"/>
          <w:sz w:val="20"/>
          <w:szCs w:val="20"/>
        </w:rPr>
        <w:t xml:space="preserve">label clinical trials may be subject to an “investigator bias” where those assessing and reviewing the physiological outcomes of the clinical trials are aware of which patients have received treatment and may interpret the information of the treated group </w:t>
      </w:r>
      <w:r>
        <w:rPr>
          <w:rFonts w:eastAsia="Times New Roman"/>
          <w:color w:val="000000"/>
          <w:sz w:val="20"/>
          <w:szCs w:val="20"/>
        </w:rPr>
        <w:t>more favorably given this knowledge. Therefore, it is possible that positive results observed in open-label trials will not be replicated in later placebo-controlled trials.</w:t>
      </w:r>
    </w:p>
    <w:p w:rsidR="00000000" w:rsidRDefault="009012B9">
      <w:pPr>
        <w:ind w:firstLine="482"/>
        <w:divId w:val="1944337921"/>
        <w:rPr>
          <w:rFonts w:eastAsia="Times New Roman"/>
        </w:rPr>
      </w:pPr>
      <w:r>
        <w:rPr>
          <w:rFonts w:eastAsia="Times New Roman"/>
          <w:color w:val="000000"/>
          <w:sz w:val="20"/>
          <w:szCs w:val="20"/>
        </w:rPr>
        <w:t>In addition, the standards that the FDA and comparable foreign regulatory authorit</w:t>
      </w:r>
      <w:r>
        <w:rPr>
          <w:rFonts w:eastAsia="Times New Roman"/>
          <w:color w:val="000000"/>
          <w:sz w:val="20"/>
          <w:szCs w:val="20"/>
        </w:rPr>
        <w:t xml:space="preserve">ies use when regulating us require judgment and can change, which makes it difficult to predict with certainty how they will be applied. Although we are initially focusing our efforts on development of small molecule drug products, we are also considering </w:t>
      </w:r>
      <w:r>
        <w:rPr>
          <w:rFonts w:eastAsia="Times New Roman"/>
          <w:color w:val="000000"/>
          <w:sz w:val="20"/>
          <w:szCs w:val="20"/>
        </w:rPr>
        <w:t>the development of biological products, including a potential candidate for muscular dystrophies, which could make us subject to additional regulatory requirements. Any analysis we perform of data from preclinical and clinical activities is subject to conf</w:t>
      </w:r>
      <w:r>
        <w:rPr>
          <w:rFonts w:eastAsia="Times New Roman"/>
          <w:color w:val="000000"/>
          <w:sz w:val="20"/>
          <w:szCs w:val="20"/>
        </w:rPr>
        <w:t>irmation and interpretation by regulatory authorities, which could delay, limit or prevent regulatory approval. We may also encounter unexpected delays or increased costs due to new government regulations. Examples of such regulations include future legisl</w:t>
      </w:r>
      <w:r>
        <w:rPr>
          <w:rFonts w:eastAsia="Times New Roman"/>
          <w:color w:val="000000"/>
          <w:sz w:val="20"/>
          <w:szCs w:val="20"/>
        </w:rPr>
        <w:t>ation or administrative action, or changes in FDA policy during the period of product development and FDA regulatory review. It is impossible to predict whether legislative changes will be enacted, or whether FDA or foreign regulations, guidance or interpr</w:t>
      </w:r>
      <w:r>
        <w:rPr>
          <w:rFonts w:eastAsia="Times New Roman"/>
          <w:color w:val="000000"/>
          <w:sz w:val="20"/>
          <w:szCs w:val="20"/>
        </w:rPr>
        <w:t xml:space="preserve">etations will be changed, or what the impact of such changes, if any, may be. The FDA may also require a panel of experts, referred to as an Advisory Committee, to deliberate on the adequacy of the safety and efficacy data to support approval. The opinion </w:t>
      </w:r>
      <w:r>
        <w:rPr>
          <w:rFonts w:eastAsia="Times New Roman"/>
          <w:color w:val="000000"/>
          <w:sz w:val="20"/>
          <w:szCs w:val="20"/>
        </w:rPr>
        <w:t>of the Advisory Committee, although not binding, may have a significant impact on our ability to obtain approval of any product candidates that we develop.</w:t>
      </w:r>
    </w:p>
    <w:p w:rsidR="00000000" w:rsidRDefault="009012B9">
      <w:pPr>
        <w:jc w:val="center"/>
        <w:divId w:val="1416390562"/>
        <w:rPr>
          <w:rFonts w:eastAsia="Times New Roman"/>
        </w:rPr>
      </w:pPr>
      <w:r>
        <w:rPr>
          <w:rFonts w:eastAsia="Times New Roman"/>
          <w:color w:val="000000"/>
          <w:sz w:val="20"/>
          <w:szCs w:val="20"/>
        </w:rPr>
        <w:t>35</w:t>
      </w:r>
    </w:p>
    <w:p w:rsidR="00000000" w:rsidRDefault="009012B9">
      <w:pPr>
        <w:rPr>
          <w:rFonts w:eastAsia="Times New Roman"/>
        </w:rPr>
      </w:pPr>
      <w:r>
        <w:rPr>
          <w:rFonts w:eastAsia="Times New Roman"/>
        </w:rPr>
        <w:pict>
          <v:rect id="_x0000_i1059" style="width:0;height:1.5pt" o:hralign="center" o:hrstd="t" o:hr="t" fillcolor="#a0a0a0" stroked="f"/>
        </w:pict>
      </w:r>
    </w:p>
    <w:p w:rsidR="00000000" w:rsidRDefault="009012B9">
      <w:pPr>
        <w:divId w:val="225184911"/>
        <w:rPr>
          <w:rFonts w:eastAsia="Times New Roman"/>
        </w:rPr>
      </w:pPr>
    </w:p>
    <w:p w:rsidR="00000000" w:rsidRDefault="009012B9">
      <w:pPr>
        <w:ind w:firstLine="482"/>
        <w:divId w:val="115756869"/>
        <w:rPr>
          <w:rFonts w:eastAsia="Times New Roman"/>
        </w:rPr>
      </w:pPr>
      <w:r>
        <w:rPr>
          <w:rFonts w:eastAsia="Times New Roman"/>
          <w:color w:val="000000"/>
          <w:sz w:val="20"/>
          <w:szCs w:val="20"/>
        </w:rPr>
        <w:t>If we seek to conduct clinical trials in foreign countries</w:t>
      </w:r>
      <w:r>
        <w:rPr>
          <w:rFonts w:eastAsia="Times New Roman"/>
          <w:color w:val="000000"/>
          <w:sz w:val="20"/>
          <w:szCs w:val="20"/>
        </w:rPr>
        <w:t xml:space="preserve"> or pursue marketing approvals in foreign jurisdictions, we must comply with numerous foreign regulatory requirements governing, among other things, the conduct of clinical trials, manufacturing and marketing authorization, pricing and third-party reimburs</w:t>
      </w:r>
      <w:r>
        <w:rPr>
          <w:rFonts w:eastAsia="Times New Roman"/>
          <w:color w:val="000000"/>
          <w:sz w:val="20"/>
          <w:szCs w:val="20"/>
        </w:rPr>
        <w:t>ement. The foreign regulatory approval process varies among countries and may include all of the risks associated with FDA approval described above as well as risks attributable to the satisfaction of local regulations in foreign jurisdictions. Moreover, t</w:t>
      </w:r>
      <w:r>
        <w:rPr>
          <w:rFonts w:eastAsia="Times New Roman"/>
          <w:color w:val="000000"/>
          <w:sz w:val="20"/>
          <w:szCs w:val="20"/>
        </w:rPr>
        <w:t>he time required to obtain approval may differ from that required to obtain FDA approval. Approval by the FDA does not ensure approval by regulatory authorities outside the United States and vice versa.</w:t>
      </w:r>
    </w:p>
    <w:p w:rsidR="00000000" w:rsidRDefault="009012B9">
      <w:pPr>
        <w:ind w:firstLine="482"/>
        <w:divId w:val="570119811"/>
        <w:rPr>
          <w:rFonts w:eastAsia="Times New Roman"/>
        </w:rPr>
      </w:pPr>
      <w:r>
        <w:rPr>
          <w:rFonts w:eastAsia="Times New Roman"/>
          <w:color w:val="000000"/>
          <w:sz w:val="20"/>
          <w:szCs w:val="20"/>
        </w:rPr>
        <w:t>Successful completion of clinical trials is a prerequ</w:t>
      </w:r>
      <w:r>
        <w:rPr>
          <w:rFonts w:eastAsia="Times New Roman"/>
          <w:color w:val="000000"/>
          <w:sz w:val="20"/>
          <w:szCs w:val="20"/>
        </w:rPr>
        <w:t xml:space="preserve">isite to submitting a marketing application to the FDA and similar marketing applications to comparable foreign regulatory authorities, for each product candidate and, consequently, the ultimate approval and commercial marketing of any product candidates. </w:t>
      </w:r>
      <w:r>
        <w:rPr>
          <w:rFonts w:eastAsia="Times New Roman"/>
          <w:color w:val="000000"/>
          <w:sz w:val="20"/>
          <w:szCs w:val="20"/>
        </w:rPr>
        <w:t>We may experience negative or inconclusive results, which may result in our deciding, or our being required by regulators, to conduct additional clinical studies or trials or abandon some or all of our product development programs, which could have a mater</w:t>
      </w:r>
      <w:r>
        <w:rPr>
          <w:rFonts w:eastAsia="Times New Roman"/>
          <w:color w:val="000000"/>
          <w:sz w:val="20"/>
          <w:szCs w:val="20"/>
        </w:rPr>
        <w:t>ial adverse effect on our business.</w:t>
      </w:r>
    </w:p>
    <w:p w:rsidR="00000000" w:rsidRDefault="009012B9">
      <w:pPr>
        <w:divId w:val="48385909"/>
        <w:rPr>
          <w:rFonts w:eastAsia="Times New Roman"/>
        </w:rPr>
      </w:pPr>
      <w:r>
        <w:rPr>
          <w:rFonts w:eastAsia="Times New Roman"/>
          <w:b/>
          <w:bCs/>
          <w:i/>
          <w:iCs/>
          <w:color w:val="000000"/>
          <w:sz w:val="20"/>
          <w:szCs w:val="20"/>
        </w:rPr>
        <w:t>We may incur additional costs or experience delays in completing, or ultimately be unable to complete, the development and commercialization of PLN-74809 or any other product candidates.</w:t>
      </w:r>
    </w:p>
    <w:p w:rsidR="00000000" w:rsidRDefault="009012B9">
      <w:pPr>
        <w:ind w:firstLine="482"/>
        <w:divId w:val="1686518346"/>
        <w:rPr>
          <w:rFonts w:eastAsia="Times New Roman"/>
        </w:rPr>
      </w:pPr>
      <w:r>
        <w:rPr>
          <w:rFonts w:eastAsia="Times New Roman"/>
          <w:color w:val="000000"/>
          <w:sz w:val="20"/>
          <w:szCs w:val="20"/>
        </w:rPr>
        <w:t>We may experience delays in initi</w:t>
      </w:r>
      <w:r>
        <w:rPr>
          <w:rFonts w:eastAsia="Times New Roman"/>
          <w:color w:val="000000"/>
          <w:sz w:val="20"/>
          <w:szCs w:val="20"/>
        </w:rPr>
        <w:t>ating or completing clinical trials. We also may experience numerous unforeseen events during, or as a result of, any future clinical trials that could delay or prevent our ability to receive marketing approval or commercialize PLN-74809 or any other produ</w:t>
      </w:r>
      <w:r>
        <w:rPr>
          <w:rFonts w:eastAsia="Times New Roman"/>
          <w:color w:val="000000"/>
          <w:sz w:val="20"/>
          <w:szCs w:val="20"/>
        </w:rPr>
        <w:t xml:space="preserve">ct candidates, including: </w:t>
      </w:r>
    </w:p>
    <w:p w:rsidR="00000000" w:rsidRDefault="009012B9">
      <w:pPr>
        <w:ind w:hanging="480"/>
        <w:divId w:val="955596142"/>
        <w:rPr>
          <w:rFonts w:eastAsia="Times New Roman"/>
        </w:rPr>
      </w:pPr>
      <w:r>
        <w:rPr>
          <w:rFonts w:eastAsia="Times New Roman"/>
          <w:color w:val="000000"/>
          <w:sz w:val="20"/>
          <w:szCs w:val="20"/>
        </w:rPr>
        <w:t>•regulators or institutional review boards, or IRBs, or ethics committees may not authorize us or our investigators to commence a clinical trial or conduct a clinical trial at a prospective trial site;</w:t>
      </w:r>
    </w:p>
    <w:p w:rsidR="00000000" w:rsidRDefault="009012B9">
      <w:pPr>
        <w:ind w:hanging="480"/>
        <w:divId w:val="1259218218"/>
        <w:rPr>
          <w:rFonts w:eastAsia="Times New Roman"/>
        </w:rPr>
      </w:pPr>
      <w:r>
        <w:rPr>
          <w:rFonts w:eastAsia="Times New Roman"/>
          <w:color w:val="000000"/>
          <w:sz w:val="20"/>
          <w:szCs w:val="20"/>
        </w:rPr>
        <w:t>•the FDA or other comparabl</w:t>
      </w:r>
      <w:r>
        <w:rPr>
          <w:rFonts w:eastAsia="Times New Roman"/>
          <w:color w:val="000000"/>
          <w:sz w:val="20"/>
          <w:szCs w:val="20"/>
        </w:rPr>
        <w:t xml:space="preserve">e regulatory authorities may disagree with our clinical trial design, including with respect to dosing levels administered in our planned clinical trials, which may delay or prevent us from initiating our clinical trials with our originally intended trial </w:t>
      </w:r>
      <w:r>
        <w:rPr>
          <w:rFonts w:eastAsia="Times New Roman"/>
          <w:color w:val="000000"/>
          <w:sz w:val="20"/>
          <w:szCs w:val="20"/>
        </w:rPr>
        <w:t>design;</w:t>
      </w:r>
    </w:p>
    <w:p w:rsidR="00000000" w:rsidRDefault="009012B9">
      <w:pPr>
        <w:ind w:hanging="480"/>
        <w:divId w:val="1608464943"/>
        <w:rPr>
          <w:rFonts w:eastAsia="Times New Roman"/>
        </w:rPr>
      </w:pPr>
      <w:r>
        <w:rPr>
          <w:rFonts w:eastAsia="Times New Roman"/>
          <w:color w:val="000000"/>
          <w:sz w:val="20"/>
          <w:szCs w:val="20"/>
        </w:rPr>
        <w:t>•we may experience delays in reaching, or fail to reach, agreement on acceptable terms with prospective trial sites and prospective contract research organizations, or CROs, which can be subject to extensive negotiation and may vary significantly a</w:t>
      </w:r>
      <w:r>
        <w:rPr>
          <w:rFonts w:eastAsia="Times New Roman"/>
          <w:color w:val="000000"/>
          <w:sz w:val="20"/>
          <w:szCs w:val="20"/>
        </w:rPr>
        <w:t>mong different CROs and trial sites;</w:t>
      </w:r>
    </w:p>
    <w:p w:rsidR="00000000" w:rsidRDefault="009012B9">
      <w:pPr>
        <w:ind w:hanging="480"/>
        <w:divId w:val="955212533"/>
        <w:rPr>
          <w:rFonts w:eastAsia="Times New Roman"/>
        </w:rPr>
      </w:pPr>
      <w:r>
        <w:rPr>
          <w:rFonts w:eastAsia="Times New Roman"/>
          <w:color w:val="000000"/>
          <w:sz w:val="20"/>
          <w:szCs w:val="20"/>
        </w:rPr>
        <w:t>•the number of subjects required for clinical trials of any product candidates may be larger than we anticipate or subjects may drop out of these clinical trials or fail to return for post-treatment follow-up at a highe</w:t>
      </w:r>
      <w:r>
        <w:rPr>
          <w:rFonts w:eastAsia="Times New Roman"/>
          <w:color w:val="000000"/>
          <w:sz w:val="20"/>
          <w:szCs w:val="20"/>
        </w:rPr>
        <w:t>r rate than we anticipate;</w:t>
      </w:r>
    </w:p>
    <w:p w:rsidR="00000000" w:rsidRDefault="009012B9">
      <w:pPr>
        <w:ind w:hanging="480"/>
        <w:divId w:val="105194128"/>
        <w:rPr>
          <w:rFonts w:eastAsia="Times New Roman"/>
        </w:rPr>
      </w:pPr>
      <w:r>
        <w:rPr>
          <w:rFonts w:eastAsia="Times New Roman"/>
          <w:color w:val="000000"/>
          <w:sz w:val="20"/>
          <w:szCs w:val="20"/>
        </w:rPr>
        <w:t>•our third-party contractors may fail to comply with regulatory requirements or meet their contractual obligations to us in a timely manner, or at all, or may deviate from the clinical trial protocol or drop out of the trial, whi</w:t>
      </w:r>
      <w:r>
        <w:rPr>
          <w:rFonts w:eastAsia="Times New Roman"/>
          <w:color w:val="000000"/>
          <w:sz w:val="20"/>
          <w:szCs w:val="20"/>
        </w:rPr>
        <w:t>ch may require that we add new clinical trial sites or investigators;</w:t>
      </w:r>
    </w:p>
    <w:p w:rsidR="00000000" w:rsidRDefault="009012B9">
      <w:pPr>
        <w:ind w:hanging="480"/>
        <w:divId w:val="59448000"/>
        <w:rPr>
          <w:rFonts w:eastAsia="Times New Roman"/>
        </w:rPr>
      </w:pPr>
      <w:r>
        <w:rPr>
          <w:rFonts w:eastAsia="Times New Roman"/>
          <w:color w:val="000000"/>
          <w:sz w:val="20"/>
          <w:szCs w:val="20"/>
        </w:rPr>
        <w:t>•due to the impact of the COVID-19 pandemic, we have experienced, and may continue to experience, delays and interruptions to our preclinical studies and clinical trials, we may experien</w:t>
      </w:r>
      <w:r>
        <w:rPr>
          <w:rFonts w:eastAsia="Times New Roman"/>
          <w:color w:val="000000"/>
          <w:sz w:val="20"/>
          <w:szCs w:val="20"/>
        </w:rPr>
        <w:t>ce delays or interruptions to our manufacturing supply chain, or we could suffer delays in reaching, or we may fail to reach, agreement on acceptable terms with third-party service providers on whom we rely;</w:t>
      </w:r>
    </w:p>
    <w:p w:rsidR="00000000" w:rsidRDefault="009012B9">
      <w:pPr>
        <w:ind w:hanging="480"/>
        <w:divId w:val="1187675063"/>
        <w:rPr>
          <w:rFonts w:eastAsia="Times New Roman"/>
        </w:rPr>
      </w:pPr>
      <w:r>
        <w:rPr>
          <w:rFonts w:eastAsia="Times New Roman"/>
          <w:color w:val="000000"/>
          <w:sz w:val="20"/>
          <w:szCs w:val="20"/>
        </w:rPr>
        <w:t>•additional delays and interruptions to our clin</w:t>
      </w:r>
      <w:r>
        <w:rPr>
          <w:rFonts w:eastAsia="Times New Roman"/>
          <w:color w:val="000000"/>
          <w:sz w:val="20"/>
          <w:szCs w:val="20"/>
        </w:rPr>
        <w:t>ical trials could extend the duration of the trials and increase the overall costs to finish the trials as our fixed costs are not substantially reduced during delays;</w:t>
      </w:r>
    </w:p>
    <w:p w:rsidR="00000000" w:rsidRDefault="009012B9">
      <w:pPr>
        <w:ind w:hanging="480"/>
        <w:divId w:val="922101981"/>
        <w:rPr>
          <w:rFonts w:eastAsia="Times New Roman"/>
        </w:rPr>
      </w:pPr>
      <w:r>
        <w:rPr>
          <w:rFonts w:eastAsia="Times New Roman"/>
          <w:color w:val="000000"/>
          <w:sz w:val="20"/>
          <w:szCs w:val="20"/>
        </w:rPr>
        <w:t>•we may elect to, or regulators, IRBs, Data Safety Monitoring Boards, or DSMBs, or ethic</w:t>
      </w:r>
      <w:r>
        <w:rPr>
          <w:rFonts w:eastAsia="Times New Roman"/>
          <w:color w:val="000000"/>
          <w:sz w:val="20"/>
          <w:szCs w:val="20"/>
        </w:rPr>
        <w:t>s committees may require that we or our investigators, suspend or terminate clinical research or trials for various reasons, including noncompliance with regulatory requirements or a finding that the participants are being exposed to unacceptable health ri</w:t>
      </w:r>
      <w:r>
        <w:rPr>
          <w:rFonts w:eastAsia="Times New Roman"/>
          <w:color w:val="000000"/>
          <w:sz w:val="20"/>
          <w:szCs w:val="20"/>
        </w:rPr>
        <w:t>sks;</w:t>
      </w:r>
    </w:p>
    <w:p w:rsidR="00000000" w:rsidRDefault="009012B9">
      <w:pPr>
        <w:ind w:hanging="480"/>
        <w:divId w:val="886188106"/>
        <w:rPr>
          <w:rFonts w:eastAsia="Times New Roman"/>
        </w:rPr>
      </w:pPr>
      <w:r>
        <w:rPr>
          <w:rFonts w:eastAsia="Times New Roman"/>
          <w:color w:val="000000"/>
          <w:sz w:val="20"/>
          <w:szCs w:val="20"/>
        </w:rPr>
        <w:t>•we may not have the financial resources available to begin and complete the planned trials, or the cost of clinical trials of any product candidates may be greater than we anticipate;</w:t>
      </w:r>
    </w:p>
    <w:p w:rsidR="00000000" w:rsidRDefault="009012B9">
      <w:pPr>
        <w:ind w:hanging="480"/>
        <w:divId w:val="569468251"/>
        <w:rPr>
          <w:rFonts w:eastAsia="Times New Roman"/>
        </w:rPr>
      </w:pPr>
      <w:r>
        <w:rPr>
          <w:rFonts w:eastAsia="Times New Roman"/>
          <w:color w:val="000000"/>
          <w:sz w:val="20"/>
          <w:szCs w:val="20"/>
        </w:rPr>
        <w:t>•the supply or quality of our product candidates or other material</w:t>
      </w:r>
      <w:r>
        <w:rPr>
          <w:rFonts w:eastAsia="Times New Roman"/>
          <w:color w:val="000000"/>
          <w:sz w:val="20"/>
          <w:szCs w:val="20"/>
        </w:rPr>
        <w:t>s necessary to conduct clinical trials of our product candidates may be insufficient or inadequate to initiate or complete a given clinical trial; and</w:t>
      </w:r>
    </w:p>
    <w:p w:rsidR="00000000" w:rsidRDefault="009012B9">
      <w:pPr>
        <w:ind w:hanging="480"/>
        <w:divId w:val="1962228574"/>
        <w:rPr>
          <w:rFonts w:eastAsia="Times New Roman"/>
        </w:rPr>
      </w:pPr>
      <w:r>
        <w:rPr>
          <w:rFonts w:eastAsia="Times New Roman"/>
          <w:color w:val="000000"/>
          <w:sz w:val="20"/>
          <w:szCs w:val="20"/>
        </w:rPr>
        <w:t>•the FDA or other comparable foreign regulatory authorities may require us to submit additional data such</w:t>
      </w:r>
      <w:r>
        <w:rPr>
          <w:rFonts w:eastAsia="Times New Roman"/>
          <w:color w:val="000000"/>
          <w:sz w:val="20"/>
          <w:szCs w:val="20"/>
        </w:rPr>
        <w:t xml:space="preserve"> as long-term toxicology studies, or impose other requirements before permitting us to initiate a clinical trial.</w:t>
      </w:r>
    </w:p>
    <w:p w:rsidR="00000000" w:rsidRDefault="009012B9">
      <w:pPr>
        <w:jc w:val="center"/>
        <w:divId w:val="575212118"/>
        <w:rPr>
          <w:rFonts w:eastAsia="Times New Roman"/>
        </w:rPr>
      </w:pPr>
      <w:r>
        <w:rPr>
          <w:rFonts w:eastAsia="Times New Roman"/>
          <w:color w:val="000000"/>
          <w:sz w:val="20"/>
          <w:szCs w:val="20"/>
        </w:rPr>
        <w:t>36</w:t>
      </w:r>
    </w:p>
    <w:p w:rsidR="00000000" w:rsidRDefault="009012B9">
      <w:pPr>
        <w:rPr>
          <w:rFonts w:eastAsia="Times New Roman"/>
        </w:rPr>
      </w:pPr>
      <w:r>
        <w:rPr>
          <w:rFonts w:eastAsia="Times New Roman"/>
        </w:rPr>
        <w:pict>
          <v:rect id="_x0000_i1060" style="width:0;height:1.5pt" o:hralign="center" o:hrstd="t" o:hr="t" fillcolor="#a0a0a0" stroked="f"/>
        </w:pict>
      </w:r>
    </w:p>
    <w:p w:rsidR="00000000" w:rsidRDefault="009012B9">
      <w:pPr>
        <w:divId w:val="888877206"/>
        <w:rPr>
          <w:rFonts w:eastAsia="Times New Roman"/>
        </w:rPr>
      </w:pPr>
    </w:p>
    <w:p w:rsidR="00000000" w:rsidRDefault="009012B9">
      <w:pPr>
        <w:ind w:firstLine="482"/>
        <w:divId w:val="233047625"/>
        <w:rPr>
          <w:rFonts w:eastAsia="Times New Roman"/>
        </w:rPr>
      </w:pPr>
      <w:r>
        <w:rPr>
          <w:rFonts w:eastAsia="Times New Roman"/>
          <w:color w:val="000000"/>
          <w:sz w:val="20"/>
          <w:szCs w:val="20"/>
        </w:rPr>
        <w:t>Our product development costs will increase if we experience additional delays in clinical testing or in obtaining marketing approvals. We do not know whether any of our clinical trials will begin as planned, will need</w:t>
      </w:r>
      <w:r>
        <w:rPr>
          <w:rFonts w:eastAsia="Times New Roman"/>
          <w:color w:val="000000"/>
          <w:sz w:val="20"/>
          <w:szCs w:val="20"/>
        </w:rPr>
        <w:t xml:space="preserve"> to be restructured or will be completed on schedule, or at all. If we do not achieve our product development goals in the time frames we announce and expect, the approval and commercialization of our product candidates may be delayed or prevented entirely</w:t>
      </w:r>
      <w:r>
        <w:rPr>
          <w:rFonts w:eastAsia="Times New Roman"/>
          <w:color w:val="000000"/>
          <w:sz w:val="20"/>
          <w:szCs w:val="20"/>
        </w:rPr>
        <w:t>. Significant clinical trial delays also could shorten any periods during which we may have the exclusive right to commercialize our product candidates and may allow our competitors to bring products to market before we do, potentially impairing our abilit</w:t>
      </w:r>
      <w:r>
        <w:rPr>
          <w:rFonts w:eastAsia="Times New Roman"/>
          <w:color w:val="000000"/>
          <w:sz w:val="20"/>
          <w:szCs w:val="20"/>
        </w:rPr>
        <w:t>y to successfully commercialize our product candidates and harming our business and results of operations. Any delays in our clinical development programs may harm our business, financial condition, and results of operations significantly.</w:t>
      </w:r>
    </w:p>
    <w:p w:rsidR="00000000" w:rsidRDefault="009012B9">
      <w:pPr>
        <w:divId w:val="764150705"/>
        <w:rPr>
          <w:rFonts w:eastAsia="Times New Roman"/>
        </w:rPr>
      </w:pPr>
      <w:r>
        <w:rPr>
          <w:rFonts w:eastAsia="Times New Roman"/>
          <w:b/>
          <w:bCs/>
          <w:i/>
          <w:iCs/>
          <w:color w:val="000000"/>
          <w:sz w:val="20"/>
          <w:szCs w:val="20"/>
        </w:rPr>
        <w:t xml:space="preserve">Our ongoing and </w:t>
      </w:r>
      <w:r>
        <w:rPr>
          <w:rFonts w:eastAsia="Times New Roman"/>
          <w:b/>
          <w:bCs/>
          <w:i/>
          <w:iCs/>
          <w:color w:val="000000"/>
          <w:sz w:val="20"/>
          <w:szCs w:val="20"/>
        </w:rPr>
        <w:t>future clinical trials may reveal significant adverse events or unexpected drug-drug interactions not seen in our preclinical studies and may result in a safety profile that could delay or prevent regulatory approval or market acceptance of any of our prod</w:t>
      </w:r>
      <w:r>
        <w:rPr>
          <w:rFonts w:eastAsia="Times New Roman"/>
          <w:b/>
          <w:bCs/>
          <w:i/>
          <w:iCs/>
          <w:color w:val="000000"/>
          <w:sz w:val="20"/>
          <w:szCs w:val="20"/>
        </w:rPr>
        <w:t>uct candidates.</w:t>
      </w:r>
    </w:p>
    <w:p w:rsidR="00000000" w:rsidRDefault="009012B9">
      <w:pPr>
        <w:ind w:firstLine="482"/>
        <w:divId w:val="489449663"/>
        <w:rPr>
          <w:rFonts w:eastAsia="Times New Roman"/>
        </w:rPr>
      </w:pPr>
      <w:r>
        <w:rPr>
          <w:rFonts w:eastAsia="Times New Roman"/>
          <w:color w:val="000000"/>
          <w:sz w:val="20"/>
          <w:szCs w:val="20"/>
        </w:rPr>
        <w:t xml:space="preserve">We completed our Phase 1a clinical trial of our lead product candidate PLN-74809 in healthy volunteers, and, with the exception of a number of reported minor adverse events, the product candidate was observed to be generally well-tolerated </w:t>
      </w:r>
      <w:r>
        <w:rPr>
          <w:rFonts w:eastAsia="Times New Roman"/>
          <w:color w:val="000000"/>
          <w:sz w:val="20"/>
          <w:szCs w:val="20"/>
        </w:rPr>
        <w:t>across all doses in 71 trial participants. However, if significant adverse events or other side effects are observed in any of our ongoing or future clinical trials, we may have difficulty recruiting patients to our clinical trials, patients may drop out o</w:t>
      </w:r>
      <w:r>
        <w:rPr>
          <w:rFonts w:eastAsia="Times New Roman"/>
          <w:color w:val="000000"/>
          <w:sz w:val="20"/>
          <w:szCs w:val="20"/>
        </w:rPr>
        <w:t>f our trials, or we may be required to abandon the trials or our development efforts altogether. In addition, in our ongoing Phase 2a clinical trials, we are evaluating PLN-74809 administered with approved IPF agents. As a result, we may encounter unexpect</w:t>
      </w:r>
      <w:r>
        <w:rPr>
          <w:rFonts w:eastAsia="Times New Roman"/>
          <w:color w:val="000000"/>
          <w:sz w:val="20"/>
          <w:szCs w:val="20"/>
        </w:rPr>
        <w:t>ed drug-drug interactions in our planned trials, and may be required to further test these candidates, including in drug-drug interaction studies, which may be expensive, time-consuming and result in delays to our programs. In addition, the FDA recently is</w:t>
      </w:r>
      <w:r>
        <w:rPr>
          <w:rFonts w:eastAsia="Times New Roman"/>
          <w:color w:val="000000"/>
          <w:sz w:val="20"/>
          <w:szCs w:val="20"/>
        </w:rPr>
        <w:t>sued a “safe to proceed” letter in relation to our plans to evaluate PLN-74809 in COVID-19-related acute respiratory distress syndrome, for which we recently initiated a Phase 2a trial. We thus far have not conducted any clinical development of this produc</w:t>
      </w:r>
      <w:r>
        <w:rPr>
          <w:rFonts w:eastAsia="Times New Roman"/>
          <w:color w:val="000000"/>
          <w:sz w:val="20"/>
          <w:szCs w:val="20"/>
        </w:rPr>
        <w:t xml:space="preserve">t candidate for such indication or in an acute setting. As a result, we may observe the incidence of adverse events or serious adverse events upon further development of PLN-74809 in this patient population, and such incidence may be magnified in patients </w:t>
      </w:r>
      <w:r>
        <w:rPr>
          <w:rFonts w:eastAsia="Times New Roman"/>
          <w:color w:val="000000"/>
          <w:sz w:val="20"/>
          <w:szCs w:val="20"/>
        </w:rPr>
        <w:t>with COVID-19 due to the critical and often life-threatening nature of the underlying disease. If we encounter adverse safety issues with PLN-74809 during its development for COVID-19-related acute respiratory distress syndrome, such an outcome may adverse</w:t>
      </w:r>
      <w:r>
        <w:rPr>
          <w:rFonts w:eastAsia="Times New Roman"/>
          <w:color w:val="000000"/>
          <w:sz w:val="20"/>
          <w:szCs w:val="20"/>
        </w:rPr>
        <w:t>ly color the perceptions of clinicians, regulatory agencies, patients and others with respect to the safety profile of PLN-74809 in other indications.</w:t>
      </w:r>
    </w:p>
    <w:p w:rsidR="00000000" w:rsidRDefault="009012B9">
      <w:pPr>
        <w:ind w:firstLine="482"/>
        <w:divId w:val="2076779603"/>
        <w:rPr>
          <w:rFonts w:eastAsia="Times New Roman"/>
        </w:rPr>
      </w:pPr>
      <w:r>
        <w:rPr>
          <w:rFonts w:eastAsia="Times New Roman"/>
          <w:color w:val="000000"/>
          <w:sz w:val="20"/>
          <w:szCs w:val="20"/>
        </w:rPr>
        <w:t>Some potential therapeutics developed in the biopharmaceutical industry that initially showed therapeutic</w:t>
      </w:r>
      <w:r>
        <w:rPr>
          <w:rFonts w:eastAsia="Times New Roman"/>
          <w:color w:val="000000"/>
          <w:sz w:val="20"/>
          <w:szCs w:val="20"/>
        </w:rPr>
        <w:t xml:space="preserve"> promise in early-stage trials have later been found to cause side effects that prevented their further development. Even if the side effects do not preclude the product candidate from obtaining or maintaining marketing approval, undesirable side effects m</w:t>
      </w:r>
      <w:r>
        <w:rPr>
          <w:rFonts w:eastAsia="Times New Roman"/>
          <w:color w:val="000000"/>
          <w:sz w:val="20"/>
          <w:szCs w:val="20"/>
        </w:rPr>
        <w:t>ay inhibit market acceptance of the approved product due to its tolerability versus other therapies.</w:t>
      </w:r>
    </w:p>
    <w:p w:rsidR="00000000" w:rsidRDefault="009012B9">
      <w:pPr>
        <w:divId w:val="405761707"/>
        <w:rPr>
          <w:rFonts w:eastAsia="Times New Roman"/>
        </w:rPr>
      </w:pPr>
      <w:r>
        <w:rPr>
          <w:rFonts w:eastAsia="Times New Roman"/>
          <w:b/>
          <w:bCs/>
          <w:i/>
          <w:iCs/>
          <w:color w:val="000000"/>
          <w:sz w:val="20"/>
          <w:szCs w:val="20"/>
        </w:rPr>
        <w:t>If we encounter difficulties enrolling patients in our clinical trials, our clinical development activities could be delayed or otherwise adversely affecte</w:t>
      </w:r>
      <w:r>
        <w:rPr>
          <w:rFonts w:eastAsia="Times New Roman"/>
          <w:b/>
          <w:bCs/>
          <w:i/>
          <w:iCs/>
          <w:color w:val="000000"/>
          <w:sz w:val="20"/>
          <w:szCs w:val="20"/>
        </w:rPr>
        <w:t>d.</w:t>
      </w:r>
    </w:p>
    <w:p w:rsidR="00000000" w:rsidRDefault="009012B9">
      <w:pPr>
        <w:ind w:firstLine="482"/>
        <w:divId w:val="1135217434"/>
        <w:rPr>
          <w:rFonts w:eastAsia="Times New Roman"/>
        </w:rPr>
      </w:pPr>
      <w:r>
        <w:rPr>
          <w:rFonts w:eastAsia="Times New Roman"/>
          <w:color w:val="000000"/>
          <w:sz w:val="20"/>
          <w:szCs w:val="20"/>
        </w:rPr>
        <w:t>We may experience difficulties in patient enrollment in our clinical trials for a variety of reasons. The timely completion of clinical trials in accordance with their protocols depends, among other things, on our ability to enroll a sufficient number o</w:t>
      </w:r>
      <w:r>
        <w:rPr>
          <w:rFonts w:eastAsia="Times New Roman"/>
          <w:color w:val="000000"/>
          <w:sz w:val="20"/>
          <w:szCs w:val="20"/>
        </w:rPr>
        <w:t>f patients who remain in the trial until its conclusion. The enrollment of patients depends on many factors, including:</w:t>
      </w:r>
    </w:p>
    <w:p w:rsidR="00000000" w:rsidRDefault="009012B9">
      <w:pPr>
        <w:ind w:hanging="480"/>
        <w:divId w:val="1555583648"/>
        <w:rPr>
          <w:rFonts w:eastAsia="Times New Roman"/>
        </w:rPr>
      </w:pPr>
      <w:r>
        <w:rPr>
          <w:rFonts w:eastAsia="Times New Roman"/>
          <w:color w:val="000000"/>
          <w:sz w:val="20"/>
          <w:szCs w:val="20"/>
        </w:rPr>
        <w:t>•the patient eligibility and exclusion criteria defined in the protocol;</w:t>
      </w:r>
    </w:p>
    <w:p w:rsidR="00000000" w:rsidRDefault="009012B9">
      <w:pPr>
        <w:ind w:hanging="480"/>
        <w:divId w:val="1900358644"/>
        <w:rPr>
          <w:rFonts w:eastAsia="Times New Roman"/>
        </w:rPr>
      </w:pPr>
      <w:r>
        <w:rPr>
          <w:rFonts w:eastAsia="Times New Roman"/>
          <w:color w:val="000000"/>
          <w:sz w:val="20"/>
          <w:szCs w:val="20"/>
        </w:rPr>
        <w:t>•the size of the patient population required for analysis of th</w:t>
      </w:r>
      <w:r>
        <w:rPr>
          <w:rFonts w:eastAsia="Times New Roman"/>
          <w:color w:val="000000"/>
          <w:sz w:val="20"/>
          <w:szCs w:val="20"/>
        </w:rPr>
        <w:t>e trial’s primary endpoints and the process for identifying patients;</w:t>
      </w:r>
    </w:p>
    <w:p w:rsidR="00000000" w:rsidRDefault="009012B9">
      <w:pPr>
        <w:ind w:hanging="480"/>
        <w:divId w:val="873621387"/>
        <w:rPr>
          <w:rFonts w:eastAsia="Times New Roman"/>
        </w:rPr>
      </w:pPr>
      <w:r>
        <w:rPr>
          <w:rFonts w:eastAsia="Times New Roman"/>
          <w:color w:val="000000"/>
          <w:sz w:val="20"/>
          <w:szCs w:val="20"/>
        </w:rPr>
        <w:t>•the willingness or availability (including legality under applicable COVID-19 shelter-in-place regulations) of patients to participate in our trials (including due to fears of contracti</w:t>
      </w:r>
      <w:r>
        <w:rPr>
          <w:rFonts w:eastAsia="Times New Roman"/>
          <w:color w:val="000000"/>
          <w:sz w:val="20"/>
          <w:szCs w:val="20"/>
        </w:rPr>
        <w:t>ng COVID-19);</w:t>
      </w:r>
    </w:p>
    <w:p w:rsidR="00000000" w:rsidRDefault="009012B9">
      <w:pPr>
        <w:ind w:hanging="480"/>
        <w:divId w:val="1952980182"/>
        <w:rPr>
          <w:rFonts w:eastAsia="Times New Roman"/>
        </w:rPr>
      </w:pPr>
      <w:r>
        <w:rPr>
          <w:rFonts w:eastAsia="Times New Roman"/>
          <w:color w:val="000000"/>
          <w:sz w:val="20"/>
          <w:szCs w:val="20"/>
        </w:rPr>
        <w:t>•the proximity of patients to trial sites;</w:t>
      </w:r>
    </w:p>
    <w:p w:rsidR="00000000" w:rsidRDefault="009012B9">
      <w:pPr>
        <w:ind w:hanging="480"/>
        <w:divId w:val="1029143490"/>
        <w:rPr>
          <w:rFonts w:eastAsia="Times New Roman"/>
        </w:rPr>
      </w:pPr>
      <w:r>
        <w:rPr>
          <w:rFonts w:eastAsia="Times New Roman"/>
          <w:color w:val="000000"/>
          <w:sz w:val="20"/>
          <w:szCs w:val="20"/>
        </w:rPr>
        <w:t>•the design of the trial;</w:t>
      </w:r>
    </w:p>
    <w:p w:rsidR="00000000" w:rsidRDefault="009012B9">
      <w:pPr>
        <w:ind w:hanging="480"/>
        <w:divId w:val="1767144343"/>
        <w:rPr>
          <w:rFonts w:eastAsia="Times New Roman"/>
        </w:rPr>
      </w:pPr>
      <w:r>
        <w:rPr>
          <w:rFonts w:eastAsia="Times New Roman"/>
          <w:color w:val="000000"/>
          <w:sz w:val="20"/>
          <w:szCs w:val="20"/>
        </w:rPr>
        <w:t>•</w:t>
      </w:r>
      <w:r>
        <w:rPr>
          <w:rFonts w:eastAsia="Times New Roman"/>
          <w:color w:val="000000"/>
          <w:sz w:val="20"/>
          <w:szCs w:val="20"/>
        </w:rPr>
        <w:t>our ability to recruit clinical trial investigators with the appropriate competencies and experience;</w:t>
      </w:r>
    </w:p>
    <w:p w:rsidR="00000000" w:rsidRDefault="009012B9">
      <w:pPr>
        <w:ind w:hanging="480"/>
        <w:divId w:val="1864856523"/>
        <w:rPr>
          <w:rFonts w:eastAsia="Times New Roman"/>
        </w:rPr>
      </w:pPr>
      <w:r>
        <w:rPr>
          <w:rFonts w:eastAsia="Times New Roman"/>
          <w:color w:val="000000"/>
          <w:sz w:val="20"/>
          <w:szCs w:val="20"/>
        </w:rPr>
        <w:t>•clinicians’ and patients’ perceptions as to the potential advantages and risks of the product candidate being studied in relation to other available ther</w:t>
      </w:r>
      <w:r>
        <w:rPr>
          <w:rFonts w:eastAsia="Times New Roman"/>
          <w:color w:val="000000"/>
          <w:sz w:val="20"/>
          <w:szCs w:val="20"/>
        </w:rPr>
        <w:t>apies, including any new products that may be approved for the indications we are investigating;</w:t>
      </w:r>
    </w:p>
    <w:p w:rsidR="00000000" w:rsidRDefault="009012B9">
      <w:pPr>
        <w:jc w:val="center"/>
        <w:divId w:val="1807432846"/>
        <w:rPr>
          <w:rFonts w:eastAsia="Times New Roman"/>
        </w:rPr>
      </w:pPr>
      <w:r>
        <w:rPr>
          <w:rFonts w:eastAsia="Times New Roman"/>
          <w:color w:val="000000"/>
          <w:sz w:val="20"/>
          <w:szCs w:val="20"/>
        </w:rPr>
        <w:t>37</w:t>
      </w:r>
    </w:p>
    <w:p w:rsidR="00000000" w:rsidRDefault="009012B9">
      <w:pPr>
        <w:rPr>
          <w:rFonts w:eastAsia="Times New Roman"/>
        </w:rPr>
      </w:pPr>
      <w:r>
        <w:rPr>
          <w:rFonts w:eastAsia="Times New Roman"/>
        </w:rPr>
        <w:pict>
          <v:rect id="_x0000_i1061" style="width:0;height:1.5pt" o:hralign="center" o:hrstd="t" o:hr="t" fillcolor="#a0a0a0" stroked="f"/>
        </w:pict>
      </w:r>
    </w:p>
    <w:p w:rsidR="00000000" w:rsidRDefault="009012B9">
      <w:pPr>
        <w:divId w:val="283971114"/>
        <w:rPr>
          <w:rFonts w:eastAsia="Times New Roman"/>
        </w:rPr>
      </w:pPr>
    </w:p>
    <w:p w:rsidR="00000000" w:rsidRDefault="009012B9">
      <w:pPr>
        <w:ind w:hanging="480"/>
        <w:divId w:val="1304845606"/>
        <w:rPr>
          <w:rFonts w:eastAsia="Times New Roman"/>
        </w:rPr>
      </w:pPr>
      <w:r>
        <w:rPr>
          <w:rFonts w:eastAsia="Times New Roman"/>
          <w:color w:val="000000"/>
          <w:sz w:val="20"/>
          <w:szCs w:val="20"/>
        </w:rPr>
        <w:t>•the availability of competing commercially available therapies and other competing product candidates’ clinical trial</w:t>
      </w:r>
      <w:r>
        <w:rPr>
          <w:rFonts w:eastAsia="Times New Roman"/>
          <w:color w:val="000000"/>
          <w:sz w:val="20"/>
          <w:szCs w:val="20"/>
        </w:rPr>
        <w:t>s;</w:t>
      </w:r>
    </w:p>
    <w:p w:rsidR="00000000" w:rsidRDefault="009012B9">
      <w:pPr>
        <w:ind w:hanging="480"/>
        <w:divId w:val="340401731"/>
        <w:rPr>
          <w:rFonts w:eastAsia="Times New Roman"/>
        </w:rPr>
      </w:pPr>
      <w:r>
        <w:rPr>
          <w:rFonts w:eastAsia="Times New Roman"/>
          <w:color w:val="000000"/>
          <w:sz w:val="20"/>
          <w:szCs w:val="20"/>
        </w:rPr>
        <w:t>•our ability to obtain and maintain patient informed consents; and</w:t>
      </w:r>
    </w:p>
    <w:p w:rsidR="00000000" w:rsidRDefault="009012B9">
      <w:pPr>
        <w:ind w:hanging="480"/>
        <w:divId w:val="1966963713"/>
        <w:rPr>
          <w:rFonts w:eastAsia="Times New Roman"/>
        </w:rPr>
      </w:pPr>
      <w:r>
        <w:rPr>
          <w:rFonts w:eastAsia="Times New Roman"/>
          <w:color w:val="000000"/>
          <w:sz w:val="20"/>
          <w:szCs w:val="20"/>
        </w:rPr>
        <w:t>•the risk that patients enrolled in clinical trials will drop out of the trials before completion.</w:t>
      </w:r>
    </w:p>
    <w:p w:rsidR="00000000" w:rsidRDefault="009012B9">
      <w:pPr>
        <w:ind w:firstLine="482"/>
        <w:divId w:val="1486777718"/>
        <w:rPr>
          <w:rFonts w:eastAsia="Times New Roman"/>
        </w:rPr>
      </w:pPr>
      <w:r>
        <w:rPr>
          <w:rFonts w:eastAsia="Times New Roman"/>
          <w:color w:val="000000"/>
          <w:sz w:val="20"/>
          <w:szCs w:val="20"/>
        </w:rPr>
        <w:t>For example, we are initially developing PLN-74809 for the treatment of IPF and PSC, ea</w:t>
      </w:r>
      <w:r>
        <w:rPr>
          <w:rFonts w:eastAsia="Times New Roman"/>
          <w:color w:val="000000"/>
          <w:sz w:val="20"/>
          <w:szCs w:val="20"/>
        </w:rPr>
        <w:t>ch of which is an orphan indication. In the United States, IPF is estimated to affect approximately 140,000 patients, while PSC is estimated to affect approximately 30,000 to 45,000 patients. As a result, we may encounter difficulties enrolling subjects in</w:t>
      </w:r>
      <w:r>
        <w:rPr>
          <w:rFonts w:eastAsia="Times New Roman"/>
          <w:color w:val="000000"/>
          <w:sz w:val="20"/>
          <w:szCs w:val="20"/>
        </w:rPr>
        <w:t xml:space="preserve"> our clinical trials of PLN-74809 due, in part, to the small size of these patient populations. In addition, our clinical trials will compete with other clinical trials for product candidates that are in the same therapeutic areas as our product candidates</w:t>
      </w:r>
      <w:r>
        <w:rPr>
          <w:rFonts w:eastAsia="Times New Roman"/>
          <w:color w:val="000000"/>
          <w:sz w:val="20"/>
          <w:szCs w:val="20"/>
        </w:rPr>
        <w:t>, and this competition will reduce the number and types of patients available to us, because some patients who might have opted to enroll in our trials may instead opt to enroll in a trial being conducted by one of our competitors. Since the number of qual</w:t>
      </w:r>
      <w:r>
        <w:rPr>
          <w:rFonts w:eastAsia="Times New Roman"/>
          <w:color w:val="000000"/>
          <w:sz w:val="20"/>
          <w:szCs w:val="20"/>
        </w:rPr>
        <w:t>ified clinical investigators is limited, we expect to conduct some of our clinical trials at the same clinical trial sites that some of our competitors use, which will reduce the number of patients who are available for our clinical trials in such clinical</w:t>
      </w:r>
      <w:r>
        <w:rPr>
          <w:rFonts w:eastAsia="Times New Roman"/>
          <w:color w:val="000000"/>
          <w:sz w:val="20"/>
          <w:szCs w:val="20"/>
        </w:rPr>
        <w:t xml:space="preserve"> trial site. </w:t>
      </w:r>
    </w:p>
    <w:p w:rsidR="00000000" w:rsidRDefault="009012B9">
      <w:pPr>
        <w:ind w:firstLine="482"/>
        <w:divId w:val="1938444851"/>
        <w:rPr>
          <w:rFonts w:eastAsia="Times New Roman"/>
        </w:rPr>
      </w:pPr>
      <w:r>
        <w:rPr>
          <w:rFonts w:eastAsia="Times New Roman"/>
          <w:color w:val="000000"/>
          <w:sz w:val="20"/>
          <w:szCs w:val="20"/>
        </w:rPr>
        <w:t>Further, timely enrollment in clinical trials is reliant on clinical trial sites which may be adversely affected by global health matters, including, among other things, pandemics. For example, our clinical trial sites have been affected by t</w:t>
      </w:r>
      <w:r>
        <w:rPr>
          <w:rFonts w:eastAsia="Times New Roman"/>
          <w:color w:val="000000"/>
          <w:sz w:val="20"/>
          <w:szCs w:val="20"/>
        </w:rPr>
        <w:t>he COVID-19 pandemic. Commencement of enrollment of our clinical trials of PLN-74809 in IPF and PSC was delayed. While these trials have resumed patient enrollment, we believe we are experiencing slower than expected enrollment due to the pandemic. With re</w:t>
      </w:r>
      <w:r>
        <w:rPr>
          <w:rFonts w:eastAsia="Times New Roman"/>
          <w:color w:val="000000"/>
          <w:sz w:val="20"/>
          <w:szCs w:val="20"/>
        </w:rPr>
        <w:t>spect to our PLN-74809 program for COVID-19 ARDS, we have initiated a Phase 2a trial evaluating the potential of this candidate, but there can be no assurance that we will not encounter challenges in patient enrollment or the conduct of the trial generally</w:t>
      </w:r>
      <w:r>
        <w:rPr>
          <w:rFonts w:eastAsia="Times New Roman"/>
          <w:color w:val="000000"/>
          <w:sz w:val="20"/>
          <w:szCs w:val="20"/>
        </w:rPr>
        <w:t>. While the Phase 1 trial of PLN-1474 has completed, this trial also experienced delays due to COVID-19 In addition, after enrollment in these trials, if patients contract COVID-19 during participation in our trials or are subject to isolation or shelter-i</w:t>
      </w:r>
      <w:r>
        <w:rPr>
          <w:rFonts w:eastAsia="Times New Roman"/>
          <w:color w:val="000000"/>
          <w:sz w:val="20"/>
          <w:szCs w:val="20"/>
        </w:rPr>
        <w:t>n-place restrictions, this may cause them to drop out of our trials, miss scheduled doses or follow-up visits or otherwise fail to follow trial protocols. If patients are unable to follow the trial protocols or if our trial results are otherwise disputed d</w:t>
      </w:r>
      <w:r>
        <w:rPr>
          <w:rFonts w:eastAsia="Times New Roman"/>
          <w:color w:val="000000"/>
          <w:sz w:val="20"/>
          <w:szCs w:val="20"/>
        </w:rPr>
        <w:t>ue to the effects of the COVID-19 pandemic or actions taken to mitigate its spread, the integrity of data from our trials may be compromised or not accepted by the FDA or other regulatory authorities, which would represent a significant setback for the app</w:t>
      </w:r>
      <w:r>
        <w:rPr>
          <w:rFonts w:eastAsia="Times New Roman"/>
          <w:color w:val="000000"/>
          <w:sz w:val="20"/>
          <w:szCs w:val="20"/>
        </w:rPr>
        <w:t>licable program.</w:t>
      </w:r>
    </w:p>
    <w:p w:rsidR="00000000" w:rsidRDefault="009012B9">
      <w:pPr>
        <w:ind w:firstLine="482"/>
        <w:divId w:val="2088191099"/>
        <w:rPr>
          <w:rFonts w:eastAsia="Times New Roman"/>
        </w:rPr>
      </w:pPr>
      <w:r>
        <w:rPr>
          <w:rFonts w:eastAsia="Times New Roman"/>
          <w:color w:val="000000"/>
          <w:sz w:val="20"/>
          <w:szCs w:val="20"/>
        </w:rPr>
        <w:t>Some factors from the COVID-19 pandemic that we believe may adversely affect enrollment in our trials include:</w:t>
      </w:r>
    </w:p>
    <w:p w:rsidR="00000000" w:rsidRDefault="009012B9">
      <w:pPr>
        <w:ind w:hanging="480"/>
        <w:divId w:val="1055546569"/>
        <w:rPr>
          <w:rFonts w:eastAsia="Times New Roman"/>
        </w:rPr>
      </w:pPr>
      <w:r>
        <w:rPr>
          <w:rFonts w:eastAsia="Times New Roman"/>
          <w:color w:val="000000"/>
          <w:sz w:val="20"/>
          <w:szCs w:val="20"/>
        </w:rPr>
        <w:t xml:space="preserve">•the diversion of healthcare resources away from the conduct of clinical trial matters to focus on pandemic concerns, including </w:t>
      </w:r>
      <w:r>
        <w:rPr>
          <w:rFonts w:eastAsia="Times New Roman"/>
          <w:color w:val="000000"/>
          <w:sz w:val="20"/>
          <w:szCs w:val="20"/>
        </w:rPr>
        <w:t>the attention of infectious disease physicians serving as our clinical trial investigators, hospitals serving as our clinical trial sites and hospital staff supporting the conduct of our clinical trials;</w:t>
      </w:r>
    </w:p>
    <w:p w:rsidR="00000000" w:rsidRDefault="009012B9">
      <w:pPr>
        <w:ind w:hanging="480"/>
        <w:divId w:val="921833920"/>
        <w:rPr>
          <w:rFonts w:eastAsia="Times New Roman"/>
        </w:rPr>
      </w:pPr>
      <w:r>
        <w:rPr>
          <w:rFonts w:eastAsia="Times New Roman"/>
          <w:color w:val="000000"/>
          <w:sz w:val="20"/>
          <w:szCs w:val="20"/>
        </w:rPr>
        <w:t>•given that our clinical trials target respiratory i</w:t>
      </w:r>
      <w:r>
        <w:rPr>
          <w:rFonts w:eastAsia="Times New Roman"/>
          <w:color w:val="000000"/>
          <w:sz w:val="20"/>
          <w:szCs w:val="20"/>
        </w:rPr>
        <w:t>ndications, patients who would otherwise be candidates for enrollment in our clinical trials, may become infected with coronavirus, which may kill some patients and render others too ill to participate, limiting the available pool of participants for our t</w:t>
      </w:r>
      <w:r>
        <w:rPr>
          <w:rFonts w:eastAsia="Times New Roman"/>
          <w:color w:val="000000"/>
          <w:sz w:val="20"/>
          <w:szCs w:val="20"/>
        </w:rPr>
        <w:t>rials;</w:t>
      </w:r>
    </w:p>
    <w:p w:rsidR="00000000" w:rsidRDefault="009012B9">
      <w:pPr>
        <w:ind w:hanging="480"/>
        <w:divId w:val="313876844"/>
        <w:rPr>
          <w:rFonts w:eastAsia="Times New Roman"/>
        </w:rPr>
      </w:pPr>
      <w:r>
        <w:rPr>
          <w:rFonts w:eastAsia="Times New Roman"/>
          <w:color w:val="000000"/>
          <w:sz w:val="20"/>
          <w:szCs w:val="20"/>
        </w:rPr>
        <w:t>•</w:t>
      </w:r>
      <w:r>
        <w:rPr>
          <w:rFonts w:eastAsia="Times New Roman"/>
          <w:color w:val="000000"/>
          <w:sz w:val="20"/>
          <w:szCs w:val="20"/>
        </w:rPr>
        <w:t>the inability of patients to come to hospitals and universities to participate in our trial, which may force us to conduct our trials in patients’ homes, rendering the trials more difficult and costly to conduct;</w:t>
      </w:r>
    </w:p>
    <w:p w:rsidR="00000000" w:rsidRDefault="009012B9">
      <w:pPr>
        <w:ind w:hanging="480"/>
        <w:divId w:val="106312095"/>
        <w:rPr>
          <w:rFonts w:eastAsia="Times New Roman"/>
        </w:rPr>
      </w:pPr>
      <w:r>
        <w:rPr>
          <w:rFonts w:eastAsia="Times New Roman"/>
          <w:color w:val="000000"/>
          <w:sz w:val="20"/>
          <w:szCs w:val="20"/>
        </w:rPr>
        <w:t>•limitations on travel that interrupt key t</w:t>
      </w:r>
      <w:r>
        <w:rPr>
          <w:rFonts w:eastAsia="Times New Roman"/>
          <w:color w:val="000000"/>
          <w:sz w:val="20"/>
          <w:szCs w:val="20"/>
        </w:rPr>
        <w:t>rial activities, such as clinical trial site initiations and monitoring;</w:t>
      </w:r>
    </w:p>
    <w:p w:rsidR="00000000" w:rsidRDefault="009012B9">
      <w:pPr>
        <w:ind w:hanging="480"/>
        <w:divId w:val="1029185681"/>
        <w:rPr>
          <w:rFonts w:eastAsia="Times New Roman"/>
        </w:rPr>
      </w:pPr>
      <w:r>
        <w:rPr>
          <w:rFonts w:eastAsia="Times New Roman"/>
          <w:color w:val="000000"/>
          <w:sz w:val="20"/>
          <w:szCs w:val="20"/>
        </w:rPr>
        <w:t>•interruption in global shipping affecting the transport of clinical trial materials, such as investigational drug product and comparator drugs used in our trials; and</w:t>
      </w:r>
    </w:p>
    <w:p w:rsidR="00000000" w:rsidRDefault="009012B9">
      <w:pPr>
        <w:ind w:hanging="480"/>
        <w:divId w:val="1987002374"/>
        <w:rPr>
          <w:rFonts w:eastAsia="Times New Roman"/>
        </w:rPr>
      </w:pPr>
      <w:r>
        <w:rPr>
          <w:rFonts w:eastAsia="Times New Roman"/>
          <w:color w:val="000000"/>
          <w:sz w:val="20"/>
          <w:szCs w:val="20"/>
        </w:rPr>
        <w:t>•employee furlo</w:t>
      </w:r>
      <w:r>
        <w:rPr>
          <w:rFonts w:eastAsia="Times New Roman"/>
          <w:color w:val="000000"/>
          <w:sz w:val="20"/>
          <w:szCs w:val="20"/>
        </w:rPr>
        <w:t>ugh days that delay necessary interactions with local regulators, ethics committees and other important agencies and contractors.</w:t>
      </w:r>
    </w:p>
    <w:p w:rsidR="00000000" w:rsidRDefault="009012B9">
      <w:pPr>
        <w:ind w:firstLine="482"/>
        <w:divId w:val="1293097399"/>
        <w:rPr>
          <w:rFonts w:eastAsia="Times New Roman"/>
        </w:rPr>
      </w:pPr>
      <w:r>
        <w:rPr>
          <w:rFonts w:eastAsia="Times New Roman"/>
          <w:color w:val="000000"/>
          <w:sz w:val="20"/>
          <w:szCs w:val="20"/>
        </w:rPr>
        <w:t>The global outbreak of the COVID-19 pandemic continues to evolve and the conduct of our trials may continue to be adversely af</w:t>
      </w:r>
      <w:r>
        <w:rPr>
          <w:rFonts w:eastAsia="Times New Roman"/>
          <w:color w:val="000000"/>
          <w:sz w:val="20"/>
          <w:szCs w:val="20"/>
        </w:rPr>
        <w:t>fected, despite efforts to mitigate this impact.</w:t>
      </w:r>
    </w:p>
    <w:p w:rsidR="00000000" w:rsidRDefault="009012B9">
      <w:pPr>
        <w:jc w:val="center"/>
        <w:divId w:val="402219971"/>
        <w:rPr>
          <w:rFonts w:eastAsia="Times New Roman"/>
        </w:rPr>
      </w:pPr>
      <w:r>
        <w:rPr>
          <w:rFonts w:eastAsia="Times New Roman"/>
          <w:color w:val="000000"/>
          <w:sz w:val="20"/>
          <w:szCs w:val="20"/>
        </w:rPr>
        <w:t>38</w:t>
      </w:r>
    </w:p>
    <w:p w:rsidR="00000000" w:rsidRDefault="009012B9">
      <w:pPr>
        <w:rPr>
          <w:rFonts w:eastAsia="Times New Roman"/>
        </w:rPr>
      </w:pPr>
      <w:r>
        <w:rPr>
          <w:rFonts w:eastAsia="Times New Roman"/>
        </w:rPr>
        <w:pict>
          <v:rect id="_x0000_i1062" style="width:0;height:1.5pt" o:hralign="center" o:hrstd="t" o:hr="t" fillcolor="#a0a0a0" stroked="f"/>
        </w:pict>
      </w:r>
    </w:p>
    <w:p w:rsidR="00000000" w:rsidRDefault="009012B9">
      <w:pPr>
        <w:divId w:val="760297666"/>
        <w:rPr>
          <w:rFonts w:eastAsia="Times New Roman"/>
        </w:rPr>
      </w:pPr>
    </w:p>
    <w:p w:rsidR="00000000" w:rsidRDefault="009012B9">
      <w:pPr>
        <w:divId w:val="1733654711"/>
        <w:rPr>
          <w:rFonts w:eastAsia="Times New Roman"/>
        </w:rPr>
      </w:pPr>
      <w:r>
        <w:rPr>
          <w:rFonts w:eastAsia="Times New Roman"/>
          <w:b/>
          <w:bCs/>
          <w:i/>
          <w:iCs/>
          <w:color w:val="000000"/>
          <w:sz w:val="20"/>
          <w:szCs w:val="20"/>
        </w:rPr>
        <w:t>The design or execution of our ongoing and future clinical trials may not support marketing approval.</w:t>
      </w:r>
    </w:p>
    <w:p w:rsidR="00000000" w:rsidRDefault="009012B9">
      <w:pPr>
        <w:ind w:firstLine="482"/>
        <w:divId w:val="849025713"/>
        <w:rPr>
          <w:rFonts w:eastAsia="Times New Roman"/>
        </w:rPr>
      </w:pPr>
      <w:r>
        <w:rPr>
          <w:rFonts w:eastAsia="Times New Roman"/>
          <w:color w:val="000000"/>
          <w:sz w:val="20"/>
          <w:szCs w:val="20"/>
        </w:rPr>
        <w:t>The design or execution of a clinical trial can determine whethe</w:t>
      </w:r>
      <w:r>
        <w:rPr>
          <w:rFonts w:eastAsia="Times New Roman"/>
          <w:color w:val="000000"/>
          <w:sz w:val="20"/>
          <w:szCs w:val="20"/>
        </w:rPr>
        <w:t xml:space="preserve">r its results will support marketing approval, and flaws in the design or execution of a clinical trial may not become apparent until the clinical trial is well advanced. We are currently recruiting two Phase 2a trials of PLN-74809 in IPF. In the first of </w:t>
      </w:r>
      <w:r>
        <w:rPr>
          <w:rFonts w:eastAsia="Times New Roman"/>
          <w:color w:val="000000"/>
          <w:sz w:val="20"/>
          <w:szCs w:val="20"/>
        </w:rPr>
        <w:t xml:space="preserve">these trials, the study is designed to enroll IPF patients and utilize a positron emission tomography, or PET, ligand to measure </w:t>
      </w:r>
      <w:r>
        <w:rPr>
          <w:rFonts w:eastAsia="Times New Roman"/>
          <w:color w:val="000000"/>
          <w:sz w:val="20"/>
          <w:szCs w:val="20"/>
        </w:rPr>
        <w:t>α</w:t>
      </w:r>
      <w:r>
        <w:rPr>
          <w:rFonts w:eastAsia="Times New Roman"/>
          <w:color w:val="000000"/>
          <w:sz w:val="13"/>
          <w:szCs w:val="13"/>
        </w:rPr>
        <w:t>v</w:t>
      </w:r>
      <w:r>
        <w:rPr>
          <w:rFonts w:eastAsia="Times New Roman"/>
          <w:color w:val="000000"/>
          <w:sz w:val="20"/>
          <w:szCs w:val="20"/>
        </w:rPr>
        <w:t>β</w:t>
      </w:r>
      <w:r>
        <w:rPr>
          <w:rFonts w:eastAsia="Times New Roman"/>
          <w:color w:val="000000"/>
          <w:sz w:val="13"/>
          <w:szCs w:val="13"/>
        </w:rPr>
        <w:t>6</w:t>
      </w:r>
      <w:r>
        <w:rPr>
          <w:rFonts w:eastAsia="Times New Roman"/>
          <w:color w:val="000000"/>
          <w:sz w:val="20"/>
          <w:szCs w:val="20"/>
        </w:rPr>
        <w:t xml:space="preserve"> target engagement by PLN-74809 in the lungs post-treatment. The second trial is a 12-week double blind placebo-controlled </w:t>
      </w:r>
      <w:r>
        <w:rPr>
          <w:rFonts w:eastAsia="Times New Roman"/>
          <w:color w:val="000000"/>
          <w:sz w:val="20"/>
          <w:szCs w:val="20"/>
        </w:rPr>
        <w:t>trial to evaluate safety, tolerability, and pharmacokinetics (PK) of up three doses of PLN-74809. It is possible that we may need to amend our clinical trial, which would require us to resubmit our clinical trial protocols to competent authorities and ethi</w:t>
      </w:r>
      <w:r>
        <w:rPr>
          <w:rFonts w:eastAsia="Times New Roman"/>
          <w:color w:val="000000"/>
          <w:sz w:val="20"/>
          <w:szCs w:val="20"/>
        </w:rPr>
        <w:t>cs committees for reexamination, and may impact the costs, timing, or successful completion of such clinical trial. In addition, we may desire to test PLN-74809 at doses exceeding those evaluated in an ongoing Phase 1a trial and may not be able to do so.</w:t>
      </w:r>
    </w:p>
    <w:p w:rsidR="00000000" w:rsidRDefault="009012B9">
      <w:pPr>
        <w:ind w:firstLine="482"/>
        <w:divId w:val="307707089"/>
        <w:rPr>
          <w:rFonts w:eastAsia="Times New Roman"/>
        </w:rPr>
      </w:pPr>
      <w:r>
        <w:rPr>
          <w:rFonts w:eastAsia="Times New Roman"/>
          <w:color w:val="000000"/>
          <w:sz w:val="20"/>
          <w:szCs w:val="20"/>
        </w:rPr>
        <w:t>A</w:t>
      </w:r>
      <w:r>
        <w:rPr>
          <w:rFonts w:eastAsia="Times New Roman"/>
          <w:color w:val="000000"/>
          <w:sz w:val="20"/>
          <w:szCs w:val="20"/>
        </w:rPr>
        <w:t>dditionally, in some instances, there can be significant variability in safety or efficacy results between different trials with the same product candidate due to numerous factors, including differences in trial protocols, size and type of the patient popu</w:t>
      </w:r>
      <w:r>
        <w:rPr>
          <w:rFonts w:eastAsia="Times New Roman"/>
          <w:color w:val="000000"/>
          <w:sz w:val="20"/>
          <w:szCs w:val="20"/>
        </w:rPr>
        <w:t>lations, variable adherence to the dosing regimen or other protocol requirements and the rate of dropout among clinical trial participants. We do not know whether any clinical trials we conduct will demonstrate consistent or adequate efficacy and safety to</w:t>
      </w:r>
      <w:r>
        <w:rPr>
          <w:rFonts w:eastAsia="Times New Roman"/>
          <w:color w:val="000000"/>
          <w:sz w:val="20"/>
          <w:szCs w:val="20"/>
        </w:rPr>
        <w:t xml:space="preserve"> obtain marketing approval to market our product candidates.</w:t>
      </w:r>
    </w:p>
    <w:p w:rsidR="00000000" w:rsidRDefault="009012B9">
      <w:pPr>
        <w:ind w:firstLine="482"/>
        <w:divId w:val="1041826467"/>
        <w:rPr>
          <w:rFonts w:eastAsia="Times New Roman"/>
        </w:rPr>
      </w:pPr>
      <w:r>
        <w:rPr>
          <w:rFonts w:eastAsia="Times New Roman"/>
          <w:color w:val="000000"/>
          <w:sz w:val="20"/>
          <w:szCs w:val="20"/>
        </w:rPr>
        <w:t>Further, the FDA and comparable foreign regulatory authorities have substantial discretion in the approval process and in determining when or whether marketing approval will be obtained for any o</w:t>
      </w:r>
      <w:r>
        <w:rPr>
          <w:rFonts w:eastAsia="Times New Roman"/>
          <w:color w:val="000000"/>
          <w:sz w:val="20"/>
          <w:szCs w:val="20"/>
        </w:rPr>
        <w:t>f our product candidates. Our product candidates may not be approved even if they achieve their primary endpoints in future Phase 3 clinical trials or registrational trials. The FDA or comparable foreign regulatory authorities may disagree with our trial d</w:t>
      </w:r>
      <w:r>
        <w:rPr>
          <w:rFonts w:eastAsia="Times New Roman"/>
          <w:color w:val="000000"/>
          <w:sz w:val="20"/>
          <w:szCs w:val="20"/>
        </w:rPr>
        <w:t>esigns and our interpretation of data from preclinical studies or clinical trials. In addition, any of these regulatory authorities may change requirements for the approval of a product candidate even after reviewing and providing comments or advice on a p</w:t>
      </w:r>
      <w:r>
        <w:rPr>
          <w:rFonts w:eastAsia="Times New Roman"/>
          <w:color w:val="000000"/>
          <w:sz w:val="20"/>
          <w:szCs w:val="20"/>
        </w:rPr>
        <w:t xml:space="preserve">rotocol for a pivotal Phase 3 or registrational clinical trial. In addition, any of these regulatory authorities may also approve a product candidate for fewer or more limited indications than we request or may grant approval contingent on the performance </w:t>
      </w:r>
      <w:r>
        <w:rPr>
          <w:rFonts w:eastAsia="Times New Roman"/>
          <w:color w:val="000000"/>
          <w:sz w:val="20"/>
          <w:szCs w:val="20"/>
        </w:rPr>
        <w:t>of costly post-marketing clinical trials. The FDA or comparable foreign regulatory authorities may not approve the labeling claims that we believe would be necessary or desirable for the successful commercialization of our product candidates, if approved.</w:t>
      </w:r>
    </w:p>
    <w:p w:rsidR="00000000" w:rsidRDefault="009012B9">
      <w:pPr>
        <w:ind w:firstLine="482"/>
        <w:divId w:val="568417624"/>
        <w:rPr>
          <w:rFonts w:eastAsia="Times New Roman"/>
        </w:rPr>
      </w:pPr>
      <w:r>
        <w:rPr>
          <w:rFonts w:eastAsia="Times New Roman"/>
          <w:color w:val="000000"/>
          <w:sz w:val="20"/>
          <w:szCs w:val="20"/>
        </w:rPr>
        <w:t>Delays in patient enrollment may result in increased costs or may affect the timing or outcome of our future clinical trials, which could prevent completion of these trials and adversely affect our ability to advance the development of our product candidat</w:t>
      </w:r>
      <w:r>
        <w:rPr>
          <w:rFonts w:eastAsia="Times New Roman"/>
          <w:color w:val="000000"/>
          <w:sz w:val="20"/>
          <w:szCs w:val="20"/>
        </w:rPr>
        <w:t>es.</w:t>
      </w:r>
    </w:p>
    <w:p w:rsidR="00000000" w:rsidRDefault="009012B9">
      <w:pPr>
        <w:divId w:val="242686315"/>
        <w:rPr>
          <w:rFonts w:eastAsia="Times New Roman"/>
        </w:rPr>
      </w:pPr>
      <w:r>
        <w:rPr>
          <w:rFonts w:eastAsia="Times New Roman"/>
          <w:b/>
          <w:bCs/>
          <w:i/>
          <w:iCs/>
          <w:color w:val="000000"/>
          <w:sz w:val="20"/>
          <w:szCs w:val="20"/>
        </w:rPr>
        <w:t>Although we have received U.S. orphan drug designation for PLN-74809 for IPF and PSC indications, we may be unable to obtain and maintain orphan drug designation for our other product candidates and, even if we obtain such designation, we may not be ab</w:t>
      </w:r>
      <w:r>
        <w:rPr>
          <w:rFonts w:eastAsia="Times New Roman"/>
          <w:b/>
          <w:bCs/>
          <w:i/>
          <w:iCs/>
          <w:color w:val="000000"/>
          <w:sz w:val="20"/>
          <w:szCs w:val="20"/>
        </w:rPr>
        <w:t>le to realize the benefits of such designation, including potential marketing exclusivity of our product candidates, if approved.</w:t>
      </w:r>
    </w:p>
    <w:p w:rsidR="00000000" w:rsidRDefault="009012B9">
      <w:pPr>
        <w:ind w:firstLine="482"/>
        <w:divId w:val="1030380460"/>
        <w:rPr>
          <w:rFonts w:eastAsia="Times New Roman"/>
        </w:rPr>
      </w:pPr>
      <w:r>
        <w:rPr>
          <w:rFonts w:eastAsia="Times New Roman"/>
          <w:color w:val="000000"/>
          <w:sz w:val="20"/>
          <w:szCs w:val="20"/>
        </w:rPr>
        <w:t>Regulatory authorities in some jurisdictions, including the United States and other major markets, may designate drugs intende</w:t>
      </w:r>
      <w:r>
        <w:rPr>
          <w:rFonts w:eastAsia="Times New Roman"/>
          <w:color w:val="000000"/>
          <w:sz w:val="20"/>
          <w:szCs w:val="20"/>
        </w:rPr>
        <w:t>d to treat conditions or diseases affecting relatively small patient populations as orphan drugs. Under the Orphan Drug Act of 1983, the FDA may designate a product candidate as an orphan drug if it is intended to treat a rare disease or condition, which i</w:t>
      </w:r>
      <w:r>
        <w:rPr>
          <w:rFonts w:eastAsia="Times New Roman"/>
          <w:color w:val="000000"/>
          <w:sz w:val="20"/>
          <w:szCs w:val="20"/>
        </w:rPr>
        <w:t xml:space="preserve">s generally defined as having a patient population of fewer than 200,000 individuals in the United States, or a patient population greater than 200,000 in the United States where there is no reasonable expectation that the cost of developing the drug will </w:t>
      </w:r>
      <w:r>
        <w:rPr>
          <w:rFonts w:eastAsia="Times New Roman"/>
          <w:color w:val="000000"/>
          <w:sz w:val="20"/>
          <w:szCs w:val="20"/>
        </w:rPr>
        <w:t>be recovered from sales in the United States.</w:t>
      </w:r>
    </w:p>
    <w:p w:rsidR="00000000" w:rsidRDefault="009012B9">
      <w:pPr>
        <w:ind w:firstLine="482"/>
        <w:divId w:val="1938560568"/>
        <w:rPr>
          <w:rFonts w:eastAsia="Times New Roman"/>
        </w:rPr>
      </w:pPr>
      <w:r>
        <w:rPr>
          <w:rFonts w:eastAsia="Times New Roman"/>
          <w:color w:val="000000"/>
          <w:sz w:val="20"/>
          <w:szCs w:val="20"/>
        </w:rPr>
        <w:t>Although we have received U.S. orphan drug designation for PLN-74809 for IPF and PSC indications, the designation of any of our product candidates as an orphan drug does not mean that any regulatory agency will</w:t>
      </w:r>
      <w:r>
        <w:rPr>
          <w:rFonts w:eastAsia="Times New Roman"/>
          <w:color w:val="000000"/>
          <w:sz w:val="20"/>
          <w:szCs w:val="20"/>
        </w:rPr>
        <w:t xml:space="preserve"> accelerate regulatory review of, or ultimately approve, that product candidate, nor does it limit the ability of any regulatory agency to grant orphan drug designation to product candidates of other companies that treat the same indications as our product</w:t>
      </w:r>
      <w:r>
        <w:rPr>
          <w:rFonts w:eastAsia="Times New Roman"/>
          <w:color w:val="000000"/>
          <w:sz w:val="20"/>
          <w:szCs w:val="20"/>
        </w:rPr>
        <w:t xml:space="preserve"> candidates.</w:t>
      </w:r>
    </w:p>
    <w:p w:rsidR="00000000" w:rsidRDefault="009012B9">
      <w:pPr>
        <w:ind w:firstLine="482"/>
        <w:divId w:val="1969966092"/>
        <w:rPr>
          <w:rFonts w:eastAsia="Times New Roman"/>
        </w:rPr>
      </w:pPr>
      <w:r>
        <w:rPr>
          <w:rFonts w:eastAsia="Times New Roman"/>
          <w:color w:val="000000"/>
          <w:sz w:val="20"/>
          <w:szCs w:val="20"/>
        </w:rPr>
        <w:t>Generally, if a product candidate with an orphan drug designation receives the first marketing approval for the indication for which it has such designation, the product is entitled to a period of marketing exclusivity, which precludes the FDA</w:t>
      </w:r>
      <w:r>
        <w:rPr>
          <w:rFonts w:eastAsia="Times New Roman"/>
          <w:color w:val="000000"/>
          <w:sz w:val="20"/>
          <w:szCs w:val="20"/>
        </w:rPr>
        <w:t xml:space="preserve"> or foreign regulatory authorities from approving another marketing application for a product that constitutes the same drug treating the same indication for that marketing exclusivity period, except in limited circumstances. The applicable period is seven</w:t>
      </w:r>
      <w:r>
        <w:rPr>
          <w:rFonts w:eastAsia="Times New Roman"/>
          <w:color w:val="000000"/>
          <w:sz w:val="20"/>
          <w:szCs w:val="20"/>
        </w:rPr>
        <w:t xml:space="preserve"> years in the United States. Orphan drug exclusivity may be revoked if any regulatory agency determines that the request for designation was materially defective or if the manufacturer is unable to assure sufficient quantity of the product to meet the need</w:t>
      </w:r>
      <w:r>
        <w:rPr>
          <w:rFonts w:eastAsia="Times New Roman"/>
          <w:color w:val="000000"/>
          <w:sz w:val="20"/>
          <w:szCs w:val="20"/>
        </w:rPr>
        <w:t>s of patients with the rare disease or condition.</w:t>
      </w:r>
    </w:p>
    <w:p w:rsidR="00000000" w:rsidRDefault="009012B9">
      <w:pPr>
        <w:jc w:val="center"/>
        <w:divId w:val="272791779"/>
        <w:rPr>
          <w:rFonts w:eastAsia="Times New Roman"/>
        </w:rPr>
      </w:pPr>
      <w:r>
        <w:rPr>
          <w:rFonts w:eastAsia="Times New Roman"/>
          <w:color w:val="000000"/>
          <w:sz w:val="20"/>
          <w:szCs w:val="20"/>
        </w:rPr>
        <w:t>39</w:t>
      </w:r>
    </w:p>
    <w:p w:rsidR="00000000" w:rsidRDefault="009012B9">
      <w:pPr>
        <w:rPr>
          <w:rFonts w:eastAsia="Times New Roman"/>
        </w:rPr>
      </w:pPr>
      <w:r>
        <w:rPr>
          <w:rFonts w:eastAsia="Times New Roman"/>
        </w:rPr>
        <w:pict>
          <v:rect id="_x0000_i1063" style="width:0;height:1.5pt" o:hralign="center" o:hrstd="t" o:hr="t" fillcolor="#a0a0a0" stroked="f"/>
        </w:pict>
      </w:r>
    </w:p>
    <w:p w:rsidR="00000000" w:rsidRDefault="009012B9">
      <w:pPr>
        <w:divId w:val="1188786426"/>
        <w:rPr>
          <w:rFonts w:eastAsia="Times New Roman"/>
        </w:rPr>
      </w:pPr>
    </w:p>
    <w:p w:rsidR="00000000" w:rsidRDefault="009012B9">
      <w:pPr>
        <w:ind w:firstLine="482"/>
        <w:divId w:val="73817290"/>
        <w:rPr>
          <w:rFonts w:eastAsia="Times New Roman"/>
        </w:rPr>
      </w:pPr>
      <w:r>
        <w:rPr>
          <w:rFonts w:eastAsia="Times New Roman"/>
          <w:color w:val="000000"/>
          <w:sz w:val="20"/>
          <w:szCs w:val="20"/>
        </w:rPr>
        <w:t>Even if we obtain orphan drug exclusivity for a product candidate, that exclusivity may not effectively protect the product candidate from competition because diffe</w:t>
      </w:r>
      <w:r>
        <w:rPr>
          <w:rFonts w:eastAsia="Times New Roman"/>
          <w:color w:val="000000"/>
          <w:sz w:val="20"/>
          <w:szCs w:val="20"/>
        </w:rPr>
        <w:t>rent drugs can be approved for the same condition in the United States. Even after an orphan drug is approved, the FDA may subsequently approve another drug for the same condition if the FDA concludes that the latter drug is not the same drug or is clinica</w:t>
      </w:r>
      <w:r>
        <w:rPr>
          <w:rFonts w:eastAsia="Times New Roman"/>
          <w:color w:val="000000"/>
          <w:sz w:val="20"/>
          <w:szCs w:val="20"/>
        </w:rPr>
        <w:t>lly superior in that it is shown to be safer, more effective or makes a major contribution to patient care.</w:t>
      </w:r>
    </w:p>
    <w:p w:rsidR="00000000" w:rsidRDefault="009012B9">
      <w:pPr>
        <w:divId w:val="1540896408"/>
        <w:rPr>
          <w:rFonts w:eastAsia="Times New Roman"/>
        </w:rPr>
      </w:pPr>
      <w:r>
        <w:rPr>
          <w:rFonts w:eastAsia="Times New Roman"/>
          <w:b/>
          <w:bCs/>
          <w:i/>
          <w:iCs/>
          <w:color w:val="000000"/>
          <w:sz w:val="20"/>
          <w:szCs w:val="20"/>
        </w:rPr>
        <w:t>Changes in methods of product candidate manufacturing or formulation may result in additional costs or delay.</w:t>
      </w:r>
    </w:p>
    <w:p w:rsidR="00000000" w:rsidRDefault="009012B9">
      <w:pPr>
        <w:ind w:firstLine="482"/>
        <w:divId w:val="2064057837"/>
        <w:rPr>
          <w:rFonts w:eastAsia="Times New Roman"/>
        </w:rPr>
      </w:pPr>
      <w:r>
        <w:rPr>
          <w:rFonts w:eastAsia="Times New Roman"/>
          <w:color w:val="000000"/>
          <w:sz w:val="20"/>
          <w:szCs w:val="20"/>
        </w:rPr>
        <w:t>As product candidates progress through</w:t>
      </w:r>
      <w:r>
        <w:rPr>
          <w:rFonts w:eastAsia="Times New Roman"/>
          <w:color w:val="000000"/>
          <w:sz w:val="20"/>
          <w:szCs w:val="20"/>
        </w:rPr>
        <w:t xml:space="preserve"> preclinical to late-stage clinical trials to marketing approval and commercialization, it is common that various aspects of the development program, such as manufacturing methods and formulation, are altered along the way in an effort to optimize yield, m</w:t>
      </w:r>
      <w:r>
        <w:rPr>
          <w:rFonts w:eastAsia="Times New Roman"/>
          <w:color w:val="000000"/>
          <w:sz w:val="20"/>
          <w:szCs w:val="20"/>
        </w:rPr>
        <w:t xml:space="preserve">anufacturing batch size, minimize costs and achieve consistent quality and results. Such changes carry the risk that they will not achieve these intended objectives. Any of these changes could cause our product candidates to perform differently and affect </w:t>
      </w:r>
      <w:r>
        <w:rPr>
          <w:rFonts w:eastAsia="Times New Roman"/>
          <w:color w:val="000000"/>
          <w:sz w:val="20"/>
          <w:szCs w:val="20"/>
        </w:rPr>
        <w:t>the results of planned clinical trials or other future clinical trials conducted with the altered materials. This could delay completion of clinical trials, require the conduct of bridging clinical trials or the repetition of one or more clinical trials, i</w:t>
      </w:r>
      <w:r>
        <w:rPr>
          <w:rFonts w:eastAsia="Times New Roman"/>
          <w:color w:val="000000"/>
          <w:sz w:val="20"/>
          <w:szCs w:val="20"/>
        </w:rPr>
        <w:t>ncrease clinical trial costs, delay approval of our product candidates and jeopardize our ability to commercialize our product candidates and generate revenue.</w:t>
      </w:r>
    </w:p>
    <w:p w:rsidR="00000000" w:rsidRDefault="009012B9">
      <w:pPr>
        <w:ind w:firstLine="482"/>
        <w:divId w:val="1813326133"/>
        <w:rPr>
          <w:rFonts w:eastAsia="Times New Roman"/>
        </w:rPr>
      </w:pPr>
      <w:r>
        <w:rPr>
          <w:rFonts w:eastAsia="Times New Roman"/>
          <w:color w:val="000000"/>
          <w:sz w:val="20"/>
          <w:szCs w:val="20"/>
        </w:rPr>
        <w:t>In addition, there are risks associated with large scale manufacturing for clinical trials or co</w:t>
      </w:r>
      <w:r>
        <w:rPr>
          <w:rFonts w:eastAsia="Times New Roman"/>
          <w:color w:val="000000"/>
          <w:sz w:val="20"/>
          <w:szCs w:val="20"/>
        </w:rPr>
        <w:t>mmercial scale including, among others, cost overruns, potential problems with process scale-up, process reproducibility, stability issues, compliance with good manufacturing practices, lot consistency and timely availability of raw materials. Even if we o</w:t>
      </w:r>
      <w:r>
        <w:rPr>
          <w:rFonts w:eastAsia="Times New Roman"/>
          <w:color w:val="000000"/>
          <w:sz w:val="20"/>
          <w:szCs w:val="20"/>
        </w:rPr>
        <w:t>btain marketing approval for any of our product candidates, there is no assurance that our manufacturers will be able to manufacture the approved product to specifications acceptable to the FDA or other comparable foreign regulatory authorities, to produce</w:t>
      </w:r>
      <w:r>
        <w:rPr>
          <w:rFonts w:eastAsia="Times New Roman"/>
          <w:color w:val="000000"/>
          <w:sz w:val="20"/>
          <w:szCs w:val="20"/>
        </w:rPr>
        <w:t xml:space="preserve"> it in sufficient quantities to meet the requirements for the potential commercial launch of the product or to meet potential future demand. Additionally, if we advance a biological candidate into IND-enabling studies, the manufacturing processes for biolo</w:t>
      </w:r>
      <w:r>
        <w:rPr>
          <w:rFonts w:eastAsia="Times New Roman"/>
          <w:color w:val="000000"/>
          <w:sz w:val="20"/>
          <w:szCs w:val="20"/>
        </w:rPr>
        <w:t>gical products is more complex and expensive than with small molecule products and additional manufacturing suppliers may be needed to manufacture clinical supplies for these programs. If our manufacturers are unable to produce sufficient quantities for cl</w:t>
      </w:r>
      <w:r>
        <w:rPr>
          <w:rFonts w:eastAsia="Times New Roman"/>
          <w:color w:val="000000"/>
          <w:sz w:val="20"/>
          <w:szCs w:val="20"/>
        </w:rPr>
        <w:t>inical trials or for commercialization, our development and commercialization efforts would be impaired, which would have an adverse effect on our business, financial condition, results of operations and growth prospects.</w:t>
      </w:r>
    </w:p>
    <w:p w:rsidR="00000000" w:rsidRDefault="009012B9">
      <w:pPr>
        <w:divId w:val="1978561273"/>
        <w:rPr>
          <w:rFonts w:eastAsia="Times New Roman"/>
        </w:rPr>
      </w:pPr>
      <w:r>
        <w:rPr>
          <w:rFonts w:eastAsia="Times New Roman"/>
          <w:b/>
          <w:bCs/>
          <w:i/>
          <w:iCs/>
          <w:color w:val="000000"/>
          <w:sz w:val="20"/>
          <w:szCs w:val="20"/>
        </w:rPr>
        <w:t>We may not be successful in our ef</w:t>
      </w:r>
      <w:r>
        <w:rPr>
          <w:rFonts w:eastAsia="Times New Roman"/>
          <w:b/>
          <w:bCs/>
          <w:i/>
          <w:iCs/>
          <w:color w:val="000000"/>
          <w:sz w:val="20"/>
          <w:szCs w:val="20"/>
        </w:rPr>
        <w:t>forts to identify or discover additional product candidates in the future.</w:t>
      </w:r>
    </w:p>
    <w:p w:rsidR="00000000" w:rsidRDefault="009012B9">
      <w:pPr>
        <w:ind w:firstLine="482"/>
        <w:divId w:val="1778214135"/>
        <w:rPr>
          <w:rFonts w:eastAsia="Times New Roman"/>
        </w:rPr>
      </w:pPr>
      <w:r>
        <w:rPr>
          <w:rFonts w:eastAsia="Times New Roman"/>
          <w:color w:val="000000"/>
          <w:sz w:val="20"/>
          <w:szCs w:val="20"/>
        </w:rPr>
        <w:t>Our research programs may initially show promise in identifying potential product candidates, yet fail to yield product candidates for clinical development for a number of reasons, including:</w:t>
      </w:r>
    </w:p>
    <w:p w:rsidR="00000000" w:rsidRDefault="009012B9">
      <w:pPr>
        <w:ind w:hanging="480"/>
        <w:divId w:val="141822651"/>
        <w:rPr>
          <w:rFonts w:eastAsia="Times New Roman"/>
        </w:rPr>
      </w:pPr>
      <w:r>
        <w:rPr>
          <w:rFonts w:eastAsia="Times New Roman"/>
          <w:color w:val="000000"/>
          <w:sz w:val="20"/>
          <w:szCs w:val="20"/>
        </w:rPr>
        <w:t>•our inability to design such product candidates with the pharma</w:t>
      </w:r>
      <w:r>
        <w:rPr>
          <w:rFonts w:eastAsia="Times New Roman"/>
          <w:color w:val="000000"/>
          <w:sz w:val="20"/>
          <w:szCs w:val="20"/>
        </w:rPr>
        <w:t>cological properties that we desire or attractive pharmacokinetics; or</w:t>
      </w:r>
    </w:p>
    <w:p w:rsidR="00000000" w:rsidRDefault="009012B9">
      <w:pPr>
        <w:ind w:hanging="480"/>
        <w:divId w:val="626349973"/>
        <w:rPr>
          <w:rFonts w:eastAsia="Times New Roman"/>
        </w:rPr>
      </w:pPr>
      <w:r>
        <w:rPr>
          <w:rFonts w:eastAsia="Times New Roman"/>
          <w:color w:val="000000"/>
          <w:sz w:val="20"/>
          <w:szCs w:val="20"/>
        </w:rPr>
        <w:t>•</w:t>
      </w:r>
      <w:r>
        <w:rPr>
          <w:rFonts w:eastAsia="Times New Roman"/>
          <w:color w:val="000000"/>
          <w:sz w:val="20"/>
          <w:szCs w:val="20"/>
        </w:rPr>
        <w:t>potential product candidates may, on further study, be shown to have harmful side effects or other characteristics that indicate that they are unlikely to be medicines that will receive marketing approval and achieve market acceptance.</w:t>
      </w:r>
    </w:p>
    <w:p w:rsidR="00000000" w:rsidRDefault="009012B9">
      <w:pPr>
        <w:ind w:firstLine="482"/>
        <w:divId w:val="80106451"/>
        <w:rPr>
          <w:rFonts w:eastAsia="Times New Roman"/>
        </w:rPr>
      </w:pPr>
      <w:r>
        <w:rPr>
          <w:rFonts w:eastAsia="Times New Roman"/>
          <w:color w:val="000000"/>
          <w:sz w:val="20"/>
          <w:szCs w:val="20"/>
        </w:rPr>
        <w:t>Research programs to</w:t>
      </w:r>
      <w:r>
        <w:rPr>
          <w:rFonts w:eastAsia="Times New Roman"/>
          <w:color w:val="000000"/>
          <w:sz w:val="20"/>
          <w:szCs w:val="20"/>
        </w:rPr>
        <w:t xml:space="preserve"> identify new product candidates require substantial technical, financial, and human resources. If we are unable to identify suitable compounds for preclinical and clinical development, we will not be able to obtain product revenue in future periods, which</w:t>
      </w:r>
      <w:r>
        <w:rPr>
          <w:rFonts w:eastAsia="Times New Roman"/>
          <w:color w:val="000000"/>
          <w:sz w:val="20"/>
          <w:szCs w:val="20"/>
        </w:rPr>
        <w:t xml:space="preserve"> likely would result in significant harm to our financial position and adversely impact our stock price.</w:t>
      </w:r>
    </w:p>
    <w:p w:rsidR="00000000" w:rsidRDefault="009012B9">
      <w:pPr>
        <w:divId w:val="1556504927"/>
        <w:rPr>
          <w:rFonts w:eastAsia="Times New Roman"/>
        </w:rPr>
      </w:pPr>
      <w:r>
        <w:rPr>
          <w:rFonts w:eastAsia="Times New Roman"/>
          <w:b/>
          <w:bCs/>
          <w:i/>
          <w:iCs/>
          <w:color w:val="000000"/>
          <w:sz w:val="20"/>
          <w:szCs w:val="20"/>
        </w:rPr>
        <w:t>Due to our limited resources and access to capital, we must make decisions on the allocation of resources to certain programs and product candidates; t</w:t>
      </w:r>
      <w:r>
        <w:rPr>
          <w:rFonts w:eastAsia="Times New Roman"/>
          <w:b/>
          <w:bCs/>
          <w:i/>
          <w:iCs/>
          <w:color w:val="000000"/>
          <w:sz w:val="20"/>
          <w:szCs w:val="20"/>
        </w:rPr>
        <w:t>hese decisions may prove to be wrong and may adversely affect our business.</w:t>
      </w:r>
    </w:p>
    <w:p w:rsidR="00000000" w:rsidRDefault="009012B9">
      <w:pPr>
        <w:ind w:firstLine="482"/>
        <w:divId w:val="507137839"/>
        <w:rPr>
          <w:rFonts w:eastAsia="Times New Roman"/>
        </w:rPr>
      </w:pPr>
      <w:r>
        <w:rPr>
          <w:rFonts w:eastAsia="Times New Roman"/>
          <w:color w:val="000000"/>
          <w:sz w:val="20"/>
          <w:szCs w:val="20"/>
        </w:rPr>
        <w:t xml:space="preserve">We have limited financial and human resources and intend to initially focus on research programs and product candidates for a limited set of indications. As a result, we may forgo </w:t>
      </w:r>
      <w:r>
        <w:rPr>
          <w:rFonts w:eastAsia="Times New Roman"/>
          <w:color w:val="000000"/>
          <w:sz w:val="20"/>
          <w:szCs w:val="20"/>
        </w:rPr>
        <w:t>or delay pursuit of opportunities with other product candidates or for other indications that later prove to have greater commercial potential or a greater likelihood of success. In addition, we seek to accelerate our development timelines, including by in</w:t>
      </w:r>
      <w:r>
        <w:rPr>
          <w:rFonts w:eastAsia="Times New Roman"/>
          <w:color w:val="000000"/>
          <w:sz w:val="20"/>
          <w:szCs w:val="20"/>
        </w:rPr>
        <w:t>itiating certain clinical trials of our product candidates before earlier-stage studies have been completed. This approach may cause us to commit significant resources to prepare for and conduct later-stage trials for one or more product candidates that su</w:t>
      </w:r>
      <w:r>
        <w:rPr>
          <w:rFonts w:eastAsia="Times New Roman"/>
          <w:color w:val="000000"/>
          <w:sz w:val="20"/>
          <w:szCs w:val="20"/>
        </w:rPr>
        <w:t>bsequently fail earlier-stage clinical testing. Therefore, our resource allocation decisions may cause us to fail to capitalize on viable commercial products or profitable market opportunities or expend resources on product candidates that are not viable.</w:t>
      </w:r>
    </w:p>
    <w:p w:rsidR="00000000" w:rsidRDefault="009012B9">
      <w:pPr>
        <w:ind w:firstLine="482"/>
        <w:divId w:val="1699811930"/>
        <w:rPr>
          <w:rFonts w:eastAsia="Times New Roman"/>
        </w:rPr>
      </w:pPr>
      <w:r>
        <w:rPr>
          <w:rFonts w:eastAsia="Times New Roman"/>
          <w:color w:val="000000"/>
          <w:sz w:val="20"/>
          <w:szCs w:val="20"/>
        </w:rPr>
        <w:t xml:space="preserve">There can be no assurance that we will ever be able to identify additional therapeutic opportunities for our product candidates or to develop suitable potential product candidates through internal research programs, which could materially </w:t>
      </w:r>
    </w:p>
    <w:p w:rsidR="00000000" w:rsidRDefault="009012B9">
      <w:pPr>
        <w:jc w:val="center"/>
        <w:divId w:val="622422245"/>
        <w:rPr>
          <w:rFonts w:eastAsia="Times New Roman"/>
        </w:rPr>
      </w:pPr>
      <w:r>
        <w:rPr>
          <w:rFonts w:eastAsia="Times New Roman"/>
          <w:color w:val="000000"/>
          <w:sz w:val="20"/>
          <w:szCs w:val="20"/>
        </w:rPr>
        <w:t>40</w:t>
      </w:r>
    </w:p>
    <w:p w:rsidR="00000000" w:rsidRDefault="009012B9">
      <w:pPr>
        <w:rPr>
          <w:rFonts w:eastAsia="Times New Roman"/>
        </w:rPr>
      </w:pPr>
      <w:r>
        <w:rPr>
          <w:rFonts w:eastAsia="Times New Roman"/>
        </w:rPr>
        <w:pict>
          <v:rect id="_x0000_i1064" style="width:0;height:1.5pt" o:hralign="center" o:hrstd="t" o:hr="t" fillcolor="#a0a0a0" stroked="f"/>
        </w:pict>
      </w:r>
    </w:p>
    <w:p w:rsidR="00000000" w:rsidRDefault="009012B9">
      <w:pPr>
        <w:divId w:val="1106189826"/>
        <w:rPr>
          <w:rFonts w:eastAsia="Times New Roman"/>
        </w:rPr>
      </w:pPr>
    </w:p>
    <w:p w:rsidR="00000000" w:rsidRDefault="009012B9">
      <w:pPr>
        <w:divId w:val="1284577382"/>
        <w:rPr>
          <w:rFonts w:eastAsia="Times New Roman"/>
        </w:rPr>
      </w:pPr>
      <w:r>
        <w:rPr>
          <w:rFonts w:eastAsia="Times New Roman"/>
          <w:color w:val="000000"/>
          <w:sz w:val="20"/>
          <w:szCs w:val="20"/>
        </w:rPr>
        <w:t>adversely affect our future growth and prospects. We may focus our efforts and resources on potential product candidates or other potential programs that ultimately prove to be unsuccessful.</w:t>
      </w:r>
    </w:p>
    <w:p w:rsidR="00000000" w:rsidRDefault="009012B9">
      <w:pPr>
        <w:divId w:val="400173297"/>
        <w:rPr>
          <w:rFonts w:eastAsia="Times New Roman"/>
        </w:rPr>
      </w:pPr>
      <w:r>
        <w:rPr>
          <w:rFonts w:eastAsia="Times New Roman"/>
          <w:b/>
          <w:bCs/>
          <w:i/>
          <w:iCs/>
          <w:color w:val="000000"/>
          <w:sz w:val="20"/>
          <w:szCs w:val="20"/>
        </w:rPr>
        <w:t>If product liability lawsuits are broug</w:t>
      </w:r>
      <w:r>
        <w:rPr>
          <w:rFonts w:eastAsia="Times New Roman"/>
          <w:b/>
          <w:bCs/>
          <w:i/>
          <w:iCs/>
          <w:color w:val="000000"/>
          <w:sz w:val="20"/>
          <w:szCs w:val="20"/>
        </w:rPr>
        <w:t>ht against us, we may incur substantial financial or other liabilities and may be required to limit commercialization of our product candidates.</w:t>
      </w:r>
    </w:p>
    <w:p w:rsidR="00000000" w:rsidRDefault="009012B9">
      <w:pPr>
        <w:ind w:firstLine="482"/>
        <w:divId w:val="1244997296"/>
        <w:rPr>
          <w:rFonts w:eastAsia="Times New Roman"/>
        </w:rPr>
      </w:pPr>
      <w:r>
        <w:rPr>
          <w:rFonts w:eastAsia="Times New Roman"/>
          <w:color w:val="000000"/>
          <w:sz w:val="20"/>
          <w:szCs w:val="20"/>
        </w:rPr>
        <w:t>We face an inherent risk of product liability as a result of testing PLN-74809 and any of our other product can</w:t>
      </w:r>
      <w:r>
        <w:rPr>
          <w:rFonts w:eastAsia="Times New Roman"/>
          <w:color w:val="000000"/>
          <w:sz w:val="20"/>
          <w:szCs w:val="20"/>
        </w:rPr>
        <w:t>didates in clinical trials and will face an even greater risk if we commercialize any products. For example, we may be sued if our product candidates cause or are perceived to cause injury or are found to be otherwise unsuitable during clinical trials, man</w:t>
      </w:r>
      <w:r>
        <w:rPr>
          <w:rFonts w:eastAsia="Times New Roman"/>
          <w:color w:val="000000"/>
          <w:sz w:val="20"/>
          <w:szCs w:val="20"/>
        </w:rPr>
        <w:t xml:space="preserve">ufacturing, marketing, or sale. Any such product liability claims may include allegations of defects in manufacturing, defects in design, a failure to warn of dangers inherent in the product, negligence, strict liability, or a breach of warranties. Claims </w:t>
      </w:r>
      <w:r>
        <w:rPr>
          <w:rFonts w:eastAsia="Times New Roman"/>
          <w:color w:val="000000"/>
          <w:sz w:val="20"/>
          <w:szCs w:val="20"/>
        </w:rPr>
        <w:t>could also be asserted under state consumer protection acts. If we cannot successfully defend ourselves against product liability claims, we may incur substantial liabilities or be required to limit commercialization of our product candidates. Even success</w:t>
      </w:r>
      <w:r>
        <w:rPr>
          <w:rFonts w:eastAsia="Times New Roman"/>
          <w:color w:val="000000"/>
          <w:sz w:val="20"/>
          <w:szCs w:val="20"/>
        </w:rPr>
        <w:t>ful defense would require significant financial and management resources. Regardless of the merits or eventual outcome, liability claims may result in:</w:t>
      </w:r>
    </w:p>
    <w:p w:rsidR="00000000" w:rsidRDefault="009012B9">
      <w:pPr>
        <w:ind w:hanging="480"/>
        <w:divId w:val="1210799758"/>
        <w:rPr>
          <w:rFonts w:eastAsia="Times New Roman"/>
        </w:rPr>
      </w:pPr>
      <w:r>
        <w:rPr>
          <w:rFonts w:eastAsia="Times New Roman"/>
          <w:color w:val="000000"/>
          <w:sz w:val="20"/>
          <w:szCs w:val="20"/>
        </w:rPr>
        <w:t>•inability to bring a product candidate to the market;</w:t>
      </w:r>
    </w:p>
    <w:p w:rsidR="00000000" w:rsidRDefault="009012B9">
      <w:pPr>
        <w:ind w:hanging="480"/>
        <w:divId w:val="819419697"/>
        <w:rPr>
          <w:rFonts w:eastAsia="Times New Roman"/>
        </w:rPr>
      </w:pPr>
      <w:r>
        <w:rPr>
          <w:rFonts w:eastAsia="Times New Roman"/>
          <w:color w:val="000000"/>
          <w:sz w:val="20"/>
          <w:szCs w:val="20"/>
        </w:rPr>
        <w:t>•decreased demand for our products;</w:t>
      </w:r>
    </w:p>
    <w:p w:rsidR="00000000" w:rsidRDefault="009012B9">
      <w:pPr>
        <w:ind w:hanging="480"/>
        <w:divId w:val="472138144"/>
        <w:rPr>
          <w:rFonts w:eastAsia="Times New Roman"/>
        </w:rPr>
      </w:pPr>
      <w:r>
        <w:rPr>
          <w:rFonts w:eastAsia="Times New Roman"/>
          <w:color w:val="000000"/>
          <w:sz w:val="20"/>
          <w:szCs w:val="20"/>
        </w:rPr>
        <w:t>•injury to ou</w:t>
      </w:r>
      <w:r>
        <w:rPr>
          <w:rFonts w:eastAsia="Times New Roman"/>
          <w:color w:val="000000"/>
          <w:sz w:val="20"/>
          <w:szCs w:val="20"/>
        </w:rPr>
        <w:t>r reputation;</w:t>
      </w:r>
    </w:p>
    <w:p w:rsidR="00000000" w:rsidRDefault="009012B9">
      <w:pPr>
        <w:ind w:hanging="480"/>
        <w:divId w:val="835536389"/>
        <w:rPr>
          <w:rFonts w:eastAsia="Times New Roman"/>
        </w:rPr>
      </w:pPr>
      <w:r>
        <w:rPr>
          <w:rFonts w:eastAsia="Times New Roman"/>
          <w:color w:val="000000"/>
          <w:sz w:val="20"/>
          <w:szCs w:val="20"/>
        </w:rPr>
        <w:t>•withdrawal of clinical trial participants and inability to continue clinical trials;</w:t>
      </w:r>
    </w:p>
    <w:p w:rsidR="00000000" w:rsidRDefault="009012B9">
      <w:pPr>
        <w:ind w:hanging="480"/>
        <w:divId w:val="1059288374"/>
        <w:rPr>
          <w:rFonts w:eastAsia="Times New Roman"/>
        </w:rPr>
      </w:pPr>
      <w:r>
        <w:rPr>
          <w:rFonts w:eastAsia="Times New Roman"/>
          <w:color w:val="000000"/>
          <w:sz w:val="20"/>
          <w:szCs w:val="20"/>
        </w:rPr>
        <w:t>•initiation of investigations by regulators;</w:t>
      </w:r>
    </w:p>
    <w:p w:rsidR="00000000" w:rsidRDefault="009012B9">
      <w:pPr>
        <w:ind w:hanging="480"/>
        <w:divId w:val="1125930379"/>
        <w:rPr>
          <w:rFonts w:eastAsia="Times New Roman"/>
        </w:rPr>
      </w:pPr>
      <w:r>
        <w:rPr>
          <w:rFonts w:eastAsia="Times New Roman"/>
          <w:color w:val="000000"/>
          <w:sz w:val="20"/>
          <w:szCs w:val="20"/>
        </w:rPr>
        <w:t>•fines, injunctions or criminal penalties;</w:t>
      </w:r>
    </w:p>
    <w:p w:rsidR="00000000" w:rsidRDefault="009012B9">
      <w:pPr>
        <w:ind w:hanging="480"/>
        <w:divId w:val="1454252732"/>
        <w:rPr>
          <w:rFonts w:eastAsia="Times New Roman"/>
        </w:rPr>
      </w:pPr>
      <w:r>
        <w:rPr>
          <w:rFonts w:eastAsia="Times New Roman"/>
          <w:color w:val="000000"/>
          <w:sz w:val="20"/>
          <w:szCs w:val="20"/>
        </w:rPr>
        <w:t>•costs to defend the related litigation;</w:t>
      </w:r>
    </w:p>
    <w:p w:rsidR="00000000" w:rsidRDefault="009012B9">
      <w:pPr>
        <w:ind w:hanging="480"/>
        <w:divId w:val="221258455"/>
        <w:rPr>
          <w:rFonts w:eastAsia="Times New Roman"/>
        </w:rPr>
      </w:pPr>
      <w:r>
        <w:rPr>
          <w:rFonts w:eastAsia="Times New Roman"/>
          <w:color w:val="000000"/>
          <w:sz w:val="20"/>
          <w:szCs w:val="20"/>
        </w:rPr>
        <w:t xml:space="preserve">•diversion of management’s </w:t>
      </w:r>
      <w:r>
        <w:rPr>
          <w:rFonts w:eastAsia="Times New Roman"/>
          <w:color w:val="000000"/>
          <w:sz w:val="20"/>
          <w:szCs w:val="20"/>
        </w:rPr>
        <w:t>time and our resources;</w:t>
      </w:r>
    </w:p>
    <w:p w:rsidR="00000000" w:rsidRDefault="009012B9">
      <w:pPr>
        <w:ind w:hanging="480"/>
        <w:divId w:val="776363807"/>
        <w:rPr>
          <w:rFonts w:eastAsia="Times New Roman"/>
        </w:rPr>
      </w:pPr>
      <w:r>
        <w:rPr>
          <w:rFonts w:eastAsia="Times New Roman"/>
          <w:color w:val="000000"/>
          <w:sz w:val="20"/>
          <w:szCs w:val="20"/>
        </w:rPr>
        <w:t>•substantial monetary awards to trial participants;</w:t>
      </w:r>
    </w:p>
    <w:p w:rsidR="00000000" w:rsidRDefault="009012B9">
      <w:pPr>
        <w:ind w:hanging="480"/>
        <w:divId w:val="1035692930"/>
        <w:rPr>
          <w:rFonts w:eastAsia="Times New Roman"/>
        </w:rPr>
      </w:pPr>
      <w:r>
        <w:rPr>
          <w:rFonts w:eastAsia="Times New Roman"/>
          <w:color w:val="000000"/>
          <w:sz w:val="20"/>
          <w:szCs w:val="20"/>
        </w:rPr>
        <w:t>•product recalls, withdrawals or labeling, marketing or promotional restrictions;</w:t>
      </w:r>
    </w:p>
    <w:p w:rsidR="00000000" w:rsidRDefault="009012B9">
      <w:pPr>
        <w:ind w:hanging="480"/>
        <w:divId w:val="1920484268"/>
        <w:rPr>
          <w:rFonts w:eastAsia="Times New Roman"/>
        </w:rPr>
      </w:pPr>
      <w:r>
        <w:rPr>
          <w:rFonts w:eastAsia="Times New Roman"/>
          <w:color w:val="000000"/>
          <w:sz w:val="20"/>
          <w:szCs w:val="20"/>
        </w:rPr>
        <w:t>•loss of revenue;</w:t>
      </w:r>
    </w:p>
    <w:p w:rsidR="00000000" w:rsidRDefault="009012B9">
      <w:pPr>
        <w:ind w:hanging="480"/>
        <w:divId w:val="764110200"/>
        <w:rPr>
          <w:rFonts w:eastAsia="Times New Roman"/>
        </w:rPr>
      </w:pPr>
      <w:r>
        <w:rPr>
          <w:rFonts w:eastAsia="Times New Roman"/>
          <w:color w:val="000000"/>
          <w:sz w:val="20"/>
          <w:szCs w:val="20"/>
        </w:rPr>
        <w:t>•exhaustion of any available insurance and our capital resources;</w:t>
      </w:r>
    </w:p>
    <w:p w:rsidR="00000000" w:rsidRDefault="009012B9">
      <w:pPr>
        <w:ind w:hanging="480"/>
        <w:divId w:val="1692606397"/>
        <w:rPr>
          <w:rFonts w:eastAsia="Times New Roman"/>
        </w:rPr>
      </w:pPr>
      <w:r>
        <w:rPr>
          <w:rFonts w:eastAsia="Times New Roman"/>
          <w:color w:val="000000"/>
          <w:sz w:val="20"/>
          <w:szCs w:val="20"/>
        </w:rPr>
        <w:t>•the inability</w:t>
      </w:r>
      <w:r>
        <w:rPr>
          <w:rFonts w:eastAsia="Times New Roman"/>
          <w:color w:val="000000"/>
          <w:sz w:val="20"/>
          <w:szCs w:val="20"/>
        </w:rPr>
        <w:t xml:space="preserve"> to commercialize any product candidate, if approved; and</w:t>
      </w:r>
    </w:p>
    <w:p w:rsidR="00000000" w:rsidRDefault="009012B9">
      <w:pPr>
        <w:ind w:hanging="480"/>
        <w:divId w:val="863716683"/>
        <w:rPr>
          <w:rFonts w:eastAsia="Times New Roman"/>
        </w:rPr>
      </w:pPr>
      <w:r>
        <w:rPr>
          <w:rFonts w:eastAsia="Times New Roman"/>
          <w:color w:val="000000"/>
          <w:sz w:val="20"/>
          <w:szCs w:val="20"/>
        </w:rPr>
        <w:t>•decline in our share price.</w:t>
      </w:r>
    </w:p>
    <w:p w:rsidR="00000000" w:rsidRDefault="009012B9">
      <w:pPr>
        <w:ind w:firstLine="482"/>
        <w:divId w:val="2099591383"/>
        <w:rPr>
          <w:rFonts w:eastAsia="Times New Roman"/>
        </w:rPr>
      </w:pPr>
      <w:r>
        <w:rPr>
          <w:rFonts w:eastAsia="Times New Roman"/>
          <w:color w:val="000000"/>
          <w:sz w:val="20"/>
          <w:szCs w:val="20"/>
        </w:rPr>
        <w:t>Our inability to obtain sufficient product liability insurance at an acceptable cost to protect against potential product liability claims could prevent or inhibit the c</w:t>
      </w:r>
      <w:r>
        <w:rPr>
          <w:rFonts w:eastAsia="Times New Roman"/>
          <w:color w:val="000000"/>
          <w:sz w:val="20"/>
          <w:szCs w:val="20"/>
        </w:rPr>
        <w:t>ommercialization of products we develop. We will need to obtain additional insurance for clinical trials as PLN-74809 continue clinical development and as additional product candidates enter the clinic. However, we may be unable to obtain, or may obtain on</w:t>
      </w:r>
      <w:r>
        <w:rPr>
          <w:rFonts w:eastAsia="Times New Roman"/>
          <w:color w:val="000000"/>
          <w:sz w:val="20"/>
          <w:szCs w:val="20"/>
        </w:rPr>
        <w:t xml:space="preserve"> unfavorable terms, clinical trial insurance in amounts adequate to cover any liabilities from any of our clinical trials. Our insurance policies may also have various exclusions, and we may be subject to a product liability claim for which we have no cove</w:t>
      </w:r>
      <w:r>
        <w:rPr>
          <w:rFonts w:eastAsia="Times New Roman"/>
          <w:color w:val="000000"/>
          <w:sz w:val="20"/>
          <w:szCs w:val="20"/>
        </w:rPr>
        <w:t xml:space="preserve">rage. We may have to pay any amounts awarded by a court or negotiated in a settlement that exceed our coverage limitations or that are not covered by our insurance, and we may not have, or be able to obtain, sufficient capital to pay such amounts. Even if </w:t>
      </w:r>
      <w:r>
        <w:rPr>
          <w:rFonts w:eastAsia="Times New Roman"/>
          <w:color w:val="000000"/>
          <w:sz w:val="20"/>
          <w:szCs w:val="20"/>
        </w:rPr>
        <w:t>our agreements with any future corporate collaborators entitle us to indemnification against losses, such indemnification may not be available or adequate should any claim arise.</w:t>
      </w:r>
    </w:p>
    <w:p w:rsidR="00000000" w:rsidRDefault="009012B9">
      <w:pPr>
        <w:divId w:val="544101909"/>
        <w:rPr>
          <w:rFonts w:eastAsia="Times New Roman"/>
        </w:rPr>
      </w:pPr>
      <w:r>
        <w:rPr>
          <w:rFonts w:eastAsia="Times New Roman"/>
          <w:b/>
          <w:bCs/>
          <w:i/>
          <w:iCs/>
          <w:color w:val="000000"/>
          <w:sz w:val="20"/>
          <w:szCs w:val="20"/>
        </w:rPr>
        <w:t>We face substantial competition, which may result in others discovering, deve</w:t>
      </w:r>
      <w:r>
        <w:rPr>
          <w:rFonts w:eastAsia="Times New Roman"/>
          <w:b/>
          <w:bCs/>
          <w:i/>
          <w:iCs/>
          <w:color w:val="000000"/>
          <w:sz w:val="20"/>
          <w:szCs w:val="20"/>
        </w:rPr>
        <w:t>loping, or commercializing products before or more successfully than us.</w:t>
      </w:r>
    </w:p>
    <w:p w:rsidR="00000000" w:rsidRDefault="009012B9">
      <w:pPr>
        <w:ind w:firstLine="482"/>
        <w:divId w:val="169684679"/>
        <w:rPr>
          <w:rFonts w:eastAsia="Times New Roman"/>
        </w:rPr>
      </w:pPr>
      <w:r>
        <w:rPr>
          <w:rFonts w:eastAsia="Times New Roman"/>
          <w:color w:val="000000"/>
          <w:sz w:val="20"/>
          <w:szCs w:val="20"/>
        </w:rPr>
        <w:t>The development and commercialization of new drug products is highly competitive. We may face competition with respect to any product candidates that we seek to develop or commercialize in the future from major biopharmaceutical companies, specialty biopha</w:t>
      </w:r>
      <w:r>
        <w:rPr>
          <w:rFonts w:eastAsia="Times New Roman"/>
          <w:color w:val="000000"/>
          <w:sz w:val="20"/>
          <w:szCs w:val="20"/>
        </w:rPr>
        <w:t xml:space="preserve">rmaceutical companies, and biotechnology companies worldwide. Potential competitors also include academic institutions, government agencies, and other public and private research organizations that conduct research, </w:t>
      </w:r>
    </w:p>
    <w:p w:rsidR="00000000" w:rsidRDefault="009012B9">
      <w:pPr>
        <w:jc w:val="center"/>
        <w:divId w:val="426391696"/>
        <w:rPr>
          <w:rFonts w:eastAsia="Times New Roman"/>
        </w:rPr>
      </w:pPr>
      <w:r>
        <w:rPr>
          <w:rFonts w:eastAsia="Times New Roman"/>
          <w:color w:val="000000"/>
          <w:sz w:val="20"/>
          <w:szCs w:val="20"/>
        </w:rPr>
        <w:t>41</w:t>
      </w:r>
    </w:p>
    <w:p w:rsidR="00000000" w:rsidRDefault="009012B9">
      <w:pPr>
        <w:rPr>
          <w:rFonts w:eastAsia="Times New Roman"/>
        </w:rPr>
      </w:pPr>
      <w:r>
        <w:rPr>
          <w:rFonts w:eastAsia="Times New Roman"/>
        </w:rPr>
        <w:pict>
          <v:rect id="_x0000_i1065" style="width:0;height:1.5pt" o:hralign="center" o:hrstd="t" o:hr="t" fillcolor="#a0a0a0" stroked="f"/>
        </w:pict>
      </w:r>
    </w:p>
    <w:p w:rsidR="00000000" w:rsidRDefault="009012B9">
      <w:pPr>
        <w:divId w:val="933127369"/>
        <w:rPr>
          <w:rFonts w:eastAsia="Times New Roman"/>
        </w:rPr>
      </w:pPr>
    </w:p>
    <w:p w:rsidR="00000000" w:rsidRDefault="009012B9">
      <w:pPr>
        <w:divId w:val="156846900"/>
        <w:rPr>
          <w:rFonts w:eastAsia="Times New Roman"/>
        </w:rPr>
      </w:pPr>
      <w:r>
        <w:rPr>
          <w:rFonts w:eastAsia="Times New Roman"/>
          <w:color w:val="000000"/>
          <w:sz w:val="20"/>
          <w:szCs w:val="20"/>
        </w:rPr>
        <w:t>seek patent protection, and establish collaborative arrangements for research, development, manufacturing, and commercialization.</w:t>
      </w:r>
    </w:p>
    <w:p w:rsidR="00000000" w:rsidRDefault="009012B9">
      <w:pPr>
        <w:ind w:firstLine="482"/>
        <w:divId w:val="727873722"/>
        <w:rPr>
          <w:rFonts w:eastAsia="Times New Roman"/>
        </w:rPr>
      </w:pPr>
      <w:r>
        <w:rPr>
          <w:rFonts w:eastAsia="Times New Roman"/>
          <w:color w:val="000000"/>
          <w:sz w:val="20"/>
          <w:szCs w:val="20"/>
        </w:rPr>
        <w:t>There are a number of large biopharmaceutical and biotechnology companies that are currently pursuing the development of pro</w:t>
      </w:r>
      <w:r>
        <w:rPr>
          <w:rFonts w:eastAsia="Times New Roman"/>
          <w:color w:val="000000"/>
          <w:sz w:val="20"/>
          <w:szCs w:val="20"/>
        </w:rPr>
        <w:t xml:space="preserve">ducts for the treatment of fibrosis. Companies that we are aware of that are targeting the treatment of various fibrosis indications through inhibiting various parts of the TGF-ß pathway include large companies with significant financial resources such as </w:t>
      </w:r>
      <w:r>
        <w:rPr>
          <w:rFonts w:eastAsia="Times New Roman"/>
          <w:color w:val="000000"/>
          <w:sz w:val="20"/>
          <w:szCs w:val="20"/>
        </w:rPr>
        <w:t>Biogen, Inc., AbbVie Inc., Gilead Sciences, Inc., Indalo Therapeutics, Inc., FibroGen, Inc., Galapagos NV, Bristol Myers Squibb Co., and Novartis AG. However, we know of no other companies currently in clinical development with an orally bioavailable small</w:t>
      </w:r>
      <w:r>
        <w:rPr>
          <w:rFonts w:eastAsia="Times New Roman"/>
          <w:color w:val="000000"/>
          <w:sz w:val="20"/>
          <w:szCs w:val="20"/>
        </w:rPr>
        <w:t>-molecule, selective integrin inhibitor. In addition, the FDA recently issued a “safe to proceed” letter in relation to our plans to evaluate PLN-74809 in COVID-19-related acute respiratory distress syndrome, for which we recently initiated a Phase 2a tria</w:t>
      </w:r>
      <w:r>
        <w:rPr>
          <w:rFonts w:eastAsia="Times New Roman"/>
          <w:color w:val="000000"/>
          <w:sz w:val="20"/>
          <w:szCs w:val="20"/>
        </w:rPr>
        <w:t>l. We are aware of numerous companies in the U.S. and globally that are developing or have announced plans to develop therapies intended to address COVID-19, including in the form of vaccines, antiviral agents, and treatments to manage the symptoms of COVI</w:t>
      </w:r>
      <w:r>
        <w:rPr>
          <w:rFonts w:eastAsia="Times New Roman"/>
          <w:color w:val="000000"/>
          <w:sz w:val="20"/>
          <w:szCs w:val="20"/>
        </w:rPr>
        <w:t>D-19, including acute respiratory distress syndrome.</w:t>
      </w:r>
    </w:p>
    <w:p w:rsidR="00000000" w:rsidRDefault="009012B9">
      <w:pPr>
        <w:ind w:firstLine="482"/>
        <w:divId w:val="646008890"/>
        <w:rPr>
          <w:rFonts w:eastAsia="Times New Roman"/>
        </w:rPr>
      </w:pPr>
      <w:r>
        <w:rPr>
          <w:rFonts w:eastAsia="Times New Roman"/>
          <w:color w:val="000000"/>
          <w:sz w:val="20"/>
          <w:szCs w:val="20"/>
        </w:rPr>
        <w:t>Many of our current or potential competitors, either alone or with their strategic partners, have significantly greater financial resources and expertise in research and development, manufacturing, precl</w:t>
      </w:r>
      <w:r>
        <w:rPr>
          <w:rFonts w:eastAsia="Times New Roman"/>
          <w:color w:val="000000"/>
          <w:sz w:val="20"/>
          <w:szCs w:val="20"/>
        </w:rPr>
        <w:t>inical testing, conducting clinical trials, obtaining regulatory approvals, and marketing approved products than we do.</w:t>
      </w:r>
    </w:p>
    <w:p w:rsidR="00000000" w:rsidRDefault="009012B9">
      <w:pPr>
        <w:ind w:firstLine="482"/>
        <w:divId w:val="1528177618"/>
        <w:rPr>
          <w:rFonts w:eastAsia="Times New Roman"/>
        </w:rPr>
      </w:pPr>
      <w:r>
        <w:rPr>
          <w:rFonts w:eastAsia="Times New Roman"/>
          <w:color w:val="000000"/>
          <w:sz w:val="20"/>
          <w:szCs w:val="20"/>
        </w:rPr>
        <w:t>Mergers and acquisitions in the biopharmaceutical and biotechnology industries may result in even more resources being concentrated amon</w:t>
      </w:r>
      <w:r>
        <w:rPr>
          <w:rFonts w:eastAsia="Times New Roman"/>
          <w:color w:val="000000"/>
          <w:sz w:val="20"/>
          <w:szCs w:val="20"/>
        </w:rPr>
        <w:t>g a smaller number of our competitors. Smaller or early-stage companies may also prove to be significant competitors, particularly through collaborative arrangements with large and established companies. These competitors also compete with us in recruiting</w:t>
      </w:r>
      <w:r>
        <w:rPr>
          <w:rFonts w:eastAsia="Times New Roman"/>
          <w:color w:val="000000"/>
          <w:sz w:val="20"/>
          <w:szCs w:val="20"/>
        </w:rPr>
        <w:t xml:space="preserve"> and retaining qualified scientific and management personnel and establishing clinical trial sites and patient registration for clinical trials, as well as in acquiring technologies complementary to, or necessary for, our programs. Our commercial opportuni</w:t>
      </w:r>
      <w:r>
        <w:rPr>
          <w:rFonts w:eastAsia="Times New Roman"/>
          <w:color w:val="000000"/>
          <w:sz w:val="20"/>
          <w:szCs w:val="20"/>
        </w:rPr>
        <w:t>ty could be reduced or eliminated if our competitors develop and commercialize products that are safer, more effective, more convenient, or less expensive than any products that we may develop. Furthermore, products currently approved for other indications</w:t>
      </w:r>
      <w:r>
        <w:rPr>
          <w:rFonts w:eastAsia="Times New Roman"/>
          <w:color w:val="000000"/>
          <w:sz w:val="20"/>
          <w:szCs w:val="20"/>
        </w:rPr>
        <w:t xml:space="preserve"> could be discovered to be effective treatments of fibrosis as well, which could give such products significant regulatory and market timing advantages over PLN-74809 or other product candidates that we may identify. Our competitors also may obtain FDA or </w:t>
      </w:r>
      <w:r>
        <w:rPr>
          <w:rFonts w:eastAsia="Times New Roman"/>
          <w:color w:val="000000"/>
          <w:sz w:val="20"/>
          <w:szCs w:val="20"/>
        </w:rPr>
        <w:t>other regulatory approval for their products more rapidly than we may obtain approval for ours and may do, which could result in our competitors establishing a strong market position before we are able to enter the market. Additionally, products or technol</w:t>
      </w:r>
      <w:r>
        <w:rPr>
          <w:rFonts w:eastAsia="Times New Roman"/>
          <w:color w:val="000000"/>
          <w:sz w:val="20"/>
          <w:szCs w:val="20"/>
        </w:rPr>
        <w:t>ogies developed by our competitors may render our potential product candidates uneconomical or obsolete and we may not be successful in marketing any product candidates we may develop against competitors. The availability of competitive products could limi</w:t>
      </w:r>
      <w:r>
        <w:rPr>
          <w:rFonts w:eastAsia="Times New Roman"/>
          <w:color w:val="000000"/>
          <w:sz w:val="20"/>
          <w:szCs w:val="20"/>
        </w:rPr>
        <w:t>t the demand, and the price we are able to charge, for any products that we may develop and commercialize.</w:t>
      </w:r>
    </w:p>
    <w:p w:rsidR="00000000" w:rsidRDefault="009012B9">
      <w:pPr>
        <w:divId w:val="968557287"/>
        <w:rPr>
          <w:rFonts w:eastAsia="Times New Roman"/>
        </w:rPr>
      </w:pPr>
      <w:r>
        <w:rPr>
          <w:rFonts w:eastAsia="Times New Roman"/>
          <w:b/>
          <w:bCs/>
          <w:color w:val="000000"/>
          <w:sz w:val="20"/>
          <w:szCs w:val="20"/>
        </w:rPr>
        <w:t>Risks Related to Marketing, Reimbursement, Healthcare Regulations and Ongoing Regulatory Compliance</w:t>
      </w:r>
    </w:p>
    <w:p w:rsidR="00000000" w:rsidRDefault="009012B9">
      <w:pPr>
        <w:divId w:val="1863856051"/>
        <w:rPr>
          <w:rFonts w:eastAsia="Times New Roman"/>
        </w:rPr>
      </w:pPr>
      <w:r>
        <w:rPr>
          <w:rFonts w:eastAsia="Times New Roman"/>
          <w:b/>
          <w:bCs/>
          <w:i/>
          <w:iCs/>
          <w:color w:val="000000"/>
          <w:sz w:val="20"/>
          <w:szCs w:val="20"/>
        </w:rPr>
        <w:t>Even if a product candidate we develop receives m</w:t>
      </w:r>
      <w:r>
        <w:rPr>
          <w:rFonts w:eastAsia="Times New Roman"/>
          <w:b/>
          <w:bCs/>
          <w:i/>
          <w:iCs/>
          <w:color w:val="000000"/>
          <w:sz w:val="20"/>
          <w:szCs w:val="20"/>
        </w:rPr>
        <w:t>arketing approval, it may fail to achieve the degree of market acceptance by physicians, patients, third-party payors, and others in the medical community necessary for commercial success.</w:t>
      </w:r>
    </w:p>
    <w:p w:rsidR="00000000" w:rsidRDefault="009012B9">
      <w:pPr>
        <w:ind w:firstLine="482"/>
        <w:divId w:val="71976383"/>
        <w:rPr>
          <w:rFonts w:eastAsia="Times New Roman"/>
        </w:rPr>
      </w:pPr>
      <w:r>
        <w:rPr>
          <w:rFonts w:eastAsia="Times New Roman"/>
          <w:color w:val="000000"/>
          <w:sz w:val="20"/>
          <w:szCs w:val="20"/>
        </w:rPr>
        <w:t>Even if PLN-74809 or any other product candidate we develop receive</w:t>
      </w:r>
      <w:r>
        <w:rPr>
          <w:rFonts w:eastAsia="Times New Roman"/>
          <w:color w:val="000000"/>
          <w:sz w:val="20"/>
          <w:szCs w:val="20"/>
        </w:rPr>
        <w:t>s marketing approval, it may nonetheless fail to gain sufficient market acceptance by physicians, patients, third-party payors, such as Medicare and Medicaid programs and managed care organizations, and others in the medical community. In addition, the ava</w:t>
      </w:r>
      <w:r>
        <w:rPr>
          <w:rFonts w:eastAsia="Times New Roman"/>
          <w:color w:val="000000"/>
          <w:sz w:val="20"/>
          <w:szCs w:val="20"/>
        </w:rPr>
        <w:t>ilability of coverage by third-party payors may be affected by existing and future health care reform measures designed to reduce the cost of health care. If the product candidates we develop do not achieve an adequate level of acceptance, we may not gener</w:t>
      </w:r>
      <w:r>
        <w:rPr>
          <w:rFonts w:eastAsia="Times New Roman"/>
          <w:color w:val="000000"/>
          <w:sz w:val="20"/>
          <w:szCs w:val="20"/>
        </w:rPr>
        <w:t>ate significant product revenues and we may not become profitable.</w:t>
      </w:r>
    </w:p>
    <w:p w:rsidR="00000000" w:rsidRDefault="009012B9">
      <w:pPr>
        <w:ind w:firstLine="482"/>
        <w:divId w:val="1209880724"/>
        <w:rPr>
          <w:rFonts w:eastAsia="Times New Roman"/>
        </w:rPr>
      </w:pPr>
      <w:r>
        <w:rPr>
          <w:rFonts w:eastAsia="Times New Roman"/>
          <w:color w:val="000000"/>
          <w:sz w:val="20"/>
          <w:szCs w:val="20"/>
        </w:rPr>
        <w:t>The degree of market acceptance of any product candidate, if approved for commercial sale, will depend on a number of factors, including:</w:t>
      </w:r>
    </w:p>
    <w:p w:rsidR="00000000" w:rsidRDefault="009012B9">
      <w:pPr>
        <w:ind w:hanging="480"/>
        <w:divId w:val="1683583030"/>
        <w:rPr>
          <w:rFonts w:eastAsia="Times New Roman"/>
        </w:rPr>
      </w:pPr>
      <w:r>
        <w:rPr>
          <w:rFonts w:eastAsia="Times New Roman"/>
          <w:color w:val="000000"/>
          <w:sz w:val="20"/>
          <w:szCs w:val="20"/>
        </w:rPr>
        <w:t>•</w:t>
      </w:r>
      <w:r>
        <w:rPr>
          <w:rFonts w:eastAsia="Times New Roman"/>
          <w:color w:val="000000"/>
          <w:sz w:val="20"/>
          <w:szCs w:val="20"/>
        </w:rPr>
        <w:t>efficacy and potential advantages compared to alternative treatments;</w:t>
      </w:r>
    </w:p>
    <w:p w:rsidR="00000000" w:rsidRDefault="009012B9">
      <w:pPr>
        <w:ind w:hanging="480"/>
        <w:divId w:val="2007858091"/>
        <w:rPr>
          <w:rFonts w:eastAsia="Times New Roman"/>
        </w:rPr>
      </w:pPr>
      <w:r>
        <w:rPr>
          <w:rFonts w:eastAsia="Times New Roman"/>
          <w:color w:val="000000"/>
          <w:sz w:val="20"/>
          <w:szCs w:val="20"/>
        </w:rPr>
        <w:t>•the ability to offer our products, if approved, for sale at competitive prices;</w:t>
      </w:r>
    </w:p>
    <w:p w:rsidR="00000000" w:rsidRDefault="009012B9">
      <w:pPr>
        <w:ind w:hanging="480"/>
        <w:divId w:val="2042627739"/>
        <w:rPr>
          <w:rFonts w:eastAsia="Times New Roman"/>
        </w:rPr>
      </w:pPr>
      <w:r>
        <w:rPr>
          <w:rFonts w:eastAsia="Times New Roman"/>
          <w:color w:val="000000"/>
          <w:sz w:val="20"/>
          <w:szCs w:val="20"/>
        </w:rPr>
        <w:t>•convenience and ease of administration compared to alternative treatments;</w:t>
      </w:r>
    </w:p>
    <w:p w:rsidR="00000000" w:rsidRDefault="009012B9">
      <w:pPr>
        <w:ind w:hanging="480"/>
        <w:divId w:val="2138180411"/>
        <w:rPr>
          <w:rFonts w:eastAsia="Times New Roman"/>
        </w:rPr>
      </w:pPr>
      <w:r>
        <w:rPr>
          <w:rFonts w:eastAsia="Times New Roman"/>
          <w:color w:val="000000"/>
          <w:sz w:val="20"/>
          <w:szCs w:val="20"/>
        </w:rPr>
        <w:t>•the willingness of the targe</w:t>
      </w:r>
      <w:r>
        <w:rPr>
          <w:rFonts w:eastAsia="Times New Roman"/>
          <w:color w:val="000000"/>
          <w:sz w:val="20"/>
          <w:szCs w:val="20"/>
        </w:rPr>
        <w:t>t patient population to try new therapies and of physicians to prescribe these therapies;</w:t>
      </w:r>
    </w:p>
    <w:p w:rsidR="00000000" w:rsidRDefault="009012B9">
      <w:pPr>
        <w:ind w:hanging="480"/>
        <w:divId w:val="1454247475"/>
        <w:rPr>
          <w:rFonts w:eastAsia="Times New Roman"/>
        </w:rPr>
      </w:pPr>
      <w:r>
        <w:rPr>
          <w:rFonts w:eastAsia="Times New Roman"/>
          <w:color w:val="000000"/>
          <w:sz w:val="20"/>
          <w:szCs w:val="20"/>
        </w:rPr>
        <w:t>•the recommendations with respect to our product candidates in guidelines published by various scientific organizations applicable to us and our product candidates;</w:t>
      </w:r>
    </w:p>
    <w:p w:rsidR="00000000" w:rsidRDefault="009012B9">
      <w:pPr>
        <w:jc w:val="center"/>
        <w:divId w:val="1027608686"/>
        <w:rPr>
          <w:rFonts w:eastAsia="Times New Roman"/>
        </w:rPr>
      </w:pPr>
      <w:r>
        <w:rPr>
          <w:rFonts w:eastAsia="Times New Roman"/>
          <w:color w:val="000000"/>
          <w:sz w:val="20"/>
          <w:szCs w:val="20"/>
        </w:rPr>
        <w:t>4</w:t>
      </w:r>
      <w:r>
        <w:rPr>
          <w:rFonts w:eastAsia="Times New Roman"/>
          <w:color w:val="000000"/>
          <w:sz w:val="20"/>
          <w:szCs w:val="20"/>
        </w:rPr>
        <w:t>2</w:t>
      </w:r>
    </w:p>
    <w:p w:rsidR="00000000" w:rsidRDefault="009012B9">
      <w:pPr>
        <w:rPr>
          <w:rFonts w:eastAsia="Times New Roman"/>
        </w:rPr>
      </w:pPr>
      <w:r>
        <w:rPr>
          <w:rFonts w:eastAsia="Times New Roman"/>
        </w:rPr>
        <w:pict>
          <v:rect id="_x0000_i1066" style="width:0;height:1.5pt" o:hralign="center" o:hrstd="t" o:hr="t" fillcolor="#a0a0a0" stroked="f"/>
        </w:pict>
      </w:r>
    </w:p>
    <w:p w:rsidR="00000000" w:rsidRDefault="009012B9">
      <w:pPr>
        <w:divId w:val="1171794266"/>
        <w:rPr>
          <w:rFonts w:eastAsia="Times New Roman"/>
        </w:rPr>
      </w:pPr>
    </w:p>
    <w:p w:rsidR="00000000" w:rsidRDefault="009012B9">
      <w:pPr>
        <w:ind w:hanging="480"/>
        <w:divId w:val="2117482140"/>
        <w:rPr>
          <w:rFonts w:eastAsia="Times New Roman"/>
        </w:rPr>
      </w:pPr>
      <w:r>
        <w:rPr>
          <w:rFonts w:eastAsia="Times New Roman"/>
          <w:color w:val="000000"/>
          <w:sz w:val="20"/>
          <w:szCs w:val="20"/>
        </w:rPr>
        <w:t>•the strength of marketing and distribution support;</w:t>
      </w:r>
    </w:p>
    <w:p w:rsidR="00000000" w:rsidRDefault="009012B9">
      <w:pPr>
        <w:ind w:hanging="480"/>
        <w:divId w:val="670983236"/>
        <w:rPr>
          <w:rFonts w:eastAsia="Times New Roman"/>
        </w:rPr>
      </w:pPr>
      <w:r>
        <w:rPr>
          <w:rFonts w:eastAsia="Times New Roman"/>
          <w:color w:val="000000"/>
          <w:sz w:val="20"/>
          <w:szCs w:val="20"/>
        </w:rPr>
        <w:t>•the ability to obtain sufficient third-party coverage and adequate reimbursement; and</w:t>
      </w:r>
    </w:p>
    <w:p w:rsidR="00000000" w:rsidRDefault="009012B9">
      <w:pPr>
        <w:ind w:hanging="480"/>
        <w:divId w:val="484316888"/>
        <w:rPr>
          <w:rFonts w:eastAsia="Times New Roman"/>
        </w:rPr>
      </w:pPr>
      <w:r>
        <w:rPr>
          <w:rFonts w:eastAsia="Times New Roman"/>
          <w:color w:val="000000"/>
          <w:sz w:val="20"/>
          <w:szCs w:val="20"/>
        </w:rPr>
        <w:t>•the prevalence and severity of any side effects.</w:t>
      </w:r>
    </w:p>
    <w:p w:rsidR="00000000" w:rsidRDefault="009012B9">
      <w:pPr>
        <w:ind w:firstLine="482"/>
        <w:divId w:val="1601059064"/>
        <w:rPr>
          <w:rFonts w:eastAsia="Times New Roman"/>
        </w:rPr>
      </w:pPr>
      <w:r>
        <w:rPr>
          <w:rFonts w:eastAsia="Times New Roman"/>
          <w:color w:val="000000"/>
          <w:sz w:val="20"/>
          <w:szCs w:val="20"/>
        </w:rPr>
        <w:t>If government and other th</w:t>
      </w:r>
      <w:r>
        <w:rPr>
          <w:rFonts w:eastAsia="Times New Roman"/>
          <w:color w:val="000000"/>
          <w:sz w:val="20"/>
          <w:szCs w:val="20"/>
        </w:rPr>
        <w:t>ird-party payors do not provide coverage and adequate reimbursement levels for any products we commercialize, market acceptance and commercial success would be reduced.</w:t>
      </w:r>
    </w:p>
    <w:p w:rsidR="00000000" w:rsidRDefault="009012B9">
      <w:pPr>
        <w:divId w:val="446000699"/>
        <w:rPr>
          <w:rFonts w:eastAsia="Times New Roman"/>
        </w:rPr>
      </w:pPr>
      <w:r>
        <w:rPr>
          <w:rFonts w:eastAsia="Times New Roman"/>
          <w:b/>
          <w:bCs/>
          <w:i/>
          <w:iCs/>
          <w:color w:val="000000"/>
          <w:sz w:val="20"/>
          <w:szCs w:val="20"/>
        </w:rPr>
        <w:t>Coverage and reimbursement may be limited or unavailable in certain market segments for</w:t>
      </w:r>
      <w:r>
        <w:rPr>
          <w:rFonts w:eastAsia="Times New Roman"/>
          <w:b/>
          <w:bCs/>
          <w:i/>
          <w:iCs/>
          <w:color w:val="000000"/>
          <w:sz w:val="20"/>
          <w:szCs w:val="20"/>
        </w:rPr>
        <w:t xml:space="preserve"> our product candidates, if approved, which could make it difficult for us to sell any product candidates profitably.</w:t>
      </w:r>
    </w:p>
    <w:p w:rsidR="00000000" w:rsidRDefault="009012B9">
      <w:pPr>
        <w:ind w:firstLine="482"/>
        <w:divId w:val="2093113564"/>
        <w:rPr>
          <w:rFonts w:eastAsia="Times New Roman"/>
        </w:rPr>
      </w:pPr>
      <w:r>
        <w:rPr>
          <w:rFonts w:eastAsia="Times New Roman"/>
          <w:color w:val="000000"/>
          <w:sz w:val="20"/>
          <w:szCs w:val="20"/>
        </w:rPr>
        <w:t>Significant uncertainty exists as to the coverage and reimbursement status of any products for which we may obtain regulatory approval. In</w:t>
      </w:r>
      <w:r>
        <w:rPr>
          <w:rFonts w:eastAsia="Times New Roman"/>
          <w:color w:val="000000"/>
          <w:sz w:val="20"/>
          <w:szCs w:val="20"/>
        </w:rPr>
        <w:t xml:space="preserve"> the U.S., sales of any products for which we may receive regulatory marketing approval will depend, in part, on the availability of coverage and reimbursement from third-party payors. Third-party payors include government authorities such as Medicare, Med</w:t>
      </w:r>
      <w:r>
        <w:rPr>
          <w:rFonts w:eastAsia="Times New Roman"/>
          <w:color w:val="000000"/>
          <w:sz w:val="20"/>
          <w:szCs w:val="20"/>
        </w:rPr>
        <w:t>icaid, TRICARE, and the Veterans Administration, managed care providers, private health insurers, and other organizations. Patients who are provided medical treatment for their conditions generally rely on third-party payors to reimburse all or part of the</w:t>
      </w:r>
      <w:r>
        <w:rPr>
          <w:rFonts w:eastAsia="Times New Roman"/>
          <w:color w:val="000000"/>
          <w:sz w:val="20"/>
          <w:szCs w:val="20"/>
        </w:rPr>
        <w:t xml:space="preserve"> costs associated with their treatment. Coverage and adequate reimbursement from governmental healthcare programs, such as Medicare and Medicaid, and commercial payors is critical to new product acceptance. Patients are unlikely to use our product candidat</w:t>
      </w:r>
      <w:r>
        <w:rPr>
          <w:rFonts w:eastAsia="Times New Roman"/>
          <w:color w:val="000000"/>
          <w:sz w:val="20"/>
          <w:szCs w:val="20"/>
        </w:rPr>
        <w:t xml:space="preserve">es unless coverage is provided, and reimbursement is adequate to cover a significant portion of the cost. We cannot be sure that coverage and reimbursement will be available for, or accurately estimate the potential revenue from, our product candidates or </w:t>
      </w:r>
      <w:r>
        <w:rPr>
          <w:rFonts w:eastAsia="Times New Roman"/>
          <w:color w:val="000000"/>
          <w:sz w:val="20"/>
          <w:szCs w:val="20"/>
        </w:rPr>
        <w:t>assure that coverage and reimbursement will be available for any product that we may develop.</w:t>
      </w:r>
    </w:p>
    <w:p w:rsidR="00000000" w:rsidRDefault="009012B9">
      <w:pPr>
        <w:ind w:firstLine="482"/>
        <w:divId w:val="1882473375"/>
        <w:rPr>
          <w:rFonts w:eastAsia="Times New Roman"/>
        </w:rPr>
      </w:pPr>
      <w:r>
        <w:rPr>
          <w:rFonts w:eastAsia="Times New Roman"/>
          <w:color w:val="000000"/>
          <w:sz w:val="20"/>
          <w:szCs w:val="20"/>
        </w:rPr>
        <w:t xml:space="preserve">Government authorities and other third-party payors decide which drugs and treatments they will cover and the amount of reimbursement. Coverage and reimbursement </w:t>
      </w:r>
      <w:r>
        <w:rPr>
          <w:rFonts w:eastAsia="Times New Roman"/>
          <w:color w:val="000000"/>
          <w:sz w:val="20"/>
          <w:szCs w:val="20"/>
        </w:rPr>
        <w:t>by a third-party payor may depend upon a number of factors, including the third-party payor’s determination that use of a product is:</w:t>
      </w:r>
    </w:p>
    <w:p w:rsidR="00000000" w:rsidRDefault="009012B9">
      <w:pPr>
        <w:ind w:hanging="480"/>
        <w:divId w:val="1356806801"/>
        <w:rPr>
          <w:rFonts w:eastAsia="Times New Roman"/>
        </w:rPr>
      </w:pPr>
      <w:r>
        <w:rPr>
          <w:rFonts w:eastAsia="Times New Roman"/>
          <w:color w:val="000000"/>
          <w:sz w:val="20"/>
          <w:szCs w:val="20"/>
        </w:rPr>
        <w:t>•a covered benefit under its health plan;</w:t>
      </w:r>
    </w:p>
    <w:p w:rsidR="00000000" w:rsidRDefault="009012B9">
      <w:pPr>
        <w:ind w:hanging="480"/>
        <w:divId w:val="1854606361"/>
        <w:rPr>
          <w:rFonts w:eastAsia="Times New Roman"/>
        </w:rPr>
      </w:pPr>
      <w:r>
        <w:rPr>
          <w:rFonts w:eastAsia="Times New Roman"/>
          <w:color w:val="000000"/>
          <w:sz w:val="20"/>
          <w:szCs w:val="20"/>
        </w:rPr>
        <w:t>•</w:t>
      </w:r>
      <w:r>
        <w:rPr>
          <w:rFonts w:eastAsia="Times New Roman"/>
          <w:color w:val="000000"/>
          <w:sz w:val="20"/>
          <w:szCs w:val="20"/>
        </w:rPr>
        <w:t>safe, effective and medically necessary;</w:t>
      </w:r>
    </w:p>
    <w:p w:rsidR="00000000" w:rsidRDefault="009012B9">
      <w:pPr>
        <w:ind w:hanging="480"/>
        <w:divId w:val="436219852"/>
        <w:rPr>
          <w:rFonts w:eastAsia="Times New Roman"/>
        </w:rPr>
      </w:pPr>
      <w:r>
        <w:rPr>
          <w:rFonts w:eastAsia="Times New Roman"/>
          <w:color w:val="000000"/>
          <w:sz w:val="20"/>
          <w:szCs w:val="20"/>
        </w:rPr>
        <w:t>•appropriate for the specific patient;</w:t>
      </w:r>
    </w:p>
    <w:p w:rsidR="00000000" w:rsidRDefault="009012B9">
      <w:pPr>
        <w:ind w:hanging="480"/>
        <w:divId w:val="862671989"/>
        <w:rPr>
          <w:rFonts w:eastAsia="Times New Roman"/>
        </w:rPr>
      </w:pPr>
      <w:r>
        <w:rPr>
          <w:rFonts w:eastAsia="Times New Roman"/>
          <w:color w:val="000000"/>
          <w:sz w:val="20"/>
          <w:szCs w:val="20"/>
        </w:rPr>
        <w:t>•cost-effective; and</w:t>
      </w:r>
    </w:p>
    <w:p w:rsidR="00000000" w:rsidRDefault="009012B9">
      <w:pPr>
        <w:ind w:hanging="480"/>
        <w:divId w:val="464666005"/>
        <w:rPr>
          <w:rFonts w:eastAsia="Times New Roman"/>
        </w:rPr>
      </w:pPr>
      <w:r>
        <w:rPr>
          <w:rFonts w:eastAsia="Times New Roman"/>
          <w:color w:val="000000"/>
          <w:sz w:val="20"/>
          <w:szCs w:val="20"/>
        </w:rPr>
        <w:t>•neither experimental nor investigational.</w:t>
      </w:r>
    </w:p>
    <w:p w:rsidR="00000000" w:rsidRDefault="009012B9">
      <w:pPr>
        <w:ind w:firstLine="482"/>
        <w:divId w:val="74867504"/>
        <w:rPr>
          <w:rFonts w:eastAsia="Times New Roman"/>
        </w:rPr>
      </w:pPr>
      <w:r>
        <w:rPr>
          <w:rFonts w:eastAsia="Times New Roman"/>
          <w:color w:val="000000"/>
          <w:sz w:val="20"/>
          <w:szCs w:val="20"/>
        </w:rPr>
        <w:t>In the United States, no uniform policy of coverage and reimbursement for products exists among third-party payo</w:t>
      </w:r>
      <w:r>
        <w:rPr>
          <w:rFonts w:eastAsia="Times New Roman"/>
          <w:color w:val="000000"/>
          <w:sz w:val="20"/>
          <w:szCs w:val="20"/>
        </w:rPr>
        <w:t>rs. As a result, obtaining coverage and reimbursement approval of a product from a government or other third-party payor is a time-consuming and costly process that could require us to provide to each payor supporting scientific, clinical and cost-effectiv</w:t>
      </w:r>
      <w:r>
        <w:rPr>
          <w:rFonts w:eastAsia="Times New Roman"/>
          <w:color w:val="000000"/>
          <w:sz w:val="20"/>
          <w:szCs w:val="20"/>
        </w:rPr>
        <w:t>eness data for the use of our products on a payor-by-payor basis, with no assurance that coverage and adequate reimbursement will be obtained. Even if we obtain coverage for a given product, the resulting reimbursement payment rates might not be adequate f</w:t>
      </w:r>
      <w:r>
        <w:rPr>
          <w:rFonts w:eastAsia="Times New Roman"/>
          <w:color w:val="000000"/>
          <w:sz w:val="20"/>
          <w:szCs w:val="20"/>
        </w:rPr>
        <w:t xml:space="preserve">or us to achieve or sustain profitability or may require co-payments that patients find unacceptably high. Additionally, third-party payors may not cover, or provide adequate reimbursement for, long-term follow-up evaluations required following the use of </w:t>
      </w:r>
      <w:r>
        <w:rPr>
          <w:rFonts w:eastAsia="Times New Roman"/>
          <w:color w:val="000000"/>
          <w:sz w:val="20"/>
          <w:szCs w:val="20"/>
        </w:rPr>
        <w:t>product candidates, once approved. It is difficult to predict at this time what third-party payors will decide with respect to the coverage and reimbursement for our product candidates, if approved.</w:t>
      </w:r>
    </w:p>
    <w:p w:rsidR="00000000" w:rsidRDefault="009012B9">
      <w:pPr>
        <w:ind w:firstLine="482"/>
        <w:divId w:val="1138955068"/>
        <w:rPr>
          <w:rFonts w:eastAsia="Times New Roman"/>
        </w:rPr>
      </w:pPr>
      <w:r>
        <w:rPr>
          <w:rFonts w:eastAsia="Times New Roman"/>
          <w:color w:val="000000"/>
          <w:sz w:val="20"/>
          <w:szCs w:val="20"/>
        </w:rPr>
        <w:t>The Medicare Prescription Drug, Improvement, and Moderniz</w:t>
      </w:r>
      <w:r>
        <w:rPr>
          <w:rFonts w:eastAsia="Times New Roman"/>
          <w:color w:val="000000"/>
          <w:sz w:val="20"/>
          <w:szCs w:val="20"/>
        </w:rPr>
        <w:t>ation Act of 2003, also called the Medicare Modernization Act, or the MMA, established the Medicare Part D program to provide a voluntary prescription drug and biologic benefit to Medicare beneficiaries. Under Part D, Medicare beneficiaries may enroll in p</w:t>
      </w:r>
      <w:r>
        <w:rPr>
          <w:rFonts w:eastAsia="Times New Roman"/>
          <w:color w:val="000000"/>
          <w:sz w:val="20"/>
          <w:szCs w:val="20"/>
        </w:rPr>
        <w:t xml:space="preserve">rescription drug plans offered by private entities that provide coverage of outpatient prescription drugs and biologics. Unlike Medicare Parts A and B, Part D coverage is not standardized. Part D prescription drug plan sponsors are not required to pay for </w:t>
      </w:r>
      <w:r>
        <w:rPr>
          <w:rFonts w:eastAsia="Times New Roman"/>
          <w:color w:val="000000"/>
          <w:sz w:val="20"/>
          <w:szCs w:val="20"/>
        </w:rPr>
        <w:t>all covered Part D drugs and biologics, and each drug plan can develop its own formulary that identifies which drugs and biologics it will cover, and at what tier or level. However, Part D prescription drug formularies must include products within each the</w:t>
      </w:r>
      <w:r>
        <w:rPr>
          <w:rFonts w:eastAsia="Times New Roman"/>
          <w:color w:val="000000"/>
          <w:sz w:val="20"/>
          <w:szCs w:val="20"/>
        </w:rPr>
        <w:t>rapeutic category and class of covered Part D drugs, though not necessarily all the drugs and biologics in each category or class. Any formulary used by a Part D prescription drug plan must be developed and reviewed by a pharmacy and therapeutic committee.</w:t>
      </w:r>
      <w:r>
        <w:rPr>
          <w:rFonts w:eastAsia="Times New Roman"/>
          <w:color w:val="000000"/>
          <w:sz w:val="20"/>
          <w:szCs w:val="20"/>
        </w:rPr>
        <w:t xml:space="preserve"> Government payment for some of the costs of prescription drugs and biologics may increase demand for products for which we obtain marketing approval. Any negotiated prices for any of our products covered by a Part D prescription drug plan will likely be l</w:t>
      </w:r>
      <w:r>
        <w:rPr>
          <w:rFonts w:eastAsia="Times New Roman"/>
          <w:color w:val="000000"/>
          <w:sz w:val="20"/>
          <w:szCs w:val="20"/>
        </w:rPr>
        <w:t xml:space="preserve">ower than the prices we might otherwise obtain. Moreover, while the MMA applies only to drug benefits for Medicare beneficiaries, private </w:t>
      </w:r>
    </w:p>
    <w:p w:rsidR="00000000" w:rsidRDefault="009012B9">
      <w:pPr>
        <w:jc w:val="center"/>
        <w:divId w:val="1674643872"/>
        <w:rPr>
          <w:rFonts w:eastAsia="Times New Roman"/>
        </w:rPr>
      </w:pPr>
      <w:r>
        <w:rPr>
          <w:rFonts w:eastAsia="Times New Roman"/>
          <w:color w:val="000000"/>
          <w:sz w:val="20"/>
          <w:szCs w:val="20"/>
        </w:rPr>
        <w:t>43</w:t>
      </w:r>
    </w:p>
    <w:p w:rsidR="00000000" w:rsidRDefault="009012B9">
      <w:pPr>
        <w:rPr>
          <w:rFonts w:eastAsia="Times New Roman"/>
        </w:rPr>
      </w:pPr>
      <w:r>
        <w:rPr>
          <w:rFonts w:eastAsia="Times New Roman"/>
        </w:rPr>
        <w:pict>
          <v:rect id="_x0000_i1067" style="width:0;height:1.5pt" o:hralign="center" o:hrstd="t" o:hr="t" fillcolor="#a0a0a0" stroked="f"/>
        </w:pict>
      </w:r>
    </w:p>
    <w:p w:rsidR="00000000" w:rsidRDefault="009012B9">
      <w:pPr>
        <w:divId w:val="488600511"/>
        <w:rPr>
          <w:rFonts w:eastAsia="Times New Roman"/>
        </w:rPr>
      </w:pPr>
    </w:p>
    <w:p w:rsidR="00000000" w:rsidRDefault="009012B9">
      <w:pPr>
        <w:divId w:val="542255855"/>
        <w:rPr>
          <w:rFonts w:eastAsia="Times New Roman"/>
        </w:rPr>
      </w:pPr>
      <w:r>
        <w:rPr>
          <w:rFonts w:eastAsia="Times New Roman"/>
          <w:color w:val="000000"/>
          <w:sz w:val="20"/>
          <w:szCs w:val="20"/>
        </w:rPr>
        <w:t>payors often follow Medicare coverage policy and payment limitations in sett</w:t>
      </w:r>
      <w:r>
        <w:rPr>
          <w:rFonts w:eastAsia="Times New Roman"/>
          <w:color w:val="000000"/>
          <w:sz w:val="20"/>
          <w:szCs w:val="20"/>
        </w:rPr>
        <w:t>ing their own payment rates. Any reduction in payment that results from the MMA may result in a similar reduction in payments from non-governmental payors.</w:t>
      </w:r>
    </w:p>
    <w:p w:rsidR="00000000" w:rsidRDefault="009012B9">
      <w:pPr>
        <w:ind w:firstLine="482"/>
        <w:divId w:val="782840986"/>
        <w:rPr>
          <w:rFonts w:eastAsia="Times New Roman"/>
        </w:rPr>
      </w:pPr>
      <w:r>
        <w:rPr>
          <w:rFonts w:eastAsia="Times New Roman"/>
          <w:color w:val="000000"/>
          <w:sz w:val="20"/>
          <w:szCs w:val="20"/>
        </w:rPr>
        <w:t xml:space="preserve">For a drug or biologic product to receive federal reimbursement under the Medicaid or Medicare Part </w:t>
      </w:r>
      <w:r>
        <w:rPr>
          <w:rFonts w:eastAsia="Times New Roman"/>
          <w:color w:val="000000"/>
          <w:sz w:val="20"/>
          <w:szCs w:val="20"/>
        </w:rPr>
        <w:t>B programs or to be sold directly to U.S. government agencies, the manufacturer must extend discounts to entities eligible to participate in the 340B drug pricing program. The required 340B discount on a given product is calculated based on the average man</w:t>
      </w:r>
      <w:r>
        <w:rPr>
          <w:rFonts w:eastAsia="Times New Roman"/>
          <w:color w:val="000000"/>
          <w:sz w:val="20"/>
          <w:szCs w:val="20"/>
        </w:rPr>
        <w:t>ufacturer price, or AMP, and Medicaid rebate amounts reported by the manufacturer. The entities entitled to participate and the discounts available under this program, as well of other aspects of this program, are the subject of frequent legislative and re</w:t>
      </w:r>
      <w:r>
        <w:rPr>
          <w:rFonts w:eastAsia="Times New Roman"/>
          <w:color w:val="000000"/>
          <w:sz w:val="20"/>
          <w:szCs w:val="20"/>
        </w:rPr>
        <w:t>gulatory review and litigation. It is difficult to predict how program revisions and litigation could affect covered hospitals who might purchase our products in the future, and affect the rates we may charge such facilities for our approved products.</w:t>
      </w:r>
    </w:p>
    <w:p w:rsidR="00000000" w:rsidRDefault="009012B9">
      <w:pPr>
        <w:ind w:firstLine="482"/>
        <w:divId w:val="534852893"/>
        <w:rPr>
          <w:rFonts w:eastAsia="Times New Roman"/>
        </w:rPr>
      </w:pPr>
      <w:r>
        <w:rPr>
          <w:rFonts w:eastAsia="Times New Roman"/>
          <w:color w:val="000000"/>
          <w:sz w:val="20"/>
          <w:szCs w:val="20"/>
        </w:rPr>
        <w:t>Chan</w:t>
      </w:r>
      <w:r>
        <w:rPr>
          <w:rFonts w:eastAsia="Times New Roman"/>
          <w:color w:val="000000"/>
          <w:sz w:val="20"/>
          <w:szCs w:val="20"/>
        </w:rPr>
        <w:t>ges to these current laws and state and federal healthcare reform measures that may be adopted in the future may result in additional reductions in Medicare and other healthcare funding and otherwise affect the prices we may obtain for any product candidat</w:t>
      </w:r>
      <w:r>
        <w:rPr>
          <w:rFonts w:eastAsia="Times New Roman"/>
          <w:color w:val="000000"/>
          <w:sz w:val="20"/>
          <w:szCs w:val="20"/>
        </w:rPr>
        <w:t>es for which we may obtain regulatory approval or the frequency with which any such product candidate is prescribed or used.</w:t>
      </w:r>
    </w:p>
    <w:p w:rsidR="00000000" w:rsidRDefault="009012B9">
      <w:pPr>
        <w:divId w:val="879633849"/>
        <w:rPr>
          <w:rFonts w:eastAsia="Times New Roman"/>
        </w:rPr>
      </w:pPr>
      <w:r>
        <w:rPr>
          <w:rFonts w:eastAsia="Times New Roman"/>
          <w:b/>
          <w:bCs/>
          <w:i/>
          <w:iCs/>
          <w:color w:val="000000"/>
          <w:sz w:val="20"/>
          <w:szCs w:val="20"/>
        </w:rPr>
        <w:t>Even if we obtain FDA approval of any of our product candidates, we may never obtain approval or commercialize such products outsid</w:t>
      </w:r>
      <w:r>
        <w:rPr>
          <w:rFonts w:eastAsia="Times New Roman"/>
          <w:b/>
          <w:bCs/>
          <w:i/>
          <w:iCs/>
          <w:color w:val="000000"/>
          <w:sz w:val="20"/>
          <w:szCs w:val="20"/>
        </w:rPr>
        <w:t>e of the United States, which would limit our ability to realize their full market potential.</w:t>
      </w:r>
    </w:p>
    <w:p w:rsidR="00000000" w:rsidRDefault="009012B9">
      <w:pPr>
        <w:ind w:firstLine="482"/>
        <w:divId w:val="908424403"/>
        <w:rPr>
          <w:rFonts w:eastAsia="Times New Roman"/>
        </w:rPr>
      </w:pPr>
      <w:r>
        <w:rPr>
          <w:rFonts w:eastAsia="Times New Roman"/>
          <w:color w:val="000000"/>
          <w:sz w:val="20"/>
          <w:szCs w:val="20"/>
        </w:rPr>
        <w:t>In order to market any products outside of the United States, we must establish and comply with numerous and varying regulatory requirements of other countries re</w:t>
      </w:r>
      <w:r>
        <w:rPr>
          <w:rFonts w:eastAsia="Times New Roman"/>
          <w:color w:val="000000"/>
          <w:sz w:val="20"/>
          <w:szCs w:val="20"/>
        </w:rPr>
        <w:t>garding safety and efficacy. Clinical trials conducted in one country may not be accepted by regulatory authorities in other countries, and regulatory approval in one country does not mean that regulatory approval will be obtained in any other country. App</w:t>
      </w:r>
      <w:r>
        <w:rPr>
          <w:rFonts w:eastAsia="Times New Roman"/>
          <w:color w:val="000000"/>
          <w:sz w:val="20"/>
          <w:szCs w:val="20"/>
        </w:rPr>
        <w:t>roval procedures vary among countries and can involve additional product testing and validation and additional administrative review periods. Seeking foreign regulatory approvals could result in significant delays, difficulties, and costs for us and may re</w:t>
      </w:r>
      <w:r>
        <w:rPr>
          <w:rFonts w:eastAsia="Times New Roman"/>
          <w:color w:val="000000"/>
          <w:sz w:val="20"/>
          <w:szCs w:val="20"/>
        </w:rPr>
        <w:t>quire additional preclinical studies or clinical trials which would be costly and time consuming. Regulatory requirements can vary widely from country to country and could delay or prevent the introduction of our products in those countries. Satisfying the</w:t>
      </w:r>
      <w:r>
        <w:rPr>
          <w:rFonts w:eastAsia="Times New Roman"/>
          <w:color w:val="000000"/>
          <w:sz w:val="20"/>
          <w:szCs w:val="20"/>
        </w:rPr>
        <w:t xml:space="preserve">se and other regulatory requirements is costly, time consuming, uncertain, and subject to unanticipated delays. In addition, our failure to obtain regulatory approval in any country may delay or have negative effects on the process for regulatory approval </w:t>
      </w:r>
      <w:r>
        <w:rPr>
          <w:rFonts w:eastAsia="Times New Roman"/>
          <w:color w:val="000000"/>
          <w:sz w:val="20"/>
          <w:szCs w:val="20"/>
        </w:rPr>
        <w:t xml:space="preserve">in other countries. We do not have any product candidates approved for sale in any jurisdiction, including international markets, and we do not have experience in obtaining regulatory approval in international markets. If we fail to comply with regulatory </w:t>
      </w:r>
      <w:r>
        <w:rPr>
          <w:rFonts w:eastAsia="Times New Roman"/>
          <w:color w:val="000000"/>
          <w:sz w:val="20"/>
          <w:szCs w:val="20"/>
        </w:rPr>
        <w:t>requirements in international markets or to obtain and maintain required approvals, our ability to realize the full market potential of our products will be harmed.</w:t>
      </w:r>
    </w:p>
    <w:p w:rsidR="00000000" w:rsidRDefault="009012B9">
      <w:pPr>
        <w:divId w:val="1532953211"/>
        <w:rPr>
          <w:rFonts w:eastAsia="Times New Roman"/>
        </w:rPr>
      </w:pPr>
      <w:r>
        <w:rPr>
          <w:rFonts w:eastAsia="Times New Roman"/>
          <w:b/>
          <w:bCs/>
          <w:i/>
          <w:iCs/>
          <w:color w:val="000000"/>
          <w:sz w:val="20"/>
          <w:szCs w:val="20"/>
        </w:rPr>
        <w:t>We currently have no marketing and sales organization and have no experience as a company i</w:t>
      </w:r>
      <w:r>
        <w:rPr>
          <w:rFonts w:eastAsia="Times New Roman"/>
          <w:b/>
          <w:bCs/>
          <w:i/>
          <w:iCs/>
          <w:color w:val="000000"/>
          <w:sz w:val="20"/>
          <w:szCs w:val="20"/>
        </w:rPr>
        <w:t>n commercializing products, and we may have to invest significant resources to develop these capabilities. If we are unable to establish marketing and sales capabilities or enter into agreements with third parties to market and sell our products, we may no</w:t>
      </w:r>
      <w:r>
        <w:rPr>
          <w:rFonts w:eastAsia="Times New Roman"/>
          <w:b/>
          <w:bCs/>
          <w:i/>
          <w:iCs/>
          <w:color w:val="000000"/>
          <w:sz w:val="20"/>
          <w:szCs w:val="20"/>
        </w:rPr>
        <w:t>t be able to generate product revenue.</w:t>
      </w:r>
    </w:p>
    <w:p w:rsidR="00000000" w:rsidRDefault="009012B9">
      <w:pPr>
        <w:ind w:firstLine="482"/>
        <w:divId w:val="590046667"/>
        <w:rPr>
          <w:rFonts w:eastAsia="Times New Roman"/>
        </w:rPr>
      </w:pPr>
      <w:r>
        <w:rPr>
          <w:rFonts w:eastAsia="Times New Roman"/>
          <w:color w:val="000000"/>
          <w:sz w:val="20"/>
          <w:szCs w:val="20"/>
        </w:rPr>
        <w:t>We have no internal sales, marketing, or distribution capabilities, nor have we commercialized a product. If any of our product candidates ultimately receives regulatory approval, we expect to establish a marketing an</w:t>
      </w:r>
      <w:r>
        <w:rPr>
          <w:rFonts w:eastAsia="Times New Roman"/>
          <w:color w:val="000000"/>
          <w:sz w:val="20"/>
          <w:szCs w:val="20"/>
        </w:rPr>
        <w:t>d sales organization with technical expertise and supporting distribution capabilities to commercialize each such product in major markets, which will be expensive and time consuming. We have no prior experience as a company in the marketing, sale and dist</w:t>
      </w:r>
      <w:r>
        <w:rPr>
          <w:rFonts w:eastAsia="Times New Roman"/>
          <w:color w:val="000000"/>
          <w:sz w:val="20"/>
          <w:szCs w:val="20"/>
        </w:rPr>
        <w:t>ribution of pharmaceutical products and there are significant risks involved in building and managing a sales organization, including our ability to hire, retain and incentivize qualified individuals, generate sufficient sales leads, provide adequate train</w:t>
      </w:r>
      <w:r>
        <w:rPr>
          <w:rFonts w:eastAsia="Times New Roman"/>
          <w:color w:val="000000"/>
          <w:sz w:val="20"/>
          <w:szCs w:val="20"/>
        </w:rPr>
        <w:t>ing to sales and marketing personnel, and effectively manage a geographically dispersed sales and marketing team. Any failure or delay in the development of our internal sales, marketing and distribution capabilities would adversely impact the commercializ</w:t>
      </w:r>
      <w:r>
        <w:rPr>
          <w:rFonts w:eastAsia="Times New Roman"/>
          <w:color w:val="000000"/>
          <w:sz w:val="20"/>
          <w:szCs w:val="20"/>
        </w:rPr>
        <w:t>ation of these products. We may also choose to collaborate with third parties that have direct sales forces and established distribution systems, either to augment our own sales force and distribution systems or in lieu of our own sales force and distribut</w:t>
      </w:r>
      <w:r>
        <w:rPr>
          <w:rFonts w:eastAsia="Times New Roman"/>
          <w:color w:val="000000"/>
          <w:sz w:val="20"/>
          <w:szCs w:val="20"/>
        </w:rPr>
        <w:t xml:space="preserve">ion systems. We may not be able to enter into collaborations or hire consultants or external service providers to assist us in sales, marketing and distribution functions on acceptable financial terms, or at all. In addition, our product revenues, and our </w:t>
      </w:r>
      <w:r>
        <w:rPr>
          <w:rFonts w:eastAsia="Times New Roman"/>
          <w:color w:val="000000"/>
          <w:sz w:val="20"/>
          <w:szCs w:val="20"/>
        </w:rPr>
        <w:t xml:space="preserve">profitability, if any, may be lower if we rely on third parties for these functions than if we were to market, sell and distribute any products that we develop ourselves. We likely will have little control over such third parties, and any of them may fail </w:t>
      </w:r>
      <w:r>
        <w:rPr>
          <w:rFonts w:eastAsia="Times New Roman"/>
          <w:color w:val="000000"/>
          <w:sz w:val="20"/>
          <w:szCs w:val="20"/>
        </w:rPr>
        <w:t xml:space="preserve">to devote the necessary resources and attention to sell and market our products effectively. If we are not successful in commercializing our products, either on our own or through arrangements with one or more third parties, we may not be able to generate </w:t>
      </w:r>
      <w:r>
        <w:rPr>
          <w:rFonts w:eastAsia="Times New Roman"/>
          <w:color w:val="000000"/>
          <w:sz w:val="20"/>
          <w:szCs w:val="20"/>
        </w:rPr>
        <w:t>any future product revenue and we would incur significant additional losses.</w:t>
      </w:r>
    </w:p>
    <w:p w:rsidR="00000000" w:rsidRDefault="009012B9">
      <w:pPr>
        <w:jc w:val="center"/>
        <w:divId w:val="823932027"/>
        <w:rPr>
          <w:rFonts w:eastAsia="Times New Roman"/>
        </w:rPr>
      </w:pPr>
      <w:r>
        <w:rPr>
          <w:rFonts w:eastAsia="Times New Roman"/>
          <w:color w:val="000000"/>
          <w:sz w:val="20"/>
          <w:szCs w:val="20"/>
        </w:rPr>
        <w:t>44</w:t>
      </w:r>
    </w:p>
    <w:p w:rsidR="00000000" w:rsidRDefault="009012B9">
      <w:pPr>
        <w:rPr>
          <w:rFonts w:eastAsia="Times New Roman"/>
        </w:rPr>
      </w:pPr>
      <w:r>
        <w:rPr>
          <w:rFonts w:eastAsia="Times New Roman"/>
        </w:rPr>
        <w:pict>
          <v:rect id="_x0000_i1068" style="width:0;height:1.5pt" o:hralign="center" o:hrstd="t" o:hr="t" fillcolor="#a0a0a0" stroked="f"/>
        </w:pict>
      </w:r>
    </w:p>
    <w:p w:rsidR="00000000" w:rsidRDefault="009012B9">
      <w:pPr>
        <w:divId w:val="1032071608"/>
        <w:rPr>
          <w:rFonts w:eastAsia="Times New Roman"/>
        </w:rPr>
      </w:pPr>
    </w:p>
    <w:p w:rsidR="00000000" w:rsidRDefault="009012B9">
      <w:pPr>
        <w:divId w:val="636254459"/>
        <w:rPr>
          <w:rFonts w:eastAsia="Times New Roman"/>
        </w:rPr>
      </w:pPr>
      <w:r>
        <w:rPr>
          <w:rFonts w:eastAsia="Times New Roman"/>
          <w:b/>
          <w:bCs/>
          <w:i/>
          <w:iCs/>
          <w:color w:val="000000"/>
          <w:sz w:val="20"/>
          <w:szCs w:val="20"/>
        </w:rPr>
        <w:t>Our relationships with healthcare providers and physicians and third-party payors will be subject to applicable anti-kickback, fraud and a</w:t>
      </w:r>
      <w:r>
        <w:rPr>
          <w:rFonts w:eastAsia="Times New Roman"/>
          <w:b/>
          <w:bCs/>
          <w:i/>
          <w:iCs/>
          <w:color w:val="000000"/>
          <w:sz w:val="20"/>
          <w:szCs w:val="20"/>
        </w:rPr>
        <w:t>buse and other healthcare laws and regulations, which could expose us to criminal sanctions, civil penalties, contractual damages, reputational harm and diminished profits and future earnings.</w:t>
      </w:r>
    </w:p>
    <w:p w:rsidR="00000000" w:rsidRDefault="009012B9">
      <w:pPr>
        <w:ind w:firstLine="482"/>
        <w:divId w:val="1688562647"/>
        <w:rPr>
          <w:rFonts w:eastAsia="Times New Roman"/>
        </w:rPr>
      </w:pPr>
      <w:r>
        <w:rPr>
          <w:rFonts w:eastAsia="Times New Roman"/>
          <w:color w:val="000000"/>
          <w:sz w:val="20"/>
          <w:szCs w:val="20"/>
        </w:rPr>
        <w:t xml:space="preserve">Healthcare providers, physicians and third-party payors in the </w:t>
      </w:r>
      <w:r>
        <w:rPr>
          <w:rFonts w:eastAsia="Times New Roman"/>
          <w:color w:val="000000"/>
          <w:sz w:val="20"/>
          <w:szCs w:val="20"/>
        </w:rPr>
        <w:t>United States and elsewhere play a primary role in the recommendation and prescription of biopharmaceutical products. Arrangements with third-party payors and customers can expose biopharmaceutical manufacturers to broadly applicable fraud and abuse and ot</w:t>
      </w:r>
      <w:r>
        <w:rPr>
          <w:rFonts w:eastAsia="Times New Roman"/>
          <w:color w:val="000000"/>
          <w:sz w:val="20"/>
          <w:szCs w:val="20"/>
        </w:rPr>
        <w:t xml:space="preserve">her healthcare laws and regulations, including, without limitation, the federal Anti-Kickback Statute and the federal False Claims Act, or FCA, which may constrain the business or financial arrangements and relationships through which such companies sell, </w:t>
      </w:r>
      <w:r>
        <w:rPr>
          <w:rFonts w:eastAsia="Times New Roman"/>
          <w:color w:val="000000"/>
          <w:sz w:val="20"/>
          <w:szCs w:val="20"/>
        </w:rPr>
        <w:t>market and distribute biopharmaceutical products. In particular, the research of our product candidates, as well as the promotion, sales and marketing of healthcare items and services, as well as certain business arrangements in the healthcare industry, ar</w:t>
      </w:r>
      <w:r>
        <w:rPr>
          <w:rFonts w:eastAsia="Times New Roman"/>
          <w:color w:val="000000"/>
          <w:sz w:val="20"/>
          <w:szCs w:val="20"/>
        </w:rPr>
        <w:t>e subject to extensive laws designed to prevent fraud, kickbacks, self-dealing and other abusive practices. These laws and regulations may restrict or prohibit a wide range of pricing, discounting, marketing, and promotion, structuring and commission(s), c</w:t>
      </w:r>
      <w:r>
        <w:rPr>
          <w:rFonts w:eastAsia="Times New Roman"/>
          <w:color w:val="000000"/>
          <w:sz w:val="20"/>
          <w:szCs w:val="20"/>
        </w:rPr>
        <w:t>ertain customer incentive programs and other business arrangements generally. Activities subject to these laws also involve the improper use of information obtained in the course of patient recruitment for clinical trials. The applicable federal, state, an</w:t>
      </w:r>
      <w:r>
        <w:rPr>
          <w:rFonts w:eastAsia="Times New Roman"/>
          <w:color w:val="000000"/>
          <w:sz w:val="20"/>
          <w:szCs w:val="20"/>
        </w:rPr>
        <w:t>d foreign healthcare laws and regulations laws that may affect our ability to operate include, but are not limited to:</w:t>
      </w:r>
    </w:p>
    <w:p w:rsidR="00000000" w:rsidRDefault="009012B9">
      <w:pPr>
        <w:divId w:val="740256113"/>
        <w:rPr>
          <w:rFonts w:eastAsia="Times New Roman"/>
        </w:rPr>
      </w:pPr>
    </w:p>
    <w:p w:rsidR="00000000" w:rsidRDefault="009012B9">
      <w:pPr>
        <w:ind w:hanging="360"/>
        <w:divId w:val="867569106"/>
        <w:rPr>
          <w:rFonts w:eastAsia="Times New Roman"/>
        </w:rPr>
      </w:pPr>
      <w:r>
        <w:rPr>
          <w:rFonts w:eastAsia="Times New Roman"/>
          <w:color w:val="000000"/>
          <w:sz w:val="20"/>
          <w:szCs w:val="20"/>
        </w:rPr>
        <w:t>•the federal Anti-Kickback Statute, which prohibits, among other things, knowingly and willfully soliciting, receiving, offering or pay</w:t>
      </w:r>
      <w:r>
        <w:rPr>
          <w:rFonts w:eastAsia="Times New Roman"/>
          <w:color w:val="000000"/>
          <w:sz w:val="20"/>
          <w:szCs w:val="20"/>
        </w:rPr>
        <w:t>ing any remuneration (including any kickback, bribe, or rebate), directly or indirectly, overtly or covertly, in cash or in kind, to induce or reward, or in return for, either the referral of an individual, or the purchase, lease, order or recommendation o</w:t>
      </w:r>
      <w:r>
        <w:rPr>
          <w:rFonts w:eastAsia="Times New Roman"/>
          <w:color w:val="000000"/>
          <w:sz w:val="20"/>
          <w:szCs w:val="20"/>
        </w:rPr>
        <w:t>f any good, facility, item or service for which payment may be made, in whole or in part, under a federal healthcare program, such as the Medicare and Medicaid programs. A person or entity can be found guilty of violating the statute without actual knowled</w:t>
      </w:r>
      <w:r>
        <w:rPr>
          <w:rFonts w:eastAsia="Times New Roman"/>
          <w:color w:val="000000"/>
          <w:sz w:val="20"/>
          <w:szCs w:val="20"/>
        </w:rPr>
        <w:t>ge of the statute or specific intent to violate it. In addition, a claim submitted for payment to any federal health care program that includes items or services that were made as a result of a violation of the federal Anti-Kickback Statute constitutes a f</w:t>
      </w:r>
      <w:r>
        <w:rPr>
          <w:rFonts w:eastAsia="Times New Roman"/>
          <w:color w:val="000000"/>
          <w:sz w:val="20"/>
          <w:szCs w:val="20"/>
        </w:rPr>
        <w:t>alse or fraudulent claim for purposes of the FCA. The Anti-Kickback Statute has been interpreted to apply to arrangements between biopharmaceutical manufacturers on the one hand and prescribers, purchasers, and formulary managers, among others, on the othe</w:t>
      </w:r>
      <w:r>
        <w:rPr>
          <w:rFonts w:eastAsia="Times New Roman"/>
          <w:color w:val="000000"/>
          <w:sz w:val="20"/>
          <w:szCs w:val="20"/>
        </w:rPr>
        <w:t>r. On November 20, 2020, OIG finalized further modifications to the federal Anti-Kickback Statute. Under the final rules, OIG added safe harbor protections under the Anti-Kickback Statute for certain coordinated care and value-based arrangements among clin</w:t>
      </w:r>
      <w:r>
        <w:rPr>
          <w:rFonts w:eastAsia="Times New Roman"/>
          <w:color w:val="000000"/>
          <w:sz w:val="20"/>
          <w:szCs w:val="20"/>
        </w:rPr>
        <w:t>icians, providers, and others. These rules (with exceptions) became effective January 19, 2021. We continue to evaluate what effect, if any, these rules will have on our business.</w:t>
      </w:r>
    </w:p>
    <w:p w:rsidR="00000000" w:rsidRDefault="009012B9">
      <w:pPr>
        <w:ind w:hanging="480"/>
        <w:divId w:val="1196693547"/>
        <w:rPr>
          <w:rFonts w:eastAsia="Times New Roman"/>
        </w:rPr>
      </w:pPr>
      <w:r>
        <w:rPr>
          <w:rFonts w:eastAsia="Times New Roman"/>
          <w:color w:val="000000"/>
          <w:sz w:val="20"/>
          <w:szCs w:val="20"/>
        </w:rPr>
        <w:t>•the federal civil and criminal false claims laws, including the FCA, and ci</w:t>
      </w:r>
      <w:r>
        <w:rPr>
          <w:rFonts w:eastAsia="Times New Roman"/>
          <w:color w:val="000000"/>
          <w:sz w:val="20"/>
          <w:szCs w:val="20"/>
        </w:rPr>
        <w:t>vil monetary penalty laws which prohibit, among other things, individuals or entities from knowingly presenting, or causing to be presented, false, fictitious or fraudulent claims for payment to, or approval by Medicare, Medicaid, or other federal healthca</w:t>
      </w:r>
      <w:r>
        <w:rPr>
          <w:rFonts w:eastAsia="Times New Roman"/>
          <w:color w:val="000000"/>
          <w:sz w:val="20"/>
          <w:szCs w:val="20"/>
        </w:rPr>
        <w:t>re programs; knowingly making, using or causing to be made or used a false record or statement material to a false or fraudulent claim or an obligation to pay or transmit money or property to the federal government; or knowingly concealing or knowingly and</w:t>
      </w:r>
      <w:r>
        <w:rPr>
          <w:rFonts w:eastAsia="Times New Roman"/>
          <w:color w:val="000000"/>
          <w:sz w:val="20"/>
          <w:szCs w:val="20"/>
        </w:rPr>
        <w:t xml:space="preserve"> improperly avoiding or decreasing or concealing an obligation to pay money to the federal government. A claim that includes items or services resulting from a violation of the federal Anti-Kickback Statute constitutes a false or fraudulent claim under the</w:t>
      </w:r>
      <w:r>
        <w:rPr>
          <w:rFonts w:eastAsia="Times New Roman"/>
          <w:color w:val="000000"/>
          <w:sz w:val="20"/>
          <w:szCs w:val="20"/>
        </w:rPr>
        <w:t xml:space="preserve"> FCA. Manufacturers can be held liable under the FCA even when they do not submit claims directly to government payors if they are deemed to “cause” the submission of false or fraudulent claims. The FCA also permits a private individual acting as a “whistl</w:t>
      </w:r>
      <w:r>
        <w:rPr>
          <w:rFonts w:eastAsia="Times New Roman"/>
          <w:color w:val="000000"/>
          <w:sz w:val="20"/>
          <w:szCs w:val="20"/>
        </w:rPr>
        <w:t xml:space="preserve">eblower” to bring </w:t>
      </w:r>
      <w:r>
        <w:rPr>
          <w:rFonts w:eastAsia="Times New Roman"/>
          <w:i/>
          <w:iCs/>
          <w:color w:val="000000"/>
          <w:sz w:val="20"/>
          <w:szCs w:val="20"/>
        </w:rPr>
        <w:t>qui tam</w:t>
      </w:r>
      <w:r>
        <w:rPr>
          <w:rFonts w:eastAsia="Times New Roman"/>
          <w:color w:val="000000"/>
          <w:sz w:val="20"/>
          <w:szCs w:val="20"/>
        </w:rPr>
        <w:t xml:space="preserve"> actions on behalf of the federal government alleging violations of the FCA and to share in any monetary recovery;</w:t>
      </w:r>
    </w:p>
    <w:p w:rsidR="00000000" w:rsidRDefault="009012B9">
      <w:pPr>
        <w:ind w:hanging="480"/>
        <w:divId w:val="636030527"/>
        <w:rPr>
          <w:rFonts w:eastAsia="Times New Roman"/>
        </w:rPr>
      </w:pPr>
      <w:r>
        <w:rPr>
          <w:rFonts w:eastAsia="Times New Roman"/>
          <w:color w:val="000000"/>
          <w:sz w:val="20"/>
          <w:szCs w:val="20"/>
        </w:rPr>
        <w:t>•the federal Health Insurance Portability and Accountability Act of 1996, or HIPAA, which created additional federal</w:t>
      </w:r>
      <w:r>
        <w:rPr>
          <w:rFonts w:eastAsia="Times New Roman"/>
          <w:color w:val="000000"/>
          <w:sz w:val="20"/>
          <w:szCs w:val="20"/>
        </w:rPr>
        <w:t xml:space="preserve"> criminal statutes that prohibit knowingly and willfully executing, or attempting to execute, a scheme to defraud any healthcare benefit program or obtain, by means of false or fraudulent pretenses, representations, or promises, any of the money or propert</w:t>
      </w:r>
      <w:r>
        <w:rPr>
          <w:rFonts w:eastAsia="Times New Roman"/>
          <w:color w:val="000000"/>
          <w:sz w:val="20"/>
          <w:szCs w:val="20"/>
        </w:rPr>
        <w:t>y owned by, or under the custody or control of, any healthcare benefit program, regardless of the payor (e.g., public or private) and knowingly and willfully falsifying, concealing or covering up by any trick or device a material fact or making any materia</w:t>
      </w:r>
      <w:r>
        <w:rPr>
          <w:rFonts w:eastAsia="Times New Roman"/>
          <w:color w:val="000000"/>
          <w:sz w:val="20"/>
          <w:szCs w:val="20"/>
        </w:rPr>
        <w:t xml:space="preserve">lly false statements in connection with the delivery of, or payment for, healthcare benefits, items or services relating to healthcare matters. Similar to the federal Anti-Kickback Statute, a person or entity can be found guilty of violating HIPAA without </w:t>
      </w:r>
      <w:r>
        <w:rPr>
          <w:rFonts w:eastAsia="Times New Roman"/>
          <w:color w:val="000000"/>
          <w:sz w:val="20"/>
          <w:szCs w:val="20"/>
        </w:rPr>
        <w:t xml:space="preserve">actual knowledge of the statute or specific intent to violate it; </w:t>
      </w:r>
    </w:p>
    <w:p w:rsidR="00000000" w:rsidRDefault="009012B9">
      <w:pPr>
        <w:ind w:hanging="480"/>
        <w:divId w:val="499470571"/>
        <w:rPr>
          <w:rFonts w:eastAsia="Times New Roman"/>
        </w:rPr>
      </w:pPr>
      <w:r>
        <w:rPr>
          <w:rFonts w:eastAsia="Times New Roman"/>
          <w:color w:val="000000"/>
          <w:sz w:val="20"/>
          <w:szCs w:val="20"/>
        </w:rPr>
        <w:t>•</w:t>
      </w:r>
      <w:r>
        <w:rPr>
          <w:rFonts w:eastAsia="Times New Roman"/>
          <w:color w:val="000000"/>
          <w:sz w:val="20"/>
          <w:szCs w:val="20"/>
        </w:rPr>
        <w:t>the anti-inducement law, which prohibits, among other things, the offering or giving of remuneration, which includes, without limitation, any transfer of items or services for free or for less than fair market value (with limited exceptions), to a Medicare</w:t>
      </w:r>
      <w:r>
        <w:rPr>
          <w:rFonts w:eastAsia="Times New Roman"/>
          <w:color w:val="000000"/>
          <w:sz w:val="20"/>
          <w:szCs w:val="20"/>
        </w:rPr>
        <w:t xml:space="preserve"> or Medicaid beneficiary that the person knows or should know is likely to influence the </w:t>
      </w:r>
    </w:p>
    <w:p w:rsidR="00000000" w:rsidRDefault="009012B9">
      <w:pPr>
        <w:jc w:val="center"/>
        <w:divId w:val="1880706455"/>
        <w:rPr>
          <w:rFonts w:eastAsia="Times New Roman"/>
        </w:rPr>
      </w:pPr>
      <w:r>
        <w:rPr>
          <w:rFonts w:eastAsia="Times New Roman"/>
          <w:color w:val="000000"/>
          <w:sz w:val="20"/>
          <w:szCs w:val="20"/>
        </w:rPr>
        <w:t>45</w:t>
      </w:r>
    </w:p>
    <w:p w:rsidR="00000000" w:rsidRDefault="009012B9">
      <w:pPr>
        <w:rPr>
          <w:rFonts w:eastAsia="Times New Roman"/>
        </w:rPr>
      </w:pPr>
      <w:r>
        <w:rPr>
          <w:rFonts w:eastAsia="Times New Roman"/>
        </w:rPr>
        <w:pict>
          <v:rect id="_x0000_i1069" style="width:0;height:1.5pt" o:hralign="center" o:hrstd="t" o:hr="t" fillcolor="#a0a0a0" stroked="f"/>
        </w:pict>
      </w:r>
    </w:p>
    <w:p w:rsidR="00000000" w:rsidRDefault="009012B9">
      <w:pPr>
        <w:divId w:val="1706978780"/>
        <w:rPr>
          <w:rFonts w:eastAsia="Times New Roman"/>
        </w:rPr>
      </w:pPr>
    </w:p>
    <w:p w:rsidR="00000000" w:rsidRDefault="009012B9">
      <w:pPr>
        <w:divId w:val="490604985"/>
        <w:rPr>
          <w:rFonts w:eastAsia="Times New Roman"/>
        </w:rPr>
      </w:pPr>
      <w:r>
        <w:rPr>
          <w:rFonts w:eastAsia="Times New Roman"/>
          <w:color w:val="000000"/>
          <w:sz w:val="20"/>
          <w:szCs w:val="20"/>
        </w:rPr>
        <w:t>beneficiary’s selection of a particular supplier of items or services reimbursable by a federal or state governmental progra</w:t>
      </w:r>
      <w:r>
        <w:rPr>
          <w:rFonts w:eastAsia="Times New Roman"/>
          <w:color w:val="000000"/>
          <w:sz w:val="20"/>
          <w:szCs w:val="20"/>
        </w:rPr>
        <w:t>m;</w:t>
      </w:r>
    </w:p>
    <w:p w:rsidR="00000000" w:rsidRDefault="009012B9">
      <w:pPr>
        <w:ind w:hanging="480"/>
        <w:divId w:val="319425107"/>
        <w:rPr>
          <w:rFonts w:eastAsia="Times New Roman"/>
        </w:rPr>
      </w:pPr>
      <w:r>
        <w:rPr>
          <w:rFonts w:eastAsia="Times New Roman"/>
          <w:color w:val="000000"/>
          <w:sz w:val="20"/>
          <w:szCs w:val="20"/>
        </w:rPr>
        <w:t>•HIPAA, as amended by the Health Information Technology for Economic and Clinical Health Act of 2009, or HITECH, and their respective implementing regulations, which impose, among other things, requirements relating to the privacy, security and transmis</w:t>
      </w:r>
      <w:r>
        <w:rPr>
          <w:rFonts w:eastAsia="Times New Roman"/>
          <w:color w:val="000000"/>
          <w:sz w:val="20"/>
          <w:szCs w:val="20"/>
        </w:rPr>
        <w:t>sion of individually identifiable health information on certain covered healthcare providers, health plans, and healthcare clearinghouses, known as covered entities, as well as their respective “business associates,” those independent contractors or agents</w:t>
      </w:r>
      <w:r>
        <w:rPr>
          <w:rFonts w:eastAsia="Times New Roman"/>
          <w:color w:val="000000"/>
          <w:sz w:val="20"/>
          <w:szCs w:val="20"/>
        </w:rPr>
        <w:t xml:space="preserve"> of covered entities that perform services for covered entities that involve the creation, use, receipt, maintenance or disclosure of individually identifiable health information. HITECH also created new tiers of civil monetary penalties, amended HIPAA to </w:t>
      </w:r>
      <w:r>
        <w:rPr>
          <w:rFonts w:eastAsia="Times New Roman"/>
          <w:color w:val="000000"/>
          <w:sz w:val="20"/>
          <w:szCs w:val="20"/>
        </w:rPr>
        <w:t>make civil and criminal penalties directly applicable to business associates, and gave state attorneys general new authority to file civil actions for damages or injunctions in federal courts to enforce the federal HIPAA laws and seek attorneys’ fees and c</w:t>
      </w:r>
      <w:r>
        <w:rPr>
          <w:rFonts w:eastAsia="Times New Roman"/>
          <w:color w:val="000000"/>
          <w:sz w:val="20"/>
          <w:szCs w:val="20"/>
        </w:rPr>
        <w:t>osts associated with pursuing federal civil actions;</w:t>
      </w:r>
    </w:p>
    <w:p w:rsidR="00000000" w:rsidRDefault="009012B9">
      <w:pPr>
        <w:ind w:hanging="480"/>
        <w:divId w:val="522598861"/>
        <w:rPr>
          <w:rFonts w:eastAsia="Times New Roman"/>
        </w:rPr>
      </w:pPr>
      <w:r>
        <w:rPr>
          <w:rFonts w:eastAsia="Times New Roman"/>
          <w:color w:val="000000"/>
          <w:sz w:val="20"/>
          <w:szCs w:val="20"/>
        </w:rPr>
        <w:t>•the federal Physician Payments Sunshine Act, created under the ACA, and its implementing regulations, which require some manufacturers of drugs, devices, biologics and medical supplies for which payment</w:t>
      </w:r>
      <w:r>
        <w:rPr>
          <w:rFonts w:eastAsia="Times New Roman"/>
          <w:color w:val="000000"/>
          <w:sz w:val="20"/>
          <w:szCs w:val="20"/>
        </w:rPr>
        <w:t xml:space="preserve"> is available under Medicare, Medicaid or the Children’s Health Insurance Program (with certain exceptions) to report annually to CMS information related to payments or other transfers of value made to physicians (defined to include doctors, dentists, opto</w:t>
      </w:r>
      <w:r>
        <w:rPr>
          <w:rFonts w:eastAsia="Times New Roman"/>
          <w:color w:val="000000"/>
          <w:sz w:val="20"/>
          <w:szCs w:val="20"/>
        </w:rPr>
        <w:t>metrists, podiatrists and chiropractors) and teaching hospitals, as well as ownership and investment interests held by physicians and their immediate family members. Effective January 1, 2022, these reporting obligations will extend to include transfers of</w:t>
      </w:r>
      <w:r>
        <w:rPr>
          <w:rFonts w:eastAsia="Times New Roman"/>
          <w:color w:val="000000"/>
          <w:sz w:val="20"/>
          <w:szCs w:val="20"/>
        </w:rPr>
        <w:t xml:space="preserve"> value made in the previous year to certain non-physician providers such as physician assistants and nurse practitioners; </w:t>
      </w:r>
    </w:p>
    <w:p w:rsidR="00000000" w:rsidRDefault="009012B9">
      <w:pPr>
        <w:ind w:hanging="480"/>
        <w:divId w:val="292179959"/>
        <w:rPr>
          <w:rFonts w:eastAsia="Times New Roman"/>
        </w:rPr>
      </w:pPr>
      <w:r>
        <w:rPr>
          <w:rFonts w:eastAsia="Times New Roman"/>
          <w:color w:val="000000"/>
          <w:sz w:val="20"/>
          <w:szCs w:val="20"/>
        </w:rPr>
        <w:t xml:space="preserve">•federal government price reporting laws, which require us to calculate and report complex pricing metrics in an accurate and timely </w:t>
      </w:r>
      <w:r>
        <w:rPr>
          <w:rFonts w:eastAsia="Times New Roman"/>
          <w:color w:val="000000"/>
          <w:sz w:val="20"/>
          <w:szCs w:val="20"/>
        </w:rPr>
        <w:t>manner to government programs</w:t>
      </w:r>
      <w:r>
        <w:rPr>
          <w:rFonts w:eastAsia="Times New Roman"/>
          <w:b/>
          <w:bCs/>
          <w:color w:val="0000FF"/>
          <w:sz w:val="20"/>
          <w:szCs w:val="20"/>
        </w:rPr>
        <w:t>;</w:t>
      </w:r>
    </w:p>
    <w:p w:rsidR="00000000" w:rsidRDefault="009012B9">
      <w:pPr>
        <w:ind w:hanging="480"/>
        <w:divId w:val="1172260783"/>
        <w:rPr>
          <w:rFonts w:eastAsia="Times New Roman"/>
        </w:rPr>
      </w:pPr>
      <w:r>
        <w:rPr>
          <w:rFonts w:eastAsia="Times New Roman"/>
          <w:color w:val="000000"/>
          <w:sz w:val="20"/>
          <w:szCs w:val="20"/>
        </w:rPr>
        <w:t>•federal consumer protection and unfair competition laws, which broadly regulate marketplace activities that potentially harm consumers; and</w:t>
      </w:r>
    </w:p>
    <w:p w:rsidR="00000000" w:rsidRDefault="009012B9">
      <w:pPr>
        <w:ind w:hanging="480"/>
        <w:divId w:val="440532996"/>
        <w:rPr>
          <w:rFonts w:eastAsia="Times New Roman"/>
        </w:rPr>
      </w:pPr>
      <w:r>
        <w:rPr>
          <w:rFonts w:eastAsia="Times New Roman"/>
          <w:color w:val="000000"/>
          <w:sz w:val="20"/>
          <w:szCs w:val="20"/>
        </w:rPr>
        <w:t>•analogous state and foreign laws and regulations, such as state anti-kickback and f</w:t>
      </w:r>
      <w:r>
        <w:rPr>
          <w:rFonts w:eastAsia="Times New Roman"/>
          <w:color w:val="000000"/>
          <w:sz w:val="20"/>
          <w:szCs w:val="20"/>
        </w:rPr>
        <w:t>alse claims laws, which may apply to sales or marketing arrangements and claims involving healthcare items or services reimbursed by third-party payors, including private insurers, and may be broader in scope than their federal equivalents; state and forei</w:t>
      </w:r>
      <w:r>
        <w:rPr>
          <w:rFonts w:eastAsia="Times New Roman"/>
          <w:color w:val="000000"/>
          <w:sz w:val="20"/>
          <w:szCs w:val="20"/>
        </w:rPr>
        <w:t>gn laws that require biopharmaceutical companies to comply with the biopharmaceutical industry’s voluntary compliance guidelines and the relevant compliance guidance promulgated by the federal government or otherwise restrict payments that may be made to h</w:t>
      </w:r>
      <w:r>
        <w:rPr>
          <w:rFonts w:eastAsia="Times New Roman"/>
          <w:color w:val="000000"/>
          <w:sz w:val="20"/>
          <w:szCs w:val="20"/>
        </w:rPr>
        <w:t xml:space="preserve">ealthcare providers and other potential referral sources; state and foreign laws that require drug manufacturers to report information related to payments and other transfers of value to physicians and other healthcare providers, marketing expenditures or </w:t>
      </w:r>
      <w:r>
        <w:rPr>
          <w:rFonts w:eastAsia="Times New Roman"/>
          <w:color w:val="000000"/>
          <w:sz w:val="20"/>
          <w:szCs w:val="20"/>
        </w:rPr>
        <w:t xml:space="preserve">drug pricing; state and local laws that require the registration of biopharmaceutical sales representatives; and state and foreign laws governing the privacy and security of health information in certain circumstances, many of which differ from each other </w:t>
      </w:r>
      <w:r>
        <w:rPr>
          <w:rFonts w:eastAsia="Times New Roman"/>
          <w:color w:val="000000"/>
          <w:sz w:val="20"/>
          <w:szCs w:val="20"/>
        </w:rPr>
        <w:t>in significant ways and often are not preempted by HIPAA, thus complicating compliance efforts.</w:t>
      </w:r>
    </w:p>
    <w:p w:rsidR="00000000" w:rsidRDefault="009012B9">
      <w:pPr>
        <w:ind w:firstLine="482"/>
        <w:divId w:val="289552310"/>
        <w:rPr>
          <w:rFonts w:eastAsia="Times New Roman"/>
        </w:rPr>
      </w:pPr>
      <w:r>
        <w:rPr>
          <w:rFonts w:eastAsia="Times New Roman"/>
          <w:color w:val="000000"/>
          <w:sz w:val="20"/>
          <w:szCs w:val="20"/>
        </w:rPr>
        <w:t>The distribution of biopharmaceutical products is subject to additional requirements and regulations, including extensive record-keeping, licensing, storage, an</w:t>
      </w:r>
      <w:r>
        <w:rPr>
          <w:rFonts w:eastAsia="Times New Roman"/>
          <w:color w:val="000000"/>
          <w:sz w:val="20"/>
          <w:szCs w:val="20"/>
        </w:rPr>
        <w:t>d security requirements intended to prevent the unauthorized sale of biopharmaceutical products.</w:t>
      </w:r>
    </w:p>
    <w:p w:rsidR="00000000" w:rsidRDefault="009012B9">
      <w:pPr>
        <w:ind w:firstLine="482"/>
        <w:divId w:val="1622152440"/>
        <w:rPr>
          <w:rFonts w:eastAsia="Times New Roman"/>
        </w:rPr>
      </w:pPr>
      <w:r>
        <w:rPr>
          <w:rFonts w:eastAsia="Times New Roman"/>
          <w:color w:val="000000"/>
          <w:sz w:val="20"/>
          <w:szCs w:val="20"/>
        </w:rPr>
        <w:t>The scope and enforcement of each of these laws is uncertain and subject to rapid change in the current environment of healthcare reform, especially in light o</w:t>
      </w:r>
      <w:r>
        <w:rPr>
          <w:rFonts w:eastAsia="Times New Roman"/>
          <w:color w:val="000000"/>
          <w:sz w:val="20"/>
          <w:szCs w:val="20"/>
        </w:rPr>
        <w:t>f the lack of applicable precedent and regulations. Ensuring business arrangements comply with applicable healthcare laws, as well as responding to possible investigations by government authorities, can be time- and resource-consuming and can divert a comp</w:t>
      </w:r>
      <w:r>
        <w:rPr>
          <w:rFonts w:eastAsia="Times New Roman"/>
          <w:color w:val="000000"/>
          <w:sz w:val="20"/>
          <w:szCs w:val="20"/>
        </w:rPr>
        <w:t>any’s attention from the business.</w:t>
      </w:r>
    </w:p>
    <w:p w:rsidR="00000000" w:rsidRDefault="009012B9">
      <w:pPr>
        <w:ind w:firstLine="482"/>
        <w:divId w:val="2037196965"/>
        <w:rPr>
          <w:rFonts w:eastAsia="Times New Roman"/>
        </w:rPr>
      </w:pPr>
      <w:r>
        <w:rPr>
          <w:rFonts w:eastAsia="Times New Roman"/>
          <w:color w:val="000000"/>
          <w:sz w:val="20"/>
          <w:szCs w:val="20"/>
        </w:rPr>
        <w:t>It is possible that governmental and enforcement authorities will conclude that our business practices may not comply with current or future statutes, regulations or case law interpreting applicable fraud and abuse or oth</w:t>
      </w:r>
      <w:r>
        <w:rPr>
          <w:rFonts w:eastAsia="Times New Roman"/>
          <w:color w:val="000000"/>
          <w:sz w:val="20"/>
          <w:szCs w:val="20"/>
        </w:rPr>
        <w:t>er healthcare laws and regulations. If any such actions are instituted against us, and we are not successful in defending ourselves or asserting our rights, those actions could have a significant impact on our business, including the imposition of signific</w:t>
      </w:r>
      <w:r>
        <w:rPr>
          <w:rFonts w:eastAsia="Times New Roman"/>
          <w:color w:val="000000"/>
          <w:sz w:val="20"/>
          <w:szCs w:val="20"/>
        </w:rPr>
        <w:t>ant civil, criminal and administrative penalties, damages, fines, disgorgement, imprisonment, reputational harm, possible exclusion from participation in federal and state funded healthcare programs, contractual damages and the curtailment or restricting o</w:t>
      </w:r>
      <w:r>
        <w:rPr>
          <w:rFonts w:eastAsia="Times New Roman"/>
          <w:color w:val="000000"/>
          <w:sz w:val="20"/>
          <w:szCs w:val="20"/>
        </w:rPr>
        <w:t>f our operations, as well as additional reporting obligations and oversight if we become subject to a corporate integrity agreement or other agreement to resolve allegations of non-compliance with these laws. Further, if any of the physicians or other heal</w:t>
      </w:r>
      <w:r>
        <w:rPr>
          <w:rFonts w:eastAsia="Times New Roman"/>
          <w:color w:val="000000"/>
          <w:sz w:val="20"/>
          <w:szCs w:val="20"/>
        </w:rPr>
        <w:t>thcare providers or entities with whom we expect to do business is found to be not in compliance with applicable laws, they may be subject to significant criminal, civil or administrative sanctions, including exclusions from government funded healthcare pr</w:t>
      </w:r>
      <w:r>
        <w:rPr>
          <w:rFonts w:eastAsia="Times New Roman"/>
          <w:color w:val="000000"/>
          <w:sz w:val="20"/>
          <w:szCs w:val="20"/>
        </w:rPr>
        <w:t xml:space="preserve">ograms. Any action for violation of these laws, even if successfully defended, could cause a biopharmaceutical manufacturer </w:t>
      </w:r>
    </w:p>
    <w:p w:rsidR="00000000" w:rsidRDefault="009012B9">
      <w:pPr>
        <w:jc w:val="center"/>
        <w:divId w:val="1240825676"/>
        <w:rPr>
          <w:rFonts w:eastAsia="Times New Roman"/>
        </w:rPr>
      </w:pPr>
      <w:r>
        <w:rPr>
          <w:rFonts w:eastAsia="Times New Roman"/>
          <w:color w:val="000000"/>
          <w:sz w:val="20"/>
          <w:szCs w:val="20"/>
        </w:rPr>
        <w:t>46</w:t>
      </w:r>
    </w:p>
    <w:p w:rsidR="00000000" w:rsidRDefault="009012B9">
      <w:pPr>
        <w:rPr>
          <w:rFonts w:eastAsia="Times New Roman"/>
        </w:rPr>
      </w:pPr>
      <w:r>
        <w:rPr>
          <w:rFonts w:eastAsia="Times New Roman"/>
        </w:rPr>
        <w:pict>
          <v:rect id="_x0000_i1070" style="width:0;height:1.5pt" o:hralign="center" o:hrstd="t" o:hr="t" fillcolor="#a0a0a0" stroked="f"/>
        </w:pict>
      </w:r>
    </w:p>
    <w:p w:rsidR="00000000" w:rsidRDefault="009012B9">
      <w:pPr>
        <w:divId w:val="1805851776"/>
        <w:rPr>
          <w:rFonts w:eastAsia="Times New Roman"/>
        </w:rPr>
      </w:pPr>
    </w:p>
    <w:p w:rsidR="00000000" w:rsidRDefault="009012B9">
      <w:pPr>
        <w:divId w:val="1936017344"/>
        <w:rPr>
          <w:rFonts w:eastAsia="Times New Roman"/>
        </w:rPr>
      </w:pPr>
      <w:r>
        <w:rPr>
          <w:rFonts w:eastAsia="Times New Roman"/>
          <w:color w:val="000000"/>
          <w:sz w:val="20"/>
          <w:szCs w:val="20"/>
        </w:rPr>
        <w:t>to incur significant legal expenses and divert management’s attention from the operation o</w:t>
      </w:r>
      <w:r>
        <w:rPr>
          <w:rFonts w:eastAsia="Times New Roman"/>
          <w:color w:val="000000"/>
          <w:sz w:val="20"/>
          <w:szCs w:val="20"/>
        </w:rPr>
        <w:t>f the business. Prohibitions or restrictions on sales or withdrawal of future marketed products could materially affect business in an adverse way.</w:t>
      </w:r>
    </w:p>
    <w:p w:rsidR="00000000" w:rsidRDefault="009012B9">
      <w:pPr>
        <w:divId w:val="784808837"/>
        <w:rPr>
          <w:rFonts w:eastAsia="Times New Roman"/>
        </w:rPr>
      </w:pPr>
      <w:r>
        <w:rPr>
          <w:rFonts w:eastAsia="Times New Roman"/>
          <w:b/>
          <w:bCs/>
          <w:i/>
          <w:iCs/>
          <w:color w:val="000000"/>
          <w:sz w:val="20"/>
          <w:szCs w:val="20"/>
        </w:rPr>
        <w:t>Even if we receive regulatory approval of any product candidates, we will be subject to ongoing regulatory o</w:t>
      </w:r>
      <w:r>
        <w:rPr>
          <w:rFonts w:eastAsia="Times New Roman"/>
          <w:b/>
          <w:bCs/>
          <w:i/>
          <w:iCs/>
          <w:color w:val="000000"/>
          <w:sz w:val="20"/>
          <w:szCs w:val="20"/>
        </w:rPr>
        <w:t>bligations and continued regulatory review, which may result in significant additional expense and we may be subject to penalties if we fail to comply with regulatory requirements or experience unanticipated problems with our product candidates.</w:t>
      </w:r>
    </w:p>
    <w:p w:rsidR="00000000" w:rsidRDefault="009012B9">
      <w:pPr>
        <w:ind w:firstLine="482"/>
        <w:divId w:val="75786860"/>
        <w:rPr>
          <w:rFonts w:eastAsia="Times New Roman"/>
        </w:rPr>
      </w:pPr>
      <w:r>
        <w:rPr>
          <w:rFonts w:eastAsia="Times New Roman"/>
          <w:color w:val="000000"/>
          <w:sz w:val="20"/>
          <w:szCs w:val="20"/>
        </w:rPr>
        <w:t xml:space="preserve">If any of </w:t>
      </w:r>
      <w:r>
        <w:rPr>
          <w:rFonts w:eastAsia="Times New Roman"/>
          <w:color w:val="000000"/>
          <w:sz w:val="20"/>
          <w:szCs w:val="20"/>
        </w:rPr>
        <w:t>our product candidates are approved, they will be subject to ongoing regulatory requirements for manufacturing, labeling, packaging, storage, advertising, promotion, sampling, record-keeping, conduct of post-marketing studies and submission of safety, effi</w:t>
      </w:r>
      <w:r>
        <w:rPr>
          <w:rFonts w:eastAsia="Times New Roman"/>
          <w:color w:val="000000"/>
          <w:sz w:val="20"/>
          <w:szCs w:val="20"/>
        </w:rPr>
        <w:t>cacy and other post-market information, including both federal and state requirements in the United States and requirements of comparable foreign regulatory authorities. In addition, we will be subject to continued compliance with cGMP and GCP requirements</w:t>
      </w:r>
      <w:r>
        <w:rPr>
          <w:rFonts w:eastAsia="Times New Roman"/>
          <w:color w:val="000000"/>
          <w:sz w:val="20"/>
          <w:szCs w:val="20"/>
        </w:rPr>
        <w:t xml:space="preserve"> for any clinical trials that we conduct post-approval.</w:t>
      </w:r>
    </w:p>
    <w:p w:rsidR="00000000" w:rsidRDefault="009012B9">
      <w:pPr>
        <w:ind w:firstLine="482"/>
        <w:divId w:val="1694108282"/>
        <w:rPr>
          <w:rFonts w:eastAsia="Times New Roman"/>
        </w:rPr>
      </w:pPr>
      <w:r>
        <w:rPr>
          <w:rFonts w:eastAsia="Times New Roman"/>
          <w:color w:val="000000"/>
          <w:sz w:val="20"/>
          <w:szCs w:val="20"/>
        </w:rPr>
        <w:t>Manufacturers and their facilities are required to comply with extensive FDA and comparable foreign regulatory authority requirements, including ensuring that quality control and manufacturing procedu</w:t>
      </w:r>
      <w:r>
        <w:rPr>
          <w:rFonts w:eastAsia="Times New Roman"/>
          <w:color w:val="000000"/>
          <w:sz w:val="20"/>
          <w:szCs w:val="20"/>
        </w:rPr>
        <w:t>res conform to cGMP regulations. As such, we and our contract manufacturers will be subject to continual review and inspections to assess compliance with cGMP and adherence to commitments made in any marketing application, and previous responses to inspect</w:t>
      </w:r>
      <w:r>
        <w:rPr>
          <w:rFonts w:eastAsia="Times New Roman"/>
          <w:color w:val="000000"/>
          <w:sz w:val="20"/>
          <w:szCs w:val="20"/>
        </w:rPr>
        <w:t>ion observations. Accordingly, we and others with whom we work must continue to expend time, money, and effort in all areas of regulatory compliance, including manufacturing, production, and quality control.</w:t>
      </w:r>
    </w:p>
    <w:p w:rsidR="00000000" w:rsidRDefault="009012B9">
      <w:pPr>
        <w:ind w:firstLine="482"/>
        <w:divId w:val="1883323858"/>
        <w:rPr>
          <w:rFonts w:eastAsia="Times New Roman"/>
        </w:rPr>
      </w:pPr>
      <w:r>
        <w:rPr>
          <w:rFonts w:eastAsia="Times New Roman"/>
          <w:color w:val="000000"/>
          <w:sz w:val="20"/>
          <w:szCs w:val="20"/>
        </w:rPr>
        <w:t>Any regulatory approvals that we receive for our</w:t>
      </w:r>
      <w:r>
        <w:rPr>
          <w:rFonts w:eastAsia="Times New Roman"/>
          <w:color w:val="000000"/>
          <w:sz w:val="20"/>
          <w:szCs w:val="20"/>
        </w:rPr>
        <w:t xml:space="preserve"> product candidates may be subject to limitations on the approved indicated uses for which the product may be marketed or to the conditions of approval, or contain requirements for potentially costly post-marketing testing, including Phase 4 clinical trial</w:t>
      </w:r>
      <w:r>
        <w:rPr>
          <w:rFonts w:eastAsia="Times New Roman"/>
          <w:color w:val="000000"/>
          <w:sz w:val="20"/>
          <w:szCs w:val="20"/>
        </w:rPr>
        <w:t>s and surveillance to monitor the safety and efficacy of the product candidate. The FDA may also require a risk evaluation and mitigation strategies, or REMS, program as a condition of approval of our product candidates, which could entail requirements for</w:t>
      </w:r>
      <w:r>
        <w:rPr>
          <w:rFonts w:eastAsia="Times New Roman"/>
          <w:color w:val="000000"/>
          <w:sz w:val="20"/>
          <w:szCs w:val="20"/>
        </w:rPr>
        <w:t xml:space="preserve"> long-term patient follow-up, a medication guide, physician communication plans or additional elements to ensure safe use, such as restricted distribution methods, patient registries and other risk minimization tools. In addition, if the FDA or a comparabl</w:t>
      </w:r>
      <w:r>
        <w:rPr>
          <w:rFonts w:eastAsia="Times New Roman"/>
          <w:color w:val="000000"/>
          <w:sz w:val="20"/>
          <w:szCs w:val="20"/>
        </w:rPr>
        <w:t>e foreign regulatory authority approves our product candidates, we will have to comply with requirements including submissions of safety and other post-marketing information and reports and registration.</w:t>
      </w:r>
    </w:p>
    <w:p w:rsidR="00000000" w:rsidRDefault="009012B9">
      <w:pPr>
        <w:ind w:firstLine="482"/>
        <w:divId w:val="1142307211"/>
        <w:rPr>
          <w:rFonts w:eastAsia="Times New Roman"/>
        </w:rPr>
      </w:pPr>
      <w:r>
        <w:rPr>
          <w:rFonts w:eastAsia="Times New Roman"/>
          <w:color w:val="000000"/>
          <w:sz w:val="20"/>
          <w:szCs w:val="20"/>
        </w:rPr>
        <w:t>The FDA may impose consent decrees or withdraw appro</w:t>
      </w:r>
      <w:r>
        <w:rPr>
          <w:rFonts w:eastAsia="Times New Roman"/>
          <w:color w:val="000000"/>
          <w:sz w:val="20"/>
          <w:szCs w:val="20"/>
        </w:rPr>
        <w:t xml:space="preserve">val if compliance with regulatory requirements and standards is not maintained or if problems occur after the product reaches the market. Later discovery of previously unknown problems with our product candidates, including adverse events of unanticipated </w:t>
      </w:r>
      <w:r>
        <w:rPr>
          <w:rFonts w:eastAsia="Times New Roman"/>
          <w:color w:val="000000"/>
          <w:sz w:val="20"/>
          <w:szCs w:val="20"/>
        </w:rPr>
        <w:t>severity or frequency, or with our third-party manufacturers or manufacturing processes, or failure to comply with regulatory requirements, may result in revisions to the approved labeling to add new safety information; imposition of post-market studies or</w:t>
      </w:r>
      <w:r>
        <w:rPr>
          <w:rFonts w:eastAsia="Times New Roman"/>
          <w:color w:val="000000"/>
          <w:sz w:val="20"/>
          <w:szCs w:val="20"/>
        </w:rPr>
        <w:t xml:space="preserve"> clinical trials to assess new safety risks; or imposition of distribution restrictions or other restrictions under a REMS program. Other potential consequences include, among other things:</w:t>
      </w:r>
    </w:p>
    <w:p w:rsidR="00000000" w:rsidRDefault="009012B9">
      <w:pPr>
        <w:ind w:hanging="480"/>
        <w:divId w:val="350568054"/>
        <w:rPr>
          <w:rFonts w:eastAsia="Times New Roman"/>
        </w:rPr>
      </w:pPr>
      <w:r>
        <w:rPr>
          <w:rFonts w:eastAsia="Times New Roman"/>
          <w:color w:val="000000"/>
          <w:sz w:val="20"/>
          <w:szCs w:val="20"/>
        </w:rPr>
        <w:t>•restrictions on the marketing or manufacturing of our products, w</w:t>
      </w:r>
      <w:r>
        <w:rPr>
          <w:rFonts w:eastAsia="Times New Roman"/>
          <w:color w:val="000000"/>
          <w:sz w:val="20"/>
          <w:szCs w:val="20"/>
        </w:rPr>
        <w:t>ithdrawal of the product from the market or voluntary or mandatory product recalls;</w:t>
      </w:r>
    </w:p>
    <w:p w:rsidR="00000000" w:rsidRDefault="009012B9">
      <w:pPr>
        <w:ind w:hanging="480"/>
        <w:divId w:val="1203321702"/>
        <w:rPr>
          <w:rFonts w:eastAsia="Times New Roman"/>
        </w:rPr>
      </w:pPr>
      <w:r>
        <w:rPr>
          <w:rFonts w:eastAsia="Times New Roman"/>
          <w:color w:val="000000"/>
          <w:sz w:val="20"/>
          <w:szCs w:val="20"/>
        </w:rPr>
        <w:t>•fines, warning letters or holds on clinical trials;</w:t>
      </w:r>
    </w:p>
    <w:p w:rsidR="00000000" w:rsidRDefault="009012B9">
      <w:pPr>
        <w:ind w:hanging="480"/>
        <w:divId w:val="1384594099"/>
        <w:rPr>
          <w:rFonts w:eastAsia="Times New Roman"/>
        </w:rPr>
      </w:pPr>
      <w:r>
        <w:rPr>
          <w:rFonts w:eastAsia="Times New Roman"/>
          <w:color w:val="000000"/>
          <w:sz w:val="20"/>
          <w:szCs w:val="20"/>
        </w:rPr>
        <w:t>•refusal by the FDA to approve pending applications or supplements to approved applications filed by us or suspension o</w:t>
      </w:r>
      <w:r>
        <w:rPr>
          <w:rFonts w:eastAsia="Times New Roman"/>
          <w:color w:val="000000"/>
          <w:sz w:val="20"/>
          <w:szCs w:val="20"/>
        </w:rPr>
        <w:t>r revocation of license approvals;</w:t>
      </w:r>
    </w:p>
    <w:p w:rsidR="00000000" w:rsidRDefault="009012B9">
      <w:pPr>
        <w:ind w:hanging="480"/>
        <w:divId w:val="74132628"/>
        <w:rPr>
          <w:rFonts w:eastAsia="Times New Roman"/>
        </w:rPr>
      </w:pPr>
      <w:r>
        <w:rPr>
          <w:rFonts w:eastAsia="Times New Roman"/>
          <w:color w:val="000000"/>
          <w:sz w:val="20"/>
          <w:szCs w:val="20"/>
        </w:rPr>
        <w:t>•product seizure or detention or refusal to permit the import or export of our product candidates; and</w:t>
      </w:r>
    </w:p>
    <w:p w:rsidR="00000000" w:rsidRDefault="009012B9">
      <w:pPr>
        <w:ind w:hanging="480"/>
        <w:divId w:val="1220629869"/>
        <w:rPr>
          <w:rFonts w:eastAsia="Times New Roman"/>
        </w:rPr>
      </w:pPr>
      <w:r>
        <w:rPr>
          <w:rFonts w:eastAsia="Times New Roman"/>
          <w:color w:val="000000"/>
          <w:sz w:val="20"/>
          <w:szCs w:val="20"/>
        </w:rPr>
        <w:t>•injunctions or the imposition of civil or criminal penalties.</w:t>
      </w:r>
    </w:p>
    <w:p w:rsidR="00000000" w:rsidRDefault="009012B9">
      <w:pPr>
        <w:ind w:firstLine="482"/>
        <w:divId w:val="1265651350"/>
        <w:rPr>
          <w:rFonts w:eastAsia="Times New Roman"/>
        </w:rPr>
      </w:pPr>
      <w:r>
        <w:rPr>
          <w:rFonts w:eastAsia="Times New Roman"/>
          <w:color w:val="000000"/>
          <w:sz w:val="20"/>
          <w:szCs w:val="20"/>
        </w:rPr>
        <w:t>The FDA strictly regulates marketing, labeling, advertising, and promotion of products that are placed on the market. Products may be promoted only for the approved indications and in accordance with the provisions of the approved label. However, companies</w:t>
      </w:r>
      <w:r>
        <w:rPr>
          <w:rFonts w:eastAsia="Times New Roman"/>
          <w:color w:val="000000"/>
          <w:sz w:val="20"/>
          <w:szCs w:val="20"/>
        </w:rPr>
        <w:t xml:space="preserve"> may share truthful and not misleading information that is not inconsistent with the labeling. The FDA and other agencies actively enforce the laws and regulations prohibiting the promotion of off-label uses and a company that is found to have improperly p</w:t>
      </w:r>
      <w:r>
        <w:rPr>
          <w:rFonts w:eastAsia="Times New Roman"/>
          <w:color w:val="000000"/>
          <w:sz w:val="20"/>
          <w:szCs w:val="20"/>
        </w:rPr>
        <w:t>romoted off-label uses may be subject to significant liability. The policies of the FDA and of other regulatory authorities may change and additional government regulations may be enacted that could prevent, limit, or delay regulatory approval of our produ</w:t>
      </w:r>
      <w:r>
        <w:rPr>
          <w:rFonts w:eastAsia="Times New Roman"/>
          <w:color w:val="000000"/>
          <w:sz w:val="20"/>
          <w:szCs w:val="20"/>
        </w:rPr>
        <w:t>ct candidates. We cannot predict the likelihood, nature or extent of government regulation that may arise from future legislation or administrative action, either in the United States or abroad. If we are slow or unable to adapt to changes in existing requ</w:t>
      </w:r>
      <w:r>
        <w:rPr>
          <w:rFonts w:eastAsia="Times New Roman"/>
          <w:color w:val="000000"/>
          <w:sz w:val="20"/>
          <w:szCs w:val="20"/>
        </w:rPr>
        <w:t>irements or the adoption of new requirements or policies, or if we are not able to maintain regulatory compliance, we may lose any marketing approval that we may have obtained and we may not achieve or sustain profitability.</w:t>
      </w:r>
    </w:p>
    <w:p w:rsidR="00000000" w:rsidRDefault="009012B9">
      <w:pPr>
        <w:jc w:val="center"/>
        <w:divId w:val="2108383872"/>
        <w:rPr>
          <w:rFonts w:eastAsia="Times New Roman"/>
        </w:rPr>
      </w:pPr>
      <w:r>
        <w:rPr>
          <w:rFonts w:eastAsia="Times New Roman"/>
          <w:color w:val="000000"/>
          <w:sz w:val="20"/>
          <w:szCs w:val="20"/>
        </w:rPr>
        <w:t>47</w:t>
      </w:r>
    </w:p>
    <w:p w:rsidR="00000000" w:rsidRDefault="009012B9">
      <w:pPr>
        <w:rPr>
          <w:rFonts w:eastAsia="Times New Roman"/>
        </w:rPr>
      </w:pPr>
      <w:r>
        <w:rPr>
          <w:rFonts w:eastAsia="Times New Roman"/>
        </w:rPr>
        <w:pict>
          <v:rect id="_x0000_i1071" style="width:0;height:1.5pt" o:hralign="center" o:hrstd="t" o:hr="t" fillcolor="#a0a0a0" stroked="f"/>
        </w:pict>
      </w:r>
    </w:p>
    <w:p w:rsidR="00000000" w:rsidRDefault="009012B9">
      <w:pPr>
        <w:divId w:val="2058502485"/>
        <w:rPr>
          <w:rFonts w:eastAsia="Times New Roman"/>
        </w:rPr>
      </w:pPr>
    </w:p>
    <w:p w:rsidR="00000000" w:rsidRDefault="009012B9">
      <w:pPr>
        <w:divId w:val="245461431"/>
        <w:rPr>
          <w:rFonts w:eastAsia="Times New Roman"/>
        </w:rPr>
      </w:pPr>
      <w:r>
        <w:rPr>
          <w:rFonts w:eastAsia="Times New Roman"/>
          <w:b/>
          <w:bCs/>
          <w:i/>
          <w:iCs/>
          <w:color w:val="000000"/>
          <w:sz w:val="20"/>
          <w:szCs w:val="20"/>
        </w:rPr>
        <w:t>Ongoing healthcare legislative and regulatory reform measures may have a material adverse effect on our business and results of operations.</w:t>
      </w:r>
    </w:p>
    <w:p w:rsidR="00000000" w:rsidRDefault="009012B9">
      <w:pPr>
        <w:ind w:firstLine="482"/>
        <w:divId w:val="425540734"/>
        <w:rPr>
          <w:rFonts w:eastAsia="Times New Roman"/>
        </w:rPr>
      </w:pPr>
      <w:r>
        <w:rPr>
          <w:rFonts w:eastAsia="Times New Roman"/>
          <w:color w:val="000000"/>
          <w:sz w:val="20"/>
          <w:szCs w:val="20"/>
        </w:rPr>
        <w:t>Changes in regulations, statutes or the interpretation of existing regulations could impact our business i</w:t>
      </w:r>
      <w:r>
        <w:rPr>
          <w:rFonts w:eastAsia="Times New Roman"/>
          <w:color w:val="000000"/>
          <w:sz w:val="20"/>
          <w:szCs w:val="20"/>
        </w:rPr>
        <w:t>n the future by requiring, for example: (i) changes to our manufacturing arrangements; (ii) additions or modifications to product labeling; (iii) the recall or discontinuation of our products; or (iv) additional record-keeping requirements. If any such cha</w:t>
      </w:r>
      <w:r>
        <w:rPr>
          <w:rFonts w:eastAsia="Times New Roman"/>
          <w:color w:val="000000"/>
          <w:sz w:val="20"/>
          <w:szCs w:val="20"/>
        </w:rPr>
        <w:t>nges were to be imposed, they could adversely affect the operation of our business.</w:t>
      </w:r>
    </w:p>
    <w:p w:rsidR="00000000" w:rsidRDefault="009012B9">
      <w:pPr>
        <w:ind w:firstLine="482"/>
        <w:divId w:val="1072239452"/>
        <w:rPr>
          <w:rFonts w:eastAsia="Times New Roman"/>
        </w:rPr>
      </w:pPr>
      <w:r>
        <w:rPr>
          <w:rFonts w:eastAsia="Times New Roman"/>
          <w:color w:val="000000"/>
          <w:sz w:val="20"/>
          <w:szCs w:val="20"/>
        </w:rPr>
        <w:t>In the United States, there have been and continue to be a number of legislative initiatives to contain healthcare costs. For example, in March 2010, the ACA was passed, wh</w:t>
      </w:r>
      <w:r>
        <w:rPr>
          <w:rFonts w:eastAsia="Times New Roman"/>
          <w:color w:val="000000"/>
          <w:sz w:val="20"/>
          <w:szCs w:val="20"/>
        </w:rPr>
        <w:t>ich substantially changed the way health care is financed by both governmental and private insurers, and significantly impacted the U.S. biopharmaceutical industry. The ACA, among other things, addressed a new methodology by which rebates owed by manufactu</w:t>
      </w:r>
      <w:r>
        <w:rPr>
          <w:rFonts w:eastAsia="Times New Roman"/>
          <w:color w:val="000000"/>
          <w:sz w:val="20"/>
          <w:szCs w:val="20"/>
        </w:rPr>
        <w:t>rers under the Medicaid Drug Rebate Program are calculated for drugs that are inhaled, infused, instilled, implanted or injected, increased the minimum Medicaid rebates owed by manufacturers under the Medicaid Drug Rebate Program and extended the rebate pr</w:t>
      </w:r>
      <w:r>
        <w:rPr>
          <w:rFonts w:eastAsia="Times New Roman"/>
          <w:color w:val="000000"/>
          <w:sz w:val="20"/>
          <w:szCs w:val="20"/>
        </w:rPr>
        <w:t>ogram to individuals enrolled in Medicaid managed care organizations, established annual fees and taxes on manufacturers of certain branded prescription drugs, and created a new Medicare Part D coverage gap discount program, in which manufacturers must agr</w:t>
      </w:r>
      <w:r>
        <w:rPr>
          <w:rFonts w:eastAsia="Times New Roman"/>
          <w:color w:val="000000"/>
          <w:sz w:val="20"/>
          <w:szCs w:val="20"/>
        </w:rPr>
        <w:t>ee to offer 50% (increased to 70% pursuant to the Bipartisan Budget Act of 2018, effective as of 2019) point-of-sale discounts off negotiated prices of applicable brand drugs to eligible beneficiaries during their coverage gap period, as a condition for th</w:t>
      </w:r>
      <w:r>
        <w:rPr>
          <w:rFonts w:eastAsia="Times New Roman"/>
          <w:color w:val="000000"/>
          <w:sz w:val="20"/>
          <w:szCs w:val="20"/>
        </w:rPr>
        <w:t>e manufacturer’s outpatient drugs to be covered under Medicare Part D. There have been many legal challenges to the ACA as well as legislative and regulatory modifications. There are also other initiatives at the federal and state level intended to contain</w:t>
      </w:r>
      <w:r>
        <w:rPr>
          <w:rFonts w:eastAsia="Times New Roman"/>
          <w:color w:val="000000"/>
          <w:sz w:val="20"/>
          <w:szCs w:val="20"/>
        </w:rPr>
        <w:t xml:space="preserve"> healthcare costs by requiring manufacturers to provide greater discounts or by limiting the amount of government reimbursement for pharmaceutical products. We expect these changes to continue between now and the time we may launch a commercial product wit</w:t>
      </w:r>
      <w:r>
        <w:rPr>
          <w:rFonts w:eastAsia="Times New Roman"/>
          <w:color w:val="000000"/>
          <w:sz w:val="20"/>
          <w:szCs w:val="20"/>
        </w:rPr>
        <w:t>h uncertain consequences.</w:t>
      </w:r>
    </w:p>
    <w:p w:rsidR="00000000" w:rsidRDefault="009012B9">
      <w:pPr>
        <w:ind w:firstLine="475"/>
        <w:divId w:val="1291742380"/>
        <w:rPr>
          <w:rFonts w:eastAsia="Times New Roman"/>
        </w:rPr>
      </w:pPr>
      <w:r>
        <w:rPr>
          <w:rFonts w:eastAsia="Times New Roman"/>
          <w:color w:val="000000"/>
          <w:sz w:val="20"/>
          <w:szCs w:val="20"/>
        </w:rPr>
        <w:t>Since its enactment, there have been numerous judicial, administrative, executive, and legislative challenges to certain aspects of the ACA, and we expect there will be additional challenges and amendments to the ACA in the future</w:t>
      </w:r>
      <w:r>
        <w:rPr>
          <w:rFonts w:eastAsia="Times New Roman"/>
          <w:color w:val="000000"/>
          <w:sz w:val="20"/>
          <w:szCs w:val="20"/>
        </w:rPr>
        <w:t>. For example, Various portions of the ACA are currently undergoing legal and constitutional challenges in the United States Supreme Court. Additionally, the former Trump Administration has issued various Executive Orders which eliminated cost sharing subs</w:t>
      </w:r>
      <w:r>
        <w:rPr>
          <w:rFonts w:eastAsia="Times New Roman"/>
          <w:color w:val="000000"/>
          <w:sz w:val="20"/>
          <w:szCs w:val="20"/>
        </w:rPr>
        <w:t>idies and various provisions that would impose a fiscal burden on states or a cost, fee, tax, penalty or regulatory burden on individuals, healthcare providers, health insurers, or manufacturers of pharmaceuticals or medical devices; and Congress has intro</w:t>
      </w:r>
      <w:r>
        <w:rPr>
          <w:rFonts w:eastAsia="Times New Roman"/>
          <w:color w:val="000000"/>
          <w:sz w:val="20"/>
          <w:szCs w:val="20"/>
        </w:rPr>
        <w:t>duced several pieces of legislation aimed at significantly revising or repealing the ACA. In December 2018, the CMS published a final rule permitting further collections and payments to and from certain ACA qualified health plans and health insurance issue</w:t>
      </w:r>
      <w:r>
        <w:rPr>
          <w:rFonts w:eastAsia="Times New Roman"/>
          <w:color w:val="000000"/>
          <w:sz w:val="20"/>
          <w:szCs w:val="20"/>
        </w:rPr>
        <w:t>rs under the ACA risk adjustment program in response to the outcome of the federal district court litigation regarding the method CMS uses to determine this risk adjustment. Since then, the ACA risk adjustment program payment parameters have been updated a</w:t>
      </w:r>
      <w:r>
        <w:rPr>
          <w:rFonts w:eastAsia="Times New Roman"/>
          <w:color w:val="000000"/>
          <w:sz w:val="20"/>
          <w:szCs w:val="20"/>
        </w:rPr>
        <w:t>nnually. It is unclear whether the ACA will be overturned, repealed, replaced, or further amended. We cannot predict what affect further changes to the ACA would have on our business, especially given the new administration.</w:t>
      </w:r>
    </w:p>
    <w:p w:rsidR="00000000" w:rsidRDefault="009012B9">
      <w:pPr>
        <w:divId w:val="428164795"/>
        <w:rPr>
          <w:rFonts w:eastAsia="Times New Roman"/>
        </w:rPr>
      </w:pPr>
    </w:p>
    <w:p w:rsidR="00000000" w:rsidRDefault="009012B9">
      <w:pPr>
        <w:ind w:firstLine="475"/>
        <w:divId w:val="409500472"/>
        <w:rPr>
          <w:rFonts w:eastAsia="Times New Roman"/>
        </w:rPr>
      </w:pPr>
      <w:r>
        <w:rPr>
          <w:rFonts w:eastAsia="Times New Roman"/>
          <w:color w:val="000000"/>
          <w:sz w:val="20"/>
          <w:szCs w:val="20"/>
        </w:rPr>
        <w:t>Other legislative changes hav</w:t>
      </w:r>
      <w:r>
        <w:rPr>
          <w:rFonts w:eastAsia="Times New Roman"/>
          <w:color w:val="000000"/>
          <w:sz w:val="20"/>
          <w:szCs w:val="20"/>
        </w:rPr>
        <w:t>e been proposed and adopted in the United States since the ACA was enacted. In August 2011, the Budget Control Act of 2011, among other things, created measures for spending reductions by Congress. A Joint Select Committee on Deficit Reduction, tasked with</w:t>
      </w:r>
      <w:r>
        <w:rPr>
          <w:rFonts w:eastAsia="Times New Roman"/>
          <w:color w:val="000000"/>
          <w:sz w:val="20"/>
          <w:szCs w:val="20"/>
        </w:rPr>
        <w:t xml:space="preserve"> recommending a targeted deficit reduction of at least $1.2 trillion for the years 2013 through 2021, was unable to reach required goals, thereby triggering the legislation’s automatic reduction to several government programs. This includes aggregate reduc</w:t>
      </w:r>
      <w:r>
        <w:rPr>
          <w:rFonts w:eastAsia="Times New Roman"/>
          <w:color w:val="000000"/>
          <w:sz w:val="20"/>
          <w:szCs w:val="20"/>
        </w:rPr>
        <w:t>tions of Medicare payments to providers up to 2% per fiscal year, and, due to subsequent legislative amendments, will remain in effect through 2030 unless additional Congressional action is taken. Pursuant to the Coronavirus Aid, Relief, and Economic Secur</w:t>
      </w:r>
      <w:r>
        <w:rPr>
          <w:rFonts w:eastAsia="Times New Roman"/>
          <w:color w:val="000000"/>
          <w:sz w:val="20"/>
          <w:szCs w:val="20"/>
        </w:rPr>
        <w:t xml:space="preserve">ity Act, also known as the CARES Act, as well as subsequent legislation, these reductions have been suspended from May 1, 2020 through December 31, 2021 due to the COVID-19 pandemic. </w:t>
      </w:r>
    </w:p>
    <w:p w:rsidR="00000000" w:rsidRDefault="009012B9">
      <w:pPr>
        <w:ind w:firstLine="475"/>
        <w:divId w:val="977800448"/>
        <w:rPr>
          <w:rFonts w:eastAsia="Times New Roman"/>
        </w:rPr>
      </w:pPr>
    </w:p>
    <w:p w:rsidR="00000000" w:rsidRDefault="009012B9">
      <w:pPr>
        <w:ind w:firstLine="475"/>
        <w:divId w:val="1283729950"/>
        <w:rPr>
          <w:rFonts w:eastAsia="Times New Roman"/>
        </w:rPr>
      </w:pPr>
      <w:r>
        <w:rPr>
          <w:rFonts w:eastAsia="Times New Roman"/>
          <w:color w:val="000000"/>
          <w:sz w:val="20"/>
          <w:szCs w:val="20"/>
        </w:rPr>
        <w:t>Further, on May 30, 2018, the Right to Try Act, was signed into law. T</w:t>
      </w:r>
      <w:r>
        <w:rPr>
          <w:rFonts w:eastAsia="Times New Roman"/>
          <w:color w:val="000000"/>
          <w:sz w:val="20"/>
          <w:szCs w:val="20"/>
        </w:rPr>
        <w:t>he law, among other things, provides a federal framework for certain patients to access certain investigational new drug products that have completed a Phase 1 clinical trial and that are undergoing investigation for FDA approval. Under certain circumstanc</w:t>
      </w:r>
      <w:r>
        <w:rPr>
          <w:rFonts w:eastAsia="Times New Roman"/>
          <w:color w:val="000000"/>
          <w:sz w:val="20"/>
          <w:szCs w:val="20"/>
        </w:rPr>
        <w:t>es, eligible patients can seek treatment without enrolling in clinical trials and without obtaining FDA permission under the FDA expanded access program. There is no obligation for a pharmaceutical manufacturer to make its drug products available to eligib</w:t>
      </w:r>
      <w:r>
        <w:rPr>
          <w:rFonts w:eastAsia="Times New Roman"/>
          <w:color w:val="000000"/>
          <w:sz w:val="20"/>
          <w:szCs w:val="20"/>
        </w:rPr>
        <w:t>le patients as a result of the Right to Try Act.</w:t>
      </w:r>
    </w:p>
    <w:p w:rsidR="00000000" w:rsidRDefault="009012B9">
      <w:pPr>
        <w:ind w:firstLine="475"/>
        <w:divId w:val="1699045827"/>
        <w:rPr>
          <w:rFonts w:eastAsia="Times New Roman"/>
        </w:rPr>
      </w:pPr>
    </w:p>
    <w:p w:rsidR="00000000" w:rsidRDefault="009012B9">
      <w:pPr>
        <w:ind w:firstLine="475"/>
        <w:divId w:val="569466423"/>
        <w:rPr>
          <w:rFonts w:eastAsia="Times New Roman"/>
        </w:rPr>
      </w:pPr>
      <w:r>
        <w:rPr>
          <w:rFonts w:eastAsia="Times New Roman"/>
          <w:color w:val="000000"/>
          <w:sz w:val="20"/>
          <w:szCs w:val="20"/>
        </w:rPr>
        <w:t xml:space="preserve">Separately, increasing efforts by governmental and third-party payors in the United States and abroad to cap or reduce healthcare costs may cause such organizations to limit both coverage and the level of </w:t>
      </w:r>
      <w:r>
        <w:rPr>
          <w:rFonts w:eastAsia="Times New Roman"/>
          <w:color w:val="000000"/>
          <w:sz w:val="20"/>
          <w:szCs w:val="20"/>
        </w:rPr>
        <w:t>reimbursement for newly approved products and, as a result, they may not cover or provide adequate payment for our product candidates. There has been increasing legislative and enforcement interest in the United States with respect to specialty drug pricin</w:t>
      </w:r>
      <w:r>
        <w:rPr>
          <w:rFonts w:eastAsia="Times New Roman"/>
          <w:color w:val="000000"/>
          <w:sz w:val="20"/>
          <w:szCs w:val="20"/>
        </w:rPr>
        <w:t xml:space="preserve">g practices. Specifically, </w:t>
      </w:r>
    </w:p>
    <w:p w:rsidR="00000000" w:rsidRDefault="009012B9">
      <w:pPr>
        <w:jc w:val="center"/>
        <w:divId w:val="267585731"/>
        <w:rPr>
          <w:rFonts w:eastAsia="Times New Roman"/>
        </w:rPr>
      </w:pPr>
      <w:r>
        <w:rPr>
          <w:rFonts w:eastAsia="Times New Roman"/>
          <w:color w:val="000000"/>
          <w:sz w:val="20"/>
          <w:szCs w:val="20"/>
        </w:rPr>
        <w:t>48</w:t>
      </w:r>
    </w:p>
    <w:p w:rsidR="00000000" w:rsidRDefault="009012B9">
      <w:pPr>
        <w:rPr>
          <w:rFonts w:eastAsia="Times New Roman"/>
        </w:rPr>
      </w:pPr>
      <w:r>
        <w:rPr>
          <w:rFonts w:eastAsia="Times New Roman"/>
        </w:rPr>
        <w:pict>
          <v:rect id="_x0000_i1072" style="width:0;height:1.5pt" o:hralign="center" o:hrstd="t" o:hr="t" fillcolor="#a0a0a0" stroked="f"/>
        </w:pict>
      </w:r>
    </w:p>
    <w:p w:rsidR="00000000" w:rsidRDefault="009012B9">
      <w:pPr>
        <w:divId w:val="742872888"/>
        <w:rPr>
          <w:rFonts w:eastAsia="Times New Roman"/>
        </w:rPr>
      </w:pPr>
    </w:p>
    <w:p w:rsidR="00000000" w:rsidRDefault="009012B9">
      <w:pPr>
        <w:divId w:val="981811290"/>
        <w:rPr>
          <w:rFonts w:eastAsia="Times New Roman"/>
        </w:rPr>
      </w:pPr>
      <w:r>
        <w:rPr>
          <w:rFonts w:eastAsia="Times New Roman"/>
          <w:color w:val="000000"/>
          <w:sz w:val="20"/>
          <w:szCs w:val="20"/>
        </w:rPr>
        <w:t>there have been several recent U.S. Congressional inquiries and proposed and enacted federal and state legislation designed to, among other things, bring more transparency to drug pricing, reduce the cost of prescription drugs under Medicare, review the re</w:t>
      </w:r>
      <w:r>
        <w:rPr>
          <w:rFonts w:eastAsia="Times New Roman"/>
          <w:color w:val="000000"/>
          <w:sz w:val="20"/>
          <w:szCs w:val="20"/>
        </w:rPr>
        <w:t>lationship between pricing and manufacturer patient programs, and reform government program reimbursement methodologies for drugs. The former Trump administration’s budget proposal for fiscal year 2021 included a $135 billion allowance to support legislati</w:t>
      </w:r>
      <w:r>
        <w:rPr>
          <w:rFonts w:eastAsia="Times New Roman"/>
          <w:color w:val="000000"/>
          <w:sz w:val="20"/>
          <w:szCs w:val="20"/>
        </w:rPr>
        <w:t>ve proposals seeking to reduce drug prices, increase competition, lower out-of-pocket drug costs for patients, and increase patient access to lower-cost generic and biosimilar drugs. On March 10, 2020, the Trump administration sent “principles” for drug pr</w:t>
      </w:r>
      <w:r>
        <w:rPr>
          <w:rFonts w:eastAsia="Times New Roman"/>
          <w:color w:val="000000"/>
          <w:sz w:val="20"/>
          <w:szCs w:val="20"/>
        </w:rPr>
        <w:t>icing to Congress, calling for legislation that would, among other things, cap Medicare Part D beneficiary out-of-pocket pharmacy expenses, provide an option to cap Medicare Part D beneficiary monthly out-of-pocket expenses, and place limits on pharmaceuti</w:t>
      </w:r>
      <w:r>
        <w:rPr>
          <w:rFonts w:eastAsia="Times New Roman"/>
          <w:color w:val="000000"/>
          <w:sz w:val="20"/>
          <w:szCs w:val="20"/>
        </w:rPr>
        <w:t>cal price increases. Further, the former Trump administration also previously released a “Blueprint” to lower drug prices and reduce out of pocket costs of drugs that contains additional proposals to increase manufacturer competition, increase the negotiat</w:t>
      </w:r>
      <w:r>
        <w:rPr>
          <w:rFonts w:eastAsia="Times New Roman"/>
          <w:color w:val="000000"/>
          <w:sz w:val="20"/>
          <w:szCs w:val="20"/>
        </w:rPr>
        <w:t>ing power of certain federal healthcare programs, incentivize manufacturers to lower the list price of their products and reduce the out-of-pocket costs of drug products paid by consumers. The U.S. Department of Health and Human Services, or HHS, has alrea</w:t>
      </w:r>
      <w:r>
        <w:rPr>
          <w:rFonts w:eastAsia="Times New Roman"/>
          <w:color w:val="000000"/>
          <w:sz w:val="20"/>
          <w:szCs w:val="20"/>
        </w:rPr>
        <w:t>dy started the process of soliciting feedback on some of these measures and, at the same time, is immediately implementing others under its existing authority. For example, in May 2019, CMS issued a final rule to allow Medicare Advantage Plans the option o</w:t>
      </w:r>
      <w:r>
        <w:rPr>
          <w:rFonts w:eastAsia="Times New Roman"/>
          <w:color w:val="000000"/>
          <w:sz w:val="20"/>
          <w:szCs w:val="20"/>
        </w:rPr>
        <w:t>f using step therapy for Part B drugs beginning January 1, 2020. However, it is unclear whether the Biden administration will challenge, reverse, revoke or otherwise modify these executive and administrative actions after January 20, 2021.</w:t>
      </w:r>
    </w:p>
    <w:p w:rsidR="00000000" w:rsidRDefault="009012B9">
      <w:pPr>
        <w:ind w:firstLine="475"/>
        <w:divId w:val="1567492990"/>
        <w:rPr>
          <w:rFonts w:eastAsia="Times New Roman"/>
        </w:rPr>
      </w:pPr>
      <w:r>
        <w:rPr>
          <w:rFonts w:eastAsia="Times New Roman"/>
          <w:color w:val="000000"/>
          <w:sz w:val="20"/>
          <w:szCs w:val="20"/>
        </w:rPr>
        <w:t>In addition, the</w:t>
      </w:r>
      <w:r>
        <w:rPr>
          <w:rFonts w:eastAsia="Times New Roman"/>
          <w:color w:val="000000"/>
          <w:sz w:val="20"/>
          <w:szCs w:val="20"/>
        </w:rPr>
        <w:t>re have been several changes to the 340B drug pricing program, which imposes ceilings on prices that drug manufacturers can charge for medications sold to certain health care facilities. On December 27, 2018, the District Court for the District of Columbia</w:t>
      </w:r>
      <w:r>
        <w:rPr>
          <w:rFonts w:eastAsia="Times New Roman"/>
          <w:color w:val="000000"/>
          <w:sz w:val="20"/>
          <w:szCs w:val="20"/>
        </w:rPr>
        <w:t xml:space="preserve"> invalidated a reimbursement formula change under the 340B drug pricing program, and CMS subsequently altered the FYs 2019 and 2018 reimbursement formula on specified covered outpatient drugs (“SCODs”). The court ruled this change was not an “adjustment” w</w:t>
      </w:r>
      <w:r>
        <w:rPr>
          <w:rFonts w:eastAsia="Times New Roman"/>
          <w:color w:val="000000"/>
          <w:sz w:val="20"/>
          <w:szCs w:val="20"/>
        </w:rPr>
        <w:t>hich was within the Secretary’s discretion to make but was instead a fundamental change in the reimbursement calculation. However, most recently, on July 31, 2020, the U.S. Court of Appeals for the District of Columbia Circuit overturned the district court</w:t>
      </w:r>
      <w:r>
        <w:rPr>
          <w:rFonts w:eastAsia="Times New Roman"/>
          <w:color w:val="000000"/>
          <w:sz w:val="20"/>
          <w:szCs w:val="20"/>
        </w:rPr>
        <w:t xml:space="preserve">’s decision and found that the changes were within the Secretary’s authority. On September 14, 2020, the plaintiffs-appellees filed a Petition for Rehearing En Banc (i.e., before the full court), but was denied on October 16, 2020. It is unclear how these </w:t>
      </w:r>
      <w:r>
        <w:rPr>
          <w:rFonts w:eastAsia="Times New Roman"/>
          <w:color w:val="000000"/>
          <w:sz w:val="20"/>
          <w:szCs w:val="20"/>
        </w:rPr>
        <w:t>developments could affect covered hospitals who might purchase our future products and affect the rates we may charge such facilities for our approved products in the future, if any.</w:t>
      </w:r>
    </w:p>
    <w:p w:rsidR="00000000" w:rsidRDefault="009012B9">
      <w:pPr>
        <w:ind w:firstLine="475"/>
        <w:divId w:val="1728845132"/>
        <w:rPr>
          <w:rFonts w:eastAsia="Times New Roman"/>
        </w:rPr>
      </w:pPr>
      <w:r>
        <w:rPr>
          <w:rFonts w:eastAsia="Times New Roman"/>
          <w:color w:val="000000"/>
          <w:sz w:val="20"/>
          <w:szCs w:val="20"/>
        </w:rPr>
        <w:t>On July 24, 2020 and September 13, 2020, former President Trump announced</w:t>
      </w:r>
      <w:r>
        <w:rPr>
          <w:rFonts w:eastAsia="Times New Roman"/>
          <w:color w:val="000000"/>
          <w:sz w:val="20"/>
          <w:szCs w:val="20"/>
        </w:rPr>
        <w:t xml:space="preserve"> several executive orders related to prescription drug pricing that seek to implement several of the administration's proposals. In response, the FDA released a final rule on September 24, 2020, which went into effect on November 30, 2020, providing guidan</w:t>
      </w:r>
      <w:r>
        <w:rPr>
          <w:rFonts w:eastAsia="Times New Roman"/>
          <w:color w:val="000000"/>
          <w:sz w:val="20"/>
          <w:szCs w:val="20"/>
        </w:rPr>
        <w:t>ce for states to build and submit importation plans for drugs from Canada. Further, on November 20, 2020 CMS issued an Interim Final Rule implementing the Most Favored Nation, or MFN, Model under which Medicare Part B reimbursement rates will be calculated</w:t>
      </w:r>
      <w:r>
        <w:rPr>
          <w:rFonts w:eastAsia="Times New Roman"/>
          <w:color w:val="000000"/>
          <w:sz w:val="20"/>
          <w:szCs w:val="20"/>
        </w:rPr>
        <w:t xml:space="preserve"> for certain drugs and biologicals based on the lowest price drug manufacturers receive in Organization for Economic Cooperation and Development countries with a similar gross domestic product per capita. The MFN Model regulations mandate participation by </w:t>
      </w:r>
      <w:r>
        <w:rPr>
          <w:rFonts w:eastAsia="Times New Roman"/>
          <w:color w:val="000000"/>
          <w:sz w:val="20"/>
          <w:szCs w:val="20"/>
        </w:rPr>
        <w:t>identified Part B providers and will apply in all U.S. states and territories for a seven-year period beginning January 1, 2021 and ending December 31, 2027. The Interim Final Rule has not been finalized and is subject to revision and challenge. Additional</w:t>
      </w:r>
      <w:r>
        <w:rPr>
          <w:rFonts w:eastAsia="Times New Roman"/>
          <w:color w:val="000000"/>
          <w:sz w:val="20"/>
          <w:szCs w:val="20"/>
        </w:rPr>
        <w:t>ly, on November 20, 2020, HHS finalized a regulation removing safe harbor protection for price reductions from pharmaceutical manufacturers to plan sponsors under Part D, either directly or through pharmacy benefit managers, unless the price reduction is r</w:t>
      </w:r>
      <w:r>
        <w:rPr>
          <w:rFonts w:eastAsia="Times New Roman"/>
          <w:color w:val="000000"/>
          <w:sz w:val="20"/>
          <w:szCs w:val="20"/>
        </w:rPr>
        <w:t>equired by law. The rule also creates a new safe harbor for price reductions reflected at the point-of-sale, as well as a safe harbor for certain fixed fee arrangements between pharmacy benefit managers and manufacturers. Implementation of the amendments t</w:t>
      </w:r>
      <w:r>
        <w:rPr>
          <w:rFonts w:eastAsia="Times New Roman"/>
          <w:color w:val="000000"/>
          <w:sz w:val="20"/>
          <w:szCs w:val="20"/>
        </w:rPr>
        <w:t>o the discount safe harbor have been delayed until at least January 1, 2023. Although a number of these and other proposed measures may require authorization through additional legislation to become effective, and the Biden administration may reverse or ot</w:t>
      </w:r>
      <w:r>
        <w:rPr>
          <w:rFonts w:eastAsia="Times New Roman"/>
          <w:color w:val="000000"/>
          <w:sz w:val="20"/>
          <w:szCs w:val="20"/>
        </w:rPr>
        <w:t>herwise change these measures, Congress has indicated that it will continue to seek new legislative measures to control drug costs.</w:t>
      </w:r>
    </w:p>
    <w:p w:rsidR="00000000" w:rsidRDefault="009012B9">
      <w:pPr>
        <w:ind w:firstLine="482"/>
        <w:divId w:val="561864566"/>
        <w:rPr>
          <w:rFonts w:eastAsia="Times New Roman"/>
        </w:rPr>
      </w:pPr>
      <w:r>
        <w:rPr>
          <w:rFonts w:eastAsia="Times New Roman"/>
          <w:color w:val="000000"/>
          <w:sz w:val="20"/>
          <w:szCs w:val="20"/>
        </w:rPr>
        <w:t>Any reduction in reimbursement from Medicare and other government programs may result in a similar reduction in payments fro</w:t>
      </w:r>
      <w:r>
        <w:rPr>
          <w:rFonts w:eastAsia="Times New Roman"/>
          <w:color w:val="000000"/>
          <w:sz w:val="20"/>
          <w:szCs w:val="20"/>
        </w:rPr>
        <w:t>m private payers. In addition, individual states in the United States have also increasingly passed legislation and implemented regulations designed to control pharmaceutical product pricing, including price or patient reimbursement constraints, discounts,</w:t>
      </w:r>
      <w:r>
        <w:rPr>
          <w:rFonts w:eastAsia="Times New Roman"/>
          <w:color w:val="000000"/>
          <w:sz w:val="20"/>
          <w:szCs w:val="20"/>
        </w:rPr>
        <w:t xml:space="preserve"> restrictions on certain product access and marketing cost disclosure and transparency measures, and, in some cases, designed to encourage importation from other countries and bulk purchasing.</w:t>
      </w:r>
    </w:p>
    <w:p w:rsidR="00000000" w:rsidRDefault="009012B9">
      <w:pPr>
        <w:ind w:firstLine="482"/>
        <w:divId w:val="1246767361"/>
        <w:rPr>
          <w:rFonts w:eastAsia="Times New Roman"/>
        </w:rPr>
      </w:pPr>
      <w:r>
        <w:rPr>
          <w:rFonts w:eastAsia="Times New Roman"/>
          <w:color w:val="000000"/>
          <w:sz w:val="20"/>
          <w:szCs w:val="20"/>
        </w:rPr>
        <w:t>At the state level, legislatures are increasingly passing legis</w:t>
      </w:r>
      <w:r>
        <w:rPr>
          <w:rFonts w:eastAsia="Times New Roman"/>
          <w:color w:val="000000"/>
          <w:sz w:val="20"/>
          <w:szCs w:val="20"/>
        </w:rPr>
        <w:t>lation and implementing regulations designed to control biopharmaceutical and biologic product pricing, including price or patient reimbursement constraints, discounts, restrictions on certain product access and marketing cost disclosure and transparency m</w:t>
      </w:r>
      <w:r>
        <w:rPr>
          <w:rFonts w:eastAsia="Times New Roman"/>
          <w:color w:val="000000"/>
          <w:sz w:val="20"/>
          <w:szCs w:val="20"/>
        </w:rPr>
        <w:t>easures, and, in some cases, designed to encourage importation from other countries and bulk purchasing.</w:t>
      </w:r>
    </w:p>
    <w:p w:rsidR="00000000" w:rsidRDefault="009012B9">
      <w:pPr>
        <w:jc w:val="center"/>
        <w:divId w:val="719791040"/>
        <w:rPr>
          <w:rFonts w:eastAsia="Times New Roman"/>
        </w:rPr>
      </w:pPr>
      <w:r>
        <w:rPr>
          <w:rFonts w:eastAsia="Times New Roman"/>
          <w:color w:val="000000"/>
          <w:sz w:val="20"/>
          <w:szCs w:val="20"/>
        </w:rPr>
        <w:t>49</w:t>
      </w:r>
    </w:p>
    <w:p w:rsidR="00000000" w:rsidRDefault="009012B9">
      <w:pPr>
        <w:rPr>
          <w:rFonts w:eastAsia="Times New Roman"/>
        </w:rPr>
      </w:pPr>
      <w:r>
        <w:rPr>
          <w:rFonts w:eastAsia="Times New Roman"/>
        </w:rPr>
        <w:pict>
          <v:rect id="_x0000_i1073" style="width:0;height:1.5pt" o:hralign="center" o:hrstd="t" o:hr="t" fillcolor="#a0a0a0" stroked="f"/>
        </w:pict>
      </w:r>
    </w:p>
    <w:p w:rsidR="00000000" w:rsidRDefault="009012B9">
      <w:pPr>
        <w:divId w:val="613633566"/>
        <w:rPr>
          <w:rFonts w:eastAsia="Times New Roman"/>
        </w:rPr>
      </w:pPr>
    </w:p>
    <w:p w:rsidR="00000000" w:rsidRDefault="009012B9">
      <w:pPr>
        <w:ind w:firstLine="482"/>
        <w:divId w:val="1655334662"/>
        <w:rPr>
          <w:rFonts w:eastAsia="Times New Roman"/>
        </w:rPr>
      </w:pPr>
      <w:r>
        <w:rPr>
          <w:rFonts w:eastAsia="Times New Roman"/>
          <w:color w:val="000000"/>
          <w:sz w:val="20"/>
          <w:szCs w:val="20"/>
        </w:rPr>
        <w:t>These laws, and future state and federal healthcare reform measures may be adopted in the future, any of which</w:t>
      </w:r>
      <w:r>
        <w:rPr>
          <w:rFonts w:eastAsia="Times New Roman"/>
          <w:color w:val="000000"/>
          <w:sz w:val="20"/>
          <w:szCs w:val="20"/>
        </w:rPr>
        <w:t xml:space="preserve"> may result in additional reductions in Medicare and other healthcare funding and otherwise affect the prices we may obtain for any of our product candidates for which we may obtain regulatory approval or the frequency with which any such product candidate</w:t>
      </w:r>
      <w:r>
        <w:rPr>
          <w:rFonts w:eastAsia="Times New Roman"/>
          <w:color w:val="000000"/>
          <w:sz w:val="20"/>
          <w:szCs w:val="20"/>
        </w:rPr>
        <w:t xml:space="preserve"> is prescribed or used. Additionally, we expect to experience pricing pressures in connection with the sale of any future approved product candidates due to the trend toward managed healthcare, the increasing influence of health maintenance organizations, </w:t>
      </w:r>
      <w:r>
        <w:rPr>
          <w:rFonts w:eastAsia="Times New Roman"/>
          <w:color w:val="000000"/>
          <w:sz w:val="20"/>
          <w:szCs w:val="20"/>
        </w:rPr>
        <w:t>cost containment initiatives and additional legislative changes.</w:t>
      </w:r>
    </w:p>
    <w:p w:rsidR="00000000" w:rsidRDefault="009012B9">
      <w:pPr>
        <w:divId w:val="2018264941"/>
        <w:rPr>
          <w:rFonts w:eastAsia="Times New Roman"/>
        </w:rPr>
      </w:pPr>
      <w:r>
        <w:rPr>
          <w:rFonts w:eastAsia="Times New Roman"/>
          <w:b/>
          <w:bCs/>
          <w:i/>
          <w:iCs/>
          <w:color w:val="000000"/>
          <w:sz w:val="20"/>
          <w:szCs w:val="20"/>
        </w:rPr>
        <w:t>Inadequate funding for the FDA, the SEC and other government agencies could hinder their ability to hire and retain key leadership and other personnel, prevent new products and services from being developed or commercialized in a timely manner or otherwise</w:t>
      </w:r>
      <w:r>
        <w:rPr>
          <w:rFonts w:eastAsia="Times New Roman"/>
          <w:b/>
          <w:bCs/>
          <w:i/>
          <w:iCs/>
          <w:color w:val="000000"/>
          <w:sz w:val="20"/>
          <w:szCs w:val="20"/>
        </w:rPr>
        <w:t xml:space="preserve"> prevent those agencies from performing normal business functions on which the operation of our business may rely, which could negatively impact our business.</w:t>
      </w:r>
    </w:p>
    <w:p w:rsidR="00000000" w:rsidRDefault="009012B9">
      <w:pPr>
        <w:ind w:firstLine="482"/>
        <w:divId w:val="1286621118"/>
        <w:rPr>
          <w:rFonts w:eastAsia="Times New Roman"/>
        </w:rPr>
      </w:pPr>
      <w:r>
        <w:rPr>
          <w:rFonts w:eastAsia="Times New Roman"/>
          <w:color w:val="000000"/>
          <w:sz w:val="20"/>
          <w:szCs w:val="20"/>
        </w:rPr>
        <w:t>The ability of the FDA to review and approve new products can be affected by a variety of factors</w:t>
      </w:r>
      <w:r>
        <w:rPr>
          <w:rFonts w:eastAsia="Times New Roman"/>
          <w:color w:val="000000"/>
          <w:sz w:val="20"/>
          <w:szCs w:val="20"/>
        </w:rPr>
        <w:t>, including government budget and funding levels, ability to hire and retain key personnel and accept the payment of user fees, and statutory, regulatory, and policy changes. Average review times at the agency have fluctuated in recent years as a result. I</w:t>
      </w:r>
      <w:r>
        <w:rPr>
          <w:rFonts w:eastAsia="Times New Roman"/>
          <w:color w:val="000000"/>
          <w:sz w:val="20"/>
          <w:szCs w:val="20"/>
        </w:rPr>
        <w:t>n addition, government funding of the SEC and other government agencies on which our operations may rely, including those that fund research and development activities, is subject to the political process, which is inherently fluid and unpredictable.</w:t>
      </w:r>
    </w:p>
    <w:p w:rsidR="00000000" w:rsidRDefault="009012B9">
      <w:pPr>
        <w:ind w:firstLine="482"/>
        <w:divId w:val="1516386345"/>
        <w:rPr>
          <w:rFonts w:eastAsia="Times New Roman"/>
        </w:rPr>
      </w:pPr>
      <w:r>
        <w:rPr>
          <w:rFonts w:eastAsia="Times New Roman"/>
          <w:color w:val="000000"/>
          <w:sz w:val="20"/>
          <w:szCs w:val="20"/>
        </w:rPr>
        <w:t>Disru</w:t>
      </w:r>
      <w:r>
        <w:rPr>
          <w:rFonts w:eastAsia="Times New Roman"/>
          <w:color w:val="000000"/>
          <w:sz w:val="20"/>
          <w:szCs w:val="20"/>
        </w:rPr>
        <w:t>ptions at the FDA and other agencies may also slow the time necessary for new drugs to be reviewed and/or approved by necessary government agencies, which would adversely affect our business. For example, over the last several years, the U.S. government ha</w:t>
      </w:r>
      <w:r>
        <w:rPr>
          <w:rFonts w:eastAsia="Times New Roman"/>
          <w:color w:val="000000"/>
          <w:sz w:val="20"/>
          <w:szCs w:val="20"/>
        </w:rPr>
        <w:t>s shut down several times and certain regulatory agencies, such as the FDA and the SEC, have had to furlough critical employees and stop critical activities. Separately, since March 2020 when foreign and domestic inspections were largely placed on hold due</w:t>
      </w:r>
      <w:r>
        <w:rPr>
          <w:rFonts w:eastAsia="Times New Roman"/>
          <w:color w:val="000000"/>
          <w:sz w:val="20"/>
          <w:szCs w:val="20"/>
        </w:rPr>
        <w:t xml:space="preserve"> to the COVID-19 pandemic, the FDA has been working to resume routine surveillance, bioresearch monitoring and pre-approval inspections on a prioritized basis. The FDA has developed a rating system to assist in determining when and where it is safest to co</w:t>
      </w:r>
      <w:r>
        <w:rPr>
          <w:rFonts w:eastAsia="Times New Roman"/>
          <w:color w:val="000000"/>
          <w:sz w:val="20"/>
          <w:szCs w:val="20"/>
        </w:rPr>
        <w:t xml:space="preserve">nduct prioritized domestic inspections and resumed inspections in China and India in early 2021. In April 2021, the FDA issued guidance for industry formally announcing plans to employ remote interactive evaluations, using risk management methods, to meet </w:t>
      </w:r>
      <w:r>
        <w:rPr>
          <w:rFonts w:eastAsia="Times New Roman"/>
          <w:color w:val="000000"/>
          <w:sz w:val="20"/>
          <w:szCs w:val="20"/>
        </w:rPr>
        <w:t>user fee commitments and goal dates. Should FDA determine that an inspection is necessary for approval and an inspection cannot be completed during the review cycle due to restrictions on travel, and the FDA does not determine a remote interactive evaluati</w:t>
      </w:r>
      <w:r>
        <w:rPr>
          <w:rFonts w:eastAsia="Times New Roman"/>
          <w:color w:val="000000"/>
          <w:sz w:val="20"/>
          <w:szCs w:val="20"/>
        </w:rPr>
        <w:t>on to be appropriate, the agency has stated that it generally intends to issue a complete response letter. Further, if there is inadequate information to make a determination on the acceptability of a facility, FDA may defer action on the application until</w:t>
      </w:r>
      <w:r>
        <w:rPr>
          <w:rFonts w:eastAsia="Times New Roman"/>
          <w:color w:val="000000"/>
          <w:sz w:val="20"/>
          <w:szCs w:val="20"/>
        </w:rPr>
        <w:t xml:space="preserve"> an inspection can be completed. Additionally, as of March 18, 2021, the FDA noted it is continuing to ensure timely reviews of applications for medical products during the COVID-19 pandemic in line with its user fee performance goals and conducting missio</w:t>
      </w:r>
      <w:r>
        <w:rPr>
          <w:rFonts w:eastAsia="Times New Roman"/>
          <w:color w:val="000000"/>
          <w:sz w:val="20"/>
          <w:szCs w:val="20"/>
        </w:rPr>
        <w:t xml:space="preserve">n critical domestic and foreign inspections to ensure compliance of manufacturing facilities with FDA quality standards. However, the FDA may not be able to continue its current pace and approval timelines could be extended, including where a pre-approval </w:t>
      </w:r>
      <w:r>
        <w:rPr>
          <w:rFonts w:eastAsia="Times New Roman"/>
          <w:color w:val="000000"/>
          <w:sz w:val="20"/>
          <w:szCs w:val="20"/>
        </w:rPr>
        <w:t>inspection or an inspection of clinical sites is required and due to the COVID-19 pandemic and travel restrictions FDA is unable to complete such required inspections during the review period. In 2020, several companies announced receipt of complete respon</w:t>
      </w:r>
      <w:r>
        <w:rPr>
          <w:rFonts w:eastAsia="Times New Roman"/>
          <w:color w:val="000000"/>
          <w:sz w:val="20"/>
          <w:szCs w:val="20"/>
        </w:rPr>
        <w:t>se letters due to the FDA's inability to complete required inspections for their applications.</w:t>
      </w:r>
    </w:p>
    <w:p w:rsidR="00000000" w:rsidRDefault="009012B9">
      <w:pPr>
        <w:ind w:firstLine="482"/>
        <w:divId w:val="309020613"/>
        <w:rPr>
          <w:rFonts w:eastAsia="Times New Roman"/>
        </w:rPr>
      </w:pPr>
      <w:r>
        <w:rPr>
          <w:rFonts w:eastAsia="Times New Roman"/>
          <w:color w:val="000000"/>
          <w:sz w:val="20"/>
          <w:szCs w:val="20"/>
        </w:rPr>
        <w:t>Regulatory authorities outside the United States may adopt similar restrictions or other policy measures in response to the COVID-19 pandemic. If a prolonged gov</w:t>
      </w:r>
      <w:r>
        <w:rPr>
          <w:rFonts w:eastAsia="Times New Roman"/>
          <w:color w:val="000000"/>
          <w:sz w:val="20"/>
          <w:szCs w:val="20"/>
        </w:rPr>
        <w:t>ernment shutdown occurs, or if global health concerns continue to prevent the FDA or other regulatory authorities from conducting their regular inspections, reviews, or other regulatory activities, it could significantly impact the ability of the FDA to ti</w:t>
      </w:r>
      <w:r>
        <w:rPr>
          <w:rFonts w:eastAsia="Times New Roman"/>
          <w:color w:val="000000"/>
          <w:sz w:val="20"/>
          <w:szCs w:val="20"/>
        </w:rPr>
        <w:t>mely review and process our regulatory submissions, which could have a material adverse effect on our business. Further, in our operations as a public company, future government shutdowns could impact our ability to access the public markets and obtain nec</w:t>
      </w:r>
      <w:r>
        <w:rPr>
          <w:rFonts w:eastAsia="Times New Roman"/>
          <w:color w:val="000000"/>
          <w:sz w:val="20"/>
          <w:szCs w:val="20"/>
        </w:rPr>
        <w:t>essary capital in order to properly capitalize and continue our operations.</w:t>
      </w:r>
    </w:p>
    <w:p w:rsidR="00000000" w:rsidRDefault="009012B9">
      <w:pPr>
        <w:divId w:val="2116511973"/>
        <w:rPr>
          <w:rFonts w:eastAsia="Times New Roman"/>
        </w:rPr>
      </w:pPr>
      <w:r>
        <w:rPr>
          <w:rFonts w:eastAsia="Times New Roman"/>
          <w:b/>
          <w:bCs/>
          <w:i/>
          <w:iCs/>
          <w:color w:val="000000"/>
          <w:sz w:val="20"/>
          <w:szCs w:val="20"/>
        </w:rPr>
        <w:t>EU drug marketing and reimbursement regulations may materially affect our ability to market and receive coverage for our products in the European member states.</w:t>
      </w:r>
    </w:p>
    <w:p w:rsidR="00000000" w:rsidRDefault="009012B9">
      <w:pPr>
        <w:ind w:firstLine="482"/>
        <w:divId w:val="953750778"/>
        <w:rPr>
          <w:rFonts w:eastAsia="Times New Roman"/>
        </w:rPr>
      </w:pPr>
      <w:r>
        <w:rPr>
          <w:rFonts w:eastAsia="Times New Roman"/>
          <w:color w:val="000000"/>
          <w:sz w:val="20"/>
          <w:szCs w:val="20"/>
        </w:rPr>
        <w:t>We intend to seek a</w:t>
      </w:r>
      <w:r>
        <w:rPr>
          <w:rFonts w:eastAsia="Times New Roman"/>
          <w:color w:val="000000"/>
          <w:sz w:val="20"/>
          <w:szCs w:val="20"/>
        </w:rPr>
        <w:t>pproval to market our product candidates in both the United States and in selected foreign jurisdictions. If we obtain approval in one or more foreign jurisdictions for our product candidates, we will be subject to rules and regulations in those jurisdicti</w:t>
      </w:r>
      <w:r>
        <w:rPr>
          <w:rFonts w:eastAsia="Times New Roman"/>
          <w:color w:val="000000"/>
          <w:sz w:val="20"/>
          <w:szCs w:val="20"/>
        </w:rPr>
        <w:t>ons. In some foreign countries, particularly those in the EU, the pricing of drugs is subject to governmental control and other market regulations which could put pressure on the pricing and usage of our product candidates. In these countries, pricing nego</w:t>
      </w:r>
      <w:r>
        <w:rPr>
          <w:rFonts w:eastAsia="Times New Roman"/>
          <w:color w:val="000000"/>
          <w:sz w:val="20"/>
          <w:szCs w:val="20"/>
        </w:rPr>
        <w:t>tiations with governmental authorities can take considerable time after obtaining marketing approval of a product candidate. In addition, market acceptance and sales of our product candidates will depend significantly on the availability of adequate covera</w:t>
      </w:r>
      <w:r>
        <w:rPr>
          <w:rFonts w:eastAsia="Times New Roman"/>
          <w:color w:val="000000"/>
          <w:sz w:val="20"/>
          <w:szCs w:val="20"/>
        </w:rPr>
        <w:t>ge and reimbursement from third-party payors for our product candidates and may be affected by existing and future health care reform measures.</w:t>
      </w:r>
    </w:p>
    <w:p w:rsidR="00000000" w:rsidRDefault="009012B9">
      <w:pPr>
        <w:jc w:val="center"/>
        <w:divId w:val="1025866524"/>
        <w:rPr>
          <w:rFonts w:eastAsia="Times New Roman"/>
        </w:rPr>
      </w:pPr>
      <w:r>
        <w:rPr>
          <w:rFonts w:eastAsia="Times New Roman"/>
          <w:color w:val="000000"/>
          <w:sz w:val="20"/>
          <w:szCs w:val="20"/>
        </w:rPr>
        <w:t>50</w:t>
      </w:r>
    </w:p>
    <w:p w:rsidR="00000000" w:rsidRDefault="009012B9">
      <w:pPr>
        <w:rPr>
          <w:rFonts w:eastAsia="Times New Roman"/>
        </w:rPr>
      </w:pPr>
      <w:r>
        <w:rPr>
          <w:rFonts w:eastAsia="Times New Roman"/>
        </w:rPr>
        <w:pict>
          <v:rect id="_x0000_i1074" style="width:0;height:1.5pt" o:hralign="center" o:hrstd="t" o:hr="t" fillcolor="#a0a0a0" stroked="f"/>
        </w:pict>
      </w:r>
    </w:p>
    <w:p w:rsidR="00000000" w:rsidRDefault="009012B9">
      <w:pPr>
        <w:divId w:val="714044994"/>
        <w:rPr>
          <w:rFonts w:eastAsia="Times New Roman"/>
        </w:rPr>
      </w:pPr>
    </w:p>
    <w:p w:rsidR="00000000" w:rsidRDefault="009012B9">
      <w:pPr>
        <w:ind w:firstLine="475"/>
        <w:divId w:val="1825007329"/>
        <w:rPr>
          <w:rFonts w:eastAsia="Times New Roman"/>
        </w:rPr>
      </w:pPr>
      <w:r>
        <w:rPr>
          <w:rFonts w:eastAsia="Times New Roman"/>
          <w:color w:val="000000"/>
          <w:sz w:val="20"/>
          <w:szCs w:val="20"/>
        </w:rPr>
        <w:t xml:space="preserve">Much like the federal Anti-Kickback Statute prohibition in the United </w:t>
      </w:r>
      <w:r>
        <w:rPr>
          <w:rFonts w:eastAsia="Times New Roman"/>
          <w:color w:val="000000"/>
          <w:sz w:val="20"/>
          <w:szCs w:val="20"/>
        </w:rPr>
        <w:t xml:space="preserve">States, the provision of benefits or advantages to induce or reward improper performance generally to induce or encourage the prescription, recommendation, endorsement, purchase, supply, order or use of medicinal products is also prohibited in the EU. The </w:t>
      </w:r>
      <w:r>
        <w:rPr>
          <w:rFonts w:eastAsia="Times New Roman"/>
          <w:color w:val="000000"/>
          <w:sz w:val="20"/>
          <w:szCs w:val="20"/>
        </w:rPr>
        <w:t>provision of benefits or advantages to induce or reward improper performance generally is governed by the national anti-bribery laws of EU Member States, and in respect of the U.K. (which is no longer a member of the EU), the Bribery Act 2010. Infringement</w:t>
      </w:r>
      <w:r>
        <w:rPr>
          <w:rFonts w:eastAsia="Times New Roman"/>
          <w:color w:val="000000"/>
          <w:sz w:val="20"/>
          <w:szCs w:val="20"/>
        </w:rPr>
        <w:t xml:space="preserve"> of these laws could result in substantial fines and imprisonment. EU Directive 2001/83/EC, which is the EU Directive governing medicinal products for human use, further provides that, where medicinal products are being promoted to persons qualified to pre</w:t>
      </w:r>
      <w:r>
        <w:rPr>
          <w:rFonts w:eastAsia="Times New Roman"/>
          <w:color w:val="000000"/>
          <w:sz w:val="20"/>
          <w:szCs w:val="20"/>
        </w:rPr>
        <w:t>scribe or supply them, no gifts, pecuniary advantages or benefits in kind may be supplied, offered or promised to such persons unless they are inexpensive and relevant to the practice of medicine or pharmacy. This provision has been transposed into the Hum</w:t>
      </w:r>
      <w:r>
        <w:rPr>
          <w:rFonts w:eastAsia="Times New Roman"/>
          <w:color w:val="000000"/>
          <w:sz w:val="20"/>
          <w:szCs w:val="20"/>
        </w:rPr>
        <w:t>an Medicines Regulations 2012 and so remains applicable in the UK despite its departure from the EU.</w:t>
      </w:r>
    </w:p>
    <w:p w:rsidR="00000000" w:rsidRDefault="009012B9">
      <w:pPr>
        <w:ind w:firstLine="482"/>
        <w:divId w:val="1824084559"/>
        <w:rPr>
          <w:rFonts w:eastAsia="Times New Roman"/>
        </w:rPr>
      </w:pPr>
      <w:r>
        <w:rPr>
          <w:rFonts w:eastAsia="Times New Roman"/>
          <w:color w:val="000000"/>
          <w:sz w:val="20"/>
          <w:szCs w:val="20"/>
        </w:rPr>
        <w:t>Payments made to physicians in certain EU Member States must be publicly disclosed. Moreover, agreements with physicians often must be the subject of prior</w:t>
      </w:r>
      <w:r>
        <w:rPr>
          <w:rFonts w:eastAsia="Times New Roman"/>
          <w:color w:val="000000"/>
          <w:sz w:val="20"/>
          <w:szCs w:val="20"/>
        </w:rPr>
        <w:t xml:space="preserve"> notification and approval by the physician’s employer, his or her competent professional organization and/or the regulatory authorities of the individual EU Member States. These requirements are provided in the national laws, industry codes or professiona</w:t>
      </w:r>
      <w:r>
        <w:rPr>
          <w:rFonts w:eastAsia="Times New Roman"/>
          <w:color w:val="000000"/>
          <w:sz w:val="20"/>
          <w:szCs w:val="20"/>
        </w:rPr>
        <w:t>l codes of conduct, applicable in the EU Member States. Failure to comply with these requirements could result in reputational risk, public reprimands, administrative penalties, fines or imprisonment.</w:t>
      </w:r>
    </w:p>
    <w:p w:rsidR="00000000" w:rsidRDefault="009012B9">
      <w:pPr>
        <w:ind w:firstLine="482"/>
        <w:divId w:val="1308363251"/>
        <w:rPr>
          <w:rFonts w:eastAsia="Times New Roman"/>
        </w:rPr>
      </w:pPr>
      <w:r>
        <w:rPr>
          <w:rFonts w:eastAsia="Times New Roman"/>
          <w:color w:val="000000"/>
          <w:sz w:val="20"/>
          <w:szCs w:val="20"/>
        </w:rPr>
        <w:t>In addition, in most foreign countries, including the E</w:t>
      </w:r>
      <w:r>
        <w:rPr>
          <w:rFonts w:eastAsia="Times New Roman"/>
          <w:color w:val="000000"/>
          <w:sz w:val="20"/>
          <w:szCs w:val="20"/>
        </w:rPr>
        <w:t xml:space="preserve">uropean Economic Area, or EEA, the proposed pricing for a drug must be approved before it may be lawfully marketed. The requirements governing drug pricing and reimbursement vary widely from country to country. For example, the EU provides options for its </w:t>
      </w:r>
      <w:r>
        <w:rPr>
          <w:rFonts w:eastAsia="Times New Roman"/>
          <w:color w:val="000000"/>
          <w:sz w:val="20"/>
          <w:szCs w:val="20"/>
        </w:rPr>
        <w:t>Member States to restrict the range of medicinal products for which their national health insurance systems provide reimbursement and to control the prices of medicinal products for human use. Reference pricing used by various EU Member States and parallel</w:t>
      </w:r>
      <w:r>
        <w:rPr>
          <w:rFonts w:eastAsia="Times New Roman"/>
          <w:color w:val="000000"/>
          <w:sz w:val="20"/>
          <w:szCs w:val="20"/>
        </w:rPr>
        <w:t xml:space="preserve"> distribution, or arbitrage between low-priced and high-priced member states, can further reduce prices. A member state may approve a specific price for the medicinal product, or it may instead adopt a system of direct or indirect controls on the profitabi</w:t>
      </w:r>
      <w:r>
        <w:rPr>
          <w:rFonts w:eastAsia="Times New Roman"/>
          <w:color w:val="000000"/>
          <w:sz w:val="20"/>
          <w:szCs w:val="20"/>
        </w:rPr>
        <w:t>lity of the company placing the medicinal product on the market. In some countries, we may be required to conduct a clinical study or other studies that compare the cost-effectiveness of any of our product candidates to other available therapies in order t</w:t>
      </w:r>
      <w:r>
        <w:rPr>
          <w:rFonts w:eastAsia="Times New Roman"/>
          <w:color w:val="000000"/>
          <w:sz w:val="20"/>
          <w:szCs w:val="20"/>
        </w:rPr>
        <w:t>o obtain or maintain reimbursement or pricing approval. There can be no assurance that any country that has price controls or reimbursement limitations for biopharmaceutical products will allow favorable reimbursement and pricing arrangements for any of ou</w:t>
      </w:r>
      <w:r>
        <w:rPr>
          <w:rFonts w:eastAsia="Times New Roman"/>
          <w:color w:val="000000"/>
          <w:sz w:val="20"/>
          <w:szCs w:val="20"/>
        </w:rPr>
        <w:t>r products. Historically, products launched in the EU do not follow price structures of the United States and generally prices tend to be significantly lower. Publication of discounts by third-party payors or authorities may lead to further pressure on the</w:t>
      </w:r>
      <w:r>
        <w:rPr>
          <w:rFonts w:eastAsia="Times New Roman"/>
          <w:color w:val="000000"/>
          <w:sz w:val="20"/>
          <w:szCs w:val="20"/>
        </w:rPr>
        <w:t xml:space="preserve"> prices or reimbursement levels within the country of publication and other countries. If pricing is set at unsatisfactory levels or if reimbursement of our products is unavailable or limited in scope or amount, our revenues from sales and the potential pr</w:t>
      </w:r>
      <w:r>
        <w:rPr>
          <w:rFonts w:eastAsia="Times New Roman"/>
          <w:color w:val="000000"/>
          <w:sz w:val="20"/>
          <w:szCs w:val="20"/>
        </w:rPr>
        <w:t>ofitability of any of our product candidates in those countries would be negatively affected.</w:t>
      </w:r>
    </w:p>
    <w:p w:rsidR="00000000" w:rsidRDefault="009012B9">
      <w:pPr>
        <w:divId w:val="1183546707"/>
        <w:rPr>
          <w:rFonts w:eastAsia="Times New Roman"/>
        </w:rPr>
      </w:pPr>
      <w:r>
        <w:rPr>
          <w:rFonts w:eastAsia="Times New Roman"/>
          <w:b/>
          <w:bCs/>
          <w:i/>
          <w:iCs/>
          <w:color w:val="000000"/>
          <w:sz w:val="20"/>
          <w:szCs w:val="20"/>
        </w:rPr>
        <w:t>Additional laws and regulations governing international operations could negatively impact or restrict our operations.</w:t>
      </w:r>
    </w:p>
    <w:p w:rsidR="00000000" w:rsidRDefault="009012B9">
      <w:pPr>
        <w:ind w:firstLine="482"/>
        <w:divId w:val="395786840"/>
        <w:rPr>
          <w:rFonts w:eastAsia="Times New Roman"/>
        </w:rPr>
      </w:pPr>
      <w:r>
        <w:rPr>
          <w:rFonts w:eastAsia="Times New Roman"/>
          <w:color w:val="000000"/>
          <w:sz w:val="20"/>
          <w:szCs w:val="20"/>
        </w:rPr>
        <w:t xml:space="preserve">If we expand our operations outside of the </w:t>
      </w:r>
      <w:r>
        <w:rPr>
          <w:rFonts w:eastAsia="Times New Roman"/>
          <w:color w:val="000000"/>
          <w:sz w:val="20"/>
          <w:szCs w:val="20"/>
        </w:rPr>
        <w:t>United States, we must dedicate additional resources to comply with numerous laws and regulations in each jurisdiction in which we plan to operate. The U.S. Foreign Corrupt Practices Act, or the FCPA, prohibits any U.S. individual or business entity from p</w:t>
      </w:r>
      <w:r>
        <w:rPr>
          <w:rFonts w:eastAsia="Times New Roman"/>
          <w:color w:val="000000"/>
          <w:sz w:val="20"/>
          <w:szCs w:val="20"/>
        </w:rPr>
        <w:t>aying, offering, authorizing payment, or offering of anything of value, directly or indirectly, to any foreign official, political party or candidate for the purpose of influencing any act or decision of the foreign entity in order to assist the individual</w:t>
      </w:r>
      <w:r>
        <w:rPr>
          <w:rFonts w:eastAsia="Times New Roman"/>
          <w:color w:val="000000"/>
          <w:sz w:val="20"/>
          <w:szCs w:val="20"/>
        </w:rPr>
        <w:t xml:space="preserve"> or business in obtaining or retaining business. The FCPA also obligates companies whose securities are listed in the United States to comply with certain accounting provisions requiring the company to maintain books and records that accurately and fairly </w:t>
      </w:r>
      <w:r>
        <w:rPr>
          <w:rFonts w:eastAsia="Times New Roman"/>
          <w:color w:val="000000"/>
          <w:sz w:val="20"/>
          <w:szCs w:val="20"/>
        </w:rPr>
        <w:t>reflect all transactions of the corporation, including international subsidiaries, and to devise and maintain an adequate system of internal accounting controls for international operations.</w:t>
      </w:r>
    </w:p>
    <w:p w:rsidR="00000000" w:rsidRDefault="009012B9">
      <w:pPr>
        <w:ind w:firstLine="482"/>
        <w:divId w:val="1706756914"/>
        <w:rPr>
          <w:rFonts w:eastAsia="Times New Roman"/>
        </w:rPr>
      </w:pPr>
      <w:r>
        <w:rPr>
          <w:rFonts w:eastAsia="Times New Roman"/>
          <w:color w:val="000000"/>
          <w:sz w:val="20"/>
          <w:szCs w:val="20"/>
        </w:rPr>
        <w:t>Compliance with the FCPA is expensive and difficult, particularly</w:t>
      </w:r>
      <w:r>
        <w:rPr>
          <w:rFonts w:eastAsia="Times New Roman"/>
          <w:color w:val="000000"/>
          <w:sz w:val="20"/>
          <w:szCs w:val="20"/>
        </w:rPr>
        <w:t xml:space="preserve"> in countries in which corruption is a recognized problem. In addition, the FCPA presents particular challenges in the biopharmaceutical industry, because, in many countries, hospitals are operated by the government, and doctors and other hospital employee</w:t>
      </w:r>
      <w:r>
        <w:rPr>
          <w:rFonts w:eastAsia="Times New Roman"/>
          <w:color w:val="000000"/>
          <w:sz w:val="20"/>
          <w:szCs w:val="20"/>
        </w:rPr>
        <w:t>s are considered foreign officials. Certain payments to hospitals and healthcare providers in connection with clinical trials and other work have been deemed to be improper payments to government officials and have led to FCPA enforcement actions.</w:t>
      </w:r>
    </w:p>
    <w:p w:rsidR="00000000" w:rsidRDefault="009012B9">
      <w:pPr>
        <w:ind w:firstLine="482"/>
        <w:divId w:val="2035227037"/>
        <w:rPr>
          <w:rFonts w:eastAsia="Times New Roman"/>
        </w:rPr>
      </w:pPr>
      <w:r>
        <w:rPr>
          <w:rFonts w:eastAsia="Times New Roman"/>
          <w:color w:val="000000"/>
          <w:sz w:val="20"/>
          <w:szCs w:val="20"/>
        </w:rPr>
        <w:t xml:space="preserve">Various </w:t>
      </w:r>
      <w:r>
        <w:rPr>
          <w:rFonts w:eastAsia="Times New Roman"/>
          <w:color w:val="000000"/>
          <w:sz w:val="20"/>
          <w:szCs w:val="20"/>
        </w:rPr>
        <w:t>laws, regulations and executive orders also restrict the use and dissemination outside of the United States, or the sharing with certain non-U.S. nationals, of information products classified for national security purposes, as well as certain products, tec</w:t>
      </w:r>
      <w:r>
        <w:rPr>
          <w:rFonts w:eastAsia="Times New Roman"/>
          <w:color w:val="000000"/>
          <w:sz w:val="20"/>
          <w:szCs w:val="20"/>
        </w:rPr>
        <w:t xml:space="preserve">hnology and technical data relating to those products. If we expand our presence outside of the United States, it will require us to dedicate additional resources to comply with these laws, and these laws may preclude us from developing, manufacturing, or </w:t>
      </w:r>
      <w:r>
        <w:rPr>
          <w:rFonts w:eastAsia="Times New Roman"/>
          <w:color w:val="000000"/>
          <w:sz w:val="20"/>
          <w:szCs w:val="20"/>
        </w:rPr>
        <w:t>selling certain products and product candidates outside of the United States, which could limit our growth potential and increase our development costs.</w:t>
      </w:r>
    </w:p>
    <w:p w:rsidR="00000000" w:rsidRDefault="009012B9">
      <w:pPr>
        <w:jc w:val="center"/>
        <w:divId w:val="457261507"/>
        <w:rPr>
          <w:rFonts w:eastAsia="Times New Roman"/>
        </w:rPr>
      </w:pPr>
      <w:r>
        <w:rPr>
          <w:rFonts w:eastAsia="Times New Roman"/>
          <w:color w:val="000000"/>
          <w:sz w:val="20"/>
          <w:szCs w:val="20"/>
        </w:rPr>
        <w:t>51</w:t>
      </w:r>
    </w:p>
    <w:p w:rsidR="00000000" w:rsidRDefault="009012B9">
      <w:pPr>
        <w:rPr>
          <w:rFonts w:eastAsia="Times New Roman"/>
        </w:rPr>
      </w:pPr>
      <w:r>
        <w:rPr>
          <w:rFonts w:eastAsia="Times New Roman"/>
        </w:rPr>
        <w:pict>
          <v:rect id="_x0000_i1075" style="width:0;height:1.5pt" o:hralign="center" o:hrstd="t" o:hr="t" fillcolor="#a0a0a0" stroked="f"/>
        </w:pict>
      </w:r>
    </w:p>
    <w:p w:rsidR="00000000" w:rsidRDefault="009012B9">
      <w:pPr>
        <w:divId w:val="728382620"/>
        <w:rPr>
          <w:rFonts w:eastAsia="Times New Roman"/>
        </w:rPr>
      </w:pPr>
    </w:p>
    <w:p w:rsidR="00000000" w:rsidRDefault="009012B9">
      <w:pPr>
        <w:ind w:firstLine="482"/>
        <w:divId w:val="1879774485"/>
        <w:rPr>
          <w:rFonts w:eastAsia="Times New Roman"/>
        </w:rPr>
      </w:pPr>
      <w:r>
        <w:rPr>
          <w:rFonts w:eastAsia="Times New Roman"/>
          <w:color w:val="000000"/>
          <w:sz w:val="20"/>
          <w:szCs w:val="20"/>
        </w:rPr>
        <w:t>The failure to comply with laws governing international busine</w:t>
      </w:r>
      <w:r>
        <w:rPr>
          <w:rFonts w:eastAsia="Times New Roman"/>
          <w:color w:val="000000"/>
          <w:sz w:val="20"/>
          <w:szCs w:val="20"/>
        </w:rPr>
        <w:t>ss practices may result in substantial civil and criminal penalties and suspension or debarment from government contracting. The Securities and Exchange Commission, or SEC, also may suspend or bar issuers from trading securities on U.S. exchanges for viola</w:t>
      </w:r>
      <w:r>
        <w:rPr>
          <w:rFonts w:eastAsia="Times New Roman"/>
          <w:color w:val="000000"/>
          <w:sz w:val="20"/>
          <w:szCs w:val="20"/>
        </w:rPr>
        <w:t>tions of the FCPA’s accounting provisions.</w:t>
      </w:r>
    </w:p>
    <w:p w:rsidR="00000000" w:rsidRDefault="009012B9">
      <w:pPr>
        <w:divId w:val="1691372575"/>
        <w:rPr>
          <w:rFonts w:eastAsia="Times New Roman"/>
        </w:rPr>
      </w:pPr>
      <w:r>
        <w:rPr>
          <w:rFonts w:eastAsia="Times New Roman"/>
          <w:b/>
          <w:bCs/>
          <w:i/>
          <w:iCs/>
          <w:color w:val="000000"/>
          <w:sz w:val="20"/>
          <w:szCs w:val="20"/>
        </w:rPr>
        <w:t>We are subject to certain U.S. and foreign anti-corruption, anti-money laundering, export control, sanctions, and other trade laws and regulations. We can face serious consequences for violations.</w:t>
      </w:r>
    </w:p>
    <w:p w:rsidR="00000000" w:rsidRDefault="009012B9">
      <w:pPr>
        <w:ind w:firstLine="482"/>
        <w:divId w:val="1636989876"/>
        <w:rPr>
          <w:rFonts w:eastAsia="Times New Roman"/>
        </w:rPr>
      </w:pPr>
      <w:r>
        <w:rPr>
          <w:rFonts w:eastAsia="Times New Roman"/>
          <w:color w:val="000000"/>
          <w:sz w:val="20"/>
          <w:szCs w:val="20"/>
        </w:rPr>
        <w:t>Among other matt</w:t>
      </w:r>
      <w:r>
        <w:rPr>
          <w:rFonts w:eastAsia="Times New Roman"/>
          <w:color w:val="000000"/>
          <w:sz w:val="20"/>
          <w:szCs w:val="20"/>
        </w:rPr>
        <w:t>ers, U.S. and foreign anti-corruption, anti-money laundering, export control, sanctions, and other trade laws and regulations, which are collectively referred to as Trade Laws, prohibit companies and their employees, agents, clinical research organizations</w:t>
      </w:r>
      <w:r>
        <w:rPr>
          <w:rFonts w:eastAsia="Times New Roman"/>
          <w:color w:val="000000"/>
          <w:sz w:val="20"/>
          <w:szCs w:val="20"/>
        </w:rPr>
        <w:t>, legal counsel, accountants, consultants, contractors, and other partners from authorizing, promising, offering, providing, soliciting, or receiving directly or indirectly, corrupt or improper payments or anything else of value to or from recipients in th</w:t>
      </w:r>
      <w:r>
        <w:rPr>
          <w:rFonts w:eastAsia="Times New Roman"/>
          <w:color w:val="000000"/>
          <w:sz w:val="20"/>
          <w:szCs w:val="20"/>
        </w:rPr>
        <w:t>e public or private sector. Violations of Trade Laws can result in substantial criminal fines and civil penalties, imprisonment, the loss of trade privileges, debarment, tax reassessments, breach of contract and fraud litigation, reputational harm, and oth</w:t>
      </w:r>
      <w:r>
        <w:rPr>
          <w:rFonts w:eastAsia="Times New Roman"/>
          <w:color w:val="000000"/>
          <w:sz w:val="20"/>
          <w:szCs w:val="20"/>
        </w:rPr>
        <w:t>er consequences. We have direct or indirect interactions with officials and employees of government agencies or government-affiliated hospitals, universities, and other organizations. We also expect our non-U.S. activities to increase in time. We plan to e</w:t>
      </w:r>
      <w:r>
        <w:rPr>
          <w:rFonts w:eastAsia="Times New Roman"/>
          <w:color w:val="000000"/>
          <w:sz w:val="20"/>
          <w:szCs w:val="20"/>
        </w:rPr>
        <w:t xml:space="preserve">ngage third parties for clinical trials and/or to obtain necessary permits, licenses, patent registrations, and other regulatory approvals and we can be held liable for the corrupt or other illegal activities of our personnel, agents, or partners, even if </w:t>
      </w:r>
      <w:r>
        <w:rPr>
          <w:rFonts w:eastAsia="Times New Roman"/>
          <w:color w:val="000000"/>
          <w:sz w:val="20"/>
          <w:szCs w:val="20"/>
        </w:rPr>
        <w:t>we do not explicitly authorize or have prior knowledge of such activities.</w:t>
      </w:r>
    </w:p>
    <w:p w:rsidR="00000000" w:rsidRDefault="009012B9">
      <w:pPr>
        <w:divId w:val="1244802186"/>
        <w:rPr>
          <w:rFonts w:eastAsia="Times New Roman"/>
        </w:rPr>
      </w:pPr>
      <w:r>
        <w:rPr>
          <w:rFonts w:eastAsia="Times New Roman"/>
          <w:b/>
          <w:bCs/>
          <w:color w:val="000000"/>
          <w:sz w:val="20"/>
          <w:szCs w:val="20"/>
        </w:rPr>
        <w:t>Risks Related to Our Intellectual Property</w:t>
      </w:r>
    </w:p>
    <w:p w:rsidR="00000000" w:rsidRDefault="009012B9">
      <w:pPr>
        <w:divId w:val="934246643"/>
        <w:rPr>
          <w:rFonts w:eastAsia="Times New Roman"/>
        </w:rPr>
      </w:pPr>
      <w:r>
        <w:rPr>
          <w:rFonts w:eastAsia="Times New Roman"/>
          <w:b/>
          <w:bCs/>
          <w:i/>
          <w:iCs/>
          <w:color w:val="000000"/>
          <w:sz w:val="20"/>
          <w:szCs w:val="20"/>
        </w:rPr>
        <w:t>Our success depends in part on our ability to protect our intellectual property. It is difficult and costly to protect our proprietary rig</w:t>
      </w:r>
      <w:r>
        <w:rPr>
          <w:rFonts w:eastAsia="Times New Roman"/>
          <w:b/>
          <w:bCs/>
          <w:i/>
          <w:iCs/>
          <w:color w:val="000000"/>
          <w:sz w:val="20"/>
          <w:szCs w:val="20"/>
        </w:rPr>
        <w:t>hts and technology, and we may not be able to ensure their protection.</w:t>
      </w:r>
    </w:p>
    <w:p w:rsidR="00000000" w:rsidRDefault="009012B9">
      <w:pPr>
        <w:ind w:firstLine="482"/>
        <w:divId w:val="761268785"/>
        <w:rPr>
          <w:rFonts w:eastAsia="Times New Roman"/>
        </w:rPr>
      </w:pPr>
      <w:r>
        <w:rPr>
          <w:rFonts w:eastAsia="Times New Roman"/>
          <w:color w:val="000000"/>
          <w:sz w:val="20"/>
          <w:szCs w:val="20"/>
        </w:rPr>
        <w:t>Our business will depend in large part on obtaining and maintaining patent, trademark and trade secret protection of our proprietary technologies and our product candidates, their respe</w:t>
      </w:r>
      <w:r>
        <w:rPr>
          <w:rFonts w:eastAsia="Times New Roman"/>
          <w:color w:val="000000"/>
          <w:sz w:val="20"/>
          <w:szCs w:val="20"/>
        </w:rPr>
        <w:t>ctive components, synthetic intermediates, formulations, combination therapies, methods used to manufacture them and methods of treatment, as well as successfully defending these patents against third-party challenges. Our ability to stop unauthorized thir</w:t>
      </w:r>
      <w:r>
        <w:rPr>
          <w:rFonts w:eastAsia="Times New Roman"/>
          <w:color w:val="000000"/>
          <w:sz w:val="20"/>
          <w:szCs w:val="20"/>
        </w:rPr>
        <w:t>d parties from making, using, selling, offering to sell or importing our product candidates is dependent upon the extent to which we have rights under valid and enforceable patents that cover these activities and whether a court would issue an injunctive r</w:t>
      </w:r>
      <w:r>
        <w:rPr>
          <w:rFonts w:eastAsia="Times New Roman"/>
          <w:color w:val="000000"/>
          <w:sz w:val="20"/>
          <w:szCs w:val="20"/>
        </w:rPr>
        <w:t>emedy. If we are unable to secure and maintain patent protection for any product or technology we develop, or if the scope of the patent protection secured is not sufficiently broad, our competitors could develop and commercialize products and technology s</w:t>
      </w:r>
      <w:r>
        <w:rPr>
          <w:rFonts w:eastAsia="Times New Roman"/>
          <w:color w:val="000000"/>
          <w:sz w:val="20"/>
          <w:szCs w:val="20"/>
        </w:rPr>
        <w:t>imilar or identical to ours, and our ability to commercialize any product candidates we may develop may be adversely affected.</w:t>
      </w:r>
    </w:p>
    <w:p w:rsidR="00000000" w:rsidRDefault="009012B9">
      <w:pPr>
        <w:ind w:firstLine="482"/>
        <w:divId w:val="2042048801"/>
        <w:rPr>
          <w:rFonts w:eastAsia="Times New Roman"/>
        </w:rPr>
      </w:pPr>
      <w:r>
        <w:rPr>
          <w:rFonts w:eastAsia="Times New Roman"/>
          <w:color w:val="000000"/>
          <w:sz w:val="20"/>
          <w:szCs w:val="20"/>
        </w:rPr>
        <w:t>The patenting process is expensive and time-consuming, and we may not be able to file and prosecute all necessary or desirable pa</w:t>
      </w:r>
      <w:r>
        <w:rPr>
          <w:rFonts w:eastAsia="Times New Roman"/>
          <w:color w:val="000000"/>
          <w:sz w:val="20"/>
          <w:szCs w:val="20"/>
        </w:rPr>
        <w:t>tent applications at a reasonable cost or in a timely manner. In addition, we may not pursue, obtain, or maintain patent protection in all relevant markets. It is also possible that we will fail to identify patentable aspects of our research and developmen</w:t>
      </w:r>
      <w:r>
        <w:rPr>
          <w:rFonts w:eastAsia="Times New Roman"/>
          <w:color w:val="000000"/>
          <w:sz w:val="20"/>
          <w:szCs w:val="20"/>
        </w:rPr>
        <w:t>t output before it is too late to obtain patent protection. Moreover, in some circumstances, we may not have the right to control the preparation, filing and prosecution of patent applications, or to maintain the patents, covering technology that we licens</w:t>
      </w:r>
      <w:r>
        <w:rPr>
          <w:rFonts w:eastAsia="Times New Roman"/>
          <w:color w:val="000000"/>
          <w:sz w:val="20"/>
          <w:szCs w:val="20"/>
        </w:rPr>
        <w:t>e from or license to third parties and are reliant on our licensors or licensees.</w:t>
      </w:r>
    </w:p>
    <w:p w:rsidR="00000000" w:rsidRDefault="009012B9">
      <w:pPr>
        <w:ind w:firstLine="482"/>
        <w:divId w:val="1421029004"/>
        <w:rPr>
          <w:rFonts w:eastAsia="Times New Roman"/>
        </w:rPr>
      </w:pPr>
      <w:r>
        <w:rPr>
          <w:rFonts w:eastAsia="Times New Roman"/>
          <w:color w:val="000000"/>
          <w:sz w:val="20"/>
          <w:szCs w:val="20"/>
        </w:rPr>
        <w:t>The strength of patents in the biotechnology and biopharmaceutical field involves complex legal and scientific questions and can be uncertain. The patent applications that we</w:t>
      </w:r>
      <w:r>
        <w:rPr>
          <w:rFonts w:eastAsia="Times New Roman"/>
          <w:color w:val="000000"/>
          <w:sz w:val="20"/>
          <w:szCs w:val="20"/>
        </w:rPr>
        <w:t xml:space="preserve"> own or in-license may fail to result in issued patents with claims that cover our product candidates or uses thereof in the United States or in other foreign countries. Even if the patents do successfully issue, third parties may challenge the validity, e</w:t>
      </w:r>
      <w:r>
        <w:rPr>
          <w:rFonts w:eastAsia="Times New Roman"/>
          <w:color w:val="000000"/>
          <w:sz w:val="20"/>
          <w:szCs w:val="20"/>
        </w:rPr>
        <w:t>nforceability, or scope thereof, which may result in such patents being narrowed, invalidated, or held unenforceable. Furthermore, even if they are unchallenged, our patents and patent applications may not adequately protect our technology, including our p</w:t>
      </w:r>
      <w:r>
        <w:rPr>
          <w:rFonts w:eastAsia="Times New Roman"/>
          <w:color w:val="000000"/>
          <w:sz w:val="20"/>
          <w:szCs w:val="20"/>
        </w:rPr>
        <w:t>roduct candidates, or prevent others from designing around our claims. If the breadth or strength of protection provided by the patent applications, we hold with respect to our product candidates is threatened, it could dissuade companies from collaboratin</w:t>
      </w:r>
      <w:r>
        <w:rPr>
          <w:rFonts w:eastAsia="Times New Roman"/>
          <w:color w:val="000000"/>
          <w:sz w:val="20"/>
          <w:szCs w:val="20"/>
        </w:rPr>
        <w:t>g with us to develop, and threaten our ability to commercialize, our product candidates. Further, if we encounter delays in our clinical trials, the period of time during which we could market our product candidates under patent protection would be reduced</w:t>
      </w:r>
      <w:r>
        <w:rPr>
          <w:rFonts w:eastAsia="Times New Roman"/>
          <w:color w:val="000000"/>
          <w:sz w:val="20"/>
          <w:szCs w:val="20"/>
        </w:rPr>
        <w:t>.</w:t>
      </w:r>
    </w:p>
    <w:p w:rsidR="00000000" w:rsidRDefault="009012B9">
      <w:pPr>
        <w:ind w:firstLine="482"/>
        <w:divId w:val="1323661750"/>
        <w:rPr>
          <w:rFonts w:eastAsia="Times New Roman"/>
        </w:rPr>
      </w:pPr>
      <w:r>
        <w:rPr>
          <w:rFonts w:eastAsia="Times New Roman"/>
          <w:color w:val="000000"/>
          <w:sz w:val="20"/>
          <w:szCs w:val="20"/>
        </w:rPr>
        <w:t>We cannot be certain that we were the first to file any patent application related to our technology, including our product candidates, and, if we were not, we may be precluded from obtaining patent protection for our technology, including our product cand</w:t>
      </w:r>
      <w:r>
        <w:rPr>
          <w:rFonts w:eastAsia="Times New Roman"/>
          <w:color w:val="000000"/>
          <w:sz w:val="20"/>
          <w:szCs w:val="20"/>
        </w:rPr>
        <w:t>idates.</w:t>
      </w:r>
    </w:p>
    <w:p w:rsidR="00000000" w:rsidRDefault="009012B9">
      <w:pPr>
        <w:ind w:firstLine="482"/>
        <w:divId w:val="1417894574"/>
        <w:rPr>
          <w:rFonts w:eastAsia="Times New Roman"/>
        </w:rPr>
      </w:pPr>
      <w:r>
        <w:rPr>
          <w:rFonts w:eastAsia="Times New Roman"/>
          <w:color w:val="000000"/>
          <w:sz w:val="20"/>
          <w:szCs w:val="20"/>
        </w:rPr>
        <w:t>We cannot be certain that we are the first to invent the inventions covered by pending patent applications and, if we are not, we may be subject to priority disputes. Furthermore, for United States applications in which all claims are entitled to a</w:t>
      </w:r>
      <w:r>
        <w:rPr>
          <w:rFonts w:eastAsia="Times New Roman"/>
          <w:color w:val="000000"/>
          <w:sz w:val="20"/>
          <w:szCs w:val="20"/>
        </w:rPr>
        <w:t xml:space="preserve"> priority date before March 16, 2013, an interference proceeding can be provoked by a third-party or instituted by the United States Patent and Trademark Office, or USPTO, to determine who was the first to invent any of the subject matter covered by the pa</w:t>
      </w:r>
      <w:r>
        <w:rPr>
          <w:rFonts w:eastAsia="Times New Roman"/>
          <w:color w:val="000000"/>
          <w:sz w:val="20"/>
          <w:szCs w:val="20"/>
        </w:rPr>
        <w:t xml:space="preserve">tent claims of our applications. Similarly, for United States applications in which at least one claim is not entitled to a </w:t>
      </w:r>
    </w:p>
    <w:p w:rsidR="00000000" w:rsidRDefault="009012B9">
      <w:pPr>
        <w:jc w:val="center"/>
        <w:divId w:val="1945527670"/>
        <w:rPr>
          <w:rFonts w:eastAsia="Times New Roman"/>
        </w:rPr>
      </w:pPr>
      <w:r>
        <w:rPr>
          <w:rFonts w:eastAsia="Times New Roman"/>
          <w:color w:val="000000"/>
          <w:sz w:val="20"/>
          <w:szCs w:val="20"/>
        </w:rPr>
        <w:t>52</w:t>
      </w:r>
    </w:p>
    <w:p w:rsidR="00000000" w:rsidRDefault="009012B9">
      <w:pPr>
        <w:rPr>
          <w:rFonts w:eastAsia="Times New Roman"/>
        </w:rPr>
      </w:pPr>
      <w:r>
        <w:rPr>
          <w:rFonts w:eastAsia="Times New Roman"/>
        </w:rPr>
        <w:pict>
          <v:rect id="_x0000_i1076" style="width:0;height:1.5pt" o:hralign="center" o:hrstd="t" o:hr="t" fillcolor="#a0a0a0" stroked="f"/>
        </w:pict>
      </w:r>
    </w:p>
    <w:p w:rsidR="00000000" w:rsidRDefault="009012B9">
      <w:pPr>
        <w:divId w:val="1330251070"/>
        <w:rPr>
          <w:rFonts w:eastAsia="Times New Roman"/>
        </w:rPr>
      </w:pPr>
    </w:p>
    <w:p w:rsidR="00000000" w:rsidRDefault="009012B9">
      <w:pPr>
        <w:divId w:val="734662202"/>
        <w:rPr>
          <w:rFonts w:eastAsia="Times New Roman"/>
        </w:rPr>
      </w:pPr>
      <w:r>
        <w:rPr>
          <w:rFonts w:eastAsia="Times New Roman"/>
          <w:color w:val="000000"/>
          <w:sz w:val="20"/>
          <w:szCs w:val="20"/>
        </w:rPr>
        <w:t>priority date before March 16, 2013, derivation proceedings can be instituted to determine whether the subject matter of a patent claim was derived from a prior inventor’s disclosure.</w:t>
      </w:r>
    </w:p>
    <w:p w:rsidR="00000000" w:rsidRDefault="009012B9">
      <w:pPr>
        <w:ind w:firstLine="482"/>
        <w:divId w:val="1466047094"/>
        <w:rPr>
          <w:rFonts w:eastAsia="Times New Roman"/>
        </w:rPr>
      </w:pPr>
      <w:r>
        <w:rPr>
          <w:rFonts w:eastAsia="Times New Roman"/>
          <w:color w:val="000000"/>
          <w:sz w:val="20"/>
          <w:szCs w:val="20"/>
        </w:rPr>
        <w:t>We may be required to disclaim par</w:t>
      </w:r>
      <w:r>
        <w:rPr>
          <w:rFonts w:eastAsia="Times New Roman"/>
          <w:color w:val="000000"/>
          <w:sz w:val="20"/>
          <w:szCs w:val="20"/>
        </w:rPr>
        <w:t xml:space="preserve">t or all of the term of certain patents or all of the term of certain patent applications. There may be prior art of which we are not aware that may affect the validity or enforceability of a patent or patent application claim. There also may be prior art </w:t>
      </w:r>
      <w:r>
        <w:rPr>
          <w:rFonts w:eastAsia="Times New Roman"/>
          <w:color w:val="000000"/>
          <w:sz w:val="20"/>
          <w:szCs w:val="20"/>
        </w:rPr>
        <w:t>of which we are aware, but which we do not believe affects the validity or enforceability of a claim, which may, nonetheless, ultimately be found to affect the validity or enforceability of a claim. No assurance can be given that if challenged, our patents</w:t>
      </w:r>
      <w:r>
        <w:rPr>
          <w:rFonts w:eastAsia="Times New Roman"/>
          <w:color w:val="000000"/>
          <w:sz w:val="20"/>
          <w:szCs w:val="20"/>
        </w:rPr>
        <w:t xml:space="preserve"> would be declared by a court to be valid or enforceable or that even if found valid and enforceable, would adequately protect our product candidates, or would be found by a court to be infringed by a competitor’s technology or product. We may analyze pate</w:t>
      </w:r>
      <w:r>
        <w:rPr>
          <w:rFonts w:eastAsia="Times New Roman"/>
          <w:color w:val="000000"/>
          <w:sz w:val="20"/>
          <w:szCs w:val="20"/>
        </w:rPr>
        <w:t xml:space="preserve">nts or patent applications of our competitors that we believe are relevant to our activities and consider that we are free to operate in relation to our product candidates, but our competitors may achieve issued claims, including in patents we consider to </w:t>
      </w:r>
      <w:r>
        <w:rPr>
          <w:rFonts w:eastAsia="Times New Roman"/>
          <w:color w:val="000000"/>
          <w:sz w:val="20"/>
          <w:szCs w:val="20"/>
        </w:rPr>
        <w:t xml:space="preserve">be unrelated, which block our efforts or may potentially result in our product candidates or our activities infringing such claims. The possibility exists that others will develop products which have the same effect as our products on an independent basis </w:t>
      </w:r>
      <w:r>
        <w:rPr>
          <w:rFonts w:eastAsia="Times New Roman"/>
          <w:color w:val="000000"/>
          <w:sz w:val="20"/>
          <w:szCs w:val="20"/>
        </w:rPr>
        <w:t>which do not infringe our patents or other intellectual property rights or will design around the claims of patents that may issue that cover our products.</w:t>
      </w:r>
    </w:p>
    <w:p w:rsidR="00000000" w:rsidRDefault="009012B9">
      <w:pPr>
        <w:ind w:firstLine="482"/>
        <w:divId w:val="843128117"/>
        <w:rPr>
          <w:rFonts w:eastAsia="Times New Roman"/>
        </w:rPr>
      </w:pPr>
      <w:r>
        <w:rPr>
          <w:rFonts w:eastAsia="Times New Roman"/>
          <w:color w:val="000000"/>
          <w:sz w:val="20"/>
          <w:szCs w:val="20"/>
        </w:rPr>
        <w:t>Recent or future patent reform legislation could increase the uncertainties and costs surrounding th</w:t>
      </w:r>
      <w:r>
        <w:rPr>
          <w:rFonts w:eastAsia="Times New Roman"/>
          <w:color w:val="000000"/>
          <w:sz w:val="20"/>
          <w:szCs w:val="20"/>
        </w:rPr>
        <w:t>e prosecution of our patent applications and the enforcement or defense of our issued patents. Under the enacted Leahy-Smith America Invents Act, or America Invents Act, enacted in 2013, the United States moved from a “first to invent” to a “first-to-file”</w:t>
      </w:r>
      <w:r>
        <w:rPr>
          <w:rFonts w:eastAsia="Times New Roman"/>
          <w:color w:val="000000"/>
          <w:sz w:val="20"/>
          <w:szCs w:val="20"/>
        </w:rPr>
        <w:t xml:space="preserve"> system. Under a “first-to-file” system, assuming the other requirements for patentability are met, the first inventor to file a patent application generally will be entitled to a patent on the invention regardless of whether another inventor had made the </w:t>
      </w:r>
      <w:r>
        <w:rPr>
          <w:rFonts w:eastAsia="Times New Roman"/>
          <w:color w:val="000000"/>
          <w:sz w:val="20"/>
          <w:szCs w:val="20"/>
        </w:rPr>
        <w:t xml:space="preserve">invention earlier. The America Invents Act includes a number of other significant changes to U.S. patent law, including provisions that affect the way patent applications are prosecuted, redefine prior art and establish a new post-grant review system. The </w:t>
      </w:r>
      <w:r>
        <w:rPr>
          <w:rFonts w:eastAsia="Times New Roman"/>
          <w:color w:val="000000"/>
          <w:sz w:val="20"/>
          <w:szCs w:val="20"/>
        </w:rPr>
        <w:t xml:space="preserve">effects of these changes are currently unclear as the USPTO only recently developed new regulations and procedures in connection with the America Invents Act and many of the substantive changes to patent law, including the “first-to-file” provisions, only </w:t>
      </w:r>
      <w:r>
        <w:rPr>
          <w:rFonts w:eastAsia="Times New Roman"/>
          <w:color w:val="000000"/>
          <w:sz w:val="20"/>
          <w:szCs w:val="20"/>
        </w:rPr>
        <w:t xml:space="preserve">became effective in March 2013. In addition, the courts have yet to address many of these provisions and the applicability of the act and new regulations on specific patents discussed herein have not been determined and would need to be reviewed. However, </w:t>
      </w:r>
      <w:r>
        <w:rPr>
          <w:rFonts w:eastAsia="Times New Roman"/>
          <w:color w:val="000000"/>
          <w:sz w:val="20"/>
          <w:szCs w:val="20"/>
        </w:rPr>
        <w:t xml:space="preserve">the America Invents Act and its implementation could increase the uncertainties and costs surrounding the prosecution of our patent applications and the enforcement or defense of our issued patents, all of which could have a material adverse effect on our </w:t>
      </w:r>
      <w:r>
        <w:rPr>
          <w:rFonts w:eastAsia="Times New Roman"/>
          <w:color w:val="000000"/>
          <w:sz w:val="20"/>
          <w:szCs w:val="20"/>
        </w:rPr>
        <w:t>business and financial condition.</w:t>
      </w:r>
    </w:p>
    <w:p w:rsidR="00000000" w:rsidRDefault="009012B9">
      <w:pPr>
        <w:ind w:firstLine="482"/>
        <w:divId w:val="377435683"/>
        <w:rPr>
          <w:rFonts w:eastAsia="Times New Roman"/>
        </w:rPr>
      </w:pPr>
      <w:r>
        <w:rPr>
          <w:rFonts w:eastAsia="Times New Roman"/>
          <w:color w:val="000000"/>
          <w:sz w:val="20"/>
          <w:szCs w:val="20"/>
        </w:rPr>
        <w:t>The degree of future protection for our proprietary rights is uncertain because legal means afford only limited protection and may not adequately protect our rights or permit us to gain or keep our competitive advantage. F</w:t>
      </w:r>
      <w:r>
        <w:rPr>
          <w:rFonts w:eastAsia="Times New Roman"/>
          <w:color w:val="000000"/>
          <w:sz w:val="20"/>
          <w:szCs w:val="20"/>
        </w:rPr>
        <w:t>or example:</w:t>
      </w:r>
    </w:p>
    <w:p w:rsidR="00000000" w:rsidRDefault="009012B9">
      <w:pPr>
        <w:ind w:hanging="480"/>
        <w:divId w:val="1682269901"/>
        <w:rPr>
          <w:rFonts w:eastAsia="Times New Roman"/>
        </w:rPr>
      </w:pPr>
      <w:r>
        <w:rPr>
          <w:rFonts w:eastAsia="Times New Roman"/>
          <w:color w:val="000000"/>
          <w:sz w:val="20"/>
          <w:szCs w:val="20"/>
        </w:rPr>
        <w:t>•others may be able to make or use compounds that are similar to the compositions of our product candidates but that are not covered by the claims of our patents or those of our licensors;</w:t>
      </w:r>
    </w:p>
    <w:p w:rsidR="00000000" w:rsidRDefault="009012B9">
      <w:pPr>
        <w:ind w:hanging="480"/>
        <w:divId w:val="2012566294"/>
        <w:rPr>
          <w:rFonts w:eastAsia="Times New Roman"/>
        </w:rPr>
      </w:pPr>
      <w:r>
        <w:rPr>
          <w:rFonts w:eastAsia="Times New Roman"/>
          <w:color w:val="000000"/>
          <w:sz w:val="20"/>
          <w:szCs w:val="20"/>
        </w:rPr>
        <w:t>•we or our licensors, as the case may be, may fail to m</w:t>
      </w:r>
      <w:r>
        <w:rPr>
          <w:rFonts w:eastAsia="Times New Roman"/>
          <w:color w:val="000000"/>
          <w:sz w:val="20"/>
          <w:szCs w:val="20"/>
        </w:rPr>
        <w:t>eet our obligations to the U.S. government in regards to any in-licensed patents and patent applications funded by U.S. government grants, leading to the loss of patent rights;</w:t>
      </w:r>
    </w:p>
    <w:p w:rsidR="00000000" w:rsidRDefault="009012B9">
      <w:pPr>
        <w:ind w:hanging="480"/>
        <w:divId w:val="120421744"/>
        <w:rPr>
          <w:rFonts w:eastAsia="Times New Roman"/>
        </w:rPr>
      </w:pPr>
      <w:r>
        <w:rPr>
          <w:rFonts w:eastAsia="Times New Roman"/>
          <w:color w:val="000000"/>
          <w:sz w:val="20"/>
          <w:szCs w:val="20"/>
        </w:rPr>
        <w:t>•we or our licensors, as the case may be, might not have been the first to file</w:t>
      </w:r>
      <w:r>
        <w:rPr>
          <w:rFonts w:eastAsia="Times New Roman"/>
          <w:color w:val="000000"/>
          <w:sz w:val="20"/>
          <w:szCs w:val="20"/>
        </w:rPr>
        <w:t xml:space="preserve"> patent applications for these inventions;</w:t>
      </w:r>
    </w:p>
    <w:p w:rsidR="00000000" w:rsidRDefault="009012B9">
      <w:pPr>
        <w:ind w:hanging="480"/>
        <w:divId w:val="1471484859"/>
        <w:rPr>
          <w:rFonts w:eastAsia="Times New Roman"/>
        </w:rPr>
      </w:pPr>
      <w:r>
        <w:rPr>
          <w:rFonts w:eastAsia="Times New Roman"/>
          <w:color w:val="000000"/>
          <w:sz w:val="20"/>
          <w:szCs w:val="20"/>
        </w:rPr>
        <w:t>•others may independently develop similar or alternative technologies or duplicate any of our technologies;</w:t>
      </w:r>
    </w:p>
    <w:p w:rsidR="00000000" w:rsidRDefault="009012B9">
      <w:pPr>
        <w:ind w:hanging="480"/>
        <w:divId w:val="1948191922"/>
        <w:rPr>
          <w:rFonts w:eastAsia="Times New Roman"/>
        </w:rPr>
      </w:pPr>
      <w:r>
        <w:rPr>
          <w:rFonts w:eastAsia="Times New Roman"/>
          <w:color w:val="000000"/>
          <w:sz w:val="20"/>
          <w:szCs w:val="20"/>
        </w:rPr>
        <w:t>•it is possible that our pending patent applications will not result in issued patents;</w:t>
      </w:r>
    </w:p>
    <w:p w:rsidR="00000000" w:rsidRDefault="009012B9">
      <w:pPr>
        <w:ind w:hanging="480"/>
        <w:divId w:val="507258363"/>
        <w:rPr>
          <w:rFonts w:eastAsia="Times New Roman"/>
        </w:rPr>
      </w:pPr>
      <w:r>
        <w:rPr>
          <w:rFonts w:eastAsia="Times New Roman"/>
          <w:color w:val="000000"/>
          <w:sz w:val="20"/>
          <w:szCs w:val="20"/>
        </w:rPr>
        <w:t>•it is possible t</w:t>
      </w:r>
      <w:r>
        <w:rPr>
          <w:rFonts w:eastAsia="Times New Roman"/>
          <w:color w:val="000000"/>
          <w:sz w:val="20"/>
          <w:szCs w:val="20"/>
        </w:rPr>
        <w:t>hat there are prior public disclosures that could invalidate our or our licensors’ patents, as the case may be, or parts of our or their patents;</w:t>
      </w:r>
    </w:p>
    <w:p w:rsidR="00000000" w:rsidRDefault="009012B9">
      <w:pPr>
        <w:ind w:hanging="480"/>
        <w:divId w:val="320961573"/>
        <w:rPr>
          <w:rFonts w:eastAsia="Times New Roman"/>
        </w:rPr>
      </w:pPr>
      <w:r>
        <w:rPr>
          <w:rFonts w:eastAsia="Times New Roman"/>
          <w:color w:val="000000"/>
          <w:sz w:val="20"/>
          <w:szCs w:val="20"/>
        </w:rPr>
        <w:t>•it is possible that others may circumvent our owned or in-licensed patents;</w:t>
      </w:r>
    </w:p>
    <w:p w:rsidR="00000000" w:rsidRDefault="009012B9">
      <w:pPr>
        <w:ind w:hanging="480"/>
        <w:divId w:val="1108158537"/>
        <w:rPr>
          <w:rFonts w:eastAsia="Times New Roman"/>
        </w:rPr>
      </w:pPr>
      <w:r>
        <w:rPr>
          <w:rFonts w:eastAsia="Times New Roman"/>
          <w:color w:val="000000"/>
          <w:sz w:val="20"/>
          <w:szCs w:val="20"/>
        </w:rPr>
        <w:t>•it is possible that there are un</w:t>
      </w:r>
      <w:r>
        <w:rPr>
          <w:rFonts w:eastAsia="Times New Roman"/>
          <w:color w:val="000000"/>
          <w:sz w:val="20"/>
          <w:szCs w:val="20"/>
        </w:rPr>
        <w:t>published applications or patent applications maintained in secrecy that may later issue with claims covering our products or technology similar to ours;</w:t>
      </w:r>
    </w:p>
    <w:p w:rsidR="00000000" w:rsidRDefault="009012B9">
      <w:pPr>
        <w:ind w:hanging="480"/>
        <w:divId w:val="335429083"/>
        <w:rPr>
          <w:rFonts w:eastAsia="Times New Roman"/>
        </w:rPr>
      </w:pPr>
      <w:r>
        <w:rPr>
          <w:rFonts w:eastAsia="Times New Roman"/>
          <w:color w:val="000000"/>
          <w:sz w:val="20"/>
          <w:szCs w:val="20"/>
        </w:rPr>
        <w:t xml:space="preserve">•the laws of foreign countries may not protect our or our licensors’, as the case may be, proprietary </w:t>
      </w:r>
      <w:r>
        <w:rPr>
          <w:rFonts w:eastAsia="Times New Roman"/>
          <w:color w:val="000000"/>
          <w:sz w:val="20"/>
          <w:szCs w:val="20"/>
        </w:rPr>
        <w:t>rights to the same extent as the laws of the United States;</w:t>
      </w:r>
    </w:p>
    <w:p w:rsidR="00000000" w:rsidRDefault="009012B9">
      <w:pPr>
        <w:ind w:hanging="480"/>
        <w:divId w:val="280042304"/>
        <w:rPr>
          <w:rFonts w:eastAsia="Times New Roman"/>
        </w:rPr>
      </w:pPr>
      <w:r>
        <w:rPr>
          <w:rFonts w:eastAsia="Times New Roman"/>
          <w:color w:val="000000"/>
          <w:sz w:val="20"/>
          <w:szCs w:val="20"/>
        </w:rPr>
        <w:t>•the claims of our owned or in-licensed issued patents or patent applications, if and when issued, may not cover our product candidates;</w:t>
      </w:r>
    </w:p>
    <w:p w:rsidR="00000000" w:rsidRDefault="009012B9">
      <w:pPr>
        <w:jc w:val="center"/>
        <w:divId w:val="106050528"/>
        <w:rPr>
          <w:rFonts w:eastAsia="Times New Roman"/>
        </w:rPr>
      </w:pPr>
      <w:r>
        <w:rPr>
          <w:rFonts w:eastAsia="Times New Roman"/>
          <w:color w:val="000000"/>
          <w:sz w:val="20"/>
          <w:szCs w:val="20"/>
        </w:rPr>
        <w:t>53</w:t>
      </w:r>
    </w:p>
    <w:p w:rsidR="00000000" w:rsidRDefault="009012B9">
      <w:pPr>
        <w:rPr>
          <w:rFonts w:eastAsia="Times New Roman"/>
        </w:rPr>
      </w:pPr>
      <w:r>
        <w:rPr>
          <w:rFonts w:eastAsia="Times New Roman"/>
        </w:rPr>
        <w:pict>
          <v:rect id="_x0000_i1077" style="width:0;height:1.5pt" o:hralign="center" o:hrstd="t" o:hr="t" fillcolor="#a0a0a0" stroked="f"/>
        </w:pict>
      </w:r>
    </w:p>
    <w:p w:rsidR="00000000" w:rsidRDefault="009012B9">
      <w:pPr>
        <w:divId w:val="496967217"/>
        <w:rPr>
          <w:rFonts w:eastAsia="Times New Roman"/>
        </w:rPr>
      </w:pPr>
    </w:p>
    <w:p w:rsidR="00000000" w:rsidRDefault="009012B9">
      <w:pPr>
        <w:ind w:hanging="480"/>
        <w:divId w:val="1500344985"/>
        <w:rPr>
          <w:rFonts w:eastAsia="Times New Roman"/>
        </w:rPr>
      </w:pPr>
      <w:r>
        <w:rPr>
          <w:rFonts w:eastAsia="Times New Roman"/>
          <w:color w:val="000000"/>
          <w:sz w:val="20"/>
          <w:szCs w:val="20"/>
        </w:rPr>
        <w:t>•our owned or in-l</w:t>
      </w:r>
      <w:r>
        <w:rPr>
          <w:rFonts w:eastAsia="Times New Roman"/>
          <w:color w:val="000000"/>
          <w:sz w:val="20"/>
          <w:szCs w:val="20"/>
        </w:rPr>
        <w:t>icensed issued patents may not provide us with any competitive advantages, may be narrowed in scope, or be held invalid or unenforceable as a result of legal challenges by third parties;</w:t>
      </w:r>
    </w:p>
    <w:p w:rsidR="00000000" w:rsidRDefault="009012B9">
      <w:pPr>
        <w:ind w:hanging="480"/>
        <w:divId w:val="2104452019"/>
        <w:rPr>
          <w:rFonts w:eastAsia="Times New Roman"/>
        </w:rPr>
      </w:pPr>
      <w:r>
        <w:rPr>
          <w:rFonts w:eastAsia="Times New Roman"/>
          <w:color w:val="000000"/>
          <w:sz w:val="20"/>
          <w:szCs w:val="20"/>
        </w:rPr>
        <w:t>•the inventors of our owned or in-licensed patents or patent applicat</w:t>
      </w:r>
      <w:r>
        <w:rPr>
          <w:rFonts w:eastAsia="Times New Roman"/>
          <w:color w:val="000000"/>
          <w:sz w:val="20"/>
          <w:szCs w:val="20"/>
        </w:rPr>
        <w:t>ions may become involved with competitors, develop products or processes which design around our patents, or become hostile to us or the patents or patent applications on which they are named as inventors;</w:t>
      </w:r>
    </w:p>
    <w:p w:rsidR="00000000" w:rsidRDefault="009012B9">
      <w:pPr>
        <w:ind w:hanging="480"/>
        <w:divId w:val="2083403973"/>
        <w:rPr>
          <w:rFonts w:eastAsia="Times New Roman"/>
        </w:rPr>
      </w:pPr>
      <w:r>
        <w:rPr>
          <w:rFonts w:eastAsia="Times New Roman"/>
          <w:color w:val="000000"/>
          <w:sz w:val="20"/>
          <w:szCs w:val="20"/>
        </w:rPr>
        <w:t>•it is possible that our owned or in-licensed pate</w:t>
      </w:r>
      <w:r>
        <w:rPr>
          <w:rFonts w:eastAsia="Times New Roman"/>
          <w:color w:val="000000"/>
          <w:sz w:val="20"/>
          <w:szCs w:val="20"/>
        </w:rPr>
        <w:t>nts or patent applications omit individual(s) that should be listed as inventor(s) or include individual(s) that should not be listed as inventor(s), which may cause these patents or patents issuing from these patent applications to be held invalid or unen</w:t>
      </w:r>
      <w:r>
        <w:rPr>
          <w:rFonts w:eastAsia="Times New Roman"/>
          <w:color w:val="000000"/>
          <w:sz w:val="20"/>
          <w:szCs w:val="20"/>
        </w:rPr>
        <w:t>forceable;</w:t>
      </w:r>
    </w:p>
    <w:p w:rsidR="00000000" w:rsidRDefault="009012B9">
      <w:pPr>
        <w:ind w:hanging="480"/>
        <w:divId w:val="1735009719"/>
        <w:rPr>
          <w:rFonts w:eastAsia="Times New Roman"/>
        </w:rPr>
      </w:pPr>
      <w:r>
        <w:rPr>
          <w:rFonts w:eastAsia="Times New Roman"/>
          <w:color w:val="000000"/>
          <w:sz w:val="20"/>
          <w:szCs w:val="20"/>
        </w:rPr>
        <w:t>•we have engaged in scientific collaborations in the past and will continue to do so in the future. Such collaborators may develop adjacent or competing products to ours that are outside the scope of our patents;</w:t>
      </w:r>
    </w:p>
    <w:p w:rsidR="00000000" w:rsidRDefault="009012B9">
      <w:pPr>
        <w:ind w:hanging="480"/>
        <w:divId w:val="2115249556"/>
        <w:rPr>
          <w:rFonts w:eastAsia="Times New Roman"/>
        </w:rPr>
      </w:pPr>
      <w:r>
        <w:rPr>
          <w:rFonts w:eastAsia="Times New Roman"/>
          <w:color w:val="000000"/>
          <w:sz w:val="20"/>
          <w:szCs w:val="20"/>
        </w:rPr>
        <w:t>•we may not develop additional p</w:t>
      </w:r>
      <w:r>
        <w:rPr>
          <w:rFonts w:eastAsia="Times New Roman"/>
          <w:color w:val="000000"/>
          <w:sz w:val="20"/>
          <w:szCs w:val="20"/>
        </w:rPr>
        <w:t>roprietary technologies for which we can obtain patent protection;</w:t>
      </w:r>
    </w:p>
    <w:p w:rsidR="00000000" w:rsidRDefault="009012B9">
      <w:pPr>
        <w:ind w:hanging="480"/>
        <w:divId w:val="541015989"/>
        <w:rPr>
          <w:rFonts w:eastAsia="Times New Roman"/>
        </w:rPr>
      </w:pPr>
      <w:r>
        <w:rPr>
          <w:rFonts w:eastAsia="Times New Roman"/>
          <w:color w:val="000000"/>
          <w:sz w:val="20"/>
          <w:szCs w:val="20"/>
        </w:rPr>
        <w:t>•</w:t>
      </w:r>
      <w:r>
        <w:rPr>
          <w:rFonts w:eastAsia="Times New Roman"/>
          <w:color w:val="000000"/>
          <w:sz w:val="20"/>
          <w:szCs w:val="20"/>
        </w:rPr>
        <w:t>it is possible that product candidates or diagnostic tests we develop may be covered by third parties’ patents or other exclusive rights; or</w:t>
      </w:r>
    </w:p>
    <w:p w:rsidR="00000000" w:rsidRDefault="009012B9">
      <w:pPr>
        <w:ind w:hanging="480"/>
        <w:divId w:val="235432720"/>
        <w:rPr>
          <w:rFonts w:eastAsia="Times New Roman"/>
        </w:rPr>
      </w:pPr>
      <w:r>
        <w:rPr>
          <w:rFonts w:eastAsia="Times New Roman"/>
          <w:color w:val="000000"/>
          <w:sz w:val="20"/>
          <w:szCs w:val="20"/>
        </w:rPr>
        <w:t>•the patents of others may have an adverse effect on our business.</w:t>
      </w:r>
    </w:p>
    <w:p w:rsidR="00000000" w:rsidRDefault="009012B9">
      <w:pPr>
        <w:divId w:val="1680505819"/>
        <w:rPr>
          <w:rFonts w:eastAsia="Times New Roman"/>
        </w:rPr>
      </w:pPr>
      <w:r>
        <w:rPr>
          <w:rFonts w:eastAsia="Times New Roman"/>
          <w:b/>
          <w:bCs/>
          <w:i/>
          <w:iCs/>
          <w:color w:val="000000"/>
          <w:sz w:val="20"/>
          <w:szCs w:val="20"/>
        </w:rPr>
        <w:t>We may enter into license or other collaboration</w:t>
      </w:r>
      <w:r>
        <w:rPr>
          <w:rFonts w:eastAsia="Times New Roman"/>
          <w:b/>
          <w:bCs/>
          <w:i/>
          <w:iCs/>
          <w:color w:val="000000"/>
          <w:sz w:val="20"/>
          <w:szCs w:val="20"/>
        </w:rPr>
        <w:t xml:space="preserve"> agreements in the future that may impose certain obligations on us. If we fail to comply with our obligations under such future agreements with third parties, we could lose license rights that may be important to our future business.</w:t>
      </w:r>
    </w:p>
    <w:p w:rsidR="00000000" w:rsidRDefault="009012B9">
      <w:pPr>
        <w:ind w:firstLine="482"/>
        <w:divId w:val="684130709"/>
        <w:rPr>
          <w:rFonts w:eastAsia="Times New Roman"/>
        </w:rPr>
      </w:pPr>
      <w:r>
        <w:rPr>
          <w:rFonts w:eastAsia="Times New Roman"/>
          <w:color w:val="000000"/>
          <w:sz w:val="20"/>
          <w:szCs w:val="20"/>
        </w:rPr>
        <w:t>In connection with ou</w:t>
      </w:r>
      <w:r>
        <w:rPr>
          <w:rFonts w:eastAsia="Times New Roman"/>
          <w:color w:val="000000"/>
          <w:sz w:val="20"/>
          <w:szCs w:val="20"/>
        </w:rPr>
        <w:t>r efforts to expand our pipeline of product candidates, we may enter into certain licenses or other collaboration agreements in the future pertaining to the in-license of rights to additional candidates. Such agreements may impose various diligence, milest</w:t>
      </w:r>
      <w:r>
        <w:rPr>
          <w:rFonts w:eastAsia="Times New Roman"/>
          <w:color w:val="000000"/>
          <w:sz w:val="20"/>
          <w:szCs w:val="20"/>
        </w:rPr>
        <w:t>one payment, royalty, insurance, or other obligations on us. If we fail to comply with these obligations, our licensor or collaboration partners may have the right to terminate the relevant agreement, in which event we would not be able to develop or marke</w:t>
      </w:r>
      <w:r>
        <w:rPr>
          <w:rFonts w:eastAsia="Times New Roman"/>
          <w:color w:val="000000"/>
          <w:sz w:val="20"/>
          <w:szCs w:val="20"/>
        </w:rPr>
        <w:t>t the products covered by such licensed intellectual property.</w:t>
      </w:r>
    </w:p>
    <w:p w:rsidR="00000000" w:rsidRDefault="009012B9">
      <w:pPr>
        <w:ind w:firstLine="482"/>
        <w:divId w:val="1186408445"/>
        <w:rPr>
          <w:rFonts w:eastAsia="Times New Roman"/>
        </w:rPr>
      </w:pPr>
      <w:r>
        <w:rPr>
          <w:rFonts w:eastAsia="Times New Roman"/>
          <w:color w:val="000000"/>
          <w:sz w:val="20"/>
          <w:szCs w:val="20"/>
        </w:rPr>
        <w:t>Moreover, disputes may arise regarding intellectual property subject to a licensing agreement, including:</w:t>
      </w:r>
    </w:p>
    <w:p w:rsidR="00000000" w:rsidRDefault="009012B9">
      <w:pPr>
        <w:ind w:hanging="480"/>
        <w:divId w:val="569921482"/>
        <w:rPr>
          <w:rFonts w:eastAsia="Times New Roman"/>
        </w:rPr>
      </w:pPr>
      <w:r>
        <w:rPr>
          <w:rFonts w:eastAsia="Times New Roman"/>
          <w:color w:val="000000"/>
          <w:sz w:val="20"/>
          <w:szCs w:val="20"/>
        </w:rPr>
        <w:t>•the scope of rights granted under the license agreement and other interpretation-relat</w:t>
      </w:r>
      <w:r>
        <w:rPr>
          <w:rFonts w:eastAsia="Times New Roman"/>
          <w:color w:val="000000"/>
          <w:sz w:val="20"/>
          <w:szCs w:val="20"/>
        </w:rPr>
        <w:t>ed issues;</w:t>
      </w:r>
    </w:p>
    <w:p w:rsidR="00000000" w:rsidRDefault="009012B9">
      <w:pPr>
        <w:ind w:hanging="480"/>
        <w:divId w:val="174274845"/>
        <w:rPr>
          <w:rFonts w:eastAsia="Times New Roman"/>
        </w:rPr>
      </w:pPr>
      <w:r>
        <w:rPr>
          <w:rFonts w:eastAsia="Times New Roman"/>
          <w:color w:val="000000"/>
          <w:sz w:val="20"/>
          <w:szCs w:val="20"/>
        </w:rPr>
        <w:t>•the extent to which our product candidates, technology and processes infringe on intellectual property of the licensor that is not subject to the licensing agreement;</w:t>
      </w:r>
    </w:p>
    <w:p w:rsidR="00000000" w:rsidRDefault="009012B9">
      <w:pPr>
        <w:ind w:hanging="480"/>
        <w:divId w:val="876507915"/>
        <w:rPr>
          <w:rFonts w:eastAsia="Times New Roman"/>
        </w:rPr>
      </w:pPr>
      <w:r>
        <w:rPr>
          <w:rFonts w:eastAsia="Times New Roman"/>
          <w:color w:val="000000"/>
          <w:sz w:val="20"/>
          <w:szCs w:val="20"/>
        </w:rPr>
        <w:t>•the sublicensing of patent and other rights under our collaborative developm</w:t>
      </w:r>
      <w:r>
        <w:rPr>
          <w:rFonts w:eastAsia="Times New Roman"/>
          <w:color w:val="000000"/>
          <w:sz w:val="20"/>
          <w:szCs w:val="20"/>
        </w:rPr>
        <w:t>ent relationships;</w:t>
      </w:r>
    </w:p>
    <w:p w:rsidR="00000000" w:rsidRDefault="009012B9">
      <w:pPr>
        <w:ind w:hanging="480"/>
        <w:divId w:val="216820707"/>
        <w:rPr>
          <w:rFonts w:eastAsia="Times New Roman"/>
        </w:rPr>
      </w:pPr>
      <w:r>
        <w:rPr>
          <w:rFonts w:eastAsia="Times New Roman"/>
          <w:color w:val="000000"/>
          <w:sz w:val="20"/>
          <w:szCs w:val="20"/>
        </w:rPr>
        <w:t>•our diligence obligations under the license agreement and what activities satisfy those diligence obligations;</w:t>
      </w:r>
    </w:p>
    <w:p w:rsidR="00000000" w:rsidRDefault="009012B9">
      <w:pPr>
        <w:ind w:hanging="480"/>
        <w:divId w:val="2142913747"/>
        <w:rPr>
          <w:rFonts w:eastAsia="Times New Roman"/>
        </w:rPr>
      </w:pPr>
      <w:r>
        <w:rPr>
          <w:rFonts w:eastAsia="Times New Roman"/>
          <w:color w:val="000000"/>
          <w:sz w:val="20"/>
          <w:szCs w:val="20"/>
        </w:rPr>
        <w:t xml:space="preserve">•the inventorship and ownership of inventions and know-how resulting from the joint creation or use of intellectual property </w:t>
      </w:r>
      <w:r>
        <w:rPr>
          <w:rFonts w:eastAsia="Times New Roman"/>
          <w:color w:val="000000"/>
          <w:sz w:val="20"/>
          <w:szCs w:val="20"/>
        </w:rPr>
        <w:t>by our licensors and us and our partners; and</w:t>
      </w:r>
    </w:p>
    <w:p w:rsidR="00000000" w:rsidRDefault="009012B9">
      <w:pPr>
        <w:ind w:hanging="480"/>
        <w:divId w:val="2108230029"/>
        <w:rPr>
          <w:rFonts w:eastAsia="Times New Roman"/>
        </w:rPr>
      </w:pPr>
      <w:r>
        <w:rPr>
          <w:rFonts w:eastAsia="Times New Roman"/>
          <w:color w:val="000000"/>
          <w:sz w:val="20"/>
          <w:szCs w:val="20"/>
        </w:rPr>
        <w:t>•the priority of invention of patented technology.</w:t>
      </w:r>
    </w:p>
    <w:p w:rsidR="00000000" w:rsidRDefault="009012B9">
      <w:pPr>
        <w:ind w:firstLine="482"/>
        <w:divId w:val="1954941984"/>
        <w:rPr>
          <w:rFonts w:eastAsia="Times New Roman"/>
        </w:rPr>
      </w:pPr>
      <w:r>
        <w:rPr>
          <w:rFonts w:eastAsia="Times New Roman"/>
          <w:color w:val="000000"/>
          <w:sz w:val="20"/>
          <w:szCs w:val="20"/>
        </w:rPr>
        <w:t>In addition, the agreements under which we currently license intellectual property or technology from third parties are complex, and certain provisions in such</w:t>
      </w:r>
      <w:r>
        <w:rPr>
          <w:rFonts w:eastAsia="Times New Roman"/>
          <w:color w:val="000000"/>
          <w:sz w:val="20"/>
          <w:szCs w:val="20"/>
        </w:rPr>
        <w:t xml:space="preserve"> agreements may be susceptible to multiple interpretations. The resolution of any contract interpretation disagreement that may arise could narrow what we believe to be the scope of our rights to the relevant intellectual property or technology or increase</w:t>
      </w:r>
      <w:r>
        <w:rPr>
          <w:rFonts w:eastAsia="Times New Roman"/>
          <w:color w:val="000000"/>
          <w:sz w:val="20"/>
          <w:szCs w:val="20"/>
        </w:rPr>
        <w:t xml:space="preserve"> what we believe to be our financial or other obligations under the relevant agreement, either of which could have a material adverse effect on our business, financial condition, results of operations, and prospects. Moreover, if disputes over intellectual</w:t>
      </w:r>
      <w:r>
        <w:rPr>
          <w:rFonts w:eastAsia="Times New Roman"/>
          <w:color w:val="000000"/>
          <w:sz w:val="20"/>
          <w:szCs w:val="20"/>
        </w:rPr>
        <w:t xml:space="preserve"> property that we have licensed prevent or impair our ability to maintain our current licensing arrangements on commercially acceptable terms, we may be unable to successfully develop and commercialize the affected product candidates, which could have a ma</w:t>
      </w:r>
      <w:r>
        <w:rPr>
          <w:rFonts w:eastAsia="Times New Roman"/>
          <w:color w:val="000000"/>
          <w:sz w:val="20"/>
          <w:szCs w:val="20"/>
        </w:rPr>
        <w:t>terial adverse effect on our business, financial conditions, results of operations, and prospects.</w:t>
      </w:r>
    </w:p>
    <w:p w:rsidR="00000000" w:rsidRDefault="009012B9">
      <w:pPr>
        <w:ind w:firstLine="482"/>
        <w:divId w:val="619458213"/>
        <w:rPr>
          <w:rFonts w:eastAsia="Times New Roman"/>
        </w:rPr>
      </w:pPr>
      <w:r>
        <w:rPr>
          <w:rFonts w:eastAsia="Times New Roman"/>
          <w:color w:val="000000"/>
          <w:sz w:val="20"/>
          <w:szCs w:val="20"/>
        </w:rPr>
        <w:t>In addition, we may have limited control over the maintenance and prosecution of these in-licensed patents and patent applications, or any other intellectual</w:t>
      </w:r>
      <w:r>
        <w:rPr>
          <w:rFonts w:eastAsia="Times New Roman"/>
          <w:color w:val="000000"/>
          <w:sz w:val="20"/>
          <w:szCs w:val="20"/>
        </w:rPr>
        <w:t xml:space="preserve"> property that may be related to our in-licensed intellectual property. For example, we cannot be certain that such activities by any future licensors have been or will be conducted in compliance with applicable laws and regulations or will result in valid</w:t>
      </w:r>
      <w:r>
        <w:rPr>
          <w:rFonts w:eastAsia="Times New Roman"/>
          <w:color w:val="000000"/>
          <w:sz w:val="20"/>
          <w:szCs w:val="20"/>
        </w:rPr>
        <w:t xml:space="preserve"> and enforceable patents and other intellectual property rights. We have limited control over the manner in which our licensors initiate an infringement proceeding against a third-party infringer of the intellectual </w:t>
      </w:r>
    </w:p>
    <w:p w:rsidR="00000000" w:rsidRDefault="009012B9">
      <w:pPr>
        <w:jc w:val="center"/>
        <w:divId w:val="181744798"/>
        <w:rPr>
          <w:rFonts w:eastAsia="Times New Roman"/>
        </w:rPr>
      </w:pPr>
      <w:r>
        <w:rPr>
          <w:rFonts w:eastAsia="Times New Roman"/>
          <w:color w:val="000000"/>
          <w:sz w:val="20"/>
          <w:szCs w:val="20"/>
        </w:rPr>
        <w:t>54</w:t>
      </w:r>
    </w:p>
    <w:p w:rsidR="00000000" w:rsidRDefault="009012B9">
      <w:pPr>
        <w:rPr>
          <w:rFonts w:eastAsia="Times New Roman"/>
        </w:rPr>
      </w:pPr>
      <w:r>
        <w:rPr>
          <w:rFonts w:eastAsia="Times New Roman"/>
        </w:rPr>
        <w:pict>
          <v:rect id="_x0000_i1078" style="width:0;height:1.5pt" o:hralign="center" o:hrstd="t" o:hr="t" fillcolor="#a0a0a0" stroked="f"/>
        </w:pict>
      </w:r>
    </w:p>
    <w:p w:rsidR="00000000" w:rsidRDefault="009012B9">
      <w:pPr>
        <w:divId w:val="1706907157"/>
        <w:rPr>
          <w:rFonts w:eastAsia="Times New Roman"/>
        </w:rPr>
      </w:pPr>
    </w:p>
    <w:p w:rsidR="00000000" w:rsidRDefault="009012B9">
      <w:pPr>
        <w:divId w:val="1849444709"/>
        <w:rPr>
          <w:rFonts w:eastAsia="Times New Roman"/>
        </w:rPr>
      </w:pPr>
      <w:r>
        <w:rPr>
          <w:rFonts w:eastAsia="Times New Roman"/>
          <w:color w:val="000000"/>
          <w:sz w:val="20"/>
          <w:szCs w:val="20"/>
        </w:rPr>
        <w:t>property rights or defend certain of the intellectual property that is licensed to us. It is possible that the licensors’ infringement proceeding, or defense activities may be less vigorous than had we conducted them ourselves.</w:t>
      </w:r>
    </w:p>
    <w:p w:rsidR="00000000" w:rsidRDefault="009012B9">
      <w:pPr>
        <w:divId w:val="1051073637"/>
        <w:rPr>
          <w:rFonts w:eastAsia="Times New Roman"/>
        </w:rPr>
      </w:pPr>
      <w:r>
        <w:rPr>
          <w:rFonts w:eastAsia="Times New Roman"/>
          <w:b/>
          <w:bCs/>
          <w:i/>
          <w:iCs/>
          <w:color w:val="000000"/>
          <w:sz w:val="20"/>
          <w:szCs w:val="20"/>
        </w:rPr>
        <w:t>If we are unable to protec</w:t>
      </w:r>
      <w:r>
        <w:rPr>
          <w:rFonts w:eastAsia="Times New Roman"/>
          <w:b/>
          <w:bCs/>
          <w:i/>
          <w:iCs/>
          <w:color w:val="000000"/>
          <w:sz w:val="20"/>
          <w:szCs w:val="20"/>
        </w:rPr>
        <w:t>t the confidentiality of our trade secrets, our business and competitive position would be harmed.</w:t>
      </w:r>
    </w:p>
    <w:p w:rsidR="00000000" w:rsidRDefault="009012B9">
      <w:pPr>
        <w:ind w:firstLine="482"/>
        <w:divId w:val="1284579373"/>
        <w:rPr>
          <w:rFonts w:eastAsia="Times New Roman"/>
        </w:rPr>
      </w:pPr>
      <w:r>
        <w:rPr>
          <w:rFonts w:eastAsia="Times New Roman"/>
          <w:color w:val="000000"/>
          <w:sz w:val="20"/>
          <w:szCs w:val="20"/>
        </w:rPr>
        <w:t>In addition to patent protection, we rely heavily upon know-how and trade secret protection, as well as non-disclosure agreements and invention assignment agreements with our employees, consultants and third parties, to protect our confidential and proprie</w:t>
      </w:r>
      <w:r>
        <w:rPr>
          <w:rFonts w:eastAsia="Times New Roman"/>
          <w:color w:val="000000"/>
          <w:sz w:val="20"/>
          <w:szCs w:val="20"/>
        </w:rPr>
        <w:t>tary information, especially where we do not believe patent protection is appropriate or obtainable. In addition to contractual measures, we try to protect the confidential nature of our proprietary information using physical and technological security mea</w:t>
      </w:r>
      <w:r>
        <w:rPr>
          <w:rFonts w:eastAsia="Times New Roman"/>
          <w:color w:val="000000"/>
          <w:sz w:val="20"/>
          <w:szCs w:val="20"/>
        </w:rPr>
        <w:t>sures. Such measures may not, for example, in the case of misappropriation of a trade secret by an employee or third-party with authorized access, provide adequate protection for our proprietary information. Our security measures may not prevent an employe</w:t>
      </w:r>
      <w:r>
        <w:rPr>
          <w:rFonts w:eastAsia="Times New Roman"/>
          <w:color w:val="000000"/>
          <w:sz w:val="20"/>
          <w:szCs w:val="20"/>
        </w:rPr>
        <w:t>e or consultant from misappropriating our trade secrets and providing them to a competitor, and recourse we take against such misconduct may not provide an adequate remedy to protect our interests fully. Enforcing a claim that a party illegally disclosed o</w:t>
      </w:r>
      <w:r>
        <w:rPr>
          <w:rFonts w:eastAsia="Times New Roman"/>
          <w:color w:val="000000"/>
          <w:sz w:val="20"/>
          <w:szCs w:val="20"/>
        </w:rPr>
        <w:t>r misappropriated a trade secret can be difficult, expensive, and time-consuming, and the outcome is unpredictable. In addition, trade secrets may be independently developed by others in a manner that could prevent legal recourse by us. For example, our cl</w:t>
      </w:r>
      <w:r>
        <w:rPr>
          <w:rFonts w:eastAsia="Times New Roman"/>
          <w:color w:val="000000"/>
          <w:sz w:val="20"/>
          <w:szCs w:val="20"/>
        </w:rPr>
        <w:t xml:space="preserve">inical development strategy includes the testing of live tissue samples, and our techniques for preserving and testing these samples are proprietary and confidential. If one or more third parties obtain or are otherwise able to replicate these techniques, </w:t>
      </w:r>
      <w:r>
        <w:rPr>
          <w:rFonts w:eastAsia="Times New Roman"/>
          <w:color w:val="000000"/>
          <w:sz w:val="20"/>
          <w:szCs w:val="20"/>
        </w:rPr>
        <w:t>an important feature and differentiator of our clinical development strategy will become available to potential competitors. If any of our confidential or proprietary information, such as our trade secrets, were to be disclosed or misappropriated, or if an</w:t>
      </w:r>
      <w:r>
        <w:rPr>
          <w:rFonts w:eastAsia="Times New Roman"/>
          <w:color w:val="000000"/>
          <w:sz w:val="20"/>
          <w:szCs w:val="20"/>
        </w:rPr>
        <w:t>y such information were independently developed by a competitor, our competitive position could be harmed.</w:t>
      </w:r>
    </w:p>
    <w:p w:rsidR="00000000" w:rsidRDefault="009012B9">
      <w:pPr>
        <w:ind w:firstLine="482"/>
        <w:divId w:val="1864248284"/>
        <w:rPr>
          <w:rFonts w:eastAsia="Times New Roman"/>
        </w:rPr>
      </w:pPr>
      <w:r>
        <w:rPr>
          <w:rFonts w:eastAsia="Times New Roman"/>
          <w:color w:val="000000"/>
          <w:sz w:val="20"/>
          <w:szCs w:val="20"/>
        </w:rPr>
        <w:t xml:space="preserve">In addition, courts outside the United States are sometimes less willing to protect trade secrets. If we choose to go to court to stop a third-party </w:t>
      </w:r>
      <w:r>
        <w:rPr>
          <w:rFonts w:eastAsia="Times New Roman"/>
          <w:color w:val="000000"/>
          <w:sz w:val="20"/>
          <w:szCs w:val="20"/>
        </w:rPr>
        <w:t>from using any of our trade secrets, we may incur substantial costs. These lawsuits may consume our time and other resources even if we are successful. Although we take steps to protect our proprietary information and trade secrets, including through contr</w:t>
      </w:r>
      <w:r>
        <w:rPr>
          <w:rFonts w:eastAsia="Times New Roman"/>
          <w:color w:val="000000"/>
          <w:sz w:val="20"/>
          <w:szCs w:val="20"/>
        </w:rPr>
        <w:t>actual means with our employees and consultants, third parties may independently develop substantially equivalent proprietary information and techniques or otherwise gain access to our trade secrets or disclose our technology.</w:t>
      </w:r>
    </w:p>
    <w:p w:rsidR="00000000" w:rsidRDefault="009012B9">
      <w:pPr>
        <w:ind w:firstLine="475"/>
        <w:divId w:val="904074884"/>
        <w:rPr>
          <w:rFonts w:eastAsia="Times New Roman"/>
        </w:rPr>
      </w:pPr>
      <w:r>
        <w:rPr>
          <w:rFonts w:eastAsia="Times New Roman"/>
          <w:color w:val="000000"/>
          <w:sz w:val="20"/>
          <w:szCs w:val="20"/>
        </w:rPr>
        <w:t>Thus, we may not be able to m</w:t>
      </w:r>
      <w:r>
        <w:rPr>
          <w:rFonts w:eastAsia="Times New Roman"/>
          <w:color w:val="000000"/>
          <w:sz w:val="20"/>
          <w:szCs w:val="20"/>
        </w:rPr>
        <w:t>eaningfully protect our trade secrets. It is our policy to require our employees, consultants, outside scientific collaborators, sponsored researchers, and other advisors to execute confidentiality agreements upon the commencement of employment or consulti</w:t>
      </w:r>
      <w:r>
        <w:rPr>
          <w:rFonts w:eastAsia="Times New Roman"/>
          <w:color w:val="000000"/>
          <w:sz w:val="20"/>
          <w:szCs w:val="20"/>
        </w:rPr>
        <w:t>ng relationships with us. These agreements provide that all confidential information concerning our business or financial affairs developed or made known to the individual or entity during the course of the party’s relationship with us is to be kept confid</w:t>
      </w:r>
      <w:r>
        <w:rPr>
          <w:rFonts w:eastAsia="Times New Roman"/>
          <w:color w:val="000000"/>
          <w:sz w:val="20"/>
          <w:szCs w:val="20"/>
        </w:rPr>
        <w:t>ential and not disclosed to third parties except in specific circumstances. In the case of employees, the agreements provide that all inventions conceived by the individual, and which are related to our current or planned business or research and developme</w:t>
      </w:r>
      <w:r>
        <w:rPr>
          <w:rFonts w:eastAsia="Times New Roman"/>
          <w:color w:val="000000"/>
          <w:sz w:val="20"/>
          <w:szCs w:val="20"/>
        </w:rPr>
        <w:t>nt or made during normal working hours, on our premises or using our equipment or proprietary information, are our exclusive property. In addition, we take other appropriate precautions, such as physical and technological security measures, to guard agains</w:t>
      </w:r>
      <w:r>
        <w:rPr>
          <w:rFonts w:eastAsia="Times New Roman"/>
          <w:color w:val="000000"/>
          <w:sz w:val="20"/>
          <w:szCs w:val="20"/>
        </w:rPr>
        <w:t>t misappropriation of our proprietary technology by third parties. We have also adopted policies and conduct training that provides guidance on our expectations, and our advice for best practices, in protecting our trade secrets.</w:t>
      </w:r>
    </w:p>
    <w:p w:rsidR="00000000" w:rsidRDefault="009012B9">
      <w:pPr>
        <w:divId w:val="1457530183"/>
        <w:rPr>
          <w:rFonts w:eastAsia="Times New Roman"/>
        </w:rPr>
      </w:pPr>
      <w:r>
        <w:rPr>
          <w:rFonts w:eastAsia="Times New Roman"/>
          <w:b/>
          <w:bCs/>
          <w:i/>
          <w:iCs/>
          <w:color w:val="000000"/>
          <w:sz w:val="20"/>
          <w:szCs w:val="20"/>
        </w:rPr>
        <w:t>Third-party claims of inte</w:t>
      </w:r>
      <w:r>
        <w:rPr>
          <w:rFonts w:eastAsia="Times New Roman"/>
          <w:b/>
          <w:bCs/>
          <w:i/>
          <w:iCs/>
          <w:color w:val="000000"/>
          <w:sz w:val="20"/>
          <w:szCs w:val="20"/>
        </w:rPr>
        <w:t>llectual property infringement may prevent or delay our product discovery and development efforts.</w:t>
      </w:r>
    </w:p>
    <w:p w:rsidR="00000000" w:rsidRDefault="009012B9">
      <w:pPr>
        <w:ind w:firstLine="475"/>
        <w:divId w:val="944845741"/>
        <w:rPr>
          <w:rFonts w:eastAsia="Times New Roman"/>
        </w:rPr>
      </w:pPr>
      <w:r>
        <w:rPr>
          <w:rFonts w:eastAsia="Times New Roman"/>
          <w:color w:val="000000"/>
          <w:sz w:val="20"/>
          <w:szCs w:val="20"/>
        </w:rPr>
        <w:t>Our commercial success depends in part on our ability to develop, manufacture, market and sell our product candidates and use our proprietary technologies wi</w:t>
      </w:r>
      <w:r>
        <w:rPr>
          <w:rFonts w:eastAsia="Times New Roman"/>
          <w:color w:val="000000"/>
          <w:sz w:val="20"/>
          <w:szCs w:val="20"/>
        </w:rPr>
        <w:t xml:space="preserve">thout infringing the proprietary rights of third parties. There is a substantial amount of litigation involving patents and other intellectual property rights in the biotechnology and biopharmaceutical industries, as well as administrative proceedings for </w:t>
      </w:r>
      <w:r>
        <w:rPr>
          <w:rFonts w:eastAsia="Times New Roman"/>
          <w:color w:val="000000"/>
          <w:sz w:val="20"/>
          <w:szCs w:val="20"/>
        </w:rPr>
        <w:t xml:space="preserve">challenging patents, including interference, derivation, </w:t>
      </w:r>
      <w:r>
        <w:rPr>
          <w:rFonts w:eastAsia="Times New Roman"/>
          <w:i/>
          <w:iCs/>
          <w:color w:val="000000"/>
          <w:sz w:val="20"/>
          <w:szCs w:val="20"/>
        </w:rPr>
        <w:t>inter partes</w:t>
      </w:r>
      <w:r>
        <w:rPr>
          <w:rFonts w:eastAsia="Times New Roman"/>
          <w:color w:val="000000"/>
          <w:sz w:val="20"/>
          <w:szCs w:val="20"/>
        </w:rPr>
        <w:t xml:space="preserve"> review, post grant review, and reexamination proceedings before the USPTO or oppositions and other comparable proceedings in foreign jurisdictions. We may be exposed to, or threatened wi</w:t>
      </w:r>
      <w:r>
        <w:rPr>
          <w:rFonts w:eastAsia="Times New Roman"/>
          <w:color w:val="000000"/>
          <w:sz w:val="20"/>
          <w:szCs w:val="20"/>
        </w:rPr>
        <w:t>th, future litigation by third parties having patent or other intellectual property rights alleging that our product candidates and/or proprietary technologies infringe their intellectual property rights. Numerous U.S. and foreign issued patents and pendin</w:t>
      </w:r>
      <w:r>
        <w:rPr>
          <w:rFonts w:eastAsia="Times New Roman"/>
          <w:color w:val="000000"/>
          <w:sz w:val="20"/>
          <w:szCs w:val="20"/>
        </w:rPr>
        <w:t>g patent applications, which are owned by third parties, exist in the fields in which we are developing our product candidates. As the biotechnology and biopharmaceutical industries expand and more patents are issued, the risk increases that our product ca</w:t>
      </w:r>
      <w:r>
        <w:rPr>
          <w:rFonts w:eastAsia="Times New Roman"/>
          <w:color w:val="000000"/>
          <w:sz w:val="20"/>
          <w:szCs w:val="20"/>
        </w:rPr>
        <w:t>ndidates may give rise to claims of infringement of the patent rights of others. Moreover, it is not always clear to industry participants, including us, which patents cover various types of drugs, products or their methods of use or manufacture. Thus, bec</w:t>
      </w:r>
      <w:r>
        <w:rPr>
          <w:rFonts w:eastAsia="Times New Roman"/>
          <w:color w:val="000000"/>
          <w:sz w:val="20"/>
          <w:szCs w:val="20"/>
        </w:rPr>
        <w:t>ause of the large number of patents issued and patent applications filed in our fields, there may be a risk that third parties may allege they have patent rights encompassing our product candidates, technologies, or methods.</w:t>
      </w:r>
    </w:p>
    <w:p w:rsidR="00000000" w:rsidRDefault="009012B9">
      <w:pPr>
        <w:jc w:val="center"/>
        <w:divId w:val="324167579"/>
        <w:rPr>
          <w:rFonts w:eastAsia="Times New Roman"/>
        </w:rPr>
      </w:pPr>
      <w:r>
        <w:rPr>
          <w:rFonts w:eastAsia="Times New Roman"/>
          <w:color w:val="000000"/>
          <w:sz w:val="20"/>
          <w:szCs w:val="20"/>
        </w:rPr>
        <w:t>55</w:t>
      </w:r>
    </w:p>
    <w:p w:rsidR="00000000" w:rsidRDefault="009012B9">
      <w:pPr>
        <w:rPr>
          <w:rFonts w:eastAsia="Times New Roman"/>
        </w:rPr>
      </w:pPr>
      <w:r>
        <w:rPr>
          <w:rFonts w:eastAsia="Times New Roman"/>
        </w:rPr>
        <w:pict>
          <v:rect id="_x0000_i1079" style="width:0;height:1.5pt" o:hralign="center" o:hrstd="t" o:hr="t" fillcolor="#a0a0a0" stroked="f"/>
        </w:pict>
      </w:r>
    </w:p>
    <w:p w:rsidR="00000000" w:rsidRDefault="009012B9">
      <w:pPr>
        <w:divId w:val="2071994522"/>
        <w:rPr>
          <w:rFonts w:eastAsia="Times New Roman"/>
        </w:rPr>
      </w:pPr>
    </w:p>
    <w:p w:rsidR="00000000" w:rsidRDefault="009012B9">
      <w:pPr>
        <w:ind w:firstLine="482"/>
        <w:divId w:val="1620603816"/>
        <w:rPr>
          <w:rFonts w:eastAsia="Times New Roman"/>
        </w:rPr>
      </w:pPr>
      <w:r>
        <w:rPr>
          <w:rFonts w:eastAsia="Times New Roman"/>
          <w:color w:val="000000"/>
          <w:sz w:val="20"/>
          <w:szCs w:val="20"/>
        </w:rPr>
        <w:t>If a third-party claim that we infringe its intellectual property rights, we may face a number of issues, including, but not limited to:</w:t>
      </w:r>
    </w:p>
    <w:p w:rsidR="00000000" w:rsidRDefault="009012B9">
      <w:pPr>
        <w:ind w:hanging="480"/>
        <w:divId w:val="217864751"/>
        <w:rPr>
          <w:rFonts w:eastAsia="Times New Roman"/>
        </w:rPr>
      </w:pPr>
      <w:r>
        <w:rPr>
          <w:rFonts w:eastAsia="Times New Roman"/>
          <w:color w:val="000000"/>
          <w:sz w:val="20"/>
          <w:szCs w:val="20"/>
        </w:rPr>
        <w:t>•infringement and other intellectual property claims which, regardless of merit, may be expensive and time-consuming to</w:t>
      </w:r>
      <w:r>
        <w:rPr>
          <w:rFonts w:eastAsia="Times New Roman"/>
          <w:color w:val="000000"/>
          <w:sz w:val="20"/>
          <w:szCs w:val="20"/>
        </w:rPr>
        <w:t xml:space="preserve"> litigate and may divert our management’s attention from our core business;</w:t>
      </w:r>
    </w:p>
    <w:p w:rsidR="00000000" w:rsidRDefault="009012B9">
      <w:pPr>
        <w:ind w:hanging="480"/>
        <w:divId w:val="1511606912"/>
        <w:rPr>
          <w:rFonts w:eastAsia="Times New Roman"/>
        </w:rPr>
      </w:pPr>
      <w:r>
        <w:rPr>
          <w:rFonts w:eastAsia="Times New Roman"/>
          <w:color w:val="000000"/>
          <w:sz w:val="20"/>
          <w:szCs w:val="20"/>
        </w:rPr>
        <w:t>•substantial damages for infringement, which we may have to pay if a court decides that the product candidate or technology at issue infringes on or violates the third-party’s righ</w:t>
      </w:r>
      <w:r>
        <w:rPr>
          <w:rFonts w:eastAsia="Times New Roman"/>
          <w:color w:val="000000"/>
          <w:sz w:val="20"/>
          <w:szCs w:val="20"/>
        </w:rPr>
        <w:t>ts, and, if the court finds that the infringement was willful, we could be ordered to pay treble damages and the patent owner’s attorneys’ fees;</w:t>
      </w:r>
    </w:p>
    <w:p w:rsidR="00000000" w:rsidRDefault="009012B9">
      <w:pPr>
        <w:ind w:hanging="480"/>
        <w:divId w:val="926426230"/>
        <w:rPr>
          <w:rFonts w:eastAsia="Times New Roman"/>
        </w:rPr>
      </w:pPr>
      <w:r>
        <w:rPr>
          <w:rFonts w:eastAsia="Times New Roman"/>
          <w:color w:val="000000"/>
          <w:sz w:val="20"/>
          <w:szCs w:val="20"/>
        </w:rPr>
        <w:t>•a court prohibiting us from developing, manufacturing, marketing or selling our product candidates, or from us</w:t>
      </w:r>
      <w:r>
        <w:rPr>
          <w:rFonts w:eastAsia="Times New Roman"/>
          <w:color w:val="000000"/>
          <w:sz w:val="20"/>
          <w:szCs w:val="20"/>
        </w:rPr>
        <w:t>ing our proprietary technologies, unless the third-party licenses its product rights to us, which it is not required to do;</w:t>
      </w:r>
    </w:p>
    <w:p w:rsidR="00000000" w:rsidRDefault="009012B9">
      <w:pPr>
        <w:ind w:hanging="480"/>
        <w:divId w:val="1606037254"/>
        <w:rPr>
          <w:rFonts w:eastAsia="Times New Roman"/>
        </w:rPr>
      </w:pPr>
      <w:r>
        <w:rPr>
          <w:rFonts w:eastAsia="Times New Roman"/>
          <w:color w:val="000000"/>
          <w:sz w:val="20"/>
          <w:szCs w:val="20"/>
        </w:rPr>
        <w:t>•if a license is available from a third-party, we may have to pay substantial royalties, upfront fees and other amounts, and/or gran</w:t>
      </w:r>
      <w:r>
        <w:rPr>
          <w:rFonts w:eastAsia="Times New Roman"/>
          <w:color w:val="000000"/>
          <w:sz w:val="20"/>
          <w:szCs w:val="20"/>
        </w:rPr>
        <w:t>t cross-licenses to intellectual property rights for our products and any license that is available may be non-exclusive, which could result in our competitors gaining access to the same intellectual property; and</w:t>
      </w:r>
    </w:p>
    <w:p w:rsidR="00000000" w:rsidRDefault="009012B9">
      <w:pPr>
        <w:ind w:hanging="480"/>
        <w:divId w:val="261768407"/>
        <w:rPr>
          <w:rFonts w:eastAsia="Times New Roman"/>
        </w:rPr>
      </w:pPr>
      <w:r>
        <w:rPr>
          <w:rFonts w:eastAsia="Times New Roman"/>
          <w:color w:val="000000"/>
          <w:sz w:val="20"/>
          <w:szCs w:val="20"/>
        </w:rPr>
        <w:t>•redesigning our product candidates or pro</w:t>
      </w:r>
      <w:r>
        <w:rPr>
          <w:rFonts w:eastAsia="Times New Roman"/>
          <w:color w:val="000000"/>
          <w:sz w:val="20"/>
          <w:szCs w:val="20"/>
        </w:rPr>
        <w:t>cesses so they do not infringe, which may not be possible or may require substantial monetary expenditures and time.</w:t>
      </w:r>
    </w:p>
    <w:p w:rsidR="00000000" w:rsidRDefault="009012B9">
      <w:pPr>
        <w:ind w:firstLine="482"/>
        <w:divId w:val="2090273152"/>
        <w:rPr>
          <w:rFonts w:eastAsia="Times New Roman"/>
        </w:rPr>
      </w:pPr>
      <w:r>
        <w:rPr>
          <w:rFonts w:eastAsia="Times New Roman"/>
          <w:color w:val="000000"/>
          <w:sz w:val="20"/>
          <w:szCs w:val="20"/>
        </w:rPr>
        <w:t>Some of our competitors may be able to sustain the costs of complex patent litigation more effectively than we can because they have substa</w:t>
      </w:r>
      <w:r>
        <w:rPr>
          <w:rFonts w:eastAsia="Times New Roman"/>
          <w:color w:val="000000"/>
          <w:sz w:val="20"/>
          <w:szCs w:val="20"/>
        </w:rPr>
        <w:t>ntially greater resources. In addition, any uncertainties resulting from the initiation and continuation of any litigation could have a material adverse effect on our ability to raise the funds necessary to continue our operations or could otherwise have a</w:t>
      </w:r>
      <w:r>
        <w:rPr>
          <w:rFonts w:eastAsia="Times New Roman"/>
          <w:color w:val="000000"/>
          <w:sz w:val="20"/>
          <w:szCs w:val="20"/>
        </w:rPr>
        <w:t xml:space="preserve"> material adverse effect on our business, results of operations, financial condition, and prospects. Furthermore, because of the substantial amount of discovery required in connection with intellectual property litigation or administrative proceedings, the</w:t>
      </w:r>
      <w:r>
        <w:rPr>
          <w:rFonts w:eastAsia="Times New Roman"/>
          <w:color w:val="000000"/>
          <w:sz w:val="20"/>
          <w:szCs w:val="20"/>
        </w:rPr>
        <w:t>re is a risk that some of our confidential information could be compromised by disclosure.</w:t>
      </w:r>
    </w:p>
    <w:p w:rsidR="00000000" w:rsidRDefault="009012B9">
      <w:pPr>
        <w:divId w:val="2136753695"/>
        <w:rPr>
          <w:rFonts w:eastAsia="Times New Roman"/>
        </w:rPr>
      </w:pPr>
      <w:r>
        <w:rPr>
          <w:rFonts w:eastAsia="Times New Roman"/>
          <w:b/>
          <w:bCs/>
          <w:i/>
          <w:iCs/>
          <w:color w:val="000000"/>
          <w:sz w:val="20"/>
          <w:szCs w:val="20"/>
        </w:rPr>
        <w:t>Our collaborators may assert ownership or commercial rights to inventions they develop from research we support or that we develop from our use of the tissue samples</w:t>
      </w:r>
      <w:r>
        <w:rPr>
          <w:rFonts w:eastAsia="Times New Roman"/>
          <w:b/>
          <w:bCs/>
          <w:i/>
          <w:iCs/>
          <w:color w:val="000000"/>
          <w:sz w:val="20"/>
          <w:szCs w:val="20"/>
        </w:rPr>
        <w:t xml:space="preserve"> or other biological materials, which they provide to us, or otherwise arising from the collaboration.</w:t>
      </w:r>
    </w:p>
    <w:p w:rsidR="00000000" w:rsidRDefault="009012B9">
      <w:pPr>
        <w:ind w:firstLine="482"/>
        <w:divId w:val="738402389"/>
        <w:rPr>
          <w:rFonts w:eastAsia="Times New Roman"/>
        </w:rPr>
      </w:pPr>
      <w:r>
        <w:rPr>
          <w:rFonts w:eastAsia="Times New Roman"/>
          <w:color w:val="000000"/>
          <w:sz w:val="20"/>
          <w:szCs w:val="20"/>
        </w:rPr>
        <w:t>We collaborate with several institutions, universities, medical centers, physicians, and researchers in scientific matters and expect to continue to ente</w:t>
      </w:r>
      <w:r>
        <w:rPr>
          <w:rFonts w:eastAsia="Times New Roman"/>
          <w:color w:val="000000"/>
          <w:sz w:val="20"/>
          <w:szCs w:val="20"/>
        </w:rPr>
        <w:t>r into additional collaboration agreements. In certain cases, we do not have written agreements with these collaborators, or the written agreements we have do not cover intellectual property rights. Also, we rely on numerous third parties to provide us wit</w:t>
      </w:r>
      <w:r>
        <w:rPr>
          <w:rFonts w:eastAsia="Times New Roman"/>
          <w:color w:val="000000"/>
          <w:sz w:val="20"/>
          <w:szCs w:val="20"/>
        </w:rPr>
        <w:t>h tissue samples and biological materials that we use to conduct our research activities and develop our product candidates. If we cannot successfully negotiate sufficient ownership and commercial rights to any inventions that result from our use of a thir</w:t>
      </w:r>
      <w:r>
        <w:rPr>
          <w:rFonts w:eastAsia="Times New Roman"/>
          <w:color w:val="000000"/>
          <w:sz w:val="20"/>
          <w:szCs w:val="20"/>
        </w:rPr>
        <w:t>d-party collaborator’s materials, or if disputes arise with respect to the intellectual property developed with the use of a collaborator’s samples, or data developed in a collaborator’s study, we may be limited in our ability to capitalize on the market p</w:t>
      </w:r>
      <w:r>
        <w:rPr>
          <w:rFonts w:eastAsia="Times New Roman"/>
          <w:color w:val="000000"/>
          <w:sz w:val="20"/>
          <w:szCs w:val="20"/>
        </w:rPr>
        <w:t>otential of these inventions or developments.</w:t>
      </w:r>
    </w:p>
    <w:p w:rsidR="00000000" w:rsidRDefault="009012B9">
      <w:pPr>
        <w:divId w:val="1835493822"/>
        <w:rPr>
          <w:rFonts w:eastAsia="Times New Roman"/>
        </w:rPr>
      </w:pPr>
      <w:r>
        <w:rPr>
          <w:rFonts w:eastAsia="Times New Roman"/>
          <w:b/>
          <w:bCs/>
          <w:i/>
          <w:iCs/>
          <w:color w:val="000000"/>
          <w:sz w:val="20"/>
          <w:szCs w:val="20"/>
        </w:rPr>
        <w:t>Third parties may assert that we are employing their proprietary technology without authorization.</w:t>
      </w:r>
    </w:p>
    <w:p w:rsidR="00000000" w:rsidRDefault="009012B9">
      <w:pPr>
        <w:ind w:firstLine="482"/>
        <w:divId w:val="1123890209"/>
        <w:rPr>
          <w:rFonts w:eastAsia="Times New Roman"/>
        </w:rPr>
      </w:pPr>
      <w:r>
        <w:rPr>
          <w:rFonts w:eastAsia="Times New Roman"/>
          <w:color w:val="000000"/>
          <w:sz w:val="20"/>
          <w:szCs w:val="20"/>
        </w:rPr>
        <w:t>There may be third-party patents of which we are currently unaware with claims to compositions of matter, mater</w:t>
      </w:r>
      <w:r>
        <w:rPr>
          <w:rFonts w:eastAsia="Times New Roman"/>
          <w:color w:val="000000"/>
          <w:sz w:val="20"/>
          <w:szCs w:val="20"/>
        </w:rPr>
        <w:t>ials, formulations, methods of manufacture or methods for treatment that encompass the composition, use or manufacture of our product candidates. There may be currently pending patent applications of which we are currently unaware which may later result in</w:t>
      </w:r>
      <w:r>
        <w:rPr>
          <w:rFonts w:eastAsia="Times New Roman"/>
          <w:color w:val="000000"/>
          <w:sz w:val="20"/>
          <w:szCs w:val="20"/>
        </w:rPr>
        <w:t xml:space="preserve"> issued patents that our product candidates or their use or manufacture may infringe. In addition, third parties may obtain patents in the future and claim that use of our technologies infringes upon these patents. If any third-party patent were held by a </w:t>
      </w:r>
      <w:r>
        <w:rPr>
          <w:rFonts w:eastAsia="Times New Roman"/>
          <w:color w:val="000000"/>
          <w:sz w:val="20"/>
          <w:szCs w:val="20"/>
        </w:rPr>
        <w:t xml:space="preserve">court of competent jurisdiction to cover our product candidates, intermediates used in the manufacture of our product candidates or our materials generally, aspects of our formulations or methods of use, the holders of any such patent may be able to block </w:t>
      </w:r>
      <w:r>
        <w:rPr>
          <w:rFonts w:eastAsia="Times New Roman"/>
          <w:color w:val="000000"/>
          <w:sz w:val="20"/>
          <w:szCs w:val="20"/>
        </w:rPr>
        <w:t>our ability to develop and commercialize the product candidate unless we obtained a license or until such patent expires or is finally determined to be held invalid or unenforceable. In either case, such a license may not be available on commercially reaso</w:t>
      </w:r>
      <w:r>
        <w:rPr>
          <w:rFonts w:eastAsia="Times New Roman"/>
          <w:color w:val="000000"/>
          <w:sz w:val="20"/>
          <w:szCs w:val="20"/>
        </w:rPr>
        <w:t>nable terms or at all. If we are unable to obtain a necessary license to a third-party patent on commercially reasonable terms, or at all, our ability to commercialize our product candidates may be impaired or delayed, which could in turn significantly har</w:t>
      </w:r>
      <w:r>
        <w:rPr>
          <w:rFonts w:eastAsia="Times New Roman"/>
          <w:color w:val="000000"/>
          <w:sz w:val="20"/>
          <w:szCs w:val="20"/>
        </w:rPr>
        <w:t>m our business. Even if we obtain a license, it may be non-exclusive, thereby giving our competitors access to the same technologies licensed to us. In addition, if the breadth or strength of protection provided by our patents and patent applications is th</w:t>
      </w:r>
      <w:r>
        <w:rPr>
          <w:rFonts w:eastAsia="Times New Roman"/>
          <w:color w:val="000000"/>
          <w:sz w:val="20"/>
          <w:szCs w:val="20"/>
        </w:rPr>
        <w:t>reatened, it could dissuade companies from collaborating with us to license, develop or commercialize current or future product candidates.</w:t>
      </w:r>
    </w:p>
    <w:p w:rsidR="00000000" w:rsidRDefault="009012B9">
      <w:pPr>
        <w:ind w:firstLine="482"/>
        <w:divId w:val="1667783375"/>
        <w:rPr>
          <w:rFonts w:eastAsia="Times New Roman"/>
        </w:rPr>
      </w:pPr>
      <w:r>
        <w:rPr>
          <w:rFonts w:eastAsia="Times New Roman"/>
          <w:color w:val="000000"/>
          <w:sz w:val="20"/>
          <w:szCs w:val="20"/>
        </w:rPr>
        <w:t>Parties making claims against us may seek and obtain injunctive or other equitable relief, which could effectively b</w:t>
      </w:r>
      <w:r>
        <w:rPr>
          <w:rFonts w:eastAsia="Times New Roman"/>
          <w:color w:val="000000"/>
          <w:sz w:val="20"/>
          <w:szCs w:val="20"/>
        </w:rPr>
        <w:t xml:space="preserve">lock our ability to further develop and commercialize our product candidates. Defense of these claims, regardless of their merit, would involve substantial litigation expense and would be a substantial diversion of employee resources from our business. In </w:t>
      </w:r>
      <w:r>
        <w:rPr>
          <w:rFonts w:eastAsia="Times New Roman"/>
          <w:color w:val="000000"/>
          <w:sz w:val="20"/>
          <w:szCs w:val="20"/>
        </w:rPr>
        <w:t xml:space="preserve">the event of a successful claim of infringement against us, we may have to pay substantial damages, including treble damages and attorneys’ fees for willful infringement, obtain one or more licenses from third parties, pay royalties, or redesign our </w:t>
      </w:r>
    </w:p>
    <w:p w:rsidR="00000000" w:rsidRDefault="009012B9">
      <w:pPr>
        <w:jc w:val="center"/>
        <w:divId w:val="1246723631"/>
        <w:rPr>
          <w:rFonts w:eastAsia="Times New Roman"/>
        </w:rPr>
      </w:pPr>
      <w:r>
        <w:rPr>
          <w:rFonts w:eastAsia="Times New Roman"/>
          <w:color w:val="000000"/>
          <w:sz w:val="20"/>
          <w:szCs w:val="20"/>
        </w:rPr>
        <w:t>56</w:t>
      </w:r>
    </w:p>
    <w:p w:rsidR="00000000" w:rsidRDefault="009012B9">
      <w:pPr>
        <w:rPr>
          <w:rFonts w:eastAsia="Times New Roman"/>
        </w:rPr>
      </w:pPr>
      <w:r>
        <w:rPr>
          <w:rFonts w:eastAsia="Times New Roman"/>
        </w:rPr>
        <w:pict>
          <v:rect id="_x0000_i1080" style="width:0;height:1.5pt" o:hralign="center" o:hrstd="t" o:hr="t" fillcolor="#a0a0a0" stroked="f"/>
        </w:pict>
      </w:r>
    </w:p>
    <w:p w:rsidR="00000000" w:rsidRDefault="009012B9">
      <w:pPr>
        <w:divId w:val="399602532"/>
        <w:rPr>
          <w:rFonts w:eastAsia="Times New Roman"/>
        </w:rPr>
      </w:pPr>
    </w:p>
    <w:p w:rsidR="00000000" w:rsidRDefault="009012B9">
      <w:pPr>
        <w:divId w:val="607853408"/>
        <w:rPr>
          <w:rFonts w:eastAsia="Times New Roman"/>
        </w:rPr>
      </w:pPr>
      <w:r>
        <w:rPr>
          <w:rFonts w:eastAsia="Times New Roman"/>
          <w:color w:val="000000"/>
          <w:sz w:val="20"/>
          <w:szCs w:val="20"/>
        </w:rPr>
        <w:t>infringing products, which may be impossible or require substantial time and monetary expenditure. We cannot predict whether any such license would be available at all or whether it would be available on commercially rea</w:t>
      </w:r>
      <w:r>
        <w:rPr>
          <w:rFonts w:eastAsia="Times New Roman"/>
          <w:color w:val="000000"/>
          <w:sz w:val="20"/>
          <w:szCs w:val="20"/>
        </w:rPr>
        <w:t xml:space="preserve">sonable terms. Furthermore, even in the absence of litigation, we may need to obtain licenses from third parties to advance our research or allow commercialization of our product candidates. We may fail to obtain any of these licenses at a reasonable cost </w:t>
      </w:r>
      <w:r>
        <w:rPr>
          <w:rFonts w:eastAsia="Times New Roman"/>
          <w:color w:val="000000"/>
          <w:sz w:val="20"/>
          <w:szCs w:val="20"/>
        </w:rPr>
        <w:t>or on reasonable terms, if at all. In that event, we would be unable to further develop and commercialize our product candidates, which could harm our business significantly.</w:t>
      </w:r>
    </w:p>
    <w:p w:rsidR="00000000" w:rsidRDefault="009012B9">
      <w:pPr>
        <w:divId w:val="842621103"/>
        <w:rPr>
          <w:rFonts w:eastAsia="Times New Roman"/>
        </w:rPr>
      </w:pPr>
      <w:r>
        <w:rPr>
          <w:rFonts w:eastAsia="Times New Roman"/>
          <w:b/>
          <w:bCs/>
          <w:i/>
          <w:iCs/>
          <w:color w:val="000000"/>
          <w:sz w:val="20"/>
          <w:szCs w:val="20"/>
        </w:rPr>
        <w:t>Third parties may assert that our employees or consultants have wrongfully used o</w:t>
      </w:r>
      <w:r>
        <w:rPr>
          <w:rFonts w:eastAsia="Times New Roman"/>
          <w:b/>
          <w:bCs/>
          <w:i/>
          <w:iCs/>
          <w:color w:val="000000"/>
          <w:sz w:val="20"/>
          <w:szCs w:val="20"/>
        </w:rPr>
        <w:t>r disclosed confidential information or misappropriated trade secrets.</w:t>
      </w:r>
    </w:p>
    <w:p w:rsidR="00000000" w:rsidRDefault="009012B9">
      <w:pPr>
        <w:ind w:firstLine="482"/>
        <w:divId w:val="1288506811"/>
        <w:rPr>
          <w:rFonts w:eastAsia="Times New Roman"/>
        </w:rPr>
      </w:pPr>
      <w:r>
        <w:rPr>
          <w:rFonts w:eastAsia="Times New Roman"/>
          <w:color w:val="000000"/>
          <w:sz w:val="20"/>
          <w:szCs w:val="20"/>
        </w:rPr>
        <w:t>As is common in the biotechnology and biopharmaceutical industries, we employ individuals who were previously employed at universities or other biotechnology or biopharmaceutical compan</w:t>
      </w:r>
      <w:r>
        <w:rPr>
          <w:rFonts w:eastAsia="Times New Roman"/>
          <w:color w:val="000000"/>
          <w:sz w:val="20"/>
          <w:szCs w:val="20"/>
        </w:rPr>
        <w:t>ies, including our competitors or potential competitors. Although no claims against us are currently pending, and although we try to ensure that our employees and consultants do not use the proprietary information or know-how of others in their work for us</w:t>
      </w:r>
      <w:r>
        <w:rPr>
          <w:rFonts w:eastAsia="Times New Roman"/>
          <w:color w:val="000000"/>
          <w:sz w:val="20"/>
          <w:szCs w:val="20"/>
        </w:rPr>
        <w:t xml:space="preserve">, we may be subject to claims that we or our employees, consultants or independent contractors have inadvertently or otherwise used or disclosed intellectual property, including trade secrets or other proprietary information, of a former employer or other </w:t>
      </w:r>
      <w:r>
        <w:rPr>
          <w:rFonts w:eastAsia="Times New Roman"/>
          <w:color w:val="000000"/>
          <w:sz w:val="20"/>
          <w:szCs w:val="20"/>
        </w:rPr>
        <w:t>third parties. Litigation may be necessary to defend against these claims. If we fail in defending any such claims, in addition to paying monetary damages, we may lose valuable intellectual property rights or personnel. Even if we are successful in defendi</w:t>
      </w:r>
      <w:r>
        <w:rPr>
          <w:rFonts w:eastAsia="Times New Roman"/>
          <w:color w:val="000000"/>
          <w:sz w:val="20"/>
          <w:szCs w:val="20"/>
        </w:rPr>
        <w:t>ng against such claims, litigation or other legal proceedings relating to intellectual property claims may cause us to incur significant expenses and could distract our technical and management personnel from their normal responsibilities. In addition, the</w:t>
      </w:r>
      <w:r>
        <w:rPr>
          <w:rFonts w:eastAsia="Times New Roman"/>
          <w:color w:val="000000"/>
          <w:sz w:val="20"/>
          <w:szCs w:val="20"/>
        </w:rPr>
        <w:t>re could be public announcements of the results of hearings, motions or other interim proceedings or developments, and, if securities analysts or investors perceive these results to be negative, it could have a substantial adverse effect on the price of ou</w:t>
      </w:r>
      <w:r>
        <w:rPr>
          <w:rFonts w:eastAsia="Times New Roman"/>
          <w:color w:val="000000"/>
          <w:sz w:val="20"/>
          <w:szCs w:val="20"/>
        </w:rPr>
        <w:t>r common stock. This type of litigation or proceeding could substantially increase our operating losses and reduce our resources available for development activities. We may not have sufficient financial or other resources to adequately conduct such litiga</w:t>
      </w:r>
      <w:r>
        <w:rPr>
          <w:rFonts w:eastAsia="Times New Roman"/>
          <w:color w:val="000000"/>
          <w:sz w:val="20"/>
          <w:szCs w:val="20"/>
        </w:rPr>
        <w:t>tion or proceedings. Some of our competitors may be able to sustain the costs of such litigation or proceedings more effectively than we can because of their substantially greater financial resources. Uncertainties resulting from the initiation and continu</w:t>
      </w:r>
      <w:r>
        <w:rPr>
          <w:rFonts w:eastAsia="Times New Roman"/>
          <w:color w:val="000000"/>
          <w:sz w:val="20"/>
          <w:szCs w:val="20"/>
        </w:rPr>
        <w:t>ation of patent litigation or other intellectual property related proceedings could adversely affect our ability to compete in the marketplace.</w:t>
      </w:r>
    </w:p>
    <w:p w:rsidR="00000000" w:rsidRDefault="009012B9">
      <w:pPr>
        <w:divId w:val="1312633531"/>
        <w:rPr>
          <w:rFonts w:eastAsia="Times New Roman"/>
        </w:rPr>
      </w:pPr>
      <w:r>
        <w:rPr>
          <w:rFonts w:eastAsia="Times New Roman"/>
          <w:b/>
          <w:bCs/>
          <w:i/>
          <w:iCs/>
          <w:color w:val="000000"/>
          <w:sz w:val="20"/>
          <w:szCs w:val="20"/>
        </w:rPr>
        <w:t>We may not be successful in obtaining or maintaining necessary rights to develop any future product candidates o</w:t>
      </w:r>
      <w:r>
        <w:rPr>
          <w:rFonts w:eastAsia="Times New Roman"/>
          <w:b/>
          <w:bCs/>
          <w:i/>
          <w:iCs/>
          <w:color w:val="000000"/>
          <w:sz w:val="20"/>
          <w:szCs w:val="20"/>
        </w:rPr>
        <w:t>n acceptable terms.</w:t>
      </w:r>
    </w:p>
    <w:p w:rsidR="00000000" w:rsidRDefault="009012B9">
      <w:pPr>
        <w:ind w:firstLine="495"/>
        <w:divId w:val="1082724927"/>
        <w:rPr>
          <w:rFonts w:eastAsia="Times New Roman"/>
        </w:rPr>
      </w:pPr>
      <w:r>
        <w:rPr>
          <w:rFonts w:eastAsia="Times New Roman"/>
          <w:color w:val="000000"/>
          <w:sz w:val="20"/>
          <w:szCs w:val="20"/>
        </w:rPr>
        <w:t>Because our programs may involve additional product candidates that may require the use of proprietary rights held by third parties, the growth of our business may depend in part on our ability to acquire, in-license or use these propri</w:t>
      </w:r>
      <w:r>
        <w:rPr>
          <w:rFonts w:eastAsia="Times New Roman"/>
          <w:color w:val="000000"/>
          <w:sz w:val="20"/>
          <w:szCs w:val="20"/>
        </w:rPr>
        <w:t>etary rights.</w:t>
      </w:r>
    </w:p>
    <w:p w:rsidR="00000000" w:rsidRDefault="009012B9">
      <w:pPr>
        <w:ind w:firstLine="495"/>
        <w:divId w:val="137453941"/>
        <w:rPr>
          <w:rFonts w:eastAsia="Times New Roman"/>
        </w:rPr>
      </w:pPr>
      <w:r>
        <w:rPr>
          <w:rFonts w:eastAsia="Times New Roman"/>
          <w:color w:val="000000"/>
          <w:sz w:val="20"/>
          <w:szCs w:val="20"/>
        </w:rPr>
        <w:t>Our product candidates may also require specific formulations to work effectively and efficiently, and these rights may be held by others. We may develop products containing our compounds and pre-existing biopharmaceutical compounds. We may b</w:t>
      </w:r>
      <w:r>
        <w:rPr>
          <w:rFonts w:eastAsia="Times New Roman"/>
          <w:color w:val="000000"/>
          <w:sz w:val="20"/>
          <w:szCs w:val="20"/>
        </w:rPr>
        <w:t>e unable to acquire or in-license any compositions, methods of use, processes, or other third-party intellectual property rights from third parties that we identify as necessary or important to our business operations. We may fail to obtain any of these li</w:t>
      </w:r>
      <w:r>
        <w:rPr>
          <w:rFonts w:eastAsia="Times New Roman"/>
          <w:color w:val="000000"/>
          <w:sz w:val="20"/>
          <w:szCs w:val="20"/>
        </w:rPr>
        <w:t>censes at a reasonable cost or on reasonable terms, if at all, which would harm our business. We may need to cease use of the compositions or methods covered by such third-party intellectual property rights and may need to seek to develop alternative appro</w:t>
      </w:r>
      <w:r>
        <w:rPr>
          <w:rFonts w:eastAsia="Times New Roman"/>
          <w:color w:val="000000"/>
          <w:sz w:val="20"/>
          <w:szCs w:val="20"/>
        </w:rPr>
        <w:t>aches that do not infringe on such intellectual property rights which may entail additional costs and development delays, even if we were able to develop such alternatives, which may not be feasible. Even if we are able to obtain a license, it may be non-e</w:t>
      </w:r>
      <w:r>
        <w:rPr>
          <w:rFonts w:eastAsia="Times New Roman"/>
          <w:color w:val="000000"/>
          <w:sz w:val="20"/>
          <w:szCs w:val="20"/>
        </w:rPr>
        <w:t>xclusive, thereby giving our competitors access to the same technologies licensed to us. In that event, we may be required to expend significant time and resources to develop or license replacement technology.</w:t>
      </w:r>
    </w:p>
    <w:p w:rsidR="00000000" w:rsidRDefault="009012B9">
      <w:pPr>
        <w:ind w:firstLine="495"/>
        <w:divId w:val="1599406506"/>
        <w:rPr>
          <w:rFonts w:eastAsia="Times New Roman"/>
        </w:rPr>
      </w:pPr>
      <w:r>
        <w:rPr>
          <w:rFonts w:eastAsia="Times New Roman"/>
          <w:color w:val="000000"/>
          <w:sz w:val="20"/>
          <w:szCs w:val="20"/>
        </w:rPr>
        <w:t>Additionally, we sometimes collaborate with ac</w:t>
      </w:r>
      <w:r>
        <w:rPr>
          <w:rFonts w:eastAsia="Times New Roman"/>
          <w:color w:val="000000"/>
          <w:sz w:val="20"/>
          <w:szCs w:val="20"/>
        </w:rPr>
        <w:t>ademic institutions to accelerate our preclinical research or development under written agreements with these institutions. In certain cases, these institutions provide us with an option to negotiate a license to any of the institution’s rights in technolo</w:t>
      </w:r>
      <w:r>
        <w:rPr>
          <w:rFonts w:eastAsia="Times New Roman"/>
          <w:color w:val="000000"/>
          <w:sz w:val="20"/>
          <w:szCs w:val="20"/>
        </w:rPr>
        <w:t xml:space="preserve">gy resulting from the collaboration. Regardless of such option, we may be unable to negotiate a license within the specified timeframe or under terms that are acceptable to us. If we are unable to do so, the institution may offer the intellectual property </w:t>
      </w:r>
      <w:r>
        <w:rPr>
          <w:rFonts w:eastAsia="Times New Roman"/>
          <w:color w:val="000000"/>
          <w:sz w:val="20"/>
          <w:szCs w:val="20"/>
        </w:rPr>
        <w:t xml:space="preserve">rights to others, potentially blocking our ability to pursue our program. If we are unable to successfully obtain rights to required third-party intellectual property or to maintain the existing intellectual property rights we have, we may have to abandon </w:t>
      </w:r>
      <w:r>
        <w:rPr>
          <w:rFonts w:eastAsia="Times New Roman"/>
          <w:color w:val="000000"/>
          <w:sz w:val="20"/>
          <w:szCs w:val="20"/>
        </w:rPr>
        <w:t>development of such program and our business and financial condition could suffer.</w:t>
      </w:r>
    </w:p>
    <w:p w:rsidR="00000000" w:rsidRDefault="009012B9">
      <w:pPr>
        <w:ind w:firstLine="482"/>
        <w:divId w:val="1736732378"/>
        <w:rPr>
          <w:rFonts w:eastAsia="Times New Roman"/>
        </w:rPr>
      </w:pPr>
      <w:r>
        <w:rPr>
          <w:rFonts w:eastAsia="Times New Roman"/>
          <w:color w:val="000000"/>
          <w:sz w:val="20"/>
          <w:szCs w:val="20"/>
        </w:rPr>
        <w:t>The licensing and acquisition of third-party intellectual property rights is a competitive area, and companies, which may be more established, or have greater resources than</w:t>
      </w:r>
      <w:r>
        <w:rPr>
          <w:rFonts w:eastAsia="Times New Roman"/>
          <w:color w:val="000000"/>
          <w:sz w:val="20"/>
          <w:szCs w:val="20"/>
        </w:rPr>
        <w:t xml:space="preserve"> we do, may also be pursuing strategies to license or acquire third-party intellectual property rights that we may consider necessary or attractive in order to commercialize our product candidates. More established companies may have a competitive advantag</w:t>
      </w:r>
      <w:r>
        <w:rPr>
          <w:rFonts w:eastAsia="Times New Roman"/>
          <w:color w:val="000000"/>
          <w:sz w:val="20"/>
          <w:szCs w:val="20"/>
        </w:rPr>
        <w:t>e over us due to their size, cash resources and greater clinical development and commercialization capabilities. There can be no assurance that we will be able to successfully complete such negotiations and ultimately acquire the rights to the intellectual</w:t>
      </w:r>
      <w:r>
        <w:rPr>
          <w:rFonts w:eastAsia="Times New Roman"/>
          <w:color w:val="000000"/>
          <w:sz w:val="20"/>
          <w:szCs w:val="20"/>
        </w:rPr>
        <w:t xml:space="preserve"> property surrounding the additional product candidates that we may seek to acquire.</w:t>
      </w:r>
    </w:p>
    <w:p w:rsidR="00000000" w:rsidRDefault="009012B9">
      <w:pPr>
        <w:jc w:val="center"/>
        <w:divId w:val="1337421756"/>
        <w:rPr>
          <w:rFonts w:eastAsia="Times New Roman"/>
        </w:rPr>
      </w:pPr>
      <w:r>
        <w:rPr>
          <w:rFonts w:eastAsia="Times New Roman"/>
          <w:color w:val="000000"/>
          <w:sz w:val="20"/>
          <w:szCs w:val="20"/>
        </w:rPr>
        <w:t>57</w:t>
      </w:r>
    </w:p>
    <w:p w:rsidR="00000000" w:rsidRDefault="009012B9">
      <w:pPr>
        <w:rPr>
          <w:rFonts w:eastAsia="Times New Roman"/>
        </w:rPr>
      </w:pPr>
      <w:r>
        <w:rPr>
          <w:rFonts w:eastAsia="Times New Roman"/>
        </w:rPr>
        <w:pict>
          <v:rect id="_x0000_i1081" style="width:0;height:1.5pt" o:hralign="center" o:hrstd="t" o:hr="t" fillcolor="#a0a0a0" stroked="f"/>
        </w:pict>
      </w:r>
    </w:p>
    <w:p w:rsidR="00000000" w:rsidRDefault="009012B9">
      <w:pPr>
        <w:divId w:val="435177020"/>
        <w:rPr>
          <w:rFonts w:eastAsia="Times New Roman"/>
        </w:rPr>
      </w:pPr>
    </w:p>
    <w:p w:rsidR="00000000" w:rsidRDefault="009012B9">
      <w:pPr>
        <w:divId w:val="761803152"/>
        <w:rPr>
          <w:rFonts w:eastAsia="Times New Roman"/>
        </w:rPr>
      </w:pPr>
      <w:r>
        <w:rPr>
          <w:rFonts w:eastAsia="Times New Roman"/>
          <w:b/>
          <w:bCs/>
          <w:i/>
          <w:iCs/>
          <w:color w:val="000000"/>
          <w:sz w:val="20"/>
          <w:szCs w:val="20"/>
        </w:rPr>
        <w:t>We may be involved in lawsuits to protect or enforce our patents or the patents of our licensors, which could be expensive, time-consuming and unsuccessful.</w:t>
      </w:r>
    </w:p>
    <w:p w:rsidR="00000000" w:rsidRDefault="009012B9">
      <w:pPr>
        <w:ind w:firstLine="482"/>
        <w:divId w:val="1826896360"/>
        <w:rPr>
          <w:rFonts w:eastAsia="Times New Roman"/>
        </w:rPr>
      </w:pPr>
      <w:r>
        <w:rPr>
          <w:rFonts w:eastAsia="Times New Roman"/>
          <w:color w:val="000000"/>
          <w:sz w:val="20"/>
          <w:szCs w:val="20"/>
        </w:rPr>
        <w:t xml:space="preserve">Competitors may infringe our patents or the patents of our current or future licensors. To counter </w:t>
      </w:r>
      <w:r>
        <w:rPr>
          <w:rFonts w:eastAsia="Times New Roman"/>
          <w:color w:val="000000"/>
          <w:sz w:val="20"/>
          <w:szCs w:val="20"/>
        </w:rPr>
        <w:t xml:space="preserve">infringement or unauthorized use, we may be required to file infringement claims, which can be expensive and time-consuming. In addition, in an infringement proceeding, a court may decide that one or more of our patents is not valid or is unenforceable or </w:t>
      </w:r>
      <w:r>
        <w:rPr>
          <w:rFonts w:eastAsia="Times New Roman"/>
          <w:color w:val="000000"/>
          <w:sz w:val="20"/>
          <w:szCs w:val="20"/>
        </w:rPr>
        <w:t>may refuse to stop the other party from using the technology at issue on the grounds that our patents do not cover the technology in question or for other reasons. An adverse result in any litigation or defense proceedings could put one or more of our pate</w:t>
      </w:r>
      <w:r>
        <w:rPr>
          <w:rFonts w:eastAsia="Times New Roman"/>
          <w:color w:val="000000"/>
          <w:sz w:val="20"/>
          <w:szCs w:val="20"/>
        </w:rPr>
        <w:t>nts at risk of being invalidated, held unenforceable, or interpreted narrowly and could put our patent applications at risk of not issuing. Defense of these claims, regardless of their merit, would involve substantial litigation expense and would be a subs</w:t>
      </w:r>
      <w:r>
        <w:rPr>
          <w:rFonts w:eastAsia="Times New Roman"/>
          <w:color w:val="000000"/>
          <w:sz w:val="20"/>
          <w:szCs w:val="20"/>
        </w:rPr>
        <w:t>tantial diversion of employee resources from our business.</w:t>
      </w:r>
    </w:p>
    <w:p w:rsidR="00000000" w:rsidRDefault="009012B9">
      <w:pPr>
        <w:ind w:firstLine="482"/>
        <w:divId w:val="106002358"/>
        <w:rPr>
          <w:rFonts w:eastAsia="Times New Roman"/>
        </w:rPr>
      </w:pPr>
      <w:r>
        <w:rPr>
          <w:rFonts w:eastAsia="Times New Roman"/>
          <w:color w:val="000000"/>
          <w:sz w:val="20"/>
          <w:szCs w:val="20"/>
        </w:rPr>
        <w:t xml:space="preserve">We may choose to challenge the patentability of claims in a third-party’s U.S. patent by requesting that the USPTO review the patent claims in an </w:t>
      </w:r>
      <w:r>
        <w:rPr>
          <w:rFonts w:eastAsia="Times New Roman"/>
          <w:i/>
          <w:iCs/>
          <w:color w:val="000000"/>
          <w:sz w:val="20"/>
          <w:szCs w:val="20"/>
        </w:rPr>
        <w:t xml:space="preserve">ex-parte </w:t>
      </w:r>
      <w:r>
        <w:rPr>
          <w:rFonts w:eastAsia="Times New Roman"/>
          <w:color w:val="000000"/>
          <w:sz w:val="20"/>
          <w:szCs w:val="20"/>
        </w:rPr>
        <w:t>re-examination,</w:t>
      </w:r>
      <w:r>
        <w:rPr>
          <w:rFonts w:eastAsia="Times New Roman"/>
          <w:i/>
          <w:iCs/>
          <w:color w:val="000000"/>
          <w:sz w:val="20"/>
          <w:szCs w:val="20"/>
        </w:rPr>
        <w:t xml:space="preserve"> inter partes </w:t>
      </w:r>
      <w:r>
        <w:rPr>
          <w:rFonts w:eastAsia="Times New Roman"/>
          <w:color w:val="000000"/>
          <w:sz w:val="20"/>
          <w:szCs w:val="20"/>
        </w:rPr>
        <w:t>review or pos</w:t>
      </w:r>
      <w:r>
        <w:rPr>
          <w:rFonts w:eastAsia="Times New Roman"/>
          <w:color w:val="000000"/>
          <w:sz w:val="20"/>
          <w:szCs w:val="20"/>
        </w:rPr>
        <w:t>t-grant review proceedings. These proceedings are expensive and may consume our time or other resources.</w:t>
      </w:r>
      <w:r>
        <w:rPr>
          <w:rFonts w:eastAsia="Times New Roman"/>
          <w:i/>
          <w:iCs/>
          <w:color w:val="000000"/>
          <w:sz w:val="20"/>
          <w:szCs w:val="20"/>
        </w:rPr>
        <w:t xml:space="preserve"> </w:t>
      </w:r>
      <w:r>
        <w:rPr>
          <w:rFonts w:eastAsia="Times New Roman"/>
          <w:color w:val="000000"/>
          <w:sz w:val="20"/>
          <w:szCs w:val="20"/>
        </w:rPr>
        <w:t>We may choose to challenge a third-party’s patent in patent opposition proceedings in the European Patent Office, or EPO, or other foreign patent offic</w:t>
      </w:r>
      <w:r>
        <w:rPr>
          <w:rFonts w:eastAsia="Times New Roman"/>
          <w:color w:val="000000"/>
          <w:sz w:val="20"/>
          <w:szCs w:val="20"/>
        </w:rPr>
        <w:t>e.</w:t>
      </w:r>
    </w:p>
    <w:p w:rsidR="00000000" w:rsidRDefault="009012B9">
      <w:pPr>
        <w:ind w:firstLine="482"/>
        <w:divId w:val="780536359"/>
        <w:rPr>
          <w:rFonts w:eastAsia="Times New Roman"/>
        </w:rPr>
      </w:pPr>
      <w:r>
        <w:rPr>
          <w:rFonts w:eastAsia="Times New Roman"/>
          <w:color w:val="000000"/>
          <w:sz w:val="20"/>
          <w:szCs w:val="20"/>
        </w:rPr>
        <w:t>The costs of these opposition proceedings could be substantial and may consume our time or other resources. If we fail to obtain a favorable result at the USPTO, EPO or other patent office then we may be exposed to litigation by a third-party alleging that</w:t>
      </w:r>
      <w:r>
        <w:rPr>
          <w:rFonts w:eastAsia="Times New Roman"/>
          <w:color w:val="000000"/>
          <w:sz w:val="20"/>
          <w:szCs w:val="20"/>
        </w:rPr>
        <w:t xml:space="preserve"> the patent may be infringed by our product candidates or proprietary technologies.</w:t>
      </w:r>
    </w:p>
    <w:p w:rsidR="00000000" w:rsidRDefault="009012B9">
      <w:pPr>
        <w:ind w:firstLine="482"/>
        <w:divId w:val="209612515"/>
        <w:rPr>
          <w:rFonts w:eastAsia="Times New Roman"/>
        </w:rPr>
      </w:pPr>
      <w:r>
        <w:rPr>
          <w:rFonts w:eastAsia="Times New Roman"/>
          <w:color w:val="000000"/>
          <w:sz w:val="20"/>
          <w:szCs w:val="20"/>
        </w:rPr>
        <w:t>In addition, because some patent applications in the United States may be maintained in secrecy until the patents are issued, patent applications in the United States and m</w:t>
      </w:r>
      <w:r>
        <w:rPr>
          <w:rFonts w:eastAsia="Times New Roman"/>
          <w:color w:val="000000"/>
          <w:sz w:val="20"/>
          <w:szCs w:val="20"/>
        </w:rPr>
        <w:t>any foreign jurisdictions are typically not published until 18 months after filing, and publications in the scientific literature often lag behind actual discoveries, we cannot be certain that others have not filed patent applications for technology covere</w:t>
      </w:r>
      <w:r>
        <w:rPr>
          <w:rFonts w:eastAsia="Times New Roman"/>
          <w:color w:val="000000"/>
          <w:sz w:val="20"/>
          <w:szCs w:val="20"/>
        </w:rPr>
        <w:t>d by our owned and in-licensed issued patents or our pending applications, or that we or, if applicable, a licensor were the first to invent the technology. Our competitors may have filed, and may in the future file, patent applications covering our produc</w:t>
      </w:r>
      <w:r>
        <w:rPr>
          <w:rFonts w:eastAsia="Times New Roman"/>
          <w:color w:val="000000"/>
          <w:sz w:val="20"/>
          <w:szCs w:val="20"/>
        </w:rPr>
        <w:t xml:space="preserve">ts or technology similar to ours. Any such patent application may have priority over our owned and in-licensed patent applications or patents, which could require us to obtain rights to issued patents covering such technologies. If another party has filed </w:t>
      </w:r>
      <w:r>
        <w:rPr>
          <w:rFonts w:eastAsia="Times New Roman"/>
          <w:color w:val="000000"/>
          <w:sz w:val="20"/>
          <w:szCs w:val="20"/>
        </w:rPr>
        <w:t>a U.S. patent application on inventions similar to those owned by or in-licensed to us, we or, in the case of in-licensed technology, the licensor may have to participate in an interference or derivation proceeding declared by the USPTO to determine priori</w:t>
      </w:r>
      <w:r>
        <w:rPr>
          <w:rFonts w:eastAsia="Times New Roman"/>
          <w:color w:val="000000"/>
          <w:sz w:val="20"/>
          <w:szCs w:val="20"/>
        </w:rPr>
        <w:t xml:space="preserve">ty of invention in the United States. If we or one of our licensors is a party to an interference or derivation proceeding involving a U.S. patent application on inventions owned by or in-licensed to us, we may incur substantial costs, divert management’s </w:t>
      </w:r>
      <w:r>
        <w:rPr>
          <w:rFonts w:eastAsia="Times New Roman"/>
          <w:color w:val="000000"/>
          <w:sz w:val="20"/>
          <w:szCs w:val="20"/>
        </w:rPr>
        <w:t>time and expend other resources, even if we are successful.</w:t>
      </w:r>
    </w:p>
    <w:p w:rsidR="00000000" w:rsidRDefault="009012B9">
      <w:pPr>
        <w:ind w:firstLine="482"/>
        <w:divId w:val="276528368"/>
        <w:rPr>
          <w:rFonts w:eastAsia="Times New Roman"/>
        </w:rPr>
      </w:pPr>
      <w:r>
        <w:rPr>
          <w:rFonts w:eastAsia="Times New Roman"/>
          <w:color w:val="000000"/>
          <w:sz w:val="20"/>
          <w:szCs w:val="20"/>
        </w:rPr>
        <w:t>Interference or derivation proceedings provoked by third parties or brought by us or declared by the USPTO may be necessary to determine the priority of inventions with respect to our patents or p</w:t>
      </w:r>
      <w:r>
        <w:rPr>
          <w:rFonts w:eastAsia="Times New Roman"/>
          <w:color w:val="000000"/>
          <w:sz w:val="20"/>
          <w:szCs w:val="20"/>
        </w:rPr>
        <w:t>atent applications or those of our licensors. An unfavorable outcome could result in a loss of our current patent rights and could require us to cease using the related technology or to attempt to license rights to it from the prevailing party. Our busines</w:t>
      </w:r>
      <w:r>
        <w:rPr>
          <w:rFonts w:eastAsia="Times New Roman"/>
          <w:color w:val="000000"/>
          <w:sz w:val="20"/>
          <w:szCs w:val="20"/>
        </w:rPr>
        <w:t>s could be harmed if the prevailing party does not offer us a license on commercially reasonable terms or at all, or if a non-exclusive license is offered and our competitors gain access to the same technology. Litigation or interference proceedings may re</w:t>
      </w:r>
      <w:r>
        <w:rPr>
          <w:rFonts w:eastAsia="Times New Roman"/>
          <w:color w:val="000000"/>
          <w:sz w:val="20"/>
          <w:szCs w:val="20"/>
        </w:rPr>
        <w:t>sult in a decision adverse to our interests and, even if we are successful, may result in substantial costs and distract our management and other employees. We may not be able to prevent, alone or with our licensors, misappropriation of our trade secrets o</w:t>
      </w:r>
      <w:r>
        <w:rPr>
          <w:rFonts w:eastAsia="Times New Roman"/>
          <w:color w:val="000000"/>
          <w:sz w:val="20"/>
          <w:szCs w:val="20"/>
        </w:rPr>
        <w:t>r confidential information, particularly in countries where the laws may not protect those rights as fully as in the United States.</w:t>
      </w:r>
    </w:p>
    <w:p w:rsidR="00000000" w:rsidRDefault="009012B9">
      <w:pPr>
        <w:ind w:firstLine="482"/>
        <w:divId w:val="1126703555"/>
        <w:rPr>
          <w:rFonts w:eastAsia="Times New Roman"/>
        </w:rPr>
      </w:pPr>
      <w:r>
        <w:rPr>
          <w:rFonts w:eastAsia="Times New Roman"/>
          <w:color w:val="000000"/>
          <w:sz w:val="20"/>
          <w:szCs w:val="20"/>
        </w:rPr>
        <w:t>Furthermore, because of the substantial amount of discovery required in connection with intellectual property litigation, th</w:t>
      </w:r>
      <w:r>
        <w:rPr>
          <w:rFonts w:eastAsia="Times New Roman"/>
          <w:color w:val="000000"/>
          <w:sz w:val="20"/>
          <w:szCs w:val="20"/>
        </w:rPr>
        <w:t>ere is a risk that some of our confidential information could be compromised by disclosure during this type of litigation. In addition, there could be public announcements of the results of hearings, motions or other interim proceedings or developments. If</w:t>
      </w:r>
      <w:r>
        <w:rPr>
          <w:rFonts w:eastAsia="Times New Roman"/>
          <w:color w:val="000000"/>
          <w:sz w:val="20"/>
          <w:szCs w:val="20"/>
        </w:rPr>
        <w:t xml:space="preserve"> securities analysts or investors perceive these results to be negative, it could have a substantial adverse effect on the price of our common stock.</w:t>
      </w:r>
    </w:p>
    <w:p w:rsidR="00000000" w:rsidRDefault="009012B9">
      <w:pPr>
        <w:divId w:val="1128015699"/>
        <w:rPr>
          <w:rFonts w:eastAsia="Times New Roman"/>
        </w:rPr>
      </w:pPr>
      <w:r>
        <w:rPr>
          <w:rFonts w:eastAsia="Times New Roman"/>
          <w:b/>
          <w:bCs/>
          <w:i/>
          <w:iCs/>
          <w:color w:val="000000"/>
          <w:sz w:val="20"/>
          <w:szCs w:val="20"/>
        </w:rPr>
        <w:t>Obtaining and maintaining our patent protection depends on compliance with various procedural, document su</w:t>
      </w:r>
      <w:r>
        <w:rPr>
          <w:rFonts w:eastAsia="Times New Roman"/>
          <w:b/>
          <w:bCs/>
          <w:i/>
          <w:iCs/>
          <w:color w:val="000000"/>
          <w:sz w:val="20"/>
          <w:szCs w:val="20"/>
        </w:rPr>
        <w:t>bmission, fee payment and other requirements imposed by governmental patent agencies, and our patent protection could be reduced or eliminated for non-compliance with these requirements.</w:t>
      </w:r>
    </w:p>
    <w:p w:rsidR="00000000" w:rsidRDefault="009012B9">
      <w:pPr>
        <w:ind w:firstLine="482"/>
        <w:divId w:val="472792308"/>
        <w:rPr>
          <w:rFonts w:eastAsia="Times New Roman"/>
        </w:rPr>
      </w:pPr>
      <w:r>
        <w:rPr>
          <w:rFonts w:eastAsia="Times New Roman"/>
          <w:color w:val="000000"/>
          <w:sz w:val="20"/>
          <w:szCs w:val="20"/>
        </w:rPr>
        <w:t xml:space="preserve">Periodic maintenance fees on any issued patent are due to be paid to </w:t>
      </w:r>
      <w:r>
        <w:rPr>
          <w:rFonts w:eastAsia="Times New Roman"/>
          <w:color w:val="000000"/>
          <w:sz w:val="20"/>
          <w:szCs w:val="20"/>
        </w:rPr>
        <w:t>the USPTO and foreign patent agencies in several stages over the lifetime of the patent. The USPTO and various foreign governmental patent agencies require compliance with a number of procedural, documentary, fee payment and other provisions during the pat</w:t>
      </w:r>
      <w:r>
        <w:rPr>
          <w:rFonts w:eastAsia="Times New Roman"/>
          <w:color w:val="000000"/>
          <w:sz w:val="20"/>
          <w:szCs w:val="20"/>
        </w:rPr>
        <w:t>ent application process and following the issuance of a patent. While an inadvertent lapse can in many cases be cured by payment of a late fee or by other means in accordance with the applicable rules, there are situations in which noncompliance can result</w:t>
      </w:r>
      <w:r>
        <w:rPr>
          <w:rFonts w:eastAsia="Times New Roman"/>
          <w:color w:val="000000"/>
          <w:sz w:val="20"/>
          <w:szCs w:val="20"/>
        </w:rPr>
        <w:t xml:space="preserve"> in abandonment or lapse of the patent or patent application, resulting in partial or complete loss of patent rights in the relevant jurisdiction. Noncompliance events that could result in abandonment or lapse of a patent or patent application include, but</w:t>
      </w:r>
      <w:r>
        <w:rPr>
          <w:rFonts w:eastAsia="Times New Roman"/>
          <w:color w:val="000000"/>
          <w:sz w:val="20"/>
          <w:szCs w:val="20"/>
        </w:rPr>
        <w:t xml:space="preserve"> are not limited to, failure to respond to official actions within prescribed time limits, non-payment of fees and failure to properly legalize and submit formal documents. In certain circumstances, even inadvertent noncompliance events may permanently and</w:t>
      </w:r>
      <w:r>
        <w:rPr>
          <w:rFonts w:eastAsia="Times New Roman"/>
          <w:color w:val="000000"/>
          <w:sz w:val="20"/>
          <w:szCs w:val="20"/>
        </w:rPr>
        <w:t xml:space="preserve"> irrevocably jeopardize </w:t>
      </w:r>
    </w:p>
    <w:p w:rsidR="00000000" w:rsidRDefault="009012B9">
      <w:pPr>
        <w:jc w:val="center"/>
        <w:divId w:val="50547565"/>
        <w:rPr>
          <w:rFonts w:eastAsia="Times New Roman"/>
        </w:rPr>
      </w:pPr>
      <w:r>
        <w:rPr>
          <w:rFonts w:eastAsia="Times New Roman"/>
          <w:color w:val="000000"/>
          <w:sz w:val="20"/>
          <w:szCs w:val="20"/>
        </w:rPr>
        <w:t>58</w:t>
      </w:r>
    </w:p>
    <w:p w:rsidR="00000000" w:rsidRDefault="009012B9">
      <w:pPr>
        <w:rPr>
          <w:rFonts w:eastAsia="Times New Roman"/>
        </w:rPr>
      </w:pPr>
      <w:r>
        <w:rPr>
          <w:rFonts w:eastAsia="Times New Roman"/>
        </w:rPr>
        <w:pict>
          <v:rect id="_x0000_i1082" style="width:0;height:1.5pt" o:hralign="center" o:hrstd="t" o:hr="t" fillcolor="#a0a0a0" stroked="f"/>
        </w:pict>
      </w:r>
    </w:p>
    <w:p w:rsidR="00000000" w:rsidRDefault="009012B9">
      <w:pPr>
        <w:divId w:val="1766686688"/>
        <w:rPr>
          <w:rFonts w:eastAsia="Times New Roman"/>
        </w:rPr>
      </w:pPr>
    </w:p>
    <w:p w:rsidR="00000000" w:rsidRDefault="009012B9">
      <w:pPr>
        <w:divId w:val="1170170816"/>
        <w:rPr>
          <w:rFonts w:eastAsia="Times New Roman"/>
        </w:rPr>
      </w:pPr>
      <w:r>
        <w:rPr>
          <w:rFonts w:eastAsia="Times New Roman"/>
          <w:color w:val="000000"/>
          <w:sz w:val="20"/>
          <w:szCs w:val="20"/>
        </w:rPr>
        <w:t>patent rights. In such an event, our competitors might be able to enter the market, which would have a material adverse effect on our business.</w:t>
      </w:r>
    </w:p>
    <w:p w:rsidR="00000000" w:rsidRDefault="009012B9">
      <w:pPr>
        <w:divId w:val="1548371667"/>
        <w:rPr>
          <w:rFonts w:eastAsia="Times New Roman"/>
        </w:rPr>
      </w:pPr>
      <w:r>
        <w:rPr>
          <w:rFonts w:eastAsia="Times New Roman"/>
          <w:b/>
          <w:bCs/>
          <w:i/>
          <w:iCs/>
          <w:color w:val="000000"/>
          <w:sz w:val="20"/>
          <w:szCs w:val="20"/>
        </w:rPr>
        <w:t>Any patents, if issued patents covering our pr</w:t>
      </w:r>
      <w:r>
        <w:rPr>
          <w:rFonts w:eastAsia="Times New Roman"/>
          <w:b/>
          <w:bCs/>
          <w:i/>
          <w:iCs/>
          <w:color w:val="000000"/>
          <w:sz w:val="20"/>
          <w:szCs w:val="20"/>
        </w:rPr>
        <w:t>oduct candidates could be found invalid or unenforceable if challenged in court or the USPTO.</w:t>
      </w:r>
    </w:p>
    <w:p w:rsidR="00000000" w:rsidRDefault="009012B9">
      <w:pPr>
        <w:ind w:firstLine="482"/>
        <w:divId w:val="974679725"/>
        <w:rPr>
          <w:rFonts w:eastAsia="Times New Roman"/>
        </w:rPr>
      </w:pPr>
      <w:r>
        <w:rPr>
          <w:rFonts w:eastAsia="Times New Roman"/>
          <w:color w:val="000000"/>
          <w:sz w:val="20"/>
          <w:szCs w:val="20"/>
        </w:rPr>
        <w:t>If we or one of our licensors initiate legal proceedings against a third-party to enforce a patent covering one of our product candidates, the defendant could cou</w:t>
      </w:r>
      <w:r>
        <w:rPr>
          <w:rFonts w:eastAsia="Times New Roman"/>
          <w:color w:val="000000"/>
          <w:sz w:val="20"/>
          <w:szCs w:val="20"/>
        </w:rPr>
        <w:t>nterclaim that the patent covering our product candidate, as applicable, is invalid and/or unenforceable. In patent litigation in the United States, defendant counterclaims alleging invalidity and/or unenforceability are commonplace, and there are numerous</w:t>
      </w:r>
      <w:r>
        <w:rPr>
          <w:rFonts w:eastAsia="Times New Roman"/>
          <w:color w:val="000000"/>
          <w:sz w:val="20"/>
          <w:szCs w:val="20"/>
        </w:rPr>
        <w:t xml:space="preserve"> grounds upon which a third-party can assert invalidity or unenforceability of a patent. Third parties may also raise similar claims before administrative bodies in the United States or abroad, even outside the context of litigation. Such mechanisms includ</w:t>
      </w:r>
      <w:r>
        <w:rPr>
          <w:rFonts w:eastAsia="Times New Roman"/>
          <w:color w:val="000000"/>
          <w:sz w:val="20"/>
          <w:szCs w:val="20"/>
        </w:rPr>
        <w:t>e re-examination, inter partes review, post grant review, and equivalent proceedings in foreign jurisdictions (e.g., opposition proceedings). Such proceedings could result in revocation or amendment to our patents in such a way that they no longer cover ou</w:t>
      </w:r>
      <w:r>
        <w:rPr>
          <w:rFonts w:eastAsia="Times New Roman"/>
          <w:color w:val="000000"/>
          <w:sz w:val="20"/>
          <w:szCs w:val="20"/>
        </w:rPr>
        <w:t>r product candidates. The outcome following legal assertions of invalidity and unenforceability is unpredictable. With respect to the validity question, for example, we cannot be certain that there is no invalidating prior art, of which we, our patent coun</w:t>
      </w:r>
      <w:r>
        <w:rPr>
          <w:rFonts w:eastAsia="Times New Roman"/>
          <w:color w:val="000000"/>
          <w:sz w:val="20"/>
          <w:szCs w:val="20"/>
        </w:rPr>
        <w:t>sel and the patent examiner were unaware during prosecution. If a defendant were to prevail on a legal assertion of invalidity and/or unenforceability, or if we are otherwise unable to adequately protect our rights, we would lose at least part, and perhaps</w:t>
      </w:r>
      <w:r>
        <w:rPr>
          <w:rFonts w:eastAsia="Times New Roman"/>
          <w:color w:val="000000"/>
          <w:sz w:val="20"/>
          <w:szCs w:val="20"/>
        </w:rPr>
        <w:t xml:space="preserve"> all, of the patent protection on our product candidates. Such a loss of patent protection could have a material adverse impact on our business and our ability to commercialize or license our technology and product candidates.</w:t>
      </w:r>
    </w:p>
    <w:p w:rsidR="00000000" w:rsidRDefault="009012B9">
      <w:pPr>
        <w:ind w:firstLine="482"/>
        <w:divId w:val="229510853"/>
        <w:rPr>
          <w:rFonts w:eastAsia="Times New Roman"/>
        </w:rPr>
      </w:pPr>
      <w:r>
        <w:rPr>
          <w:rFonts w:eastAsia="Times New Roman"/>
          <w:color w:val="000000"/>
          <w:sz w:val="20"/>
          <w:szCs w:val="20"/>
        </w:rPr>
        <w:t>Our earliest patents may expi</w:t>
      </w:r>
      <w:r>
        <w:rPr>
          <w:rFonts w:eastAsia="Times New Roman"/>
          <w:color w:val="000000"/>
          <w:sz w:val="20"/>
          <w:szCs w:val="20"/>
        </w:rPr>
        <w:t>re before, or soon after, our first product achieves marketing approval in the United States or foreign jurisdictions. Upon the expiration of our current patents, we may lose the right to exclude others from practicing these inventions. The expiration of t</w:t>
      </w:r>
      <w:r>
        <w:rPr>
          <w:rFonts w:eastAsia="Times New Roman"/>
          <w:color w:val="000000"/>
          <w:sz w:val="20"/>
          <w:szCs w:val="20"/>
        </w:rPr>
        <w:t>hese patents could also have a similar material adverse effect on our business, results of operations, financial condition and prospects. We own pending patent applications covering our proprietary technologies or our product candidates that if issued as p</w:t>
      </w:r>
      <w:r>
        <w:rPr>
          <w:rFonts w:eastAsia="Times New Roman"/>
          <w:color w:val="000000"/>
          <w:sz w:val="20"/>
          <w:szCs w:val="20"/>
        </w:rPr>
        <w:t>atents are expected to expire from 2037 through 2040, without taking into account any possible patent term adjustments or extensions. However, we cannot be assured that the USPTO or relevant foreign patent offices will grant any of these patent application</w:t>
      </w:r>
      <w:r>
        <w:rPr>
          <w:rFonts w:eastAsia="Times New Roman"/>
          <w:color w:val="000000"/>
          <w:sz w:val="20"/>
          <w:szCs w:val="20"/>
        </w:rPr>
        <w:t>s.</w:t>
      </w:r>
    </w:p>
    <w:p w:rsidR="00000000" w:rsidRDefault="009012B9">
      <w:pPr>
        <w:divId w:val="394592992"/>
        <w:rPr>
          <w:rFonts w:eastAsia="Times New Roman"/>
        </w:rPr>
      </w:pPr>
      <w:r>
        <w:rPr>
          <w:rFonts w:eastAsia="Times New Roman"/>
          <w:b/>
          <w:bCs/>
          <w:i/>
          <w:iCs/>
          <w:color w:val="000000"/>
          <w:sz w:val="20"/>
          <w:szCs w:val="20"/>
        </w:rPr>
        <w:t>Changes in patent law in the U.S. and in foreign jurisdictions could diminish the value of patents in general, thereby impairing our ability to protect our products.</w:t>
      </w:r>
    </w:p>
    <w:p w:rsidR="00000000" w:rsidRDefault="009012B9">
      <w:pPr>
        <w:ind w:firstLine="482"/>
        <w:divId w:val="1727407538"/>
        <w:rPr>
          <w:rFonts w:eastAsia="Times New Roman"/>
        </w:rPr>
      </w:pPr>
      <w:r>
        <w:rPr>
          <w:rFonts w:eastAsia="Times New Roman"/>
          <w:color w:val="000000"/>
          <w:sz w:val="20"/>
          <w:szCs w:val="20"/>
        </w:rPr>
        <w:t>Changes in either the patent laws or interpretation of the patent laws in the United St</w:t>
      </w:r>
      <w:r>
        <w:rPr>
          <w:rFonts w:eastAsia="Times New Roman"/>
          <w:color w:val="000000"/>
          <w:sz w:val="20"/>
          <w:szCs w:val="20"/>
        </w:rPr>
        <w:t xml:space="preserve">ates could increase the uncertainties and costs surrounding the prosecution of patent applications and the enforcement or defense of issued patents. Assuming that other requirements for patentability are met, prior to March 16, 2013, in the United States, </w:t>
      </w:r>
      <w:r>
        <w:rPr>
          <w:rFonts w:eastAsia="Times New Roman"/>
          <w:color w:val="000000"/>
          <w:sz w:val="20"/>
          <w:szCs w:val="20"/>
        </w:rPr>
        <w:t>the first to invent the claimed invention was entitled to the patent, while outside the United States, the first to file a patent application was entitled to the patent. On March 16, 2013, under the Leahy-Smith America Invents Act, or the America Invents A</w:t>
      </w:r>
      <w:r>
        <w:rPr>
          <w:rFonts w:eastAsia="Times New Roman"/>
          <w:color w:val="000000"/>
          <w:sz w:val="20"/>
          <w:szCs w:val="20"/>
        </w:rPr>
        <w:t>ct, enacted in September 2011, the United States transitioned to a first inventor to file system in which, assuming that other requirements for patentability are met, the first inventor to file a patent application will be entitled to the patent on an inve</w:t>
      </w:r>
      <w:r>
        <w:rPr>
          <w:rFonts w:eastAsia="Times New Roman"/>
          <w:color w:val="000000"/>
          <w:sz w:val="20"/>
          <w:szCs w:val="20"/>
        </w:rPr>
        <w:t xml:space="preserve">ntion regardless of whether a third party was the first to invent the claimed invention. A third party that files a patent application in the USPTO on or after March 16, 2013, but before us could therefore be awarded a patent covering an invention of ours </w:t>
      </w:r>
      <w:r>
        <w:rPr>
          <w:rFonts w:eastAsia="Times New Roman"/>
          <w:color w:val="000000"/>
          <w:sz w:val="20"/>
          <w:szCs w:val="20"/>
        </w:rPr>
        <w:t>even if we had made the invention before it was made by such third party. This will require us to be cognizant of the time from invention to filing of a patent application. Since patent applications in the United States and most other countries are confide</w:t>
      </w:r>
      <w:r>
        <w:rPr>
          <w:rFonts w:eastAsia="Times New Roman"/>
          <w:color w:val="000000"/>
          <w:sz w:val="20"/>
          <w:szCs w:val="20"/>
        </w:rPr>
        <w:t>ntial for a period of time after filing or until issuance, we cannot be certain that we or our licensors were the first to either (i) file any patent application related to our product candidates or (ii) invent any of the inventions claimed in our or our l</w:t>
      </w:r>
      <w:r>
        <w:rPr>
          <w:rFonts w:eastAsia="Times New Roman"/>
          <w:color w:val="000000"/>
          <w:sz w:val="20"/>
          <w:szCs w:val="20"/>
        </w:rPr>
        <w:t>icensor’s patents or patent applications.</w:t>
      </w:r>
    </w:p>
    <w:p w:rsidR="00000000" w:rsidRDefault="009012B9">
      <w:pPr>
        <w:ind w:firstLine="482"/>
        <w:divId w:val="706494893"/>
        <w:rPr>
          <w:rFonts w:eastAsia="Times New Roman"/>
        </w:rPr>
      </w:pPr>
      <w:r>
        <w:rPr>
          <w:rFonts w:eastAsia="Times New Roman"/>
          <w:color w:val="000000"/>
          <w:sz w:val="20"/>
          <w:szCs w:val="20"/>
        </w:rPr>
        <w:t xml:space="preserve">The America Invents Act also includes a number of significant changes that affect the way patent applications will be prosecuted and also may affect patent litigation. These include allowing third party submission </w:t>
      </w:r>
      <w:r>
        <w:rPr>
          <w:rFonts w:eastAsia="Times New Roman"/>
          <w:color w:val="000000"/>
          <w:sz w:val="20"/>
          <w:szCs w:val="20"/>
        </w:rPr>
        <w:t xml:space="preserve">of prior art to the USPTO during patent prosecution and additional procedures to attack the validity of a patent by USPTO administered post-grant proceedings, including post-grant review, inter-partes review, and derivation proceedings. Because of a lower </w:t>
      </w:r>
      <w:r>
        <w:rPr>
          <w:rFonts w:eastAsia="Times New Roman"/>
          <w:color w:val="000000"/>
          <w:sz w:val="20"/>
          <w:szCs w:val="20"/>
        </w:rPr>
        <w:t>evidentiary standard in USPTO proceedings compared to the evidentiary standard in United States federal courts necessary to invalidate a patent claim, a third party could potentially provide evidence in a USPTO proceeding sufficient for the USPTO to hold a</w:t>
      </w:r>
      <w:r>
        <w:rPr>
          <w:rFonts w:eastAsia="Times New Roman"/>
          <w:color w:val="000000"/>
          <w:sz w:val="20"/>
          <w:szCs w:val="20"/>
        </w:rPr>
        <w:t xml:space="preserve"> claim invalid even though the same evidence would be insufficient to invalidate the claim if first presented in a district court action. Accordingly, a third party may attempt to use the USPTO procedures to invalidate our patent claims that would not have</w:t>
      </w:r>
      <w:r>
        <w:rPr>
          <w:rFonts w:eastAsia="Times New Roman"/>
          <w:color w:val="000000"/>
          <w:sz w:val="20"/>
          <w:szCs w:val="20"/>
        </w:rPr>
        <w:t xml:space="preserve"> been invalidated if first challenged by the third party as a defendant in a district court action. Therefore, the America Invents Act and its implementation could increase the uncertainties and costs surrounding the prosecution of our owned or in-licensed</w:t>
      </w:r>
      <w:r>
        <w:rPr>
          <w:rFonts w:eastAsia="Times New Roman"/>
          <w:color w:val="000000"/>
          <w:sz w:val="20"/>
          <w:szCs w:val="20"/>
        </w:rPr>
        <w:t xml:space="preserve"> patent applications and the enforcement or defense of our owned or in-licensed issued patents, all of which could have a material adverse effect on our business, financial condition, results of operations, and prospects.</w:t>
      </w:r>
    </w:p>
    <w:p w:rsidR="00000000" w:rsidRDefault="009012B9">
      <w:pPr>
        <w:ind w:firstLine="482"/>
        <w:divId w:val="676612113"/>
        <w:rPr>
          <w:rFonts w:eastAsia="Times New Roman"/>
        </w:rPr>
      </w:pPr>
      <w:r>
        <w:rPr>
          <w:rFonts w:eastAsia="Times New Roman"/>
          <w:color w:val="000000"/>
          <w:sz w:val="20"/>
          <w:szCs w:val="20"/>
        </w:rPr>
        <w:t xml:space="preserve">In addition, the patent positions </w:t>
      </w:r>
      <w:r>
        <w:rPr>
          <w:rFonts w:eastAsia="Times New Roman"/>
          <w:color w:val="000000"/>
          <w:sz w:val="20"/>
          <w:szCs w:val="20"/>
        </w:rPr>
        <w:t>of companies in the development and commercialization of biopharmaceuticals are particularly uncertain. Recent U.S. Supreme Court rulings have narrowed the scope of patent protection available in certain circumstances and weakened the rights of patent owne</w:t>
      </w:r>
      <w:r>
        <w:rPr>
          <w:rFonts w:eastAsia="Times New Roman"/>
          <w:color w:val="000000"/>
          <w:sz w:val="20"/>
          <w:szCs w:val="20"/>
        </w:rPr>
        <w:t>rs in certain situations. This combination of events has created uncertainty with respect to the validity and enforceability of patents, once obtained. Depending on future actions by the U.S. Congress, the federal courts, and the USPTO, the laws and regula</w:t>
      </w:r>
      <w:r>
        <w:rPr>
          <w:rFonts w:eastAsia="Times New Roman"/>
          <w:color w:val="000000"/>
          <w:sz w:val="20"/>
          <w:szCs w:val="20"/>
        </w:rPr>
        <w:t>tions governing patents could change in unpredictable ways that could have a material adverse effect on our existing patent portfolio and our ability to protect and enforce our intellectual property in the future.</w:t>
      </w:r>
    </w:p>
    <w:p w:rsidR="00000000" w:rsidRDefault="009012B9">
      <w:pPr>
        <w:jc w:val="center"/>
        <w:divId w:val="1674454850"/>
        <w:rPr>
          <w:rFonts w:eastAsia="Times New Roman"/>
        </w:rPr>
      </w:pPr>
      <w:r>
        <w:rPr>
          <w:rFonts w:eastAsia="Times New Roman"/>
          <w:color w:val="000000"/>
          <w:sz w:val="20"/>
          <w:szCs w:val="20"/>
        </w:rPr>
        <w:t>59</w:t>
      </w:r>
    </w:p>
    <w:p w:rsidR="00000000" w:rsidRDefault="009012B9">
      <w:pPr>
        <w:rPr>
          <w:rFonts w:eastAsia="Times New Roman"/>
        </w:rPr>
      </w:pPr>
      <w:r>
        <w:rPr>
          <w:rFonts w:eastAsia="Times New Roman"/>
        </w:rPr>
        <w:pict>
          <v:rect id="_x0000_i1083" style="width:0;height:1.5pt" o:hralign="center" o:hrstd="t" o:hr="t" fillcolor="#a0a0a0" stroked="f"/>
        </w:pict>
      </w:r>
    </w:p>
    <w:p w:rsidR="00000000" w:rsidRDefault="009012B9">
      <w:pPr>
        <w:divId w:val="1658262288"/>
        <w:rPr>
          <w:rFonts w:eastAsia="Times New Roman"/>
        </w:rPr>
      </w:pPr>
    </w:p>
    <w:p w:rsidR="00000000" w:rsidRDefault="009012B9">
      <w:pPr>
        <w:divId w:val="1276406686"/>
        <w:rPr>
          <w:rFonts w:eastAsia="Times New Roman"/>
        </w:rPr>
      </w:pPr>
      <w:r>
        <w:rPr>
          <w:rFonts w:eastAsia="Times New Roman"/>
          <w:b/>
          <w:bCs/>
          <w:i/>
          <w:iCs/>
          <w:color w:val="000000"/>
          <w:sz w:val="20"/>
          <w:szCs w:val="20"/>
        </w:rPr>
        <w:t>We have limited foreign intellectual property rights and may not be able to protect our intellectual property rights throughout the world.</w:t>
      </w:r>
    </w:p>
    <w:p w:rsidR="00000000" w:rsidRDefault="009012B9">
      <w:pPr>
        <w:ind w:firstLine="482"/>
        <w:divId w:val="776364209"/>
        <w:rPr>
          <w:rFonts w:eastAsia="Times New Roman"/>
        </w:rPr>
      </w:pPr>
      <w:r>
        <w:rPr>
          <w:rFonts w:eastAsia="Times New Roman"/>
          <w:color w:val="000000"/>
          <w:sz w:val="20"/>
          <w:szCs w:val="20"/>
        </w:rPr>
        <w:t>We have limited intellectual property rights outside the United States. Filing, prosecuting, and defending patents on</w:t>
      </w:r>
      <w:r>
        <w:rPr>
          <w:rFonts w:eastAsia="Times New Roman"/>
          <w:color w:val="000000"/>
          <w:sz w:val="20"/>
          <w:szCs w:val="20"/>
        </w:rPr>
        <w:t xml:space="preserve"> product candidates in all countries throughout the world would be prohibitively expensive, and our intellectual property rights in some countries outside the United States can be less extensive than those in the United States. In addition, the laws of som</w:t>
      </w:r>
      <w:r>
        <w:rPr>
          <w:rFonts w:eastAsia="Times New Roman"/>
          <w:color w:val="000000"/>
          <w:sz w:val="20"/>
          <w:szCs w:val="20"/>
        </w:rPr>
        <w:t xml:space="preserve">e foreign countries do not protect intellectual property rights to the same extent as federal and state laws in the United States. Consequently, we may not be able to prevent third parties from practicing our inventions in all countries outside the United </w:t>
      </w:r>
      <w:r>
        <w:rPr>
          <w:rFonts w:eastAsia="Times New Roman"/>
          <w:color w:val="000000"/>
          <w:sz w:val="20"/>
          <w:szCs w:val="20"/>
        </w:rPr>
        <w:t>States, or from selling or importing products made using our inventions in and into the United States or other jurisdictions. Competitors may use our technologies in jurisdictions where we have not obtained patent protection to develop their own products a</w:t>
      </w:r>
      <w:r>
        <w:rPr>
          <w:rFonts w:eastAsia="Times New Roman"/>
          <w:color w:val="000000"/>
          <w:sz w:val="20"/>
          <w:szCs w:val="20"/>
        </w:rPr>
        <w:t>nd, further, may export otherwise infringing products to territories where we have patent protection but where enforcement is not as strong as that in the United States. These products may compete with our products in jurisdictions where we do not have any</w:t>
      </w:r>
      <w:r>
        <w:rPr>
          <w:rFonts w:eastAsia="Times New Roman"/>
          <w:color w:val="000000"/>
          <w:sz w:val="20"/>
          <w:szCs w:val="20"/>
        </w:rPr>
        <w:t xml:space="preserve"> issued patents and our patent claims or other intellectual property rights may not be effective or sufficient to prevent them from competing.</w:t>
      </w:r>
    </w:p>
    <w:p w:rsidR="00000000" w:rsidRDefault="009012B9">
      <w:pPr>
        <w:ind w:firstLine="482"/>
        <w:divId w:val="9836477"/>
        <w:rPr>
          <w:rFonts w:eastAsia="Times New Roman"/>
        </w:rPr>
      </w:pPr>
      <w:r>
        <w:rPr>
          <w:rFonts w:eastAsia="Times New Roman"/>
          <w:color w:val="000000"/>
          <w:sz w:val="20"/>
          <w:szCs w:val="20"/>
        </w:rPr>
        <w:t xml:space="preserve">Many companies have encountered significant problems in protecting and defending intellectual property rights in </w:t>
      </w:r>
      <w:r>
        <w:rPr>
          <w:rFonts w:eastAsia="Times New Roman"/>
          <w:color w:val="000000"/>
          <w:sz w:val="20"/>
          <w:szCs w:val="20"/>
        </w:rPr>
        <w:t>foreign jurisdictions. The legal systems of certain countries, particularly certain developing countries, do not favor the enforcement of, and may require a compulsory license to, patents, trade secrets and other intellectual property protection, particula</w:t>
      </w:r>
      <w:r>
        <w:rPr>
          <w:rFonts w:eastAsia="Times New Roman"/>
          <w:color w:val="000000"/>
          <w:sz w:val="20"/>
          <w:szCs w:val="20"/>
        </w:rPr>
        <w:t>rly those relating to biopharmaceutical products, which could make it difficult for us to stop the infringement of our patents or marketing of competing products against third parties in violation of our proprietary rights generally. The initiation of proc</w:t>
      </w:r>
      <w:r>
        <w:rPr>
          <w:rFonts w:eastAsia="Times New Roman"/>
          <w:color w:val="000000"/>
          <w:sz w:val="20"/>
          <w:szCs w:val="20"/>
        </w:rPr>
        <w:t xml:space="preserve">eedings by third parties to challenge the scope or validity of our patent rights in foreign jurisdictions could result in substantial cost and divert our efforts and attention from other aspects of our business. Proceedings to enforce our patent rights in </w:t>
      </w:r>
      <w:r>
        <w:rPr>
          <w:rFonts w:eastAsia="Times New Roman"/>
          <w:color w:val="000000"/>
          <w:sz w:val="20"/>
          <w:szCs w:val="20"/>
        </w:rPr>
        <w:t>foreign jurisdictions could result in substantial costs and divert our efforts and attention from other aspects of our business, could put our patents at risk of being invalidated or interpreted narrowly and our patent applications at risk of not issuing a</w:t>
      </w:r>
      <w:r>
        <w:rPr>
          <w:rFonts w:eastAsia="Times New Roman"/>
          <w:color w:val="000000"/>
          <w:sz w:val="20"/>
          <w:szCs w:val="20"/>
        </w:rPr>
        <w:t>nd could provoke third parties to assert claims against us. We may not prevail in any lawsuits that we initiate and the damages or other remedies awarded, if any, may not be commercially meaningful. Accordingly, our efforts to enforce our intellectual prop</w:t>
      </w:r>
      <w:r>
        <w:rPr>
          <w:rFonts w:eastAsia="Times New Roman"/>
          <w:color w:val="000000"/>
          <w:sz w:val="20"/>
          <w:szCs w:val="20"/>
        </w:rPr>
        <w:t>erty rights around the world may be inadequate to obtain a significant commercial advantage from the intellectual property that we develop or license.</w:t>
      </w:r>
    </w:p>
    <w:p w:rsidR="00000000" w:rsidRDefault="009012B9">
      <w:pPr>
        <w:divId w:val="855735151"/>
        <w:rPr>
          <w:rFonts w:eastAsia="Times New Roman"/>
        </w:rPr>
      </w:pPr>
      <w:r>
        <w:rPr>
          <w:rFonts w:eastAsia="Times New Roman"/>
          <w:b/>
          <w:bCs/>
          <w:i/>
          <w:iCs/>
          <w:color w:val="000000"/>
          <w:sz w:val="20"/>
          <w:szCs w:val="20"/>
        </w:rPr>
        <w:t>Patent terms may be inadequate to protect our competitive position on our product candidates for an adequ</w:t>
      </w:r>
      <w:r>
        <w:rPr>
          <w:rFonts w:eastAsia="Times New Roman"/>
          <w:b/>
          <w:bCs/>
          <w:i/>
          <w:iCs/>
          <w:color w:val="000000"/>
          <w:sz w:val="20"/>
          <w:szCs w:val="20"/>
        </w:rPr>
        <w:t>ate amount of time.</w:t>
      </w:r>
    </w:p>
    <w:p w:rsidR="00000000" w:rsidRDefault="009012B9">
      <w:pPr>
        <w:ind w:firstLine="482"/>
        <w:divId w:val="1878271633"/>
        <w:rPr>
          <w:rFonts w:eastAsia="Times New Roman"/>
        </w:rPr>
      </w:pPr>
      <w:r>
        <w:rPr>
          <w:rFonts w:eastAsia="Times New Roman"/>
          <w:color w:val="000000"/>
          <w:sz w:val="20"/>
          <w:szCs w:val="20"/>
        </w:rPr>
        <w:t>Patents have a limited lifespan. In the United States, if all maintenance fees are timely paid, the natural expiration of a patent is generally 20 years from its earliest U.S. non-provisional filing date. Various extensions such as pate</w:t>
      </w:r>
      <w:r>
        <w:rPr>
          <w:rFonts w:eastAsia="Times New Roman"/>
          <w:color w:val="000000"/>
          <w:sz w:val="20"/>
          <w:szCs w:val="20"/>
        </w:rPr>
        <w:t>nt term adjustments and/or extensions, may be available, but the life of a patent, and the protection it affords, is limited. Even if patents covering our product candidates are obtained, once the patent life has expired, we may be open to competition from</w:t>
      </w:r>
      <w:r>
        <w:rPr>
          <w:rFonts w:eastAsia="Times New Roman"/>
          <w:color w:val="000000"/>
          <w:sz w:val="20"/>
          <w:szCs w:val="20"/>
        </w:rPr>
        <w:t xml:space="preserve"> competitive products. Given the amount of time required for the development, testing and regulatory review of new product candidates, patents protecting such candidates might expire before or shortly after such candidates are commercialized. As a result, </w:t>
      </w:r>
      <w:r>
        <w:rPr>
          <w:rFonts w:eastAsia="Times New Roman"/>
          <w:color w:val="000000"/>
          <w:sz w:val="20"/>
          <w:szCs w:val="20"/>
        </w:rPr>
        <w:t>our owned and licensed patent portfolio may not provide us with sufficient rights to exclude others from commercializing products similar or identical to ours.</w:t>
      </w:r>
    </w:p>
    <w:p w:rsidR="00000000" w:rsidRDefault="009012B9">
      <w:pPr>
        <w:divId w:val="595989327"/>
        <w:rPr>
          <w:rFonts w:eastAsia="Times New Roman"/>
        </w:rPr>
      </w:pPr>
      <w:r>
        <w:rPr>
          <w:rFonts w:eastAsia="Times New Roman"/>
          <w:b/>
          <w:bCs/>
          <w:i/>
          <w:iCs/>
          <w:color w:val="000000"/>
          <w:sz w:val="20"/>
          <w:szCs w:val="20"/>
        </w:rPr>
        <w:t>If we do not obtain patent term extension and data exclusivity for any product candidates we may develop, our business may be materially harmed.</w:t>
      </w:r>
    </w:p>
    <w:p w:rsidR="00000000" w:rsidRDefault="009012B9">
      <w:pPr>
        <w:ind w:firstLine="482"/>
        <w:divId w:val="1076441410"/>
        <w:rPr>
          <w:rFonts w:eastAsia="Times New Roman"/>
        </w:rPr>
      </w:pPr>
      <w:r>
        <w:rPr>
          <w:rFonts w:eastAsia="Times New Roman"/>
          <w:color w:val="000000"/>
          <w:sz w:val="20"/>
          <w:szCs w:val="20"/>
        </w:rPr>
        <w:t>Depending upon the timing, duration, and specifics of any FDA marketing approval of any product candidates we m</w:t>
      </w:r>
      <w:r>
        <w:rPr>
          <w:rFonts w:eastAsia="Times New Roman"/>
          <w:color w:val="000000"/>
          <w:sz w:val="20"/>
          <w:szCs w:val="20"/>
        </w:rPr>
        <w:t>ay develop, one or more of our U.S. patents may be eligible for limited patent term extension under the Drug Price Competition and Patent Term Restoration Action of 1984 Hatch-Waxman Amendments. The Hatch-Waxman Amendments permit a patent extension term of</w:t>
      </w:r>
      <w:r>
        <w:rPr>
          <w:rFonts w:eastAsia="Times New Roman"/>
          <w:color w:val="000000"/>
          <w:sz w:val="20"/>
          <w:szCs w:val="20"/>
        </w:rPr>
        <w:t xml:space="preserve"> up to five years as compensation for patent term lost during the FDA regulatory review process. A patent term extension cannot extend the remaining term of a patent beyond a total of 14 years from the date of product approval, only one patent may be exten</w:t>
      </w:r>
      <w:r>
        <w:rPr>
          <w:rFonts w:eastAsia="Times New Roman"/>
          <w:color w:val="000000"/>
          <w:sz w:val="20"/>
          <w:szCs w:val="20"/>
        </w:rPr>
        <w:t>ded and only those claims covering the approved drug, a method for using it, or a method for manufacturing it may be extended. However, we may not be granted an extension because of, for example, failing to exercise due diligence during the testing phase o</w:t>
      </w:r>
      <w:r>
        <w:rPr>
          <w:rFonts w:eastAsia="Times New Roman"/>
          <w:color w:val="000000"/>
          <w:sz w:val="20"/>
          <w:szCs w:val="20"/>
        </w:rPr>
        <w:t>r regulatory review process, failing to apply within applicable deadlines, failing to apply prior to expiration of relevant patents, or otherwise failing to satisfy applicable requirements. Moreover, the applicable time period or the scope of patent protec</w:t>
      </w:r>
      <w:r>
        <w:rPr>
          <w:rFonts w:eastAsia="Times New Roman"/>
          <w:color w:val="000000"/>
          <w:sz w:val="20"/>
          <w:szCs w:val="20"/>
        </w:rPr>
        <w:t>tion afforded could be less than we request. If we are unable to obtain patent term extension or the term of any such extension is less than we request, our competitors may obtain approval of competing products following our patent expiration, and our busi</w:t>
      </w:r>
      <w:r>
        <w:rPr>
          <w:rFonts w:eastAsia="Times New Roman"/>
          <w:color w:val="000000"/>
          <w:sz w:val="20"/>
          <w:szCs w:val="20"/>
        </w:rPr>
        <w:t>ness, financial condition, results of operations, and prospects could be materially harmed.</w:t>
      </w:r>
    </w:p>
    <w:p w:rsidR="00000000" w:rsidRDefault="009012B9">
      <w:pPr>
        <w:divId w:val="1458722744"/>
        <w:rPr>
          <w:rFonts w:eastAsia="Times New Roman"/>
        </w:rPr>
      </w:pPr>
      <w:r>
        <w:rPr>
          <w:rFonts w:eastAsia="Times New Roman"/>
          <w:b/>
          <w:bCs/>
          <w:i/>
          <w:iCs/>
          <w:color w:val="000000"/>
          <w:sz w:val="20"/>
          <w:szCs w:val="20"/>
        </w:rPr>
        <w:t>If our trademarks and trade names are not adequately protected, then we may not be able to build name recognition in our markets of interest and our business may be</w:t>
      </w:r>
      <w:r>
        <w:rPr>
          <w:rFonts w:eastAsia="Times New Roman"/>
          <w:b/>
          <w:bCs/>
          <w:i/>
          <w:iCs/>
          <w:color w:val="000000"/>
          <w:sz w:val="20"/>
          <w:szCs w:val="20"/>
        </w:rPr>
        <w:t xml:space="preserve"> adversely affected.</w:t>
      </w:r>
    </w:p>
    <w:p w:rsidR="00000000" w:rsidRDefault="009012B9">
      <w:pPr>
        <w:ind w:firstLine="482"/>
        <w:divId w:val="1424035954"/>
        <w:rPr>
          <w:rFonts w:eastAsia="Times New Roman"/>
        </w:rPr>
      </w:pPr>
      <w:r>
        <w:rPr>
          <w:rFonts w:eastAsia="Times New Roman"/>
          <w:color w:val="000000"/>
          <w:sz w:val="20"/>
          <w:szCs w:val="20"/>
        </w:rPr>
        <w:t xml:space="preserve">Our trademarks or trade names may be challenged, infringed, circumvented, or declared generic or determined to be infringing on other marks. We may not be able to protect our rights to these trademarks and trade names or may be forced </w:t>
      </w:r>
      <w:r>
        <w:rPr>
          <w:rFonts w:eastAsia="Times New Roman"/>
          <w:color w:val="000000"/>
          <w:sz w:val="20"/>
          <w:szCs w:val="20"/>
        </w:rPr>
        <w:t xml:space="preserve">to </w:t>
      </w:r>
    </w:p>
    <w:p w:rsidR="00000000" w:rsidRDefault="009012B9">
      <w:pPr>
        <w:jc w:val="center"/>
        <w:divId w:val="2100641755"/>
        <w:rPr>
          <w:rFonts w:eastAsia="Times New Roman"/>
        </w:rPr>
      </w:pPr>
      <w:r>
        <w:rPr>
          <w:rFonts w:eastAsia="Times New Roman"/>
          <w:color w:val="000000"/>
          <w:sz w:val="20"/>
          <w:szCs w:val="20"/>
        </w:rPr>
        <w:t>60</w:t>
      </w:r>
    </w:p>
    <w:p w:rsidR="00000000" w:rsidRDefault="009012B9">
      <w:pPr>
        <w:rPr>
          <w:rFonts w:eastAsia="Times New Roman"/>
        </w:rPr>
      </w:pPr>
      <w:r>
        <w:rPr>
          <w:rFonts w:eastAsia="Times New Roman"/>
        </w:rPr>
        <w:pict>
          <v:rect id="_x0000_i1084" style="width:0;height:1.5pt" o:hralign="center" o:hrstd="t" o:hr="t" fillcolor="#a0a0a0" stroked="f"/>
        </w:pict>
      </w:r>
    </w:p>
    <w:p w:rsidR="00000000" w:rsidRDefault="009012B9">
      <w:pPr>
        <w:divId w:val="2120248844"/>
        <w:rPr>
          <w:rFonts w:eastAsia="Times New Roman"/>
        </w:rPr>
      </w:pPr>
    </w:p>
    <w:p w:rsidR="00000000" w:rsidRDefault="009012B9">
      <w:pPr>
        <w:divId w:val="1956597968"/>
        <w:rPr>
          <w:rFonts w:eastAsia="Times New Roman"/>
        </w:rPr>
      </w:pPr>
      <w:r>
        <w:rPr>
          <w:rFonts w:eastAsia="Times New Roman"/>
          <w:color w:val="000000"/>
          <w:sz w:val="20"/>
          <w:szCs w:val="20"/>
        </w:rPr>
        <w:t xml:space="preserve">stop using these names, which we need for name recognition by potential partners or customers in our markets of interest. If we are unable to establish name recognition based on our trademarks and trade names, </w:t>
      </w:r>
      <w:r>
        <w:rPr>
          <w:rFonts w:eastAsia="Times New Roman"/>
          <w:color w:val="000000"/>
          <w:sz w:val="20"/>
          <w:szCs w:val="20"/>
        </w:rPr>
        <w:t>we may not be able to compete effectively, and our business may be adversely affected.</w:t>
      </w:r>
    </w:p>
    <w:p w:rsidR="00000000" w:rsidRDefault="009012B9">
      <w:pPr>
        <w:divId w:val="1565141139"/>
        <w:rPr>
          <w:rFonts w:eastAsia="Times New Roman"/>
        </w:rPr>
      </w:pPr>
      <w:r>
        <w:rPr>
          <w:rFonts w:eastAsia="Times New Roman"/>
          <w:b/>
          <w:bCs/>
          <w:color w:val="000000"/>
          <w:sz w:val="20"/>
          <w:szCs w:val="20"/>
        </w:rPr>
        <w:t>Risks Related to Our Reliance on Third Parties</w:t>
      </w:r>
    </w:p>
    <w:p w:rsidR="00000000" w:rsidRDefault="009012B9">
      <w:pPr>
        <w:divId w:val="605043474"/>
        <w:rPr>
          <w:rFonts w:eastAsia="Times New Roman"/>
        </w:rPr>
      </w:pPr>
      <w:r>
        <w:rPr>
          <w:rFonts w:eastAsia="Times New Roman"/>
          <w:b/>
          <w:bCs/>
          <w:i/>
          <w:iCs/>
          <w:color w:val="000000"/>
          <w:sz w:val="20"/>
          <w:szCs w:val="20"/>
        </w:rPr>
        <w:t>We have entered into a collaboration agreement with Novartis for the development of PLN-1474 and may in the future seek to</w:t>
      </w:r>
      <w:r>
        <w:rPr>
          <w:rFonts w:eastAsia="Times New Roman"/>
          <w:b/>
          <w:bCs/>
          <w:i/>
          <w:iCs/>
          <w:color w:val="000000"/>
          <w:sz w:val="20"/>
          <w:szCs w:val="20"/>
        </w:rPr>
        <w:t xml:space="preserve"> enter into collaborations with third parties for the development and commercialization of other product candidates. If we fail to enter into such collaborations, or our collaborations are not successful, we may be unable to continue development of such pr</w:t>
      </w:r>
      <w:r>
        <w:rPr>
          <w:rFonts w:eastAsia="Times New Roman"/>
          <w:b/>
          <w:bCs/>
          <w:i/>
          <w:iCs/>
          <w:color w:val="000000"/>
          <w:sz w:val="20"/>
          <w:szCs w:val="20"/>
        </w:rPr>
        <w:t>oduct candidates, we would not receive any contemplated milestone payments or royalties, and we could fail to capitalize on the market potential of such product candidates.</w:t>
      </w:r>
    </w:p>
    <w:p w:rsidR="00000000" w:rsidRDefault="009012B9">
      <w:pPr>
        <w:ind w:firstLine="482"/>
        <w:divId w:val="1256018043"/>
        <w:rPr>
          <w:rFonts w:eastAsia="Times New Roman"/>
        </w:rPr>
      </w:pPr>
      <w:r>
        <w:rPr>
          <w:rFonts w:eastAsia="Times New Roman"/>
          <w:color w:val="000000"/>
          <w:sz w:val="20"/>
          <w:szCs w:val="20"/>
        </w:rPr>
        <w:t>In October 2019, we entered into a license and collaboration agreement with Novarti</w:t>
      </w:r>
      <w:r>
        <w:rPr>
          <w:rFonts w:eastAsia="Times New Roman"/>
          <w:color w:val="000000"/>
          <w:sz w:val="20"/>
          <w:szCs w:val="20"/>
        </w:rPr>
        <w:t>s for the development and commercialization of our then preclinical product candidate, PLN-1474 and up to three integrin research targets. In December 2019, we received an upfront license payment of $50.0 million for the worldwide exclusive license to PLN-</w:t>
      </w:r>
      <w:r>
        <w:rPr>
          <w:rFonts w:eastAsia="Times New Roman"/>
          <w:color w:val="000000"/>
          <w:sz w:val="20"/>
          <w:szCs w:val="20"/>
        </w:rPr>
        <w:t>1474 and, upon achievement of the first patient dosing milestone, received a payment of $25.0 million in the second quarter of 2020. Pursuant to the Novartis Agreement, we expect to receive research and development funding totaling $19.6 million for PLN-14</w:t>
      </w:r>
      <w:r>
        <w:rPr>
          <w:rFonts w:eastAsia="Times New Roman"/>
          <w:color w:val="000000"/>
          <w:sz w:val="20"/>
          <w:szCs w:val="20"/>
        </w:rPr>
        <w:t xml:space="preserve">74 development services and funding of up to $13.4 million for option research and development services on the integrin research targets. Additionally, we are eligible to receive additional developmental, regulatory and commercial milestone payments of up </w:t>
      </w:r>
      <w:r>
        <w:rPr>
          <w:rFonts w:eastAsia="Times New Roman"/>
          <w:color w:val="000000"/>
          <w:sz w:val="20"/>
          <w:szCs w:val="20"/>
        </w:rPr>
        <w:t>to $391.0 million if defined development, regulatory and commercialization milestones are achieved and tiered royalties, on a product-by-product basis based on annual nets sales of products, at percentages ranging from high-single digits to low teens of th</w:t>
      </w:r>
      <w:r>
        <w:rPr>
          <w:rFonts w:eastAsia="Times New Roman"/>
          <w:color w:val="000000"/>
          <w:sz w:val="20"/>
          <w:szCs w:val="20"/>
        </w:rPr>
        <w:t xml:space="preserve">e applicable licensed products and mid-single digits to high-single digits for any products resulting from the research programs. The IND for this candidate was transferred to Novartis in the first quarter of 2021, and Novartis will be responsible for all </w:t>
      </w:r>
      <w:r>
        <w:rPr>
          <w:rFonts w:eastAsia="Times New Roman"/>
          <w:color w:val="000000"/>
          <w:sz w:val="20"/>
          <w:szCs w:val="20"/>
        </w:rPr>
        <w:t xml:space="preserve">future PLN-1474 development, manufacturing, and commercialization activities. As a result, we are reliant on Novartis and its efforts and capabilities with respect to the advancement of this candidate. If we or our collaborators are unable to successfully </w:t>
      </w:r>
      <w:r>
        <w:rPr>
          <w:rFonts w:eastAsia="Times New Roman"/>
          <w:color w:val="000000"/>
          <w:sz w:val="20"/>
          <w:szCs w:val="20"/>
        </w:rPr>
        <w:t>advance the development of our product candidates, including PLN-1474, or achieve milestones, revenue and cash resources from milestone payments under our collaboration agreements will be substantially less than expected.</w:t>
      </w:r>
    </w:p>
    <w:p w:rsidR="00000000" w:rsidRDefault="009012B9">
      <w:pPr>
        <w:ind w:firstLine="482"/>
        <w:divId w:val="389887090"/>
        <w:rPr>
          <w:rFonts w:eastAsia="Times New Roman"/>
        </w:rPr>
      </w:pPr>
      <w:r>
        <w:rPr>
          <w:rFonts w:eastAsia="Times New Roman"/>
          <w:color w:val="000000"/>
          <w:sz w:val="20"/>
          <w:szCs w:val="20"/>
        </w:rPr>
        <w:t>In addition, to the extent that an</w:t>
      </w:r>
      <w:r>
        <w:rPr>
          <w:rFonts w:eastAsia="Times New Roman"/>
          <w:color w:val="000000"/>
          <w:sz w:val="20"/>
          <w:szCs w:val="20"/>
        </w:rPr>
        <w:t>y of our existing or future collaborators were to terminate a collaboration agreement, we may be forced to independently develop these product candidates, including funding preclinical or clinical trials, assuming marketing and distribution costs and defen</w:t>
      </w:r>
      <w:r>
        <w:rPr>
          <w:rFonts w:eastAsia="Times New Roman"/>
          <w:color w:val="000000"/>
          <w:sz w:val="20"/>
          <w:szCs w:val="20"/>
        </w:rPr>
        <w:t>ding intellectual property rights, or, in certain instances, abandon product candidates altogether, any of which could result in a change to our business plan and a material and adverse effect on our business, financial condition, results of operations and</w:t>
      </w:r>
      <w:r>
        <w:rPr>
          <w:rFonts w:eastAsia="Times New Roman"/>
          <w:color w:val="000000"/>
          <w:sz w:val="20"/>
          <w:szCs w:val="20"/>
        </w:rPr>
        <w:t xml:space="preserve"> prospects.</w:t>
      </w:r>
    </w:p>
    <w:p w:rsidR="00000000" w:rsidRDefault="009012B9">
      <w:pPr>
        <w:divId w:val="81801203"/>
        <w:rPr>
          <w:rFonts w:eastAsia="Times New Roman"/>
        </w:rPr>
      </w:pPr>
      <w:r>
        <w:rPr>
          <w:rFonts w:eastAsia="Times New Roman"/>
          <w:b/>
          <w:bCs/>
          <w:i/>
          <w:iCs/>
          <w:color w:val="000000"/>
          <w:sz w:val="20"/>
          <w:szCs w:val="20"/>
        </w:rPr>
        <w:t>We rely on third parties to conduct certain aspects of our preclinical studies and clinical trials. If these third parties do not successfully carry out their contractual duties, meet expected deadlines or comply with regulatory requirements, w</w:t>
      </w:r>
      <w:r>
        <w:rPr>
          <w:rFonts w:eastAsia="Times New Roman"/>
          <w:b/>
          <w:bCs/>
          <w:i/>
          <w:iCs/>
          <w:color w:val="000000"/>
          <w:sz w:val="20"/>
          <w:szCs w:val="20"/>
        </w:rPr>
        <w:t>e may not be able to obtain regulatory approval of or commercialize any potential product candidates.</w:t>
      </w:r>
    </w:p>
    <w:p w:rsidR="00000000" w:rsidRDefault="009012B9">
      <w:pPr>
        <w:ind w:firstLine="482"/>
        <w:divId w:val="640960368"/>
        <w:rPr>
          <w:rFonts w:eastAsia="Times New Roman"/>
        </w:rPr>
      </w:pPr>
      <w:r>
        <w:rPr>
          <w:rFonts w:eastAsia="Times New Roman"/>
          <w:color w:val="000000"/>
          <w:sz w:val="20"/>
          <w:szCs w:val="20"/>
        </w:rPr>
        <w:t>We depend upon third parties to conduct certain aspects of our preclinical studies and clinical trials, under agreements with universities, medical instit</w:t>
      </w:r>
      <w:r>
        <w:rPr>
          <w:rFonts w:eastAsia="Times New Roman"/>
          <w:color w:val="000000"/>
          <w:sz w:val="20"/>
          <w:szCs w:val="20"/>
        </w:rPr>
        <w:t>utions, CROs, strategic collaborators and others. We expect to have to negotiate budgets and contracts with such third parties, which may result in delays to our development timelines and increased costs.</w:t>
      </w:r>
    </w:p>
    <w:p w:rsidR="00000000" w:rsidRDefault="009012B9">
      <w:pPr>
        <w:ind w:firstLine="482"/>
        <w:divId w:val="623466083"/>
        <w:rPr>
          <w:rFonts w:eastAsia="Times New Roman"/>
        </w:rPr>
      </w:pPr>
      <w:r>
        <w:rPr>
          <w:rFonts w:eastAsia="Times New Roman"/>
          <w:color w:val="000000"/>
          <w:sz w:val="20"/>
          <w:szCs w:val="20"/>
        </w:rPr>
        <w:t>We will rely especially heavily on third parties ov</w:t>
      </w:r>
      <w:r>
        <w:rPr>
          <w:rFonts w:eastAsia="Times New Roman"/>
          <w:color w:val="000000"/>
          <w:sz w:val="20"/>
          <w:szCs w:val="20"/>
        </w:rPr>
        <w:t>er the course of our clinical trials, and, as a result, will have limited control over the clinical investigators and limited visibility into their day-to-day activities, including with respect to their compliance with the approved clinical protocol. Never</w:t>
      </w:r>
      <w:r>
        <w:rPr>
          <w:rFonts w:eastAsia="Times New Roman"/>
          <w:color w:val="000000"/>
          <w:sz w:val="20"/>
          <w:szCs w:val="20"/>
        </w:rPr>
        <w:t>theless, we are responsible for ensuring that each of our trials is conducted in accordance with the applicable protocol, legal and regulatory requirements and scientific standards, and our reliance on third parties does not relieve us of our regulatory re</w:t>
      </w:r>
      <w:r>
        <w:rPr>
          <w:rFonts w:eastAsia="Times New Roman"/>
          <w:color w:val="000000"/>
          <w:sz w:val="20"/>
          <w:szCs w:val="20"/>
        </w:rPr>
        <w:t>sponsibilities. We and these third parties are required to comply with GCP requirements, which are regulations and guidelines enforced by the FDA and comparable foreign regulatory authorities for product candidates in clinical development. Regulatory autho</w:t>
      </w:r>
      <w:r>
        <w:rPr>
          <w:rFonts w:eastAsia="Times New Roman"/>
          <w:color w:val="000000"/>
          <w:sz w:val="20"/>
          <w:szCs w:val="20"/>
        </w:rPr>
        <w:t>rities enforce these GCP requirements through periodic inspections of trial sponsors, clinical investigators and trial sites. If we or any of these third parties fail to comply with applicable GCP requirements, the clinical data generated in our clinical t</w:t>
      </w:r>
      <w:r>
        <w:rPr>
          <w:rFonts w:eastAsia="Times New Roman"/>
          <w:color w:val="000000"/>
          <w:sz w:val="20"/>
          <w:szCs w:val="20"/>
        </w:rPr>
        <w:t xml:space="preserve">rials may be deemed unreliable and the FDA or comparable foreign regulatory authorities may require us to suspend or terminate these trials or perform additional preclinical studies or clinical trials before approving our marketing applications. We cannot </w:t>
      </w:r>
      <w:r>
        <w:rPr>
          <w:rFonts w:eastAsia="Times New Roman"/>
          <w:color w:val="000000"/>
          <w:sz w:val="20"/>
          <w:szCs w:val="20"/>
        </w:rPr>
        <w:t>be certain that, upon inspection, such regulatory authorities will determine that any of our clinical trials comply with the GCP requirements.</w:t>
      </w:r>
    </w:p>
    <w:p w:rsidR="00000000" w:rsidRDefault="009012B9">
      <w:pPr>
        <w:ind w:firstLine="482"/>
        <w:divId w:val="1154835529"/>
        <w:rPr>
          <w:rFonts w:eastAsia="Times New Roman"/>
        </w:rPr>
      </w:pPr>
      <w:r>
        <w:rPr>
          <w:rFonts w:eastAsia="Times New Roman"/>
          <w:color w:val="000000"/>
          <w:sz w:val="20"/>
          <w:szCs w:val="20"/>
        </w:rPr>
        <w:t>Our failure or any failure by these third parties to comply with these regulations or to recruit a sufficient number of patients may require us to repeat clinical trials, which would delay the regulatory approval process. Moreover, our business may be impl</w:t>
      </w:r>
      <w:r>
        <w:rPr>
          <w:rFonts w:eastAsia="Times New Roman"/>
          <w:color w:val="000000"/>
          <w:sz w:val="20"/>
          <w:szCs w:val="20"/>
        </w:rPr>
        <w:t>icated if any of these third parties violates federal or state fraud and abuse or false claims laws and regulations or healthcare privacy and security laws.</w:t>
      </w:r>
    </w:p>
    <w:p w:rsidR="00000000" w:rsidRDefault="009012B9">
      <w:pPr>
        <w:jc w:val="center"/>
        <w:divId w:val="1793816674"/>
        <w:rPr>
          <w:rFonts w:eastAsia="Times New Roman"/>
        </w:rPr>
      </w:pPr>
      <w:r>
        <w:rPr>
          <w:rFonts w:eastAsia="Times New Roman"/>
          <w:color w:val="000000"/>
          <w:sz w:val="20"/>
          <w:szCs w:val="20"/>
        </w:rPr>
        <w:t>61</w:t>
      </w:r>
    </w:p>
    <w:p w:rsidR="00000000" w:rsidRDefault="009012B9">
      <w:pPr>
        <w:rPr>
          <w:rFonts w:eastAsia="Times New Roman"/>
        </w:rPr>
      </w:pPr>
      <w:r>
        <w:rPr>
          <w:rFonts w:eastAsia="Times New Roman"/>
        </w:rPr>
        <w:pict>
          <v:rect id="_x0000_i1085" style="width:0;height:1.5pt" o:hralign="center" o:hrstd="t" o:hr="t" fillcolor="#a0a0a0" stroked="f"/>
        </w:pict>
      </w:r>
    </w:p>
    <w:p w:rsidR="00000000" w:rsidRDefault="009012B9">
      <w:pPr>
        <w:divId w:val="1982153822"/>
        <w:rPr>
          <w:rFonts w:eastAsia="Times New Roman"/>
        </w:rPr>
      </w:pPr>
    </w:p>
    <w:p w:rsidR="00000000" w:rsidRDefault="009012B9">
      <w:pPr>
        <w:ind w:firstLine="482"/>
        <w:divId w:val="481698787"/>
        <w:rPr>
          <w:rFonts w:eastAsia="Times New Roman"/>
        </w:rPr>
      </w:pPr>
      <w:r>
        <w:rPr>
          <w:rFonts w:eastAsia="Times New Roman"/>
          <w:color w:val="000000"/>
          <w:sz w:val="20"/>
          <w:szCs w:val="20"/>
        </w:rPr>
        <w:t>Any third parties conducting aspects of our preclinical st</w:t>
      </w:r>
      <w:r>
        <w:rPr>
          <w:rFonts w:eastAsia="Times New Roman"/>
          <w:color w:val="000000"/>
          <w:sz w:val="20"/>
          <w:szCs w:val="20"/>
        </w:rPr>
        <w:t xml:space="preserve">udies or clinical trials will not be our employees and, except for remedies that may be available to us under our agreements with such third parties, we cannot control whether or not they devote sufficient time and resources to our preclinical studies and </w:t>
      </w:r>
      <w:r>
        <w:rPr>
          <w:rFonts w:eastAsia="Times New Roman"/>
          <w:color w:val="000000"/>
          <w:sz w:val="20"/>
          <w:szCs w:val="20"/>
        </w:rPr>
        <w:t>clinical programs. These third parties may also have relationships with other commercial entities, including our competitors, for whom they may also be conducting clinical trials or other product development activities, which could affect their performance</w:t>
      </w:r>
      <w:r>
        <w:rPr>
          <w:rFonts w:eastAsia="Times New Roman"/>
          <w:color w:val="000000"/>
          <w:sz w:val="20"/>
          <w:szCs w:val="20"/>
        </w:rPr>
        <w:t xml:space="preserve"> on our behalf. If these third parties do not successfully carry out their contractual duties or obligations or meet expected deadlines, if they need to be replaced or if the quality or accuracy of the preclinical or clinical data they obtain is compromise</w:t>
      </w:r>
      <w:r>
        <w:rPr>
          <w:rFonts w:eastAsia="Times New Roman"/>
          <w:color w:val="000000"/>
          <w:sz w:val="20"/>
          <w:szCs w:val="20"/>
        </w:rPr>
        <w:t>d due to the failure to adhere to our protocols or regulatory requirements or for other reasons or if due to federal or state orders or absenteeism due to the COVID-19 pandemic they are unable to meet their contractual and regulatory obligations, our devel</w:t>
      </w:r>
      <w:r>
        <w:rPr>
          <w:rFonts w:eastAsia="Times New Roman"/>
          <w:color w:val="000000"/>
          <w:sz w:val="20"/>
          <w:szCs w:val="20"/>
        </w:rPr>
        <w:t>opment timelines, including clinical development timelines, may be extended, delayed or terminated and we may not be able to complete development of, obtain regulatory approval of or successfully commercialize our product candidates. As a result, our finan</w:t>
      </w:r>
      <w:r>
        <w:rPr>
          <w:rFonts w:eastAsia="Times New Roman"/>
          <w:color w:val="000000"/>
          <w:sz w:val="20"/>
          <w:szCs w:val="20"/>
        </w:rPr>
        <w:t>cial results and the commercial prospects for our product candidates would be harmed, our costs could increase and our ability to generate revenue could be delayed.</w:t>
      </w:r>
    </w:p>
    <w:p w:rsidR="00000000" w:rsidRDefault="009012B9">
      <w:pPr>
        <w:ind w:firstLine="482"/>
        <w:divId w:val="1061517611"/>
        <w:rPr>
          <w:rFonts w:eastAsia="Times New Roman"/>
        </w:rPr>
      </w:pPr>
      <w:r>
        <w:rPr>
          <w:rFonts w:eastAsia="Times New Roman"/>
          <w:color w:val="000000"/>
          <w:sz w:val="20"/>
          <w:szCs w:val="20"/>
        </w:rPr>
        <w:t xml:space="preserve">If any of our relationships with these third-party CROs or others terminate, we may not be </w:t>
      </w:r>
      <w:r>
        <w:rPr>
          <w:rFonts w:eastAsia="Times New Roman"/>
          <w:color w:val="000000"/>
          <w:sz w:val="20"/>
          <w:szCs w:val="20"/>
        </w:rPr>
        <w:t>able to enter into arrangements with alternative CROs or other third parties or to do so on commercially reasonable terms.</w:t>
      </w:r>
    </w:p>
    <w:p w:rsidR="00000000" w:rsidRDefault="009012B9">
      <w:pPr>
        <w:ind w:firstLine="482"/>
        <w:divId w:val="318584738"/>
        <w:rPr>
          <w:rFonts w:eastAsia="Times New Roman"/>
        </w:rPr>
      </w:pPr>
      <w:r>
        <w:rPr>
          <w:rFonts w:eastAsia="Times New Roman"/>
          <w:color w:val="000000"/>
          <w:sz w:val="20"/>
          <w:szCs w:val="20"/>
        </w:rPr>
        <w:t xml:space="preserve">Switching or adding additional CROs involves additional cost and requires management time and focus. In addition, there is a natural </w:t>
      </w:r>
      <w:r>
        <w:rPr>
          <w:rFonts w:eastAsia="Times New Roman"/>
          <w:color w:val="000000"/>
          <w:sz w:val="20"/>
          <w:szCs w:val="20"/>
        </w:rPr>
        <w:t>transition period when a new CRO begins work. As a result, delays may occur, which can materially impact our ability to meet our desired development timelines. Though we carefully manage our relationships with our CROs, there can be no assurance that we wi</w:t>
      </w:r>
      <w:r>
        <w:rPr>
          <w:rFonts w:eastAsia="Times New Roman"/>
          <w:color w:val="000000"/>
          <w:sz w:val="20"/>
          <w:szCs w:val="20"/>
        </w:rPr>
        <w:t>ll not encounter similar challenges or delays in the future or that these delays or challenges will not have a material adverse impact on our business, financial condition and prospects.</w:t>
      </w:r>
    </w:p>
    <w:p w:rsidR="00000000" w:rsidRDefault="009012B9">
      <w:pPr>
        <w:divId w:val="1765028135"/>
        <w:rPr>
          <w:rFonts w:eastAsia="Times New Roman"/>
        </w:rPr>
      </w:pPr>
      <w:r>
        <w:rPr>
          <w:rFonts w:eastAsia="Times New Roman"/>
          <w:b/>
          <w:bCs/>
          <w:i/>
          <w:iCs/>
          <w:color w:val="000000"/>
          <w:sz w:val="20"/>
          <w:szCs w:val="20"/>
        </w:rPr>
        <w:t>We rely on third parties for tissue samples and other materials requi</w:t>
      </w:r>
      <w:r>
        <w:rPr>
          <w:rFonts w:eastAsia="Times New Roman"/>
          <w:b/>
          <w:bCs/>
          <w:i/>
          <w:iCs/>
          <w:color w:val="000000"/>
          <w:sz w:val="20"/>
          <w:szCs w:val="20"/>
        </w:rPr>
        <w:t>red for our research and development activities, and if we are unable to reach agreements with these third parties our research and development activities would be delayed.</w:t>
      </w:r>
    </w:p>
    <w:p w:rsidR="00000000" w:rsidRDefault="009012B9">
      <w:pPr>
        <w:ind w:firstLine="482"/>
        <w:divId w:val="1308704752"/>
        <w:rPr>
          <w:rFonts w:eastAsia="Times New Roman"/>
        </w:rPr>
      </w:pPr>
      <w:r>
        <w:rPr>
          <w:rFonts w:eastAsia="Times New Roman"/>
          <w:color w:val="000000"/>
          <w:sz w:val="20"/>
          <w:szCs w:val="20"/>
        </w:rPr>
        <w:t>We rely on third parties, primarily hospitals, health clinics and academic institut</w:t>
      </w:r>
      <w:r>
        <w:rPr>
          <w:rFonts w:eastAsia="Times New Roman"/>
          <w:color w:val="000000"/>
          <w:sz w:val="20"/>
          <w:szCs w:val="20"/>
        </w:rPr>
        <w:t>ions, for the provision of tissue samples and other materials required in our research and development activities. Obtaining these materials requires various approvals as well as reaching a commercial agreement on acceptable terms with the hospital or othe</w:t>
      </w:r>
      <w:r>
        <w:rPr>
          <w:rFonts w:eastAsia="Times New Roman"/>
          <w:color w:val="000000"/>
          <w:sz w:val="20"/>
          <w:szCs w:val="20"/>
        </w:rPr>
        <w:t xml:space="preserve">r provider of the materials. While we currently have agreements in place with the institutions from which we receive our tissue samples, we do not have any exclusive arrangements with such sources and there is no guarantee that we will be able to maintain </w:t>
      </w:r>
      <w:r>
        <w:rPr>
          <w:rFonts w:eastAsia="Times New Roman"/>
          <w:color w:val="000000"/>
          <w:sz w:val="20"/>
          <w:szCs w:val="20"/>
        </w:rPr>
        <w:t>or renew such agreements on commercially reasonable terms, if at all. If we were unable to maintain or renew such agreements, we would be forced to seek new arrangements with new hospitals, clinics or health institutions. If so, we may not be able to reach</w:t>
      </w:r>
      <w:r>
        <w:rPr>
          <w:rFonts w:eastAsia="Times New Roman"/>
          <w:color w:val="000000"/>
          <w:sz w:val="20"/>
          <w:szCs w:val="20"/>
        </w:rPr>
        <w:t xml:space="preserve"> agreements with alternative partners or do so on terms acceptable to us. If we are unable to enter into such agreements, our research and development activities will be delayed and our ability to implement a key part of our development strategy will be co</w:t>
      </w:r>
      <w:r>
        <w:rPr>
          <w:rFonts w:eastAsia="Times New Roman"/>
          <w:color w:val="000000"/>
          <w:sz w:val="20"/>
          <w:szCs w:val="20"/>
        </w:rPr>
        <w:t>mpromised.</w:t>
      </w:r>
    </w:p>
    <w:p w:rsidR="00000000" w:rsidRDefault="009012B9">
      <w:pPr>
        <w:divId w:val="2048752635"/>
        <w:rPr>
          <w:rFonts w:eastAsia="Times New Roman"/>
        </w:rPr>
      </w:pPr>
      <w:r>
        <w:rPr>
          <w:rFonts w:eastAsia="Times New Roman"/>
          <w:b/>
          <w:bCs/>
          <w:i/>
          <w:iCs/>
          <w:color w:val="000000"/>
          <w:sz w:val="20"/>
          <w:szCs w:val="20"/>
        </w:rPr>
        <w:t>Because we rely on third-party manufacturing and supply vendors, our supply of research and development, preclinical and clinical development materials may become limited or interrupted or may not be of satisfactory quantity or quality.</w:t>
      </w:r>
    </w:p>
    <w:p w:rsidR="00000000" w:rsidRDefault="009012B9">
      <w:pPr>
        <w:ind w:firstLine="482"/>
        <w:divId w:val="1891838034"/>
        <w:rPr>
          <w:rFonts w:eastAsia="Times New Roman"/>
        </w:rPr>
      </w:pPr>
      <w:r>
        <w:rPr>
          <w:rFonts w:eastAsia="Times New Roman"/>
          <w:color w:val="000000"/>
          <w:sz w:val="20"/>
          <w:szCs w:val="20"/>
        </w:rPr>
        <w:t xml:space="preserve">We rely </w:t>
      </w:r>
      <w:r>
        <w:rPr>
          <w:rFonts w:eastAsia="Times New Roman"/>
          <w:color w:val="000000"/>
          <w:sz w:val="20"/>
          <w:szCs w:val="20"/>
        </w:rPr>
        <w:t>on third-party contract manufacturers to manufacture our product candidates for preclinical studies and clinical trials. We do not own manufacturing facilities for producing any clinical trial product supplies. There can be no assurance that our preclinica</w:t>
      </w:r>
      <w:r>
        <w:rPr>
          <w:rFonts w:eastAsia="Times New Roman"/>
          <w:color w:val="000000"/>
          <w:sz w:val="20"/>
          <w:szCs w:val="20"/>
        </w:rPr>
        <w:t>l and clinical development product supplies will not be limited, interrupted, or of satisfactory quality or continue to be available at acceptable prices. For example, the extent to which the COVID-19 pandemic impacts our ability to procure sufficient supp</w:t>
      </w:r>
      <w:r>
        <w:rPr>
          <w:rFonts w:eastAsia="Times New Roman"/>
          <w:color w:val="000000"/>
          <w:sz w:val="20"/>
          <w:szCs w:val="20"/>
        </w:rPr>
        <w:t>lies for the development of our product candidates will depend on the severity and duration of the spread of the virus, and the actions undertaken to contain COVID-19 or treat its effects. In particular, any replacement of our manufacturer could require si</w:t>
      </w:r>
      <w:r>
        <w:rPr>
          <w:rFonts w:eastAsia="Times New Roman"/>
          <w:color w:val="000000"/>
          <w:sz w:val="20"/>
          <w:szCs w:val="20"/>
        </w:rPr>
        <w:t>gnificant effort and expertise because there may be a limited number of qualified replacements. In addition, three vaccines for COVID-19 were granted Emergency Use Authorization by the FDA in late 2020 and early 2021, and more are likely to be authorized i</w:t>
      </w:r>
      <w:r>
        <w:rPr>
          <w:rFonts w:eastAsia="Times New Roman"/>
          <w:color w:val="000000"/>
          <w:sz w:val="20"/>
          <w:szCs w:val="20"/>
        </w:rPr>
        <w:t>n the coming months. The resultant demand for vaccines and potential for manufacturing facilities and materials to be commandeered under the Defense Production Act of 1950, equivalent foreign legislation or heightened demand on manufacturers may make it mo</w:t>
      </w:r>
      <w:r>
        <w:rPr>
          <w:rFonts w:eastAsia="Times New Roman"/>
          <w:color w:val="000000"/>
          <w:sz w:val="20"/>
          <w:szCs w:val="20"/>
        </w:rPr>
        <w:t>re difficult to obtain materials or manufacturing slots for the products needed for our development efforts, which could lead to delays in our clinical trials and scientific development efforts.</w:t>
      </w:r>
    </w:p>
    <w:p w:rsidR="00000000" w:rsidRDefault="009012B9">
      <w:pPr>
        <w:ind w:firstLine="495"/>
        <w:divId w:val="1839881113"/>
        <w:rPr>
          <w:rFonts w:eastAsia="Times New Roman"/>
        </w:rPr>
      </w:pPr>
      <w:r>
        <w:rPr>
          <w:rFonts w:eastAsia="Times New Roman"/>
          <w:color w:val="000000"/>
          <w:sz w:val="20"/>
          <w:szCs w:val="20"/>
        </w:rPr>
        <w:t xml:space="preserve">The manufacturing process for a product candidate is subject </w:t>
      </w:r>
      <w:r>
        <w:rPr>
          <w:rFonts w:eastAsia="Times New Roman"/>
          <w:color w:val="000000"/>
          <w:sz w:val="20"/>
          <w:szCs w:val="20"/>
        </w:rPr>
        <w:t>to FDA and foreign regulatory authority review. Suppliers and manufacturers must meet applicable manufacturing requirements and undergo rigorous facility and process validation tests required by regulatory authorities in order to comply with regulatory sta</w:t>
      </w:r>
      <w:r>
        <w:rPr>
          <w:rFonts w:eastAsia="Times New Roman"/>
          <w:color w:val="000000"/>
          <w:sz w:val="20"/>
          <w:szCs w:val="20"/>
        </w:rPr>
        <w:t>ndards, such as cGMPs. In the event that any of our manufacturers fails to comply with such requirements or to perform its obligations to us in relation to quality, timing or otherwise, or if our supply of components or other materials becomes limited or i</w:t>
      </w:r>
      <w:r>
        <w:rPr>
          <w:rFonts w:eastAsia="Times New Roman"/>
          <w:color w:val="000000"/>
          <w:sz w:val="20"/>
          <w:szCs w:val="20"/>
        </w:rPr>
        <w:t>nterrupted for other reasons, we may be forced to manufacture the materials ourselves, for which we currently do not have the capabilities or resources, or enter into an agreement with another third-party, which we may not be able to do on reasonable terms</w:t>
      </w:r>
      <w:r>
        <w:rPr>
          <w:rFonts w:eastAsia="Times New Roman"/>
          <w:color w:val="000000"/>
          <w:sz w:val="20"/>
          <w:szCs w:val="20"/>
        </w:rPr>
        <w:t>, if at all. In some cases, the technical skills or technology required to manufacture our product candidates may be unique or proprietary to the original manufacturer and we may have difficulty transferring such skills or technology to another third-party</w:t>
      </w:r>
      <w:r>
        <w:rPr>
          <w:rFonts w:eastAsia="Times New Roman"/>
          <w:color w:val="000000"/>
          <w:sz w:val="20"/>
          <w:szCs w:val="20"/>
        </w:rPr>
        <w:t xml:space="preserve"> and a feasible alternative may not exist. </w:t>
      </w:r>
    </w:p>
    <w:p w:rsidR="00000000" w:rsidRDefault="009012B9">
      <w:pPr>
        <w:jc w:val="center"/>
        <w:divId w:val="472257143"/>
        <w:rPr>
          <w:rFonts w:eastAsia="Times New Roman"/>
        </w:rPr>
      </w:pPr>
      <w:r>
        <w:rPr>
          <w:rFonts w:eastAsia="Times New Roman"/>
          <w:color w:val="000000"/>
          <w:sz w:val="20"/>
          <w:szCs w:val="20"/>
        </w:rPr>
        <w:t>62</w:t>
      </w:r>
    </w:p>
    <w:p w:rsidR="00000000" w:rsidRDefault="009012B9">
      <w:pPr>
        <w:rPr>
          <w:rFonts w:eastAsia="Times New Roman"/>
        </w:rPr>
      </w:pPr>
      <w:r>
        <w:rPr>
          <w:rFonts w:eastAsia="Times New Roman"/>
        </w:rPr>
        <w:pict>
          <v:rect id="_x0000_i1086" style="width:0;height:1.5pt" o:hralign="center" o:hrstd="t" o:hr="t" fillcolor="#a0a0a0" stroked="f"/>
        </w:pict>
      </w:r>
    </w:p>
    <w:p w:rsidR="00000000" w:rsidRDefault="009012B9">
      <w:pPr>
        <w:divId w:val="1519541438"/>
        <w:rPr>
          <w:rFonts w:eastAsia="Times New Roman"/>
        </w:rPr>
      </w:pPr>
    </w:p>
    <w:p w:rsidR="00000000" w:rsidRDefault="009012B9">
      <w:pPr>
        <w:divId w:val="1152720683"/>
        <w:rPr>
          <w:rFonts w:eastAsia="Times New Roman"/>
        </w:rPr>
      </w:pPr>
      <w:r>
        <w:rPr>
          <w:rFonts w:eastAsia="Times New Roman"/>
          <w:color w:val="000000"/>
          <w:sz w:val="20"/>
          <w:szCs w:val="20"/>
        </w:rPr>
        <w:t>These factors would increase our reliance on such manufacturer or require us to obtain a license from such manufacturer in order to have another third-party manufacture our product candidates. If we are required to cha</w:t>
      </w:r>
      <w:r>
        <w:rPr>
          <w:rFonts w:eastAsia="Times New Roman"/>
          <w:color w:val="000000"/>
          <w:sz w:val="20"/>
          <w:szCs w:val="20"/>
        </w:rPr>
        <w:t>nge manufacturers for any reason, we will be required to verify that the new manufacturer maintains facilities and procedures that comply with quality standards and with all applicable regulations and guidelines. The delays associated with the verification</w:t>
      </w:r>
      <w:r>
        <w:rPr>
          <w:rFonts w:eastAsia="Times New Roman"/>
          <w:color w:val="000000"/>
          <w:sz w:val="20"/>
          <w:szCs w:val="20"/>
        </w:rPr>
        <w:t xml:space="preserve"> of a new manufacturer could negatively affect our ability to develop product candidates in a timely manner or within budget.</w:t>
      </w:r>
    </w:p>
    <w:p w:rsidR="00000000" w:rsidRDefault="009012B9">
      <w:pPr>
        <w:ind w:firstLine="495"/>
        <w:divId w:val="1379161195"/>
        <w:rPr>
          <w:rFonts w:eastAsia="Times New Roman"/>
        </w:rPr>
      </w:pPr>
      <w:r>
        <w:rPr>
          <w:rFonts w:eastAsia="Times New Roman"/>
          <w:color w:val="000000"/>
          <w:sz w:val="20"/>
          <w:szCs w:val="20"/>
        </w:rPr>
        <w:t>We expect to continue to rely on third-party manufacturers if we receive regulatory approval for PLN-74809 or any other product ca</w:t>
      </w:r>
      <w:r>
        <w:rPr>
          <w:rFonts w:eastAsia="Times New Roman"/>
          <w:color w:val="000000"/>
          <w:sz w:val="20"/>
          <w:szCs w:val="20"/>
        </w:rPr>
        <w:t>ndidate. To the extent that we have existing, or enter into future, manufacturing arrangements with third parties, we will depend on these third parties to perform their obligations in a timely manner consistent with contractual and regulatory requirements</w:t>
      </w:r>
      <w:r>
        <w:rPr>
          <w:rFonts w:eastAsia="Times New Roman"/>
          <w:color w:val="000000"/>
          <w:sz w:val="20"/>
          <w:szCs w:val="20"/>
        </w:rPr>
        <w:t>, including those related to quality control and assurance. If we are unable to obtain or maintain third-party manufacturing for product candidates, or to do so on commercially reasonable terms, we may not be able to develop and commercialize our product c</w:t>
      </w:r>
      <w:r>
        <w:rPr>
          <w:rFonts w:eastAsia="Times New Roman"/>
          <w:color w:val="000000"/>
          <w:sz w:val="20"/>
          <w:szCs w:val="20"/>
        </w:rPr>
        <w:t>andidates successfully. Our or a third-party’s failure to execute on our manufacturing requirements and comply with cGMP could adversely affect our business in a number of ways, including:</w:t>
      </w:r>
    </w:p>
    <w:p w:rsidR="00000000" w:rsidRDefault="009012B9">
      <w:pPr>
        <w:ind w:hanging="480"/>
        <w:divId w:val="767429146"/>
        <w:rPr>
          <w:rFonts w:eastAsia="Times New Roman"/>
        </w:rPr>
      </w:pPr>
      <w:r>
        <w:rPr>
          <w:rFonts w:eastAsia="Times New Roman"/>
          <w:color w:val="000000"/>
          <w:sz w:val="20"/>
          <w:szCs w:val="20"/>
        </w:rPr>
        <w:t>•an inability to initiate or continue clinical trials of product ca</w:t>
      </w:r>
      <w:r>
        <w:rPr>
          <w:rFonts w:eastAsia="Times New Roman"/>
          <w:color w:val="000000"/>
          <w:sz w:val="20"/>
          <w:szCs w:val="20"/>
        </w:rPr>
        <w:t>ndidates under development;</w:t>
      </w:r>
    </w:p>
    <w:p w:rsidR="00000000" w:rsidRDefault="009012B9">
      <w:pPr>
        <w:ind w:hanging="480"/>
        <w:divId w:val="545869689"/>
        <w:rPr>
          <w:rFonts w:eastAsia="Times New Roman"/>
        </w:rPr>
      </w:pPr>
      <w:r>
        <w:rPr>
          <w:rFonts w:eastAsia="Times New Roman"/>
          <w:color w:val="000000"/>
          <w:sz w:val="20"/>
          <w:szCs w:val="20"/>
        </w:rPr>
        <w:t>•delay in submitting regulatory applications, or receiving regulatory approvals, for product candidates;</w:t>
      </w:r>
    </w:p>
    <w:p w:rsidR="00000000" w:rsidRDefault="009012B9">
      <w:pPr>
        <w:ind w:hanging="480"/>
        <w:divId w:val="129591975"/>
        <w:rPr>
          <w:rFonts w:eastAsia="Times New Roman"/>
        </w:rPr>
      </w:pPr>
      <w:r>
        <w:rPr>
          <w:rFonts w:eastAsia="Times New Roman"/>
          <w:color w:val="000000"/>
          <w:sz w:val="20"/>
          <w:szCs w:val="20"/>
        </w:rPr>
        <w:t>•loss of the cooperation of an existing or future collaborator;</w:t>
      </w:r>
    </w:p>
    <w:p w:rsidR="00000000" w:rsidRDefault="009012B9">
      <w:pPr>
        <w:ind w:hanging="480"/>
        <w:divId w:val="893738269"/>
        <w:rPr>
          <w:rFonts w:eastAsia="Times New Roman"/>
        </w:rPr>
      </w:pPr>
      <w:r>
        <w:rPr>
          <w:rFonts w:eastAsia="Times New Roman"/>
          <w:color w:val="000000"/>
          <w:sz w:val="20"/>
          <w:szCs w:val="20"/>
        </w:rPr>
        <w:t>•subjecting third-party manufacturing facilities or our man</w:t>
      </w:r>
      <w:r>
        <w:rPr>
          <w:rFonts w:eastAsia="Times New Roman"/>
          <w:color w:val="000000"/>
          <w:sz w:val="20"/>
          <w:szCs w:val="20"/>
        </w:rPr>
        <w:t>ufacturing facilities to additional inspections by regulatory authorities;</w:t>
      </w:r>
    </w:p>
    <w:p w:rsidR="00000000" w:rsidRDefault="009012B9">
      <w:pPr>
        <w:ind w:hanging="480"/>
        <w:divId w:val="1306935712"/>
        <w:rPr>
          <w:rFonts w:eastAsia="Times New Roman"/>
        </w:rPr>
      </w:pPr>
      <w:r>
        <w:rPr>
          <w:rFonts w:eastAsia="Times New Roman"/>
          <w:color w:val="000000"/>
          <w:sz w:val="20"/>
          <w:szCs w:val="20"/>
        </w:rPr>
        <w:t>•requirements to cease distribution or to recall batches of our product candidates; and</w:t>
      </w:r>
    </w:p>
    <w:p w:rsidR="00000000" w:rsidRDefault="009012B9">
      <w:pPr>
        <w:ind w:hanging="480"/>
        <w:divId w:val="807236495"/>
        <w:rPr>
          <w:rFonts w:eastAsia="Times New Roman"/>
        </w:rPr>
      </w:pPr>
      <w:r>
        <w:rPr>
          <w:rFonts w:eastAsia="Times New Roman"/>
          <w:color w:val="000000"/>
          <w:sz w:val="20"/>
          <w:szCs w:val="20"/>
        </w:rPr>
        <w:t>•in the event of approval to market and commercialize a product candidate, an inability to me</w:t>
      </w:r>
      <w:r>
        <w:rPr>
          <w:rFonts w:eastAsia="Times New Roman"/>
          <w:color w:val="000000"/>
          <w:sz w:val="20"/>
          <w:szCs w:val="20"/>
        </w:rPr>
        <w:t>et commercial demands for our products.</w:t>
      </w:r>
    </w:p>
    <w:p w:rsidR="00000000" w:rsidRDefault="009012B9">
      <w:pPr>
        <w:ind w:firstLine="482"/>
        <w:divId w:val="1563953300"/>
        <w:rPr>
          <w:rFonts w:eastAsia="Times New Roman"/>
        </w:rPr>
      </w:pPr>
      <w:r>
        <w:rPr>
          <w:rFonts w:eastAsia="Times New Roman"/>
          <w:color w:val="000000"/>
          <w:sz w:val="20"/>
          <w:szCs w:val="20"/>
        </w:rPr>
        <w:t xml:space="preserve">We rely on a sole supplier for the manufacture of PLN-74809. If this sole supplier is unable to supply to us in the quantities we require, or at all, or otherwise defaults on its supply obligations to us, we may not </w:t>
      </w:r>
      <w:r>
        <w:rPr>
          <w:rFonts w:eastAsia="Times New Roman"/>
          <w:color w:val="000000"/>
          <w:sz w:val="20"/>
          <w:szCs w:val="20"/>
        </w:rPr>
        <w:t>be able to obtain alternative supplies from other suppliers on acceptable terms, in a timely manner, or at all. We also do not have long-term supply agreements with any of our suppliers. Our current contracts with certain suppliers may be canceled or not e</w:t>
      </w:r>
      <w:r>
        <w:rPr>
          <w:rFonts w:eastAsia="Times New Roman"/>
          <w:color w:val="000000"/>
          <w:sz w:val="20"/>
          <w:szCs w:val="20"/>
        </w:rPr>
        <w:t>xtended by such suppliers and, therefore, do not afford us with protection against a reduction or interruption in supplies. Moreover, in the event any of these suppliers breach their contracts with us, our legal remedies associated with such a breach may b</w:t>
      </w:r>
      <w:r>
        <w:rPr>
          <w:rFonts w:eastAsia="Times New Roman"/>
          <w:color w:val="000000"/>
          <w:sz w:val="20"/>
          <w:szCs w:val="20"/>
        </w:rPr>
        <w:t>e insufficient to compensate us for any damages we may suffer.</w:t>
      </w:r>
    </w:p>
    <w:p w:rsidR="00000000" w:rsidRDefault="009012B9">
      <w:pPr>
        <w:ind w:firstLine="482"/>
        <w:divId w:val="710886080"/>
        <w:rPr>
          <w:rFonts w:eastAsia="Times New Roman"/>
        </w:rPr>
      </w:pPr>
      <w:r>
        <w:rPr>
          <w:rFonts w:eastAsia="Times New Roman"/>
          <w:color w:val="000000"/>
          <w:sz w:val="20"/>
          <w:szCs w:val="20"/>
        </w:rPr>
        <w:t xml:space="preserve">In addition, we contract with fill and finishing providers with the appropriate expertise, facilities and scale to meet our needs. Failure to maintain cGMP can result in a contractor receiving </w:t>
      </w:r>
      <w:r>
        <w:rPr>
          <w:rFonts w:eastAsia="Times New Roman"/>
          <w:color w:val="000000"/>
          <w:sz w:val="20"/>
          <w:szCs w:val="20"/>
        </w:rPr>
        <w:t>FDA sanctions, which can impact our ability to operate or lead to delays in any clinical development programs. We believe that our current fill and finish contractor is operating in accordance with cGMP, but we can give no assurance that FDA or other regul</w:t>
      </w:r>
      <w:r>
        <w:rPr>
          <w:rFonts w:eastAsia="Times New Roman"/>
          <w:color w:val="000000"/>
          <w:sz w:val="20"/>
          <w:szCs w:val="20"/>
        </w:rPr>
        <w:t>atory agencies will not conclude that a lack of compliance exists. In addition, any delay in contracting for fill and finish services, or failure of the contract manufacturer to perform the services as needed, may delay any clinical trials, registration an</w:t>
      </w:r>
      <w:r>
        <w:rPr>
          <w:rFonts w:eastAsia="Times New Roman"/>
          <w:color w:val="000000"/>
          <w:sz w:val="20"/>
          <w:szCs w:val="20"/>
        </w:rPr>
        <w:t>d launches, which could negatively affect our business. In the future, if we advance a biological product candidate into IND-enabling studies, we will need to identify and contract with suppliers who are able to produce biological product candidates and ad</w:t>
      </w:r>
      <w:r>
        <w:rPr>
          <w:rFonts w:eastAsia="Times New Roman"/>
          <w:color w:val="000000"/>
          <w:sz w:val="20"/>
          <w:szCs w:val="20"/>
        </w:rPr>
        <w:t>here to additional cGMP compliance obligations required for biologicals.</w:t>
      </w:r>
    </w:p>
    <w:p w:rsidR="00000000" w:rsidRDefault="009012B9">
      <w:pPr>
        <w:divId w:val="1701660578"/>
        <w:rPr>
          <w:rFonts w:eastAsia="Times New Roman"/>
        </w:rPr>
      </w:pPr>
      <w:r>
        <w:rPr>
          <w:rFonts w:eastAsia="Times New Roman"/>
          <w:b/>
          <w:bCs/>
          <w:i/>
          <w:iCs/>
          <w:color w:val="000000"/>
          <w:sz w:val="20"/>
          <w:szCs w:val="20"/>
        </w:rPr>
        <w:t xml:space="preserve">Our existing collaborations and future collaborations are and will be important to our business. If we are unable to enter into new collaborations, or if these collaborations are not </w:t>
      </w:r>
      <w:r>
        <w:rPr>
          <w:rFonts w:eastAsia="Times New Roman"/>
          <w:b/>
          <w:bCs/>
          <w:i/>
          <w:iCs/>
          <w:color w:val="000000"/>
          <w:sz w:val="20"/>
          <w:szCs w:val="20"/>
        </w:rPr>
        <w:t>successful, our business could be adversely affected.</w:t>
      </w:r>
    </w:p>
    <w:p w:rsidR="00000000" w:rsidRDefault="009012B9">
      <w:pPr>
        <w:ind w:firstLine="482"/>
        <w:divId w:val="477721472"/>
        <w:rPr>
          <w:rFonts w:eastAsia="Times New Roman"/>
        </w:rPr>
      </w:pPr>
      <w:r>
        <w:rPr>
          <w:rFonts w:eastAsia="Times New Roman"/>
          <w:color w:val="000000"/>
          <w:sz w:val="20"/>
          <w:szCs w:val="20"/>
        </w:rPr>
        <w:t>A part of our strategy is to selectively evaluate partnerships in indications and geographies where we believe partners can add significant commercial and/or development capabilities. Further, we have l</w:t>
      </w:r>
      <w:r>
        <w:rPr>
          <w:rFonts w:eastAsia="Times New Roman"/>
          <w:color w:val="000000"/>
          <w:sz w:val="20"/>
          <w:szCs w:val="20"/>
        </w:rPr>
        <w:t>imited capabilities for product development and do not yet have any capability for commercialization. Accordingly, we have and may in the future enter into collaborations with other companies to provide us with important technologies and funding for our pr</w:t>
      </w:r>
      <w:r>
        <w:rPr>
          <w:rFonts w:eastAsia="Times New Roman"/>
          <w:color w:val="000000"/>
          <w:sz w:val="20"/>
          <w:szCs w:val="20"/>
        </w:rPr>
        <w:t>ograms and technology.</w:t>
      </w:r>
    </w:p>
    <w:p w:rsidR="00000000" w:rsidRDefault="009012B9">
      <w:pPr>
        <w:ind w:firstLine="482"/>
        <w:divId w:val="793862896"/>
        <w:rPr>
          <w:rFonts w:eastAsia="Times New Roman"/>
        </w:rPr>
      </w:pPr>
      <w:r>
        <w:rPr>
          <w:rFonts w:eastAsia="Times New Roman"/>
          <w:color w:val="000000"/>
          <w:sz w:val="20"/>
          <w:szCs w:val="20"/>
        </w:rPr>
        <w:t>Our existing collaborations and any future collaborations we enter into may pose a number of risks, including the following:</w:t>
      </w:r>
    </w:p>
    <w:p w:rsidR="00000000" w:rsidRDefault="009012B9">
      <w:pPr>
        <w:ind w:hanging="480"/>
        <w:divId w:val="1233274202"/>
        <w:rPr>
          <w:rFonts w:eastAsia="Times New Roman"/>
        </w:rPr>
      </w:pPr>
      <w:r>
        <w:rPr>
          <w:rFonts w:eastAsia="Times New Roman"/>
          <w:color w:val="000000"/>
          <w:sz w:val="20"/>
          <w:szCs w:val="20"/>
        </w:rPr>
        <w:t>•collaborators have significant discretion in determining the efforts and resources that they will apply;</w:t>
      </w:r>
    </w:p>
    <w:p w:rsidR="00000000" w:rsidRDefault="009012B9">
      <w:pPr>
        <w:ind w:hanging="480"/>
        <w:divId w:val="980886441"/>
        <w:rPr>
          <w:rFonts w:eastAsia="Times New Roman"/>
        </w:rPr>
      </w:pPr>
      <w:r>
        <w:rPr>
          <w:rFonts w:eastAsia="Times New Roman"/>
          <w:color w:val="000000"/>
          <w:sz w:val="20"/>
          <w:szCs w:val="20"/>
        </w:rPr>
        <w:t>•c</w:t>
      </w:r>
      <w:r>
        <w:rPr>
          <w:rFonts w:eastAsia="Times New Roman"/>
          <w:color w:val="000000"/>
          <w:sz w:val="20"/>
          <w:szCs w:val="20"/>
        </w:rPr>
        <w:t>ollaborators may not perform their obligations as expected;</w:t>
      </w:r>
    </w:p>
    <w:p w:rsidR="00000000" w:rsidRDefault="009012B9">
      <w:pPr>
        <w:ind w:hanging="480"/>
        <w:divId w:val="223684278"/>
        <w:rPr>
          <w:rFonts w:eastAsia="Times New Roman"/>
        </w:rPr>
      </w:pPr>
      <w:r>
        <w:rPr>
          <w:rFonts w:eastAsia="Times New Roman"/>
          <w:color w:val="000000"/>
          <w:sz w:val="20"/>
          <w:szCs w:val="20"/>
        </w:rPr>
        <w:t>•collaborators may not pursue development and commercialization of any product candidates that achieve regulatory approval or may elect not to continue or renew development or commercialization pr</w:t>
      </w:r>
      <w:r>
        <w:rPr>
          <w:rFonts w:eastAsia="Times New Roman"/>
          <w:color w:val="000000"/>
          <w:sz w:val="20"/>
          <w:szCs w:val="20"/>
        </w:rPr>
        <w:t>ograms or license arrangements based on clinical trial results, changes in the collaborators’ strategic focus or available funding, or external factors, such as a strategic transaction that may divert resources or create competing priorities;</w:t>
      </w:r>
    </w:p>
    <w:p w:rsidR="00000000" w:rsidRDefault="009012B9">
      <w:pPr>
        <w:jc w:val="center"/>
        <w:divId w:val="358242890"/>
        <w:rPr>
          <w:rFonts w:eastAsia="Times New Roman"/>
        </w:rPr>
      </w:pPr>
      <w:r>
        <w:rPr>
          <w:rFonts w:eastAsia="Times New Roman"/>
          <w:color w:val="000000"/>
          <w:sz w:val="20"/>
          <w:szCs w:val="20"/>
        </w:rPr>
        <w:t>63</w:t>
      </w:r>
    </w:p>
    <w:p w:rsidR="00000000" w:rsidRDefault="009012B9">
      <w:pPr>
        <w:rPr>
          <w:rFonts w:eastAsia="Times New Roman"/>
        </w:rPr>
      </w:pPr>
      <w:r>
        <w:rPr>
          <w:rFonts w:eastAsia="Times New Roman"/>
        </w:rPr>
        <w:pict>
          <v:rect id="_x0000_i1087" style="width:0;height:1.5pt" o:hralign="center" o:hrstd="t" o:hr="t" fillcolor="#a0a0a0" stroked="f"/>
        </w:pict>
      </w:r>
    </w:p>
    <w:p w:rsidR="00000000" w:rsidRDefault="009012B9">
      <w:pPr>
        <w:divId w:val="359820412"/>
        <w:rPr>
          <w:rFonts w:eastAsia="Times New Roman"/>
        </w:rPr>
      </w:pPr>
    </w:p>
    <w:p w:rsidR="00000000" w:rsidRDefault="009012B9">
      <w:pPr>
        <w:ind w:hanging="480"/>
        <w:divId w:val="1501506301"/>
        <w:rPr>
          <w:rFonts w:eastAsia="Times New Roman"/>
        </w:rPr>
      </w:pPr>
      <w:r>
        <w:rPr>
          <w:rFonts w:eastAsia="Times New Roman"/>
          <w:color w:val="000000"/>
          <w:sz w:val="20"/>
          <w:szCs w:val="20"/>
        </w:rPr>
        <w:t>•collaborators may delay clinical trials, provide insufficient funding for a clinical trial program, stop a clinical trial or abandon a product candidate, repeat or conduct new clinical trials or require a new formulation of a p</w:t>
      </w:r>
      <w:r>
        <w:rPr>
          <w:rFonts w:eastAsia="Times New Roman"/>
          <w:color w:val="000000"/>
          <w:sz w:val="20"/>
          <w:szCs w:val="20"/>
        </w:rPr>
        <w:t>roduct candidate for clinical testing;</w:t>
      </w:r>
    </w:p>
    <w:p w:rsidR="00000000" w:rsidRDefault="009012B9">
      <w:pPr>
        <w:ind w:hanging="480"/>
        <w:divId w:val="1161310681"/>
        <w:rPr>
          <w:rFonts w:eastAsia="Times New Roman"/>
        </w:rPr>
      </w:pPr>
      <w:r>
        <w:rPr>
          <w:rFonts w:eastAsia="Times New Roman"/>
          <w:color w:val="000000"/>
          <w:sz w:val="20"/>
          <w:szCs w:val="20"/>
        </w:rPr>
        <w:t>•collaborators could independently develop, or develop with third parties, products that compete directly or indirectly with our products and product candidates if the collaborators believe that the competitive produc</w:t>
      </w:r>
      <w:r>
        <w:rPr>
          <w:rFonts w:eastAsia="Times New Roman"/>
          <w:color w:val="000000"/>
          <w:sz w:val="20"/>
          <w:szCs w:val="20"/>
        </w:rPr>
        <w:t>ts are more likely to be successfully developed or can be commercialized under terms that are more economically attractive than ours;</w:t>
      </w:r>
    </w:p>
    <w:p w:rsidR="00000000" w:rsidRDefault="009012B9">
      <w:pPr>
        <w:ind w:hanging="480"/>
        <w:divId w:val="2004772429"/>
        <w:rPr>
          <w:rFonts w:eastAsia="Times New Roman"/>
        </w:rPr>
      </w:pPr>
      <w:r>
        <w:rPr>
          <w:rFonts w:eastAsia="Times New Roman"/>
          <w:color w:val="000000"/>
          <w:sz w:val="20"/>
          <w:szCs w:val="20"/>
        </w:rPr>
        <w:t>•product candidates discovered in collaboration with us may be viewed by our collaborators as competitive with their own p</w:t>
      </w:r>
      <w:r>
        <w:rPr>
          <w:rFonts w:eastAsia="Times New Roman"/>
          <w:color w:val="000000"/>
          <w:sz w:val="20"/>
          <w:szCs w:val="20"/>
        </w:rPr>
        <w:t>roduct candidates or products, which may cause collaborators to cease to devote resources to the commercialization of our product candidates;</w:t>
      </w:r>
    </w:p>
    <w:p w:rsidR="00000000" w:rsidRDefault="009012B9">
      <w:pPr>
        <w:ind w:hanging="480"/>
        <w:divId w:val="755327864"/>
        <w:rPr>
          <w:rFonts w:eastAsia="Times New Roman"/>
        </w:rPr>
      </w:pPr>
      <w:r>
        <w:rPr>
          <w:rFonts w:eastAsia="Times New Roman"/>
          <w:color w:val="000000"/>
          <w:sz w:val="20"/>
          <w:szCs w:val="20"/>
        </w:rPr>
        <w:t xml:space="preserve">•collaborators may fail to comply with applicable regulatory requirements regarding the development, manufacture, </w:t>
      </w:r>
      <w:r>
        <w:rPr>
          <w:rFonts w:eastAsia="Times New Roman"/>
          <w:color w:val="000000"/>
          <w:sz w:val="20"/>
          <w:szCs w:val="20"/>
        </w:rPr>
        <w:t>distribution or marketing of a product candidate or product;</w:t>
      </w:r>
    </w:p>
    <w:p w:rsidR="00000000" w:rsidRDefault="009012B9">
      <w:pPr>
        <w:ind w:hanging="480"/>
        <w:divId w:val="277838508"/>
        <w:rPr>
          <w:rFonts w:eastAsia="Times New Roman"/>
        </w:rPr>
      </w:pPr>
      <w:r>
        <w:rPr>
          <w:rFonts w:eastAsia="Times New Roman"/>
          <w:color w:val="000000"/>
          <w:sz w:val="20"/>
          <w:szCs w:val="20"/>
        </w:rPr>
        <w:t>•</w:t>
      </w:r>
      <w:r>
        <w:rPr>
          <w:rFonts w:eastAsia="Times New Roman"/>
          <w:color w:val="000000"/>
          <w:sz w:val="20"/>
          <w:szCs w:val="20"/>
        </w:rPr>
        <w:t>collaborators with marketing and distribution rights to one or more of our product candidates that achieve regulatory approval may not commit sufficient resources to the marketing and distribution of such product or products;</w:t>
      </w:r>
    </w:p>
    <w:p w:rsidR="00000000" w:rsidRDefault="009012B9">
      <w:pPr>
        <w:ind w:hanging="480"/>
        <w:divId w:val="868103159"/>
        <w:rPr>
          <w:rFonts w:eastAsia="Times New Roman"/>
        </w:rPr>
      </w:pPr>
      <w:r>
        <w:rPr>
          <w:rFonts w:eastAsia="Times New Roman"/>
          <w:color w:val="000000"/>
          <w:sz w:val="20"/>
          <w:szCs w:val="20"/>
        </w:rPr>
        <w:t>•collaborators may not provide</w:t>
      </w:r>
      <w:r>
        <w:rPr>
          <w:rFonts w:eastAsia="Times New Roman"/>
          <w:color w:val="000000"/>
          <w:sz w:val="20"/>
          <w:szCs w:val="20"/>
        </w:rPr>
        <w:t xml:space="preserve"> us with timely and accurate information regarding development progress and activity under any future license agreement, which could adversely impact our ability to report progress to our investors and otherwise plan development of our product candidates;</w:t>
      </w:r>
    </w:p>
    <w:p w:rsidR="00000000" w:rsidRDefault="009012B9">
      <w:pPr>
        <w:ind w:hanging="480"/>
        <w:divId w:val="804737758"/>
        <w:rPr>
          <w:rFonts w:eastAsia="Times New Roman"/>
        </w:rPr>
      </w:pPr>
      <w:r>
        <w:rPr>
          <w:rFonts w:eastAsia="Times New Roman"/>
          <w:color w:val="000000"/>
          <w:sz w:val="20"/>
          <w:szCs w:val="20"/>
        </w:rPr>
        <w:t xml:space="preserve">•disagreements with collaborators, including disagreements over proprietary rights, contract interpretation or the preferred course of development, might cause delays or terminations of the research, development or commercialization of product candidates, </w:t>
      </w:r>
      <w:r>
        <w:rPr>
          <w:rFonts w:eastAsia="Times New Roman"/>
          <w:color w:val="000000"/>
          <w:sz w:val="20"/>
          <w:szCs w:val="20"/>
        </w:rPr>
        <w:t>might lead to additional responsibilities for us with respect to product candidates, or might result in litigation or arbitration, any of which would be time-consuming and expensive;</w:t>
      </w:r>
    </w:p>
    <w:p w:rsidR="00000000" w:rsidRDefault="009012B9">
      <w:pPr>
        <w:ind w:hanging="480"/>
        <w:divId w:val="589856676"/>
        <w:rPr>
          <w:rFonts w:eastAsia="Times New Roman"/>
        </w:rPr>
      </w:pPr>
      <w:r>
        <w:rPr>
          <w:rFonts w:eastAsia="Times New Roman"/>
          <w:color w:val="000000"/>
          <w:sz w:val="20"/>
          <w:szCs w:val="20"/>
        </w:rPr>
        <w:t>•collaborators may not properly maintain or defend our intellectual prope</w:t>
      </w:r>
      <w:r>
        <w:rPr>
          <w:rFonts w:eastAsia="Times New Roman"/>
          <w:color w:val="000000"/>
          <w:sz w:val="20"/>
          <w:szCs w:val="20"/>
        </w:rPr>
        <w:t>rty rights or may use our proprietary information in such a way as to invite litigation that could jeopardize or invalidate our intellectual property or proprietary information or expose us to potential litigation;</w:t>
      </w:r>
    </w:p>
    <w:p w:rsidR="00000000" w:rsidRDefault="009012B9">
      <w:pPr>
        <w:ind w:hanging="480"/>
        <w:divId w:val="1795950040"/>
        <w:rPr>
          <w:rFonts w:eastAsia="Times New Roman"/>
        </w:rPr>
      </w:pPr>
      <w:r>
        <w:rPr>
          <w:rFonts w:eastAsia="Times New Roman"/>
          <w:color w:val="000000"/>
          <w:sz w:val="20"/>
          <w:szCs w:val="20"/>
        </w:rPr>
        <w:t>•collaborators may infringe the intellect</w:t>
      </w:r>
      <w:r>
        <w:rPr>
          <w:rFonts w:eastAsia="Times New Roman"/>
          <w:color w:val="000000"/>
          <w:sz w:val="20"/>
          <w:szCs w:val="20"/>
        </w:rPr>
        <w:t>ual property rights of third parties, which may expose us to litigation and potential liability;</w:t>
      </w:r>
    </w:p>
    <w:p w:rsidR="00000000" w:rsidRDefault="009012B9">
      <w:pPr>
        <w:ind w:hanging="480"/>
        <w:divId w:val="981499370"/>
        <w:rPr>
          <w:rFonts w:eastAsia="Times New Roman"/>
        </w:rPr>
      </w:pPr>
      <w:r>
        <w:rPr>
          <w:rFonts w:eastAsia="Times New Roman"/>
          <w:color w:val="000000"/>
          <w:sz w:val="20"/>
          <w:szCs w:val="20"/>
        </w:rPr>
        <w:t>•</w:t>
      </w:r>
      <w:r>
        <w:rPr>
          <w:rFonts w:eastAsia="Times New Roman"/>
          <w:color w:val="000000"/>
          <w:sz w:val="20"/>
          <w:szCs w:val="20"/>
        </w:rPr>
        <w:t>if a collaborator of ours is involved in a business combination, the collaborator might deemphasize or terminate the development or commercialization of any product candidate licensed to it by us; and</w:t>
      </w:r>
    </w:p>
    <w:p w:rsidR="00000000" w:rsidRDefault="009012B9">
      <w:pPr>
        <w:ind w:hanging="480"/>
        <w:divId w:val="915475621"/>
        <w:rPr>
          <w:rFonts w:eastAsia="Times New Roman"/>
        </w:rPr>
      </w:pPr>
      <w:r>
        <w:rPr>
          <w:rFonts w:eastAsia="Times New Roman"/>
          <w:color w:val="000000"/>
          <w:sz w:val="20"/>
          <w:szCs w:val="20"/>
        </w:rPr>
        <w:t xml:space="preserve">•collaborations may be terminated by the collaborator, </w:t>
      </w:r>
      <w:r>
        <w:rPr>
          <w:rFonts w:eastAsia="Times New Roman"/>
          <w:color w:val="000000"/>
          <w:sz w:val="20"/>
          <w:szCs w:val="20"/>
        </w:rPr>
        <w:t>and, if terminated, we could be required to raise additional capital to pursue further development or commercialization of the applicable product candidates.</w:t>
      </w:r>
    </w:p>
    <w:p w:rsidR="00000000" w:rsidRDefault="009012B9">
      <w:pPr>
        <w:ind w:firstLine="482"/>
        <w:divId w:val="277686031"/>
        <w:rPr>
          <w:rFonts w:eastAsia="Times New Roman"/>
        </w:rPr>
      </w:pPr>
      <w:r>
        <w:rPr>
          <w:rFonts w:eastAsia="Times New Roman"/>
          <w:color w:val="000000"/>
          <w:sz w:val="20"/>
          <w:szCs w:val="20"/>
        </w:rPr>
        <w:t>If our existing collaborations and any future collaborations we enter into do not result in the su</w:t>
      </w:r>
      <w:r>
        <w:rPr>
          <w:rFonts w:eastAsia="Times New Roman"/>
          <w:color w:val="000000"/>
          <w:sz w:val="20"/>
          <w:szCs w:val="20"/>
        </w:rPr>
        <w:t>ccessful discovery, development and commercialization of product candidates or if one of our collaborators terminates its agreement with us, we may not receive any future research funding or milestone or royalty payments under such collaboration. All of th</w:t>
      </w:r>
      <w:r>
        <w:rPr>
          <w:rFonts w:eastAsia="Times New Roman"/>
          <w:color w:val="000000"/>
          <w:sz w:val="20"/>
          <w:szCs w:val="20"/>
        </w:rPr>
        <w:t>e risks relating to product development, regulatory approval and commercialization described in this Report also apply to the activities of our therapeutic collaborators.</w:t>
      </w:r>
    </w:p>
    <w:p w:rsidR="00000000" w:rsidRDefault="009012B9">
      <w:pPr>
        <w:ind w:firstLine="482"/>
        <w:divId w:val="204145179"/>
        <w:rPr>
          <w:rFonts w:eastAsia="Times New Roman"/>
        </w:rPr>
      </w:pPr>
      <w:r>
        <w:rPr>
          <w:rFonts w:eastAsia="Times New Roman"/>
          <w:color w:val="000000"/>
          <w:sz w:val="20"/>
          <w:szCs w:val="20"/>
        </w:rPr>
        <w:t>Additionally, if one of our existing or future collaborators terminates its agreement</w:t>
      </w:r>
      <w:r>
        <w:rPr>
          <w:rFonts w:eastAsia="Times New Roman"/>
          <w:color w:val="000000"/>
          <w:sz w:val="20"/>
          <w:szCs w:val="20"/>
        </w:rPr>
        <w:t xml:space="preserve"> with us, we may find it more difficult to attract new collaborators and our perception in the business and financial communities could be adversely affected.</w:t>
      </w:r>
    </w:p>
    <w:p w:rsidR="00000000" w:rsidRDefault="009012B9">
      <w:pPr>
        <w:ind w:firstLine="482"/>
        <w:divId w:val="1187136773"/>
        <w:rPr>
          <w:rFonts w:eastAsia="Times New Roman"/>
        </w:rPr>
      </w:pPr>
      <w:r>
        <w:rPr>
          <w:rFonts w:eastAsia="Times New Roman"/>
          <w:color w:val="000000"/>
          <w:sz w:val="20"/>
          <w:szCs w:val="20"/>
        </w:rPr>
        <w:t xml:space="preserve">We face significant competition in seeking appropriate collaborators for our product candidates, </w:t>
      </w:r>
      <w:r>
        <w:rPr>
          <w:rFonts w:eastAsia="Times New Roman"/>
          <w:color w:val="000000"/>
          <w:sz w:val="20"/>
          <w:szCs w:val="20"/>
        </w:rPr>
        <w:t>and the negotiation process is time-consuming and complex. In order for us to successfully establish a collaboration for one or more of our product candidates, potential collaborators must view these product candidates as economically valuable in markets t</w:t>
      </w:r>
      <w:r>
        <w:rPr>
          <w:rFonts w:eastAsia="Times New Roman"/>
          <w:color w:val="000000"/>
          <w:sz w:val="20"/>
          <w:szCs w:val="20"/>
        </w:rPr>
        <w:t>hey determine to be attractive in light of the terms that we are seeking and other available products for licensing by other companies. Collaborations are complex and time-consuming to negotiate and document. In addition, there have been a significant numb</w:t>
      </w:r>
      <w:r>
        <w:rPr>
          <w:rFonts w:eastAsia="Times New Roman"/>
          <w:color w:val="000000"/>
          <w:sz w:val="20"/>
          <w:szCs w:val="20"/>
        </w:rPr>
        <w:t>er of recent business combinations among large biopharmaceutical companies that have resulted in a reduced number of potential future collaborators. Our ability to reach a definitive agreement for a collaboration will depend, among other things, upon our a</w:t>
      </w:r>
      <w:r>
        <w:rPr>
          <w:rFonts w:eastAsia="Times New Roman"/>
          <w:color w:val="000000"/>
          <w:sz w:val="20"/>
          <w:szCs w:val="20"/>
        </w:rPr>
        <w:t xml:space="preserve">ssessment of the collaborator’s resources and expertise, the terms and conditions of the proposed collaboration and the proposed collaborator’s evaluation of a number of factors. If we are unable to reach agreements with suitable collaborators on a timely </w:t>
      </w:r>
      <w:r>
        <w:rPr>
          <w:rFonts w:eastAsia="Times New Roman"/>
          <w:color w:val="000000"/>
          <w:sz w:val="20"/>
          <w:szCs w:val="20"/>
        </w:rPr>
        <w:t xml:space="preserve">basis, on acceptable terms, or at all, we may have to curtail the development of a product candidate, reduce or delay its </w:t>
      </w:r>
    </w:p>
    <w:p w:rsidR="00000000" w:rsidRDefault="009012B9">
      <w:pPr>
        <w:jc w:val="center"/>
        <w:divId w:val="1630629774"/>
        <w:rPr>
          <w:rFonts w:eastAsia="Times New Roman"/>
        </w:rPr>
      </w:pPr>
      <w:r>
        <w:rPr>
          <w:rFonts w:eastAsia="Times New Roman"/>
          <w:color w:val="000000"/>
          <w:sz w:val="20"/>
          <w:szCs w:val="20"/>
        </w:rPr>
        <w:t>64</w:t>
      </w:r>
    </w:p>
    <w:p w:rsidR="00000000" w:rsidRDefault="009012B9">
      <w:pPr>
        <w:rPr>
          <w:rFonts w:eastAsia="Times New Roman"/>
        </w:rPr>
      </w:pPr>
      <w:r>
        <w:rPr>
          <w:rFonts w:eastAsia="Times New Roman"/>
        </w:rPr>
        <w:pict>
          <v:rect id="_x0000_i1088" style="width:0;height:1.5pt" o:hralign="center" o:hrstd="t" o:hr="t" fillcolor="#a0a0a0" stroked="f"/>
        </w:pict>
      </w:r>
    </w:p>
    <w:p w:rsidR="00000000" w:rsidRDefault="009012B9">
      <w:pPr>
        <w:divId w:val="1741053568"/>
        <w:rPr>
          <w:rFonts w:eastAsia="Times New Roman"/>
        </w:rPr>
      </w:pPr>
    </w:p>
    <w:p w:rsidR="00000000" w:rsidRDefault="009012B9">
      <w:pPr>
        <w:divId w:val="1187056864"/>
        <w:rPr>
          <w:rFonts w:eastAsia="Times New Roman"/>
        </w:rPr>
      </w:pPr>
      <w:r>
        <w:rPr>
          <w:rFonts w:eastAsia="Times New Roman"/>
          <w:color w:val="000000"/>
          <w:sz w:val="20"/>
          <w:szCs w:val="20"/>
        </w:rPr>
        <w:t>development program or one or more of our other development programs, delay its potential co</w:t>
      </w:r>
      <w:r>
        <w:rPr>
          <w:rFonts w:eastAsia="Times New Roman"/>
          <w:color w:val="000000"/>
          <w:sz w:val="20"/>
          <w:szCs w:val="20"/>
        </w:rPr>
        <w:t>mmercialization or reduce the scope of any sales or marketing activities, or increase our expenditures and undertake development or commercialization activities at our own expense. If we elect to increase our expenditures to fund development or commerciali</w:t>
      </w:r>
      <w:r>
        <w:rPr>
          <w:rFonts w:eastAsia="Times New Roman"/>
          <w:color w:val="000000"/>
          <w:sz w:val="20"/>
          <w:szCs w:val="20"/>
        </w:rPr>
        <w:t>zation activities on our own, we may need to obtain additional expertise and additional capital, which may not be available to us on acceptable terms, or at all. If we fail to enter into future collaborations or do not have sufficient funds or expertise to</w:t>
      </w:r>
      <w:r>
        <w:rPr>
          <w:rFonts w:eastAsia="Times New Roman"/>
          <w:color w:val="000000"/>
          <w:sz w:val="20"/>
          <w:szCs w:val="20"/>
        </w:rPr>
        <w:t xml:space="preserve"> undertake the necessary development and commercialization activities, we may not be able to further develop our product candidates, bring them to market and generate revenue from sales of drugs or continue to develop our technology, and our business may b</w:t>
      </w:r>
      <w:r>
        <w:rPr>
          <w:rFonts w:eastAsia="Times New Roman"/>
          <w:color w:val="000000"/>
          <w:sz w:val="20"/>
          <w:szCs w:val="20"/>
        </w:rPr>
        <w:t>e materially and adversely affected. Even if we are successful in our efforts to establish new strategic collaborations, the terms that we agree upon may not be favorable to us, and we may not be able to maintain such strategic collaborations if, for examp</w:t>
      </w:r>
      <w:r>
        <w:rPr>
          <w:rFonts w:eastAsia="Times New Roman"/>
          <w:color w:val="000000"/>
          <w:sz w:val="20"/>
          <w:szCs w:val="20"/>
        </w:rPr>
        <w:t>le, development or approval of a product candidate is delayed or sales of an approved product are disappointing. Any delay in entering into new strategic collaboration agreements related to our product candidates could delay the development and commerciali</w:t>
      </w:r>
      <w:r>
        <w:rPr>
          <w:rFonts w:eastAsia="Times New Roman"/>
          <w:color w:val="000000"/>
          <w:sz w:val="20"/>
          <w:szCs w:val="20"/>
        </w:rPr>
        <w:t>zation of our product candidates and reduce their competitiveness even if they reach the market.</w:t>
      </w:r>
    </w:p>
    <w:p w:rsidR="00000000" w:rsidRDefault="009012B9">
      <w:pPr>
        <w:divId w:val="31392842"/>
        <w:rPr>
          <w:rFonts w:eastAsia="Times New Roman"/>
        </w:rPr>
      </w:pPr>
      <w:r>
        <w:rPr>
          <w:rFonts w:eastAsia="Times New Roman"/>
          <w:b/>
          <w:bCs/>
          <w:color w:val="000000"/>
          <w:sz w:val="20"/>
          <w:szCs w:val="20"/>
        </w:rPr>
        <w:t>Risks Related to Managing Our Business and Operations</w:t>
      </w:r>
    </w:p>
    <w:p w:rsidR="00000000" w:rsidRDefault="009012B9">
      <w:pPr>
        <w:divId w:val="451822260"/>
        <w:rPr>
          <w:rFonts w:eastAsia="Times New Roman"/>
        </w:rPr>
      </w:pPr>
      <w:r>
        <w:rPr>
          <w:rFonts w:eastAsia="Times New Roman"/>
          <w:b/>
          <w:bCs/>
          <w:i/>
          <w:iCs/>
          <w:color w:val="000000"/>
          <w:sz w:val="20"/>
          <w:szCs w:val="20"/>
        </w:rPr>
        <w:t>The outbreak of the novel coronavirus disease, COVID-19, could adversely impact our business, including o</w:t>
      </w:r>
      <w:r>
        <w:rPr>
          <w:rFonts w:eastAsia="Times New Roman"/>
          <w:b/>
          <w:bCs/>
          <w:i/>
          <w:iCs/>
          <w:color w:val="000000"/>
          <w:sz w:val="20"/>
          <w:szCs w:val="20"/>
        </w:rPr>
        <w:t>ur preclinical studies and clinical trials.</w:t>
      </w:r>
    </w:p>
    <w:p w:rsidR="00000000" w:rsidRDefault="009012B9">
      <w:pPr>
        <w:ind w:firstLine="482"/>
        <w:divId w:val="533806638"/>
        <w:rPr>
          <w:rFonts w:eastAsia="Times New Roman"/>
        </w:rPr>
      </w:pPr>
      <w:r>
        <w:rPr>
          <w:rFonts w:eastAsia="Times New Roman"/>
          <w:color w:val="000000"/>
          <w:sz w:val="20"/>
          <w:szCs w:val="20"/>
        </w:rPr>
        <w:t>In December 2019, a novel strain of the coronavirus disease, COVID-19, was identified in Wuhan, China. This virus continues to spread globally and has spread to a number of countries globally, including the Unite</w:t>
      </w:r>
      <w:r>
        <w:rPr>
          <w:rFonts w:eastAsia="Times New Roman"/>
          <w:color w:val="000000"/>
          <w:sz w:val="20"/>
          <w:szCs w:val="20"/>
        </w:rPr>
        <w:t xml:space="preserve">d States. The outbreak and government measures taken in response have also had a significant impact, both direct and indirect, on businesses and commerce, as worker shortages have occurred; supply chains have been disrupted; facilities and production have </w:t>
      </w:r>
      <w:r>
        <w:rPr>
          <w:rFonts w:eastAsia="Times New Roman"/>
          <w:color w:val="000000"/>
          <w:sz w:val="20"/>
          <w:szCs w:val="20"/>
        </w:rPr>
        <w:t>been suspended; and demand for certain goods and services, such as medical services and supplies, has spiked, while demand for other goods and services, such as travel, has fallen. In response to the spread of COVID-19, we significantly limited access to o</w:t>
      </w:r>
      <w:r>
        <w:rPr>
          <w:rFonts w:eastAsia="Times New Roman"/>
          <w:color w:val="000000"/>
          <w:sz w:val="20"/>
          <w:szCs w:val="20"/>
        </w:rPr>
        <w:t>ur executive offices with the majority of our administrative employees continuing their work outside of our offices and limited the presence of our staff in the laboratory and in the administrative spaces to levels that adhere to social distancing protocol</w:t>
      </w:r>
      <w:r>
        <w:rPr>
          <w:rFonts w:eastAsia="Times New Roman"/>
          <w:color w:val="000000"/>
          <w:sz w:val="20"/>
          <w:szCs w:val="20"/>
        </w:rPr>
        <w:t>s. As a result of the COVID-19 pandemic, we have experienced disruptions and may continue to experience disruptions that could severely impact our business, preclinical studies and clinical trials, including:</w:t>
      </w:r>
    </w:p>
    <w:p w:rsidR="00000000" w:rsidRDefault="009012B9">
      <w:pPr>
        <w:ind w:hanging="480"/>
        <w:divId w:val="2040742620"/>
        <w:rPr>
          <w:rFonts w:eastAsia="Times New Roman"/>
        </w:rPr>
      </w:pPr>
      <w:r>
        <w:rPr>
          <w:rFonts w:eastAsia="Times New Roman"/>
          <w:color w:val="000000"/>
          <w:sz w:val="20"/>
          <w:szCs w:val="20"/>
        </w:rPr>
        <w:t>•delays or difficulties in commencing enrollmen</w:t>
      </w:r>
      <w:r>
        <w:rPr>
          <w:rFonts w:eastAsia="Times New Roman"/>
          <w:color w:val="000000"/>
          <w:sz w:val="20"/>
          <w:szCs w:val="20"/>
        </w:rPr>
        <w:t>t of patients in our clinical trials, including our Phase 2a clinical trials of PLN-74809 in IPF and PSC and our Phase 1 clinical trial of PLN-1474. With respect to the ongoing Phase 2a trials of PLN-74809 in IPF and PSC, following delays in site initiatio</w:t>
      </w:r>
      <w:r>
        <w:rPr>
          <w:rFonts w:eastAsia="Times New Roman"/>
          <w:color w:val="000000"/>
          <w:sz w:val="20"/>
          <w:szCs w:val="20"/>
        </w:rPr>
        <w:t>n due to the impacts of COVID-19, both trials have resumed active enrollment of patients. With respect to the Phase 1 trial of PLN-1474, the Phase 1 trial site experienced delays due to its location in an area heavily impacted by COVID-19; however, the tri</w:t>
      </w:r>
      <w:r>
        <w:rPr>
          <w:rFonts w:eastAsia="Times New Roman"/>
          <w:color w:val="000000"/>
          <w:sz w:val="20"/>
          <w:szCs w:val="20"/>
        </w:rPr>
        <w:t>al site reopened and completed dosing the remaining cohorts, and the trial was subsequently completed;</w:t>
      </w:r>
    </w:p>
    <w:p w:rsidR="00000000" w:rsidRDefault="009012B9">
      <w:pPr>
        <w:ind w:hanging="480"/>
        <w:divId w:val="520896805"/>
        <w:rPr>
          <w:rFonts w:eastAsia="Times New Roman"/>
        </w:rPr>
      </w:pPr>
      <w:r>
        <w:rPr>
          <w:rFonts w:eastAsia="Times New Roman"/>
          <w:color w:val="000000"/>
          <w:sz w:val="20"/>
          <w:szCs w:val="20"/>
        </w:rPr>
        <w:t>•the impact from potential delays, including potential difficulties in clinical site initiation, including difficulties in recruiting clinical site inves</w:t>
      </w:r>
      <w:r>
        <w:rPr>
          <w:rFonts w:eastAsia="Times New Roman"/>
          <w:color w:val="000000"/>
          <w:sz w:val="20"/>
          <w:szCs w:val="20"/>
        </w:rPr>
        <w:t>tigators and clinical site staff;</w:t>
      </w:r>
    </w:p>
    <w:p w:rsidR="00000000" w:rsidRDefault="009012B9">
      <w:pPr>
        <w:ind w:hanging="480"/>
        <w:divId w:val="1395932272"/>
        <w:rPr>
          <w:rFonts w:eastAsia="Times New Roman"/>
        </w:rPr>
      </w:pPr>
      <w:r>
        <w:rPr>
          <w:rFonts w:eastAsia="Times New Roman"/>
          <w:color w:val="000000"/>
          <w:sz w:val="20"/>
          <w:szCs w:val="20"/>
        </w:rPr>
        <w:t>•diversion of healthcare resources away from the conduct of clinical trials, including the diversion of hospitals serving as our clinical trial sites and hospital staff supporting the conduct of our clinical trials;</w:t>
      </w:r>
    </w:p>
    <w:p w:rsidR="00000000" w:rsidRDefault="009012B9">
      <w:pPr>
        <w:ind w:hanging="480"/>
        <w:divId w:val="976452943"/>
        <w:rPr>
          <w:rFonts w:eastAsia="Times New Roman"/>
        </w:rPr>
      </w:pPr>
      <w:r>
        <w:rPr>
          <w:rFonts w:eastAsia="Times New Roman"/>
          <w:color w:val="000000"/>
          <w:sz w:val="20"/>
          <w:szCs w:val="20"/>
        </w:rPr>
        <w:t>•inter</w:t>
      </w:r>
      <w:r>
        <w:rPr>
          <w:rFonts w:eastAsia="Times New Roman"/>
          <w:color w:val="000000"/>
          <w:sz w:val="20"/>
          <w:szCs w:val="20"/>
        </w:rPr>
        <w:t>ruption of key clinical trial activities, such as clinical trial site data monitoring, due to limitations on travel imposed or recommended by federal or state governments, employers and others or interruption of clinical trial subject visits and study proc</w:t>
      </w:r>
      <w:r>
        <w:rPr>
          <w:rFonts w:eastAsia="Times New Roman"/>
          <w:color w:val="000000"/>
          <w:sz w:val="20"/>
          <w:szCs w:val="20"/>
        </w:rPr>
        <w:t>edures that are deemed non-essential, which may impact the integrity of subject data and clinical study endpoints;</w:t>
      </w:r>
    </w:p>
    <w:p w:rsidR="00000000" w:rsidRDefault="009012B9">
      <w:pPr>
        <w:ind w:hanging="480"/>
        <w:divId w:val="2120876425"/>
        <w:rPr>
          <w:rFonts w:eastAsia="Times New Roman"/>
        </w:rPr>
      </w:pPr>
      <w:r>
        <w:rPr>
          <w:rFonts w:eastAsia="Times New Roman"/>
          <w:color w:val="000000"/>
          <w:sz w:val="20"/>
          <w:szCs w:val="20"/>
        </w:rPr>
        <w:t>•interruption or delays in the operations of the FDA or other regulatory authorities, which may impact review and approval timelines;</w:t>
      </w:r>
    </w:p>
    <w:p w:rsidR="00000000" w:rsidRDefault="009012B9">
      <w:pPr>
        <w:ind w:hanging="480"/>
        <w:divId w:val="1975520987"/>
        <w:rPr>
          <w:rFonts w:eastAsia="Times New Roman"/>
        </w:rPr>
      </w:pPr>
      <w:r>
        <w:rPr>
          <w:rFonts w:eastAsia="Times New Roman"/>
          <w:color w:val="000000"/>
          <w:sz w:val="20"/>
          <w:szCs w:val="20"/>
        </w:rPr>
        <w:t>•interr</w:t>
      </w:r>
      <w:r>
        <w:rPr>
          <w:rFonts w:eastAsia="Times New Roman"/>
          <w:color w:val="000000"/>
          <w:sz w:val="20"/>
          <w:szCs w:val="20"/>
        </w:rPr>
        <w:t>uption of, or delays in receiving, supplies of our product candidates from our contract manufacturing organizations due to staffing shortages, production slowdowns or stoppages and disruptions in delivery systems;</w:t>
      </w:r>
    </w:p>
    <w:p w:rsidR="00000000" w:rsidRDefault="009012B9">
      <w:pPr>
        <w:ind w:hanging="480"/>
        <w:divId w:val="1838350948"/>
        <w:rPr>
          <w:rFonts w:eastAsia="Times New Roman"/>
        </w:rPr>
      </w:pPr>
      <w:r>
        <w:rPr>
          <w:rFonts w:eastAsia="Times New Roman"/>
          <w:color w:val="000000"/>
          <w:sz w:val="20"/>
          <w:szCs w:val="20"/>
        </w:rPr>
        <w:t xml:space="preserve">•interruptions in preclinical studies due </w:t>
      </w:r>
      <w:r>
        <w:rPr>
          <w:rFonts w:eastAsia="Times New Roman"/>
          <w:color w:val="000000"/>
          <w:sz w:val="20"/>
          <w:szCs w:val="20"/>
        </w:rPr>
        <w:t>to restricted or limited operations at our laboratory facility;</w:t>
      </w:r>
    </w:p>
    <w:p w:rsidR="00000000" w:rsidRDefault="009012B9">
      <w:pPr>
        <w:ind w:hanging="480"/>
        <w:divId w:val="1143935978"/>
        <w:rPr>
          <w:rFonts w:eastAsia="Times New Roman"/>
        </w:rPr>
      </w:pPr>
      <w:r>
        <w:rPr>
          <w:rFonts w:eastAsia="Times New Roman"/>
          <w:color w:val="000000"/>
          <w:sz w:val="20"/>
          <w:szCs w:val="20"/>
        </w:rPr>
        <w:t>•limitations on employee resources that would otherwise be focused on the conduct of our preclinical studies and clinical trials, including because of sickness of employees or their families o</w:t>
      </w:r>
      <w:r>
        <w:rPr>
          <w:rFonts w:eastAsia="Times New Roman"/>
          <w:color w:val="000000"/>
          <w:sz w:val="20"/>
          <w:szCs w:val="20"/>
        </w:rPr>
        <w:t>r the desire of employees to avoid contact with large groups of people; and</w:t>
      </w:r>
    </w:p>
    <w:p w:rsidR="00000000" w:rsidRDefault="009012B9">
      <w:pPr>
        <w:ind w:hanging="480"/>
        <w:divId w:val="271518839"/>
        <w:rPr>
          <w:rFonts w:eastAsia="Times New Roman"/>
        </w:rPr>
      </w:pPr>
      <w:r>
        <w:rPr>
          <w:rFonts w:eastAsia="Times New Roman"/>
          <w:color w:val="000000"/>
          <w:sz w:val="20"/>
          <w:szCs w:val="20"/>
        </w:rPr>
        <w:t>•interruption or delays to our sourced discovery and clinical activities.</w:t>
      </w:r>
    </w:p>
    <w:p w:rsidR="00000000" w:rsidRDefault="009012B9">
      <w:pPr>
        <w:jc w:val="center"/>
        <w:divId w:val="1160924981"/>
        <w:rPr>
          <w:rFonts w:eastAsia="Times New Roman"/>
        </w:rPr>
      </w:pPr>
      <w:r>
        <w:rPr>
          <w:rFonts w:eastAsia="Times New Roman"/>
          <w:color w:val="000000"/>
          <w:sz w:val="20"/>
          <w:szCs w:val="20"/>
        </w:rPr>
        <w:t>65</w:t>
      </w:r>
    </w:p>
    <w:p w:rsidR="00000000" w:rsidRDefault="009012B9">
      <w:pPr>
        <w:rPr>
          <w:rFonts w:eastAsia="Times New Roman"/>
        </w:rPr>
      </w:pPr>
      <w:r>
        <w:rPr>
          <w:rFonts w:eastAsia="Times New Roman"/>
        </w:rPr>
        <w:pict>
          <v:rect id="_x0000_i1089" style="width:0;height:1.5pt" o:hralign="center" o:hrstd="t" o:hr="t" fillcolor="#a0a0a0" stroked="f"/>
        </w:pict>
      </w:r>
    </w:p>
    <w:p w:rsidR="00000000" w:rsidRDefault="009012B9">
      <w:pPr>
        <w:divId w:val="67575280"/>
        <w:rPr>
          <w:rFonts w:eastAsia="Times New Roman"/>
        </w:rPr>
      </w:pPr>
    </w:p>
    <w:p w:rsidR="00000000" w:rsidRDefault="009012B9">
      <w:pPr>
        <w:ind w:firstLine="482"/>
        <w:divId w:val="1831677736"/>
        <w:rPr>
          <w:rFonts w:eastAsia="Times New Roman"/>
        </w:rPr>
      </w:pPr>
      <w:r>
        <w:rPr>
          <w:rFonts w:eastAsia="Times New Roman"/>
          <w:color w:val="000000"/>
          <w:sz w:val="20"/>
          <w:szCs w:val="20"/>
        </w:rPr>
        <w:t xml:space="preserve">The COVID-19 pandemic continues to rapidly evolve, and new variants of the virus continue to emerge. The extent to which the outbreak impacts our business, preclinical studies and clinical trials will depend on future </w:t>
      </w:r>
      <w:r>
        <w:rPr>
          <w:rFonts w:eastAsia="Times New Roman"/>
          <w:color w:val="000000"/>
          <w:sz w:val="20"/>
          <w:szCs w:val="20"/>
        </w:rPr>
        <w:t>developments, which are highly uncertain and cannot be predicted with confidence, such as the ultimate geographic spread of the disease, the duration of the pandemic, travel restrictions and social distancing in the United States and other countries, busin</w:t>
      </w:r>
      <w:r>
        <w:rPr>
          <w:rFonts w:eastAsia="Times New Roman"/>
          <w:color w:val="000000"/>
          <w:sz w:val="20"/>
          <w:szCs w:val="20"/>
        </w:rPr>
        <w:t>ess closures or business disruptions and the effectiveness of actions taken in the United States and other countries to contain and treat the disease.</w:t>
      </w:r>
    </w:p>
    <w:p w:rsidR="00000000" w:rsidRDefault="009012B9">
      <w:pPr>
        <w:divId w:val="480198466"/>
        <w:rPr>
          <w:rFonts w:eastAsia="Times New Roman"/>
        </w:rPr>
      </w:pPr>
      <w:r>
        <w:rPr>
          <w:rFonts w:eastAsia="Times New Roman"/>
          <w:b/>
          <w:bCs/>
          <w:i/>
          <w:iCs/>
          <w:color w:val="000000"/>
          <w:sz w:val="20"/>
          <w:szCs w:val="20"/>
        </w:rPr>
        <w:t>We may encounter difficulties in managing our growth, which could adversely affect our operations.</w:t>
      </w:r>
    </w:p>
    <w:p w:rsidR="00000000" w:rsidRDefault="009012B9">
      <w:pPr>
        <w:ind w:firstLine="482"/>
        <w:divId w:val="1412897118"/>
        <w:rPr>
          <w:rFonts w:eastAsia="Times New Roman"/>
        </w:rPr>
      </w:pPr>
      <w:r>
        <w:rPr>
          <w:rFonts w:eastAsia="Times New Roman"/>
          <w:color w:val="000000"/>
          <w:sz w:val="20"/>
          <w:szCs w:val="20"/>
        </w:rPr>
        <w:t xml:space="preserve">As of </w:t>
      </w:r>
      <w:r>
        <w:rPr>
          <w:rFonts w:eastAsia="Times New Roman"/>
          <w:color w:val="000000"/>
          <w:sz w:val="20"/>
          <w:szCs w:val="20"/>
        </w:rPr>
        <w:t>March 31, 2021, we had 90 full-time employees. As our clinical development and commercialization plans and strategies develop, and as we transition into operating as a public company, we will need to expand our managerial, clinical, regulatory, sales, mark</w:t>
      </w:r>
      <w:r>
        <w:rPr>
          <w:rFonts w:eastAsia="Times New Roman"/>
          <w:color w:val="000000"/>
          <w:sz w:val="20"/>
          <w:szCs w:val="20"/>
        </w:rPr>
        <w:t>eting, financial, development, manufacturing and legal capabilities or contract with third parties to provide these capabilities for us. As our operations expand, we expect that we will need to manage additional relationships with various strategic collabo</w:t>
      </w:r>
      <w:r>
        <w:rPr>
          <w:rFonts w:eastAsia="Times New Roman"/>
          <w:color w:val="000000"/>
          <w:sz w:val="20"/>
          <w:szCs w:val="20"/>
        </w:rPr>
        <w:t>rators, suppliers and other third parties. Our future growth would impose significant added responsibilities on members of management, including:</w:t>
      </w:r>
    </w:p>
    <w:p w:rsidR="00000000" w:rsidRDefault="009012B9">
      <w:pPr>
        <w:ind w:hanging="480"/>
        <w:divId w:val="1189106519"/>
        <w:rPr>
          <w:rFonts w:eastAsia="Times New Roman"/>
        </w:rPr>
      </w:pPr>
      <w:r>
        <w:rPr>
          <w:rFonts w:eastAsia="Times New Roman"/>
          <w:color w:val="000000"/>
          <w:sz w:val="20"/>
          <w:szCs w:val="20"/>
        </w:rPr>
        <w:t>•identifying, recruiting, integrating, maintaining and motivating additional employees;</w:t>
      </w:r>
    </w:p>
    <w:p w:rsidR="00000000" w:rsidRDefault="009012B9">
      <w:pPr>
        <w:ind w:hanging="480"/>
        <w:divId w:val="1401246262"/>
        <w:rPr>
          <w:rFonts w:eastAsia="Times New Roman"/>
        </w:rPr>
      </w:pPr>
      <w:r>
        <w:rPr>
          <w:rFonts w:eastAsia="Times New Roman"/>
          <w:color w:val="000000"/>
          <w:sz w:val="20"/>
          <w:szCs w:val="20"/>
        </w:rPr>
        <w:t>•managing our developm</w:t>
      </w:r>
      <w:r>
        <w:rPr>
          <w:rFonts w:eastAsia="Times New Roman"/>
          <w:color w:val="000000"/>
          <w:sz w:val="20"/>
          <w:szCs w:val="20"/>
        </w:rPr>
        <w:t>ent and commercialization efforts effectively, including the clinical and FDA review process for PLN-74809 and any other product candidates, while complying with our contractual obligations to contractors and other third parties; and</w:t>
      </w:r>
    </w:p>
    <w:p w:rsidR="00000000" w:rsidRDefault="009012B9">
      <w:pPr>
        <w:ind w:hanging="480"/>
        <w:divId w:val="48114280"/>
        <w:rPr>
          <w:rFonts w:eastAsia="Times New Roman"/>
        </w:rPr>
      </w:pPr>
      <w:r>
        <w:rPr>
          <w:rFonts w:eastAsia="Times New Roman"/>
          <w:color w:val="000000"/>
          <w:sz w:val="20"/>
          <w:szCs w:val="20"/>
        </w:rPr>
        <w:t>•improving our operati</w:t>
      </w:r>
      <w:r>
        <w:rPr>
          <w:rFonts w:eastAsia="Times New Roman"/>
          <w:color w:val="000000"/>
          <w:sz w:val="20"/>
          <w:szCs w:val="20"/>
        </w:rPr>
        <w:t>onal, financial and management controls, reporting systems and procedures.</w:t>
      </w:r>
    </w:p>
    <w:p w:rsidR="00000000" w:rsidRDefault="009012B9">
      <w:pPr>
        <w:ind w:firstLine="482"/>
        <w:divId w:val="1898589213"/>
        <w:rPr>
          <w:rFonts w:eastAsia="Times New Roman"/>
        </w:rPr>
      </w:pPr>
      <w:r>
        <w:rPr>
          <w:rFonts w:eastAsia="Times New Roman"/>
          <w:color w:val="000000"/>
          <w:sz w:val="20"/>
          <w:szCs w:val="20"/>
        </w:rPr>
        <w:t>Our ability to continue to develop and, if approved, commercialize our product candidates will depend, in part, on our ability to effectively manage any future growth. Our managemen</w:t>
      </w:r>
      <w:r>
        <w:rPr>
          <w:rFonts w:eastAsia="Times New Roman"/>
          <w:color w:val="000000"/>
          <w:sz w:val="20"/>
          <w:szCs w:val="20"/>
        </w:rPr>
        <w:t>t may also have to divert a disproportionate amount of its attention away from day-to-day activities in order to devote a substantial amount of time to managing these growth activities.</w:t>
      </w:r>
    </w:p>
    <w:p w:rsidR="00000000" w:rsidRDefault="009012B9">
      <w:pPr>
        <w:ind w:firstLine="482"/>
        <w:divId w:val="1966691389"/>
        <w:rPr>
          <w:rFonts w:eastAsia="Times New Roman"/>
        </w:rPr>
      </w:pPr>
      <w:r>
        <w:rPr>
          <w:rFonts w:eastAsia="Times New Roman"/>
          <w:color w:val="000000"/>
          <w:sz w:val="20"/>
          <w:szCs w:val="20"/>
        </w:rPr>
        <w:t>We currently rely, and for the foreseeable future will continue to rel</w:t>
      </w:r>
      <w:r>
        <w:rPr>
          <w:rFonts w:eastAsia="Times New Roman"/>
          <w:color w:val="000000"/>
          <w:sz w:val="20"/>
          <w:szCs w:val="20"/>
        </w:rPr>
        <w:t>y, in substantial part on certain independent organizations, advisors and consultants to provide certain services, including contract manufacturers and companies focused on research and development and discovery activities. There can be no assurance that t</w:t>
      </w:r>
      <w:r>
        <w:rPr>
          <w:rFonts w:eastAsia="Times New Roman"/>
          <w:color w:val="000000"/>
          <w:sz w:val="20"/>
          <w:szCs w:val="20"/>
        </w:rPr>
        <w:t xml:space="preserve">he services of independent organizations, advisors and consultants will continue to be available to us on a timely basis when needed, or that we can find qualified replacements. In addition, if we are unable to effectively manage our outsourced activities </w:t>
      </w:r>
      <w:r>
        <w:rPr>
          <w:rFonts w:eastAsia="Times New Roman"/>
          <w:color w:val="000000"/>
          <w:sz w:val="20"/>
          <w:szCs w:val="20"/>
        </w:rPr>
        <w:t xml:space="preserve">or if the quality, accuracy or quantity of the services provided is compromised for any reason, our clinical trials may be extended, delayed or terminated, and we may not be able to obtain, or may be substantially delayed in obtaining, regulatory approval </w:t>
      </w:r>
      <w:r>
        <w:rPr>
          <w:rFonts w:eastAsia="Times New Roman"/>
          <w:color w:val="000000"/>
          <w:sz w:val="20"/>
          <w:szCs w:val="20"/>
        </w:rPr>
        <w:t>of our product candidates or otherwise advance our business. There can be no assurance that we will be able to manage our existing consultants or find other competent outside contractors and consultants on economically reasonable terms, or at all.</w:t>
      </w:r>
    </w:p>
    <w:p w:rsidR="00000000" w:rsidRDefault="009012B9">
      <w:pPr>
        <w:ind w:firstLine="482"/>
        <w:divId w:val="938024142"/>
        <w:rPr>
          <w:rFonts w:eastAsia="Times New Roman"/>
        </w:rPr>
      </w:pPr>
      <w:r>
        <w:rPr>
          <w:rFonts w:eastAsia="Times New Roman"/>
          <w:color w:val="000000"/>
          <w:sz w:val="20"/>
          <w:szCs w:val="20"/>
        </w:rPr>
        <w:t>If we ar</w:t>
      </w:r>
      <w:r>
        <w:rPr>
          <w:rFonts w:eastAsia="Times New Roman"/>
          <w:color w:val="000000"/>
          <w:sz w:val="20"/>
          <w:szCs w:val="20"/>
        </w:rPr>
        <w:t xml:space="preserve">e not able to effectively expand our organization by hiring new employees and expanding our groups of consultants and contractors, we may not be able to successfully implement the tasks necessary to further develop and commercialize PLN-74809 or any other </w:t>
      </w:r>
      <w:r>
        <w:rPr>
          <w:rFonts w:eastAsia="Times New Roman"/>
          <w:color w:val="000000"/>
          <w:sz w:val="20"/>
          <w:szCs w:val="20"/>
        </w:rPr>
        <w:t>product candidates and, accordingly, may not achieve our research, development and commercialization goals.</w:t>
      </w:r>
    </w:p>
    <w:p w:rsidR="00000000" w:rsidRDefault="009012B9">
      <w:pPr>
        <w:ind w:firstLine="482"/>
        <w:divId w:val="733821750"/>
        <w:rPr>
          <w:rFonts w:eastAsia="Times New Roman"/>
        </w:rPr>
      </w:pPr>
      <w:r>
        <w:rPr>
          <w:rFonts w:eastAsia="Times New Roman"/>
          <w:color w:val="000000"/>
          <w:sz w:val="20"/>
          <w:szCs w:val="20"/>
        </w:rPr>
        <w:t>We may acquire additional technology and complementary businesses in the future. Acquisitions involve many risks, any of which could materially harm</w:t>
      </w:r>
      <w:r>
        <w:rPr>
          <w:rFonts w:eastAsia="Times New Roman"/>
          <w:color w:val="000000"/>
          <w:sz w:val="20"/>
          <w:szCs w:val="20"/>
        </w:rPr>
        <w:t xml:space="preserve"> our business, including the diversion of management’s attention from core business concerns, failure to effectively exploit acquired technologies, failure to successfully integrate the acquired business or realize expected synergies or the loss of key emp</w:t>
      </w:r>
      <w:r>
        <w:rPr>
          <w:rFonts w:eastAsia="Times New Roman"/>
          <w:color w:val="000000"/>
          <w:sz w:val="20"/>
          <w:szCs w:val="20"/>
        </w:rPr>
        <w:t>loyees from either our business or the acquired businesses.</w:t>
      </w:r>
    </w:p>
    <w:p w:rsidR="00000000" w:rsidRDefault="009012B9">
      <w:pPr>
        <w:divId w:val="712731667"/>
        <w:rPr>
          <w:rFonts w:eastAsia="Times New Roman"/>
        </w:rPr>
      </w:pPr>
      <w:r>
        <w:rPr>
          <w:rFonts w:eastAsia="Times New Roman"/>
          <w:b/>
          <w:bCs/>
          <w:i/>
          <w:iCs/>
          <w:color w:val="000000"/>
          <w:sz w:val="20"/>
          <w:szCs w:val="20"/>
        </w:rPr>
        <w:t xml:space="preserve">If we lose key management personnel, or if we fail to recruit additional highly skilled personnel, our ability to develop current product candidates or identify and develop new product candidates </w:t>
      </w:r>
      <w:r>
        <w:rPr>
          <w:rFonts w:eastAsia="Times New Roman"/>
          <w:b/>
          <w:bCs/>
          <w:i/>
          <w:iCs/>
          <w:color w:val="000000"/>
          <w:sz w:val="20"/>
          <w:szCs w:val="20"/>
        </w:rPr>
        <w:t>will be impaired, could result in loss of markets or market share and could make us less competitive.</w:t>
      </w:r>
    </w:p>
    <w:p w:rsidR="00000000" w:rsidRDefault="009012B9">
      <w:pPr>
        <w:ind w:firstLine="482"/>
        <w:divId w:val="1005520967"/>
        <w:rPr>
          <w:rFonts w:eastAsia="Times New Roman"/>
        </w:rPr>
      </w:pPr>
      <w:r>
        <w:rPr>
          <w:rFonts w:eastAsia="Times New Roman"/>
          <w:color w:val="000000"/>
          <w:sz w:val="20"/>
          <w:szCs w:val="20"/>
        </w:rPr>
        <w:t>Our ability to compete in the highly competitive biotechnology and biopharmaceutical industries depends upon our ability to attract and retain highly qual</w:t>
      </w:r>
      <w:r>
        <w:rPr>
          <w:rFonts w:eastAsia="Times New Roman"/>
          <w:color w:val="000000"/>
          <w:sz w:val="20"/>
          <w:szCs w:val="20"/>
        </w:rPr>
        <w:t>ified managerial, scientific, and medical personnel. We are highly dependent on our management, scientific and medical personnel, including Bernard Coulie, M.D., Ph.D., our Chief Executive Officer and President, Keith Cummings, M.D., our Chief Financial Of</w:t>
      </w:r>
      <w:r>
        <w:rPr>
          <w:rFonts w:eastAsia="Times New Roman"/>
          <w:color w:val="000000"/>
          <w:sz w:val="20"/>
          <w:szCs w:val="20"/>
        </w:rPr>
        <w:t>ficer, Barbara Howes, our Chief Human Resources Officer, Johannes (Hans) Hull, J.D., our Chief Business Officer and Éric Lefebvre, M.D., our Chief Medical Officer. The loss of the services of any of our executive officers, other key employees, and other sc</w:t>
      </w:r>
      <w:r>
        <w:rPr>
          <w:rFonts w:eastAsia="Times New Roman"/>
          <w:color w:val="000000"/>
          <w:sz w:val="20"/>
          <w:szCs w:val="20"/>
        </w:rPr>
        <w:t>ientific and medical advisors, and our inability to find suitable replacements could result in delays in product development and harm our business.</w:t>
      </w:r>
    </w:p>
    <w:p w:rsidR="00000000" w:rsidRDefault="009012B9">
      <w:pPr>
        <w:jc w:val="center"/>
        <w:divId w:val="453989784"/>
        <w:rPr>
          <w:rFonts w:eastAsia="Times New Roman"/>
        </w:rPr>
      </w:pPr>
      <w:r>
        <w:rPr>
          <w:rFonts w:eastAsia="Times New Roman"/>
          <w:color w:val="000000"/>
          <w:sz w:val="20"/>
          <w:szCs w:val="20"/>
        </w:rPr>
        <w:t>66</w:t>
      </w:r>
    </w:p>
    <w:p w:rsidR="00000000" w:rsidRDefault="009012B9">
      <w:pPr>
        <w:rPr>
          <w:rFonts w:eastAsia="Times New Roman"/>
        </w:rPr>
      </w:pPr>
      <w:r>
        <w:rPr>
          <w:rFonts w:eastAsia="Times New Roman"/>
        </w:rPr>
        <w:pict>
          <v:rect id="_x0000_i1090" style="width:0;height:1.5pt" o:hralign="center" o:hrstd="t" o:hr="t" fillcolor="#a0a0a0" stroked="f"/>
        </w:pict>
      </w:r>
    </w:p>
    <w:p w:rsidR="00000000" w:rsidRDefault="009012B9">
      <w:pPr>
        <w:divId w:val="1229533115"/>
        <w:rPr>
          <w:rFonts w:eastAsia="Times New Roman"/>
        </w:rPr>
      </w:pPr>
    </w:p>
    <w:p w:rsidR="00000000" w:rsidRDefault="009012B9">
      <w:pPr>
        <w:ind w:firstLine="482"/>
        <w:divId w:val="1321543370"/>
        <w:rPr>
          <w:rFonts w:eastAsia="Times New Roman"/>
        </w:rPr>
      </w:pPr>
      <w:r>
        <w:rPr>
          <w:rFonts w:eastAsia="Times New Roman"/>
          <w:color w:val="000000"/>
          <w:sz w:val="20"/>
          <w:szCs w:val="20"/>
        </w:rPr>
        <w:t xml:space="preserve">We conduct our operations at our facility in South San Francisco, </w:t>
      </w:r>
      <w:r>
        <w:rPr>
          <w:rFonts w:eastAsia="Times New Roman"/>
          <w:color w:val="000000"/>
          <w:sz w:val="20"/>
          <w:szCs w:val="20"/>
        </w:rPr>
        <w:t>California. This region is headquarters to many other biopharmaceutical companies, biotechnology companies and research institutions. Competition for skilled personnel in our market is intense and may limit our ability to hire and retain highly qualified p</w:t>
      </w:r>
      <w:r>
        <w:rPr>
          <w:rFonts w:eastAsia="Times New Roman"/>
          <w:color w:val="000000"/>
          <w:sz w:val="20"/>
          <w:szCs w:val="20"/>
        </w:rPr>
        <w:t>ersonnel on acceptable terms or at all.</w:t>
      </w:r>
    </w:p>
    <w:p w:rsidR="00000000" w:rsidRDefault="009012B9">
      <w:pPr>
        <w:ind w:firstLine="482"/>
        <w:divId w:val="595940282"/>
        <w:rPr>
          <w:rFonts w:eastAsia="Times New Roman"/>
        </w:rPr>
      </w:pPr>
      <w:r>
        <w:rPr>
          <w:rFonts w:eastAsia="Times New Roman"/>
          <w:color w:val="000000"/>
          <w:sz w:val="20"/>
          <w:szCs w:val="20"/>
        </w:rPr>
        <w:t xml:space="preserve">To induce valuable employees to remain at our company, in addition to salary and cash incentives, we have provided equity awards that vest over time. The value to employees of equity awards that vest over time may be significantly affected by movements in </w:t>
      </w:r>
      <w:r>
        <w:rPr>
          <w:rFonts w:eastAsia="Times New Roman"/>
          <w:color w:val="000000"/>
          <w:sz w:val="20"/>
          <w:szCs w:val="20"/>
        </w:rPr>
        <w:t>our stock price that are beyond our control and may at any time be insufficient to counteract more lucrative offers from other companies. Despite our efforts to retain valuable employees, members of our management, scientific and development teams may term</w:t>
      </w:r>
      <w:r>
        <w:rPr>
          <w:rFonts w:eastAsia="Times New Roman"/>
          <w:color w:val="000000"/>
          <w:sz w:val="20"/>
          <w:szCs w:val="20"/>
        </w:rPr>
        <w:t>inate their employment with us on short notice. Our key employees are at-will employees, which means that any of our employees could leave our employment at any time, with or without notice. We do not maintain “key person” insurance policies on the lives o</w:t>
      </w:r>
      <w:r>
        <w:rPr>
          <w:rFonts w:eastAsia="Times New Roman"/>
          <w:color w:val="000000"/>
          <w:sz w:val="20"/>
          <w:szCs w:val="20"/>
        </w:rPr>
        <w:t>f these individuals or the lives of any of our other employees. Our success also depends on our ability to continue to attract, retain and motivate highly skilled junior, mid-level and senior scientific and medical personnel.</w:t>
      </w:r>
    </w:p>
    <w:p w:rsidR="00000000" w:rsidRDefault="009012B9">
      <w:pPr>
        <w:divId w:val="353532144"/>
        <w:rPr>
          <w:rFonts w:eastAsia="Times New Roman"/>
        </w:rPr>
      </w:pPr>
      <w:r>
        <w:rPr>
          <w:rFonts w:eastAsia="Times New Roman"/>
          <w:b/>
          <w:bCs/>
          <w:i/>
          <w:iCs/>
          <w:color w:val="000000"/>
          <w:sz w:val="20"/>
          <w:szCs w:val="20"/>
        </w:rPr>
        <w:t>Our current operations are con</w:t>
      </w:r>
      <w:r>
        <w:rPr>
          <w:rFonts w:eastAsia="Times New Roman"/>
          <w:b/>
          <w:bCs/>
          <w:i/>
          <w:iCs/>
          <w:color w:val="000000"/>
          <w:sz w:val="20"/>
          <w:szCs w:val="20"/>
        </w:rPr>
        <w:t>centrated in one location, and we or the third parties upon whom we depend may be adversely affected by earthquakes or other natural disasters and our business continuity and disaster recovery plans may not adequately protect us from a serious disaster, in</w:t>
      </w:r>
      <w:r>
        <w:rPr>
          <w:rFonts w:eastAsia="Times New Roman"/>
          <w:b/>
          <w:bCs/>
          <w:i/>
          <w:iCs/>
          <w:color w:val="000000"/>
          <w:sz w:val="20"/>
          <w:szCs w:val="20"/>
        </w:rPr>
        <w:t>cluding earthquakes, outbreak of disease or other natural disasters.</w:t>
      </w:r>
    </w:p>
    <w:p w:rsidR="00000000" w:rsidRDefault="009012B9">
      <w:pPr>
        <w:ind w:firstLine="482"/>
        <w:divId w:val="721641133"/>
        <w:rPr>
          <w:rFonts w:eastAsia="Times New Roman"/>
        </w:rPr>
      </w:pPr>
      <w:r>
        <w:rPr>
          <w:rFonts w:eastAsia="Times New Roman"/>
          <w:color w:val="000000"/>
          <w:sz w:val="20"/>
          <w:szCs w:val="20"/>
        </w:rPr>
        <w:t>Our current operations are located in our facilities in South San Francisco, California. Any unplanned event, such as flood, fire, explosion, earthquake, extreme weather condition, medica</w:t>
      </w:r>
      <w:r>
        <w:rPr>
          <w:rFonts w:eastAsia="Times New Roman"/>
          <w:color w:val="000000"/>
          <w:sz w:val="20"/>
          <w:szCs w:val="20"/>
        </w:rPr>
        <w:t xml:space="preserve">l epidemics, power shortage, telecommunication failure or other natural or manmade accidents or incidents that result in us being unable to fully utilize our facilities, or the manufacturing facilities of our third-party contract manufacturers, may have a </w:t>
      </w:r>
      <w:r>
        <w:rPr>
          <w:rFonts w:eastAsia="Times New Roman"/>
          <w:color w:val="000000"/>
          <w:sz w:val="20"/>
          <w:szCs w:val="20"/>
        </w:rPr>
        <w:t>material and adverse effect on our ability to operate our business, particularly on a daily basis, and have significant negative consequences on our financial and operating conditions. Loss of access to these facilities may result in increased costs, delay</w:t>
      </w:r>
      <w:r>
        <w:rPr>
          <w:rFonts w:eastAsia="Times New Roman"/>
          <w:color w:val="000000"/>
          <w:sz w:val="20"/>
          <w:szCs w:val="20"/>
        </w:rPr>
        <w:t>s in the development of our product candidates or interruption of our business operations. Earthquakes or other natural disasters could further disrupt our operations and have a material and adverse effect on our business, financial condition, results of o</w:t>
      </w:r>
      <w:r>
        <w:rPr>
          <w:rFonts w:eastAsia="Times New Roman"/>
          <w:color w:val="000000"/>
          <w:sz w:val="20"/>
          <w:szCs w:val="20"/>
        </w:rPr>
        <w:t>perations and prospects. If a natural disaster, power outage or other event occurred that prevented us from using all or a significant portion of our headquarters, that damaged critical infrastructure, such as our research facilities or the manufacturing f</w:t>
      </w:r>
      <w:r>
        <w:rPr>
          <w:rFonts w:eastAsia="Times New Roman"/>
          <w:color w:val="000000"/>
          <w:sz w:val="20"/>
          <w:szCs w:val="20"/>
        </w:rPr>
        <w:t>acilities of our third-party contract manufacturers, or that otherwise disrupted operations, it may be difficult or, in certain cases, impossible, for us to continue our business for a substantial period of time.</w:t>
      </w:r>
    </w:p>
    <w:p w:rsidR="00000000" w:rsidRDefault="009012B9">
      <w:pPr>
        <w:ind w:firstLine="482"/>
        <w:divId w:val="1180268784"/>
        <w:rPr>
          <w:rFonts w:eastAsia="Times New Roman"/>
        </w:rPr>
      </w:pPr>
      <w:r>
        <w:rPr>
          <w:rFonts w:eastAsia="Times New Roman"/>
          <w:color w:val="000000"/>
          <w:sz w:val="20"/>
          <w:szCs w:val="20"/>
        </w:rPr>
        <w:t>The disaster recovery and business continui</w:t>
      </w:r>
      <w:r>
        <w:rPr>
          <w:rFonts w:eastAsia="Times New Roman"/>
          <w:color w:val="000000"/>
          <w:sz w:val="20"/>
          <w:szCs w:val="20"/>
        </w:rPr>
        <w:t>ty plans we have in place may prove inadequate in the event of a serious disaster or similar event. We may incur substantial expenses as a result of the limited nature of our disaster recovery and business continuity plans, which, could have a material adv</w:t>
      </w:r>
      <w:r>
        <w:rPr>
          <w:rFonts w:eastAsia="Times New Roman"/>
          <w:color w:val="000000"/>
          <w:sz w:val="20"/>
          <w:szCs w:val="20"/>
        </w:rPr>
        <w:t>erse effect on our business. As part of our risk management policy, we maintain insurance coverage at levels that we believe are appropriate for our business. However, in the event of an accident or incident at these facilities, we cannot assure you that t</w:t>
      </w:r>
      <w:r>
        <w:rPr>
          <w:rFonts w:eastAsia="Times New Roman"/>
          <w:color w:val="000000"/>
          <w:sz w:val="20"/>
          <w:szCs w:val="20"/>
        </w:rPr>
        <w:t>he amounts of insurance will be sufficient to satisfy any damages and losses. If our facilities, or the manufacturing facilities of our third-party contract manufacturers, are unable to operate because of an accident or incident or for any other reason, ev</w:t>
      </w:r>
      <w:r>
        <w:rPr>
          <w:rFonts w:eastAsia="Times New Roman"/>
          <w:color w:val="000000"/>
          <w:sz w:val="20"/>
          <w:szCs w:val="20"/>
        </w:rPr>
        <w:t>en for a short period of time, any or all of our research and development programs may be harmed.</w:t>
      </w:r>
    </w:p>
    <w:p w:rsidR="00000000" w:rsidRDefault="009012B9">
      <w:pPr>
        <w:jc w:val="center"/>
        <w:divId w:val="1084037015"/>
        <w:rPr>
          <w:rFonts w:eastAsia="Times New Roman"/>
        </w:rPr>
      </w:pPr>
      <w:r>
        <w:rPr>
          <w:rFonts w:eastAsia="Times New Roman"/>
          <w:color w:val="000000"/>
          <w:sz w:val="20"/>
          <w:szCs w:val="20"/>
        </w:rPr>
        <w:t>67</w:t>
      </w:r>
    </w:p>
    <w:p w:rsidR="00000000" w:rsidRDefault="009012B9">
      <w:pPr>
        <w:rPr>
          <w:rFonts w:eastAsia="Times New Roman"/>
        </w:rPr>
      </w:pPr>
      <w:r>
        <w:rPr>
          <w:rFonts w:eastAsia="Times New Roman"/>
        </w:rPr>
        <w:pict>
          <v:rect id="_x0000_i1091" style="width:0;height:1.5pt" o:hralign="center" o:hrstd="t" o:hr="t" fillcolor="#a0a0a0" stroked="f"/>
        </w:pict>
      </w:r>
    </w:p>
    <w:p w:rsidR="00000000" w:rsidRDefault="009012B9">
      <w:pPr>
        <w:divId w:val="1278950733"/>
        <w:rPr>
          <w:rFonts w:eastAsia="Times New Roman"/>
        </w:rPr>
      </w:pPr>
    </w:p>
    <w:p w:rsidR="00000000" w:rsidRDefault="009012B9">
      <w:pPr>
        <w:divId w:val="1787626505"/>
        <w:rPr>
          <w:rFonts w:eastAsia="Times New Roman"/>
        </w:rPr>
      </w:pPr>
      <w:r>
        <w:rPr>
          <w:rFonts w:eastAsia="Times New Roman"/>
          <w:b/>
          <w:bCs/>
          <w:i/>
          <w:iCs/>
          <w:color w:val="000000"/>
          <w:sz w:val="20"/>
          <w:szCs w:val="20"/>
        </w:rPr>
        <w:t>Our employees, independent contractors, consultants, commercial partners, collaborators and vendors may engage in mi</w:t>
      </w:r>
      <w:r>
        <w:rPr>
          <w:rFonts w:eastAsia="Times New Roman"/>
          <w:b/>
          <w:bCs/>
          <w:i/>
          <w:iCs/>
          <w:color w:val="000000"/>
          <w:sz w:val="20"/>
          <w:szCs w:val="20"/>
        </w:rPr>
        <w:t>sconduct or other improper activities, including noncompliance with regulatory standards and requirements.</w:t>
      </w:r>
    </w:p>
    <w:p w:rsidR="00000000" w:rsidRDefault="009012B9">
      <w:pPr>
        <w:ind w:firstLine="482"/>
        <w:divId w:val="1592085315"/>
        <w:rPr>
          <w:rFonts w:eastAsia="Times New Roman"/>
        </w:rPr>
      </w:pPr>
      <w:r>
        <w:rPr>
          <w:rFonts w:eastAsia="Times New Roman"/>
          <w:color w:val="000000"/>
          <w:sz w:val="20"/>
          <w:szCs w:val="20"/>
        </w:rPr>
        <w:t>We are exposed to the risk of employee fraud or other illegal activity by our employees, independent contractors, consultants, commercial partners, c</w:t>
      </w:r>
      <w:r>
        <w:rPr>
          <w:rFonts w:eastAsia="Times New Roman"/>
          <w:color w:val="000000"/>
          <w:sz w:val="20"/>
          <w:szCs w:val="20"/>
        </w:rPr>
        <w:t>ollaborators, and vendors. Misconduct by these parties could include intentional, reckless and/or negligent conduct that fails to comply with the laws of the FDA and other similar foreign regulatory bodies, provide true, complete and accurate information t</w:t>
      </w:r>
      <w:r>
        <w:rPr>
          <w:rFonts w:eastAsia="Times New Roman"/>
          <w:color w:val="000000"/>
          <w:sz w:val="20"/>
          <w:szCs w:val="20"/>
        </w:rPr>
        <w:t>o the FDA and other similar foreign regulatory bodies, comply with manufacturing standards we have established, comply with healthcare fraud and abuse laws in the United States and similar foreign fraudulent misconduct laws, or report financial information</w:t>
      </w:r>
      <w:r>
        <w:rPr>
          <w:rFonts w:eastAsia="Times New Roman"/>
          <w:color w:val="000000"/>
          <w:sz w:val="20"/>
          <w:szCs w:val="20"/>
        </w:rPr>
        <w:t xml:space="preserve"> or data accurately or to disclose unauthorized activities to us. If we obtain FDA approval of any of our product candidates and begin commercializing those products in the United States, our potential exposure under such laws will increase significantly, </w:t>
      </w:r>
      <w:r>
        <w:rPr>
          <w:rFonts w:eastAsia="Times New Roman"/>
          <w:color w:val="000000"/>
          <w:sz w:val="20"/>
          <w:szCs w:val="20"/>
        </w:rPr>
        <w:t>and our costs associated with compliance with such laws will also increase. These laws may impact, among other things, our current activities with principal investigators and research patients, as well as proposed and future sales, marketing, and education</w:t>
      </w:r>
      <w:r>
        <w:rPr>
          <w:rFonts w:eastAsia="Times New Roman"/>
          <w:color w:val="000000"/>
          <w:sz w:val="20"/>
          <w:szCs w:val="20"/>
        </w:rPr>
        <w:t xml:space="preserve"> programs. We adopted a code of business conduct and ethics, but it is not always possible to identify and deter misconduct by our employees, independent contractors, consultants, commercial partners and vendors, and the precautions we take to detect and p</w:t>
      </w:r>
      <w:r>
        <w:rPr>
          <w:rFonts w:eastAsia="Times New Roman"/>
          <w:color w:val="000000"/>
          <w:sz w:val="20"/>
          <w:szCs w:val="20"/>
        </w:rPr>
        <w:t>revent this activity may not be effective in controlling unknown or unmanaged risks or losses or in protecting us from governmental investigations or other actions or lawsuits stemming from a failure to comply with these laws or regulations. If any actions</w:t>
      </w:r>
      <w:r>
        <w:rPr>
          <w:rFonts w:eastAsia="Times New Roman"/>
          <w:color w:val="000000"/>
          <w:sz w:val="20"/>
          <w:szCs w:val="20"/>
        </w:rPr>
        <w:t xml:space="preserve"> are instituted against us and we are not successful in defending ourselves or asserting our rights, those actions could result in the imposition of civil, criminal and administrative penalties, damages, monetary fines, imprisonment, disgorgement, possible</w:t>
      </w:r>
      <w:r>
        <w:rPr>
          <w:rFonts w:eastAsia="Times New Roman"/>
          <w:color w:val="000000"/>
          <w:sz w:val="20"/>
          <w:szCs w:val="20"/>
        </w:rPr>
        <w:t xml:space="preserve"> exclusion from participation in government healthcare programs, additional reporting obligations and oversight if we become subject to a corporate integrity agreement or other agreement to resolve allegations of non-compliance with these laws, contractual</w:t>
      </w:r>
      <w:r>
        <w:rPr>
          <w:rFonts w:eastAsia="Times New Roman"/>
          <w:color w:val="000000"/>
          <w:sz w:val="20"/>
          <w:szCs w:val="20"/>
        </w:rPr>
        <w:t xml:space="preserve"> damages, reputational harm, diminished profits and future earnings and the curtailment of our operations.</w:t>
      </w:r>
    </w:p>
    <w:p w:rsidR="00000000" w:rsidRDefault="009012B9">
      <w:pPr>
        <w:divId w:val="2005469658"/>
        <w:rPr>
          <w:rFonts w:eastAsia="Times New Roman"/>
        </w:rPr>
      </w:pPr>
      <w:r>
        <w:rPr>
          <w:rFonts w:eastAsia="Times New Roman"/>
          <w:b/>
          <w:bCs/>
          <w:i/>
          <w:iCs/>
          <w:color w:val="000000"/>
          <w:sz w:val="20"/>
          <w:szCs w:val="20"/>
        </w:rPr>
        <w:t>We use and generate materials that may expose us to material liability.</w:t>
      </w:r>
    </w:p>
    <w:p w:rsidR="00000000" w:rsidRDefault="009012B9">
      <w:pPr>
        <w:ind w:firstLine="482"/>
        <w:divId w:val="126750369"/>
        <w:rPr>
          <w:rFonts w:eastAsia="Times New Roman"/>
        </w:rPr>
      </w:pPr>
      <w:r>
        <w:rPr>
          <w:rFonts w:eastAsia="Times New Roman"/>
          <w:color w:val="000000"/>
          <w:sz w:val="20"/>
          <w:szCs w:val="20"/>
        </w:rPr>
        <w:t>Our research programs involve the use of hazardous materials and chemicals, which are currently only handled by third parties. We are subject to foreign, federal, state, and local environmental and health and safety laws and regulations governing, among ot</w:t>
      </w:r>
      <w:r>
        <w:rPr>
          <w:rFonts w:eastAsia="Times New Roman"/>
          <w:color w:val="000000"/>
          <w:sz w:val="20"/>
          <w:szCs w:val="20"/>
        </w:rPr>
        <w:t>her matters, the use, manufacture, handling, storage and disposal of hazardous materials and waste products such as human tissue samples that may have the potential to transmit diseases. We may incur significant costs to comply with these current or future</w:t>
      </w:r>
      <w:r>
        <w:rPr>
          <w:rFonts w:eastAsia="Times New Roman"/>
          <w:color w:val="000000"/>
          <w:sz w:val="20"/>
          <w:szCs w:val="20"/>
        </w:rPr>
        <w:t xml:space="preserve"> environmental and health and safety laws and regulations. In addition, we cannot completely eliminate the risk of contamination or injury from hazardous materials and may incur material liability as a result of such contamination or injury. In the event o</w:t>
      </w:r>
      <w:r>
        <w:rPr>
          <w:rFonts w:eastAsia="Times New Roman"/>
          <w:color w:val="000000"/>
          <w:sz w:val="20"/>
          <w:szCs w:val="20"/>
        </w:rPr>
        <w:t xml:space="preserve">f an accident, an injured party may seek to hold us liable for any damages that result. Any liability could exceed the limits or fall outside the coverage of our workers’ compensation, property and business interruption insurance and we may not be able to </w:t>
      </w:r>
      <w:r>
        <w:rPr>
          <w:rFonts w:eastAsia="Times New Roman"/>
          <w:color w:val="000000"/>
          <w:sz w:val="20"/>
          <w:szCs w:val="20"/>
        </w:rPr>
        <w:t>maintain insurance on acceptable terms, if at all. We currently carry no insurance specifically covering environmental claims.</w:t>
      </w:r>
    </w:p>
    <w:p w:rsidR="00000000" w:rsidRDefault="009012B9">
      <w:pPr>
        <w:divId w:val="849371298"/>
        <w:rPr>
          <w:rFonts w:eastAsia="Times New Roman"/>
        </w:rPr>
      </w:pPr>
      <w:r>
        <w:rPr>
          <w:rFonts w:eastAsia="Times New Roman"/>
          <w:b/>
          <w:bCs/>
          <w:i/>
          <w:iCs/>
          <w:color w:val="000000"/>
          <w:sz w:val="20"/>
          <w:szCs w:val="20"/>
        </w:rPr>
        <w:t>If we fail to comply with environmental, health and safety laws and regulations, we could become subject to fines or penalties or</w:t>
      </w:r>
      <w:r>
        <w:rPr>
          <w:rFonts w:eastAsia="Times New Roman"/>
          <w:b/>
          <w:bCs/>
          <w:i/>
          <w:iCs/>
          <w:color w:val="000000"/>
          <w:sz w:val="20"/>
          <w:szCs w:val="20"/>
        </w:rPr>
        <w:t xml:space="preserve"> incur costs that could have a material adverse effect on the success of our business.</w:t>
      </w:r>
    </w:p>
    <w:p w:rsidR="00000000" w:rsidRDefault="009012B9">
      <w:pPr>
        <w:ind w:firstLine="482"/>
        <w:divId w:val="1353070697"/>
        <w:rPr>
          <w:rFonts w:eastAsia="Times New Roman"/>
        </w:rPr>
      </w:pPr>
      <w:r>
        <w:rPr>
          <w:rFonts w:eastAsia="Times New Roman"/>
          <w:color w:val="000000"/>
          <w:sz w:val="20"/>
          <w:szCs w:val="20"/>
        </w:rPr>
        <w:t>We are subject to numerous environmental, health and safety laws and regulations, including those governing laboratory procedures and the handling, use, storage, treatme</w:t>
      </w:r>
      <w:r>
        <w:rPr>
          <w:rFonts w:eastAsia="Times New Roman"/>
          <w:color w:val="000000"/>
          <w:sz w:val="20"/>
          <w:szCs w:val="20"/>
        </w:rPr>
        <w:t>nt and disposal of hazardous materials and wastes. Our research and development activities involve the use of biological and hazardous materials and produce hazardous waste products. We generally contract with third parties for the disposal of these materi</w:t>
      </w:r>
      <w:r>
        <w:rPr>
          <w:rFonts w:eastAsia="Times New Roman"/>
          <w:color w:val="000000"/>
          <w:sz w:val="20"/>
          <w:szCs w:val="20"/>
        </w:rPr>
        <w:t>als and wastes. We cannot eliminate the risk of contamination or injury from these materials, which could cause an interruption of our commercialization efforts, research and development efforts and business operations, environmental damage resulting in co</w:t>
      </w:r>
      <w:r>
        <w:rPr>
          <w:rFonts w:eastAsia="Times New Roman"/>
          <w:color w:val="000000"/>
          <w:sz w:val="20"/>
          <w:szCs w:val="20"/>
        </w:rPr>
        <w:t xml:space="preserve">stly clean-up and liabilities under applicable laws and regulations governing the use, storage, handling and disposal of these materials and specified waste products. Although we believe that the safety procedures utilized by our third-party manufacturers </w:t>
      </w:r>
      <w:r>
        <w:rPr>
          <w:rFonts w:eastAsia="Times New Roman"/>
          <w:color w:val="000000"/>
          <w:sz w:val="20"/>
          <w:szCs w:val="20"/>
        </w:rPr>
        <w:t xml:space="preserve">for handling and disposing of these materials generally comply with the standards prescribed by these laws and regulations, we cannot guarantee that this is the case or eliminate the risk of accidental contamination or injury from these materials. In such </w:t>
      </w:r>
      <w:r>
        <w:rPr>
          <w:rFonts w:eastAsia="Times New Roman"/>
          <w:color w:val="000000"/>
          <w:sz w:val="20"/>
          <w:szCs w:val="20"/>
        </w:rPr>
        <w:t>an event, we may be held liable for any resulting damages and such liability could exceed our resources and state or federal or other applicable authorities may curtail our use of certain materials and/or interrupt our business operations. Furthermore, env</w:t>
      </w:r>
      <w:r>
        <w:rPr>
          <w:rFonts w:eastAsia="Times New Roman"/>
          <w:color w:val="000000"/>
          <w:sz w:val="20"/>
          <w:szCs w:val="20"/>
        </w:rPr>
        <w:t>ironmental laws and regulations are complex, change frequently and have tended to become more stringent. We cannot predict the impact of such changes and cannot be certain of our future compliance. In addition, we may incur substantial costs in order to co</w:t>
      </w:r>
      <w:r>
        <w:rPr>
          <w:rFonts w:eastAsia="Times New Roman"/>
          <w:color w:val="000000"/>
          <w:sz w:val="20"/>
          <w:szCs w:val="20"/>
        </w:rPr>
        <w:t>mply with current or future environmental, health and safety laws and regulations. These current or future laws and regulations may impair our research, development or production efforts. Failure to comply with these laws and regulations also may result in</w:t>
      </w:r>
      <w:r>
        <w:rPr>
          <w:rFonts w:eastAsia="Times New Roman"/>
          <w:color w:val="000000"/>
          <w:sz w:val="20"/>
          <w:szCs w:val="20"/>
        </w:rPr>
        <w:t xml:space="preserve"> substantial fines, penalties or other sanctions.</w:t>
      </w:r>
    </w:p>
    <w:p w:rsidR="00000000" w:rsidRDefault="009012B9">
      <w:pPr>
        <w:ind w:firstLine="482"/>
        <w:divId w:val="440077518"/>
        <w:rPr>
          <w:rFonts w:eastAsia="Times New Roman"/>
        </w:rPr>
      </w:pPr>
      <w:r>
        <w:rPr>
          <w:rFonts w:eastAsia="Times New Roman"/>
          <w:color w:val="000000"/>
          <w:sz w:val="20"/>
          <w:szCs w:val="20"/>
        </w:rPr>
        <w:t>Although we maintain workers’ compensation insurance to cover us for costs and expenses, we may incur due to injuries to our employees resulting from the use of hazardous materials or other work-related inj</w:t>
      </w:r>
      <w:r>
        <w:rPr>
          <w:rFonts w:eastAsia="Times New Roman"/>
          <w:color w:val="000000"/>
          <w:sz w:val="20"/>
          <w:szCs w:val="20"/>
        </w:rPr>
        <w:t xml:space="preserve">uries, this insurance may not provide adequate coverage against potential liabilities. We do not carry specific biological waste or hazardous waste insurance </w:t>
      </w:r>
    </w:p>
    <w:p w:rsidR="00000000" w:rsidRDefault="009012B9">
      <w:pPr>
        <w:jc w:val="center"/>
        <w:divId w:val="1097092789"/>
        <w:rPr>
          <w:rFonts w:eastAsia="Times New Roman"/>
        </w:rPr>
      </w:pPr>
      <w:r>
        <w:rPr>
          <w:rFonts w:eastAsia="Times New Roman"/>
          <w:color w:val="000000"/>
          <w:sz w:val="20"/>
          <w:szCs w:val="20"/>
        </w:rPr>
        <w:t>68</w:t>
      </w:r>
    </w:p>
    <w:p w:rsidR="00000000" w:rsidRDefault="009012B9">
      <w:pPr>
        <w:rPr>
          <w:rFonts w:eastAsia="Times New Roman"/>
        </w:rPr>
      </w:pPr>
      <w:r>
        <w:rPr>
          <w:rFonts w:eastAsia="Times New Roman"/>
        </w:rPr>
        <w:pict>
          <v:rect id="_x0000_i1092" style="width:0;height:1.5pt" o:hralign="center" o:hrstd="t" o:hr="t" fillcolor="#a0a0a0" stroked="f"/>
        </w:pict>
      </w:r>
    </w:p>
    <w:p w:rsidR="00000000" w:rsidRDefault="009012B9">
      <w:pPr>
        <w:divId w:val="2034841535"/>
        <w:rPr>
          <w:rFonts w:eastAsia="Times New Roman"/>
        </w:rPr>
      </w:pPr>
    </w:p>
    <w:p w:rsidR="00000000" w:rsidRDefault="009012B9">
      <w:pPr>
        <w:divId w:val="176502656"/>
        <w:rPr>
          <w:rFonts w:eastAsia="Times New Roman"/>
        </w:rPr>
      </w:pPr>
      <w:r>
        <w:rPr>
          <w:rFonts w:eastAsia="Times New Roman"/>
          <w:color w:val="000000"/>
          <w:sz w:val="20"/>
          <w:szCs w:val="20"/>
        </w:rPr>
        <w:t>coverage, workers’ compensation or property and casualty</w:t>
      </w:r>
      <w:r>
        <w:rPr>
          <w:rFonts w:eastAsia="Times New Roman"/>
          <w:color w:val="000000"/>
          <w:sz w:val="20"/>
          <w:szCs w:val="20"/>
        </w:rPr>
        <w:t xml:space="preserve"> and general liability insurance policies that include coverage for damages and fines arising from biological or hazardous waste exposure or contamination.</w:t>
      </w:r>
    </w:p>
    <w:p w:rsidR="00000000" w:rsidRDefault="009012B9">
      <w:pPr>
        <w:divId w:val="1137798497"/>
        <w:rPr>
          <w:rFonts w:eastAsia="Times New Roman"/>
        </w:rPr>
      </w:pPr>
      <w:r>
        <w:rPr>
          <w:rFonts w:eastAsia="Times New Roman"/>
          <w:b/>
          <w:bCs/>
          <w:i/>
          <w:iCs/>
          <w:color w:val="000000"/>
          <w:sz w:val="20"/>
          <w:szCs w:val="20"/>
        </w:rPr>
        <w:t>Compliance with governmental regulations regarding the treatment of animals used in research could i</w:t>
      </w:r>
      <w:r>
        <w:rPr>
          <w:rFonts w:eastAsia="Times New Roman"/>
          <w:b/>
          <w:bCs/>
          <w:i/>
          <w:iCs/>
          <w:color w:val="000000"/>
          <w:sz w:val="20"/>
          <w:szCs w:val="20"/>
        </w:rPr>
        <w:t>ncrease our operating costs, which would adversely affect the commercialization of our products.</w:t>
      </w:r>
    </w:p>
    <w:p w:rsidR="00000000" w:rsidRDefault="009012B9">
      <w:pPr>
        <w:ind w:firstLine="482"/>
        <w:divId w:val="1502626643"/>
        <w:rPr>
          <w:rFonts w:eastAsia="Times New Roman"/>
        </w:rPr>
      </w:pPr>
      <w:r>
        <w:rPr>
          <w:rFonts w:eastAsia="Times New Roman"/>
          <w:color w:val="000000"/>
          <w:sz w:val="20"/>
          <w:szCs w:val="20"/>
        </w:rPr>
        <w:t xml:space="preserve">The Animal Welfare Act, or AWA, is the federal law that covers the treatment of certain animals used in research. Currently, the AWA imposes a wide variety of </w:t>
      </w:r>
      <w:r>
        <w:rPr>
          <w:rFonts w:eastAsia="Times New Roman"/>
          <w:color w:val="000000"/>
          <w:sz w:val="20"/>
          <w:szCs w:val="20"/>
        </w:rPr>
        <w:t>specific regulations that govern the humane handling, care, treatment, and transportation of certain animals by producers and users of research animals, most notably relating to personnel, facilities, sanitation, cage size, and feeding, watering, and shipp</w:t>
      </w:r>
      <w:r>
        <w:rPr>
          <w:rFonts w:eastAsia="Times New Roman"/>
          <w:color w:val="000000"/>
          <w:sz w:val="20"/>
          <w:szCs w:val="20"/>
        </w:rPr>
        <w:t>ing conditions. Third parties with whom we contract are subject to registration, inspections, and reporting requirements under the AWA. Furthermore, some states have their own regulations, including general anti-cruelty legislation, which establish certain</w:t>
      </w:r>
      <w:r>
        <w:rPr>
          <w:rFonts w:eastAsia="Times New Roman"/>
          <w:color w:val="000000"/>
          <w:sz w:val="20"/>
          <w:szCs w:val="20"/>
        </w:rPr>
        <w:t xml:space="preserve"> standards in handling animals. Comparable rules, regulations, and or obligations exist in many foreign jurisdictions. If we or our contractors fail to comply with regulations concerning the treatment of animals used in research, we may be subject to fines</w:t>
      </w:r>
      <w:r>
        <w:rPr>
          <w:rFonts w:eastAsia="Times New Roman"/>
          <w:color w:val="000000"/>
          <w:sz w:val="20"/>
          <w:szCs w:val="20"/>
        </w:rPr>
        <w:t xml:space="preserve"> and penalties and adverse publicity, and our operations could be adversely affected.</w:t>
      </w:r>
    </w:p>
    <w:p w:rsidR="00000000" w:rsidRDefault="009012B9">
      <w:pPr>
        <w:divId w:val="1825390884"/>
        <w:rPr>
          <w:rFonts w:eastAsia="Times New Roman"/>
        </w:rPr>
      </w:pPr>
      <w:r>
        <w:rPr>
          <w:rFonts w:eastAsia="Times New Roman"/>
          <w:b/>
          <w:bCs/>
          <w:i/>
          <w:iCs/>
          <w:color w:val="000000"/>
          <w:sz w:val="20"/>
          <w:szCs w:val="20"/>
        </w:rPr>
        <w:t>Our ability to use our net operating loss carryforwards and certain tax credit carryforwards may be subject to limitation.</w:t>
      </w:r>
    </w:p>
    <w:p w:rsidR="00000000" w:rsidRDefault="009012B9">
      <w:pPr>
        <w:ind w:firstLine="482"/>
        <w:divId w:val="572541958"/>
        <w:rPr>
          <w:rFonts w:eastAsia="Times New Roman"/>
        </w:rPr>
      </w:pPr>
      <w:r>
        <w:rPr>
          <w:rFonts w:eastAsia="Times New Roman"/>
          <w:color w:val="000000"/>
          <w:sz w:val="20"/>
          <w:szCs w:val="20"/>
        </w:rPr>
        <w:t>As of December 31, 2020, we had net operating l</w:t>
      </w:r>
      <w:r>
        <w:rPr>
          <w:rFonts w:eastAsia="Times New Roman"/>
          <w:color w:val="000000"/>
          <w:sz w:val="20"/>
          <w:szCs w:val="20"/>
        </w:rPr>
        <w:t>oss carryforwards for U.S. federal and state income tax purposes of $96.5 million and $97.3 million, respectively, some of which will begin to expire in 2035. As of December 31, 2020, we also had available tax credit carryforwards for U.S. federal income t</w:t>
      </w:r>
      <w:r>
        <w:rPr>
          <w:rFonts w:eastAsia="Times New Roman"/>
          <w:color w:val="000000"/>
          <w:sz w:val="20"/>
          <w:szCs w:val="20"/>
        </w:rPr>
        <w:t>ax purposes of $7.5 million, which begin to expire in 2036, and state income tax purposes of $2.5 million. Under Section 382 of the Internal Revenue Code of 1986, as amended, or the Code, changes in our ownership may limit the amount of our net operating l</w:t>
      </w:r>
      <w:r>
        <w:rPr>
          <w:rFonts w:eastAsia="Times New Roman"/>
          <w:color w:val="000000"/>
          <w:sz w:val="20"/>
          <w:szCs w:val="20"/>
        </w:rPr>
        <w:t>oss carryforwards and tax credit carryforwards that could be utilized annually to offset our future taxable income, if any. This limitation would generally apply in the event of a cumulative change in ownership of our company of more than 50 percentage poi</w:t>
      </w:r>
      <w:r>
        <w:rPr>
          <w:rFonts w:eastAsia="Times New Roman"/>
          <w:color w:val="000000"/>
          <w:sz w:val="20"/>
          <w:szCs w:val="20"/>
        </w:rPr>
        <w:t>nts within a three-year period. Any such limitation may significantly reduce our ability to utilize our net operating loss carryforwards and tax credit carryforwards before they expire. We completed a Section 382 study of transactions in our stock ownershi</w:t>
      </w:r>
      <w:r>
        <w:rPr>
          <w:rFonts w:eastAsia="Times New Roman"/>
          <w:color w:val="000000"/>
          <w:sz w:val="20"/>
          <w:szCs w:val="20"/>
        </w:rPr>
        <w:t xml:space="preserve">p through December 31, 2020 and concluded that we have experienced ownership changes since inception and our utilization of pre-change net operating loss and credit carryforwards will be subject to the limitation. In addition, we may experience subsequent </w:t>
      </w:r>
      <w:r>
        <w:rPr>
          <w:rFonts w:eastAsia="Times New Roman"/>
          <w:color w:val="000000"/>
          <w:sz w:val="20"/>
          <w:szCs w:val="20"/>
        </w:rPr>
        <w:t>ownership changes as a result of future equity offerings or other changes in our stock ownership. Any such limitation, whether as the result of the IPO, the Concurrent Private Placement, prior private placements, sales of our common stock by our existing s</w:t>
      </w:r>
      <w:r>
        <w:rPr>
          <w:rFonts w:eastAsia="Times New Roman"/>
          <w:color w:val="000000"/>
          <w:sz w:val="20"/>
          <w:szCs w:val="20"/>
        </w:rPr>
        <w:t>tockholders or additional sales of our common stock by us, could have a material adverse effect on our results of operations in future years. Our ability to utilize those net operating loss carryforwards could be limited by an “ownership change” as describ</w:t>
      </w:r>
      <w:r>
        <w:rPr>
          <w:rFonts w:eastAsia="Times New Roman"/>
          <w:color w:val="000000"/>
          <w:sz w:val="20"/>
          <w:szCs w:val="20"/>
        </w:rPr>
        <w:t>ed above, which could result in increased tax liability to us. Net operating losses generated after December 31, 2017 are not subject to expiration, but may not be carried back to prior taxable years, except that net operating losses generated in 2018, 201</w:t>
      </w:r>
      <w:r>
        <w:rPr>
          <w:rFonts w:eastAsia="Times New Roman"/>
          <w:color w:val="000000"/>
          <w:sz w:val="20"/>
          <w:szCs w:val="20"/>
        </w:rPr>
        <w:t>9 and 2020 may be carried back five taxable years. Additionally, the deductibility of such U.S. federal net operating losses is limited to 80% of our taxable income in any taxable year beginning after December 31, 2020.</w:t>
      </w:r>
    </w:p>
    <w:p w:rsidR="00000000" w:rsidRDefault="009012B9">
      <w:pPr>
        <w:divId w:val="847065340"/>
        <w:rPr>
          <w:rFonts w:eastAsia="Times New Roman"/>
        </w:rPr>
      </w:pPr>
      <w:r>
        <w:rPr>
          <w:rFonts w:eastAsia="Times New Roman"/>
          <w:b/>
          <w:bCs/>
          <w:color w:val="000000"/>
          <w:sz w:val="20"/>
          <w:szCs w:val="20"/>
        </w:rPr>
        <w:t>Risks Related to Our Common Stock</w:t>
      </w:r>
    </w:p>
    <w:p w:rsidR="00000000" w:rsidRDefault="009012B9">
      <w:pPr>
        <w:divId w:val="1520195893"/>
        <w:rPr>
          <w:rFonts w:eastAsia="Times New Roman"/>
        </w:rPr>
      </w:pPr>
      <w:r>
        <w:rPr>
          <w:rFonts w:eastAsia="Times New Roman"/>
          <w:b/>
          <w:bCs/>
          <w:i/>
          <w:iCs/>
          <w:color w:val="000000"/>
          <w:sz w:val="20"/>
          <w:szCs w:val="20"/>
        </w:rPr>
        <w:t>Th</w:t>
      </w:r>
      <w:r>
        <w:rPr>
          <w:rFonts w:eastAsia="Times New Roman"/>
          <w:b/>
          <w:bCs/>
          <w:i/>
          <w:iCs/>
          <w:color w:val="000000"/>
          <w:sz w:val="20"/>
          <w:szCs w:val="20"/>
        </w:rPr>
        <w:t>e stock price of our common stock may be volatile or may decline regardless of our operating performance.</w:t>
      </w:r>
    </w:p>
    <w:p w:rsidR="00000000" w:rsidRDefault="009012B9">
      <w:pPr>
        <w:ind w:firstLine="482"/>
        <w:divId w:val="1452824448"/>
        <w:rPr>
          <w:rFonts w:eastAsia="Times New Roman"/>
        </w:rPr>
      </w:pPr>
      <w:r>
        <w:rPr>
          <w:rFonts w:eastAsia="Times New Roman"/>
          <w:color w:val="000000"/>
          <w:sz w:val="20"/>
          <w:szCs w:val="20"/>
        </w:rPr>
        <w:t>Prior to our initial public offering in June 2020, there was no public market for shares of our common stock. In connection with our initial public of</w:t>
      </w:r>
      <w:r>
        <w:rPr>
          <w:rFonts w:eastAsia="Times New Roman"/>
          <w:color w:val="000000"/>
          <w:sz w:val="20"/>
          <w:szCs w:val="20"/>
        </w:rPr>
        <w:t>fering, our common stock was listed for trading on the Nasdaq Global Select Market. However, an active or liquid market in our common stock may not develop, and if it does develop, it may not be sustainable.</w:t>
      </w:r>
    </w:p>
    <w:p w:rsidR="00000000" w:rsidRDefault="009012B9">
      <w:pPr>
        <w:ind w:firstLine="482"/>
        <w:divId w:val="1723676376"/>
        <w:rPr>
          <w:rFonts w:eastAsia="Times New Roman"/>
        </w:rPr>
      </w:pPr>
      <w:r>
        <w:rPr>
          <w:rFonts w:eastAsia="Times New Roman"/>
          <w:color w:val="000000"/>
          <w:sz w:val="20"/>
          <w:szCs w:val="20"/>
        </w:rPr>
        <w:t xml:space="preserve">Further, an inactive market may also impair our </w:t>
      </w:r>
      <w:r>
        <w:rPr>
          <w:rFonts w:eastAsia="Times New Roman"/>
          <w:color w:val="000000"/>
          <w:sz w:val="20"/>
          <w:szCs w:val="20"/>
        </w:rPr>
        <w:t>ability to raise capital by selling shares of our common stock and may impair our ability to enter into strategic collaborations or acquire companies or products by using our shares of common stock as consideration.</w:t>
      </w:r>
    </w:p>
    <w:p w:rsidR="00000000" w:rsidRDefault="009012B9">
      <w:pPr>
        <w:jc w:val="center"/>
        <w:divId w:val="648822880"/>
        <w:rPr>
          <w:rFonts w:eastAsia="Times New Roman"/>
        </w:rPr>
      </w:pPr>
      <w:r>
        <w:rPr>
          <w:rFonts w:eastAsia="Times New Roman"/>
          <w:color w:val="000000"/>
          <w:sz w:val="20"/>
          <w:szCs w:val="20"/>
        </w:rPr>
        <w:t>69</w:t>
      </w:r>
    </w:p>
    <w:p w:rsidR="00000000" w:rsidRDefault="009012B9">
      <w:pPr>
        <w:rPr>
          <w:rFonts w:eastAsia="Times New Roman"/>
        </w:rPr>
      </w:pPr>
      <w:r>
        <w:rPr>
          <w:rFonts w:eastAsia="Times New Roman"/>
        </w:rPr>
        <w:pict>
          <v:rect id="_x0000_i1093" style="width:0;height:1.5pt" o:hralign="center" o:hrstd="t" o:hr="t" fillcolor="#a0a0a0" stroked="f"/>
        </w:pict>
      </w:r>
    </w:p>
    <w:p w:rsidR="00000000" w:rsidRDefault="009012B9">
      <w:pPr>
        <w:divId w:val="831721600"/>
        <w:rPr>
          <w:rFonts w:eastAsia="Times New Roman"/>
        </w:rPr>
      </w:pPr>
    </w:p>
    <w:p w:rsidR="00000000" w:rsidRDefault="009012B9">
      <w:pPr>
        <w:divId w:val="256862730"/>
        <w:rPr>
          <w:rFonts w:eastAsia="Times New Roman"/>
        </w:rPr>
      </w:pPr>
      <w:r>
        <w:rPr>
          <w:rFonts w:eastAsia="Times New Roman"/>
          <w:b/>
          <w:bCs/>
          <w:i/>
          <w:iCs/>
          <w:color w:val="000000"/>
          <w:sz w:val="20"/>
          <w:szCs w:val="20"/>
        </w:rPr>
        <w:t>The price of our stock may be volatile, and you could lose all or part of your investment.</w:t>
      </w:r>
    </w:p>
    <w:p w:rsidR="00000000" w:rsidRDefault="009012B9">
      <w:pPr>
        <w:ind w:firstLine="482"/>
        <w:divId w:val="846599650"/>
        <w:rPr>
          <w:rFonts w:eastAsia="Times New Roman"/>
        </w:rPr>
      </w:pPr>
      <w:r>
        <w:rPr>
          <w:rFonts w:eastAsia="Times New Roman"/>
          <w:color w:val="000000"/>
          <w:sz w:val="20"/>
          <w:szCs w:val="20"/>
        </w:rPr>
        <w:t>The trading price of our common stock is likely to be highly volatile and could be subject to wide fluctuations in response to various factors, some of which are b</w:t>
      </w:r>
      <w:r>
        <w:rPr>
          <w:rFonts w:eastAsia="Times New Roman"/>
          <w:color w:val="000000"/>
          <w:sz w:val="20"/>
          <w:szCs w:val="20"/>
        </w:rPr>
        <w:t>eyond our control, including limited trading volume. In addition to the factors discussed in this “Risk Factors” section and elsewhere in this Report, these factors include:</w:t>
      </w:r>
    </w:p>
    <w:p w:rsidR="00000000" w:rsidRDefault="009012B9">
      <w:pPr>
        <w:ind w:hanging="480"/>
        <w:divId w:val="140082000"/>
        <w:rPr>
          <w:rFonts w:eastAsia="Times New Roman"/>
        </w:rPr>
      </w:pPr>
      <w:r>
        <w:rPr>
          <w:rFonts w:eastAsia="Times New Roman"/>
          <w:color w:val="000000"/>
          <w:sz w:val="20"/>
          <w:szCs w:val="20"/>
        </w:rPr>
        <w:t>•the commencement, enrollment or results of our current Phase 2a clinical trials o</w:t>
      </w:r>
      <w:r>
        <w:rPr>
          <w:rFonts w:eastAsia="Times New Roman"/>
          <w:color w:val="000000"/>
          <w:sz w:val="20"/>
          <w:szCs w:val="20"/>
        </w:rPr>
        <w:t>f PLN-74809 and any other clinical trials for our product candidates conducted by us or our collaborators;</w:t>
      </w:r>
    </w:p>
    <w:p w:rsidR="00000000" w:rsidRDefault="009012B9">
      <w:pPr>
        <w:ind w:hanging="480"/>
        <w:divId w:val="1706558693"/>
        <w:rPr>
          <w:rFonts w:eastAsia="Times New Roman"/>
        </w:rPr>
      </w:pPr>
      <w:r>
        <w:rPr>
          <w:rFonts w:eastAsia="Times New Roman"/>
          <w:color w:val="000000"/>
          <w:sz w:val="20"/>
          <w:szCs w:val="20"/>
        </w:rPr>
        <w:t>•any delay in identifying and advancing a clinical candidate for our other development programs;</w:t>
      </w:r>
    </w:p>
    <w:p w:rsidR="00000000" w:rsidRDefault="009012B9">
      <w:pPr>
        <w:ind w:hanging="480"/>
        <w:divId w:val="1038628201"/>
        <w:rPr>
          <w:rFonts w:eastAsia="Times New Roman"/>
        </w:rPr>
      </w:pPr>
      <w:r>
        <w:rPr>
          <w:rFonts w:eastAsia="Times New Roman"/>
          <w:color w:val="000000"/>
          <w:sz w:val="20"/>
          <w:szCs w:val="20"/>
        </w:rPr>
        <w:t>•any delay in our regulatory filings for PLN-74809 o</w:t>
      </w:r>
      <w:r>
        <w:rPr>
          <w:rFonts w:eastAsia="Times New Roman"/>
          <w:color w:val="000000"/>
          <w:sz w:val="20"/>
          <w:szCs w:val="20"/>
        </w:rPr>
        <w:t>r our other product candidates and any adverse development or perceived adverse development with respect to the applicable regulatory authority’s review of such filings, including without limitation the FDA’s issuance of a “refusal to file” letter or a req</w:t>
      </w:r>
      <w:r>
        <w:rPr>
          <w:rFonts w:eastAsia="Times New Roman"/>
          <w:color w:val="000000"/>
          <w:sz w:val="20"/>
          <w:szCs w:val="20"/>
        </w:rPr>
        <w:t>uest for additional information;</w:t>
      </w:r>
    </w:p>
    <w:p w:rsidR="00000000" w:rsidRDefault="009012B9">
      <w:pPr>
        <w:ind w:hanging="480"/>
        <w:divId w:val="540167436"/>
        <w:rPr>
          <w:rFonts w:eastAsia="Times New Roman"/>
        </w:rPr>
      </w:pPr>
      <w:r>
        <w:rPr>
          <w:rFonts w:eastAsia="Times New Roman"/>
          <w:color w:val="000000"/>
          <w:sz w:val="20"/>
          <w:szCs w:val="20"/>
        </w:rPr>
        <w:t>•adverse results or delays in future clinical trials;</w:t>
      </w:r>
    </w:p>
    <w:p w:rsidR="00000000" w:rsidRDefault="009012B9">
      <w:pPr>
        <w:ind w:hanging="480"/>
        <w:divId w:val="1461222150"/>
        <w:rPr>
          <w:rFonts w:eastAsia="Times New Roman"/>
        </w:rPr>
      </w:pPr>
      <w:r>
        <w:rPr>
          <w:rFonts w:eastAsia="Times New Roman"/>
          <w:color w:val="000000"/>
          <w:sz w:val="20"/>
          <w:szCs w:val="20"/>
        </w:rPr>
        <w:t>•our decision to initiate a clinical trial, not to initiate a clinical trial or to terminate an existing clinical trial;</w:t>
      </w:r>
    </w:p>
    <w:p w:rsidR="00000000" w:rsidRDefault="009012B9">
      <w:pPr>
        <w:ind w:hanging="480"/>
        <w:divId w:val="1288973564"/>
        <w:rPr>
          <w:rFonts w:eastAsia="Times New Roman"/>
        </w:rPr>
      </w:pPr>
      <w:r>
        <w:rPr>
          <w:rFonts w:eastAsia="Times New Roman"/>
          <w:color w:val="000000"/>
          <w:sz w:val="20"/>
          <w:szCs w:val="20"/>
        </w:rPr>
        <w:t>•</w:t>
      </w:r>
      <w:r>
        <w:rPr>
          <w:rFonts w:eastAsia="Times New Roman"/>
          <w:color w:val="000000"/>
          <w:sz w:val="20"/>
          <w:szCs w:val="20"/>
        </w:rPr>
        <w:t>adverse regulatory decisions, including failure to receive regulatory approval of PLN-74809 or any other product candidate;</w:t>
      </w:r>
    </w:p>
    <w:p w:rsidR="00000000" w:rsidRDefault="009012B9">
      <w:pPr>
        <w:ind w:hanging="480"/>
        <w:divId w:val="1375346666"/>
        <w:rPr>
          <w:rFonts w:eastAsia="Times New Roman"/>
        </w:rPr>
      </w:pPr>
      <w:r>
        <w:rPr>
          <w:rFonts w:eastAsia="Times New Roman"/>
          <w:color w:val="000000"/>
          <w:sz w:val="20"/>
          <w:szCs w:val="20"/>
        </w:rPr>
        <w:t xml:space="preserve">•changes in laws or regulations applicable to PLN-74809 or any other product candidate, including but not limited to clinical trial </w:t>
      </w:r>
      <w:r>
        <w:rPr>
          <w:rFonts w:eastAsia="Times New Roman"/>
          <w:color w:val="000000"/>
          <w:sz w:val="20"/>
          <w:szCs w:val="20"/>
        </w:rPr>
        <w:t>requirements for approvals;</w:t>
      </w:r>
    </w:p>
    <w:p w:rsidR="00000000" w:rsidRDefault="009012B9">
      <w:pPr>
        <w:ind w:hanging="480"/>
        <w:divId w:val="1556163685"/>
        <w:rPr>
          <w:rFonts w:eastAsia="Times New Roman"/>
        </w:rPr>
      </w:pPr>
      <w:r>
        <w:rPr>
          <w:rFonts w:eastAsia="Times New Roman"/>
          <w:color w:val="000000"/>
          <w:sz w:val="20"/>
          <w:szCs w:val="20"/>
        </w:rPr>
        <w:t>•adverse developments concerning our manufacturers;</w:t>
      </w:r>
    </w:p>
    <w:p w:rsidR="00000000" w:rsidRDefault="009012B9">
      <w:pPr>
        <w:ind w:hanging="480"/>
        <w:divId w:val="921764844"/>
        <w:rPr>
          <w:rFonts w:eastAsia="Times New Roman"/>
        </w:rPr>
      </w:pPr>
      <w:r>
        <w:rPr>
          <w:rFonts w:eastAsia="Times New Roman"/>
          <w:color w:val="000000"/>
          <w:sz w:val="20"/>
          <w:szCs w:val="20"/>
        </w:rPr>
        <w:t>•our inability to obtain adequate product supply for any approved product or inability to do so at acceptable prices;</w:t>
      </w:r>
    </w:p>
    <w:p w:rsidR="00000000" w:rsidRDefault="009012B9">
      <w:pPr>
        <w:ind w:hanging="480"/>
        <w:divId w:val="95909867"/>
        <w:rPr>
          <w:rFonts w:eastAsia="Times New Roman"/>
        </w:rPr>
      </w:pPr>
      <w:r>
        <w:rPr>
          <w:rFonts w:eastAsia="Times New Roman"/>
          <w:color w:val="000000"/>
          <w:sz w:val="20"/>
          <w:szCs w:val="20"/>
        </w:rPr>
        <w:t>•</w:t>
      </w:r>
      <w:r>
        <w:rPr>
          <w:rFonts w:eastAsia="Times New Roman"/>
          <w:color w:val="000000"/>
          <w:sz w:val="20"/>
          <w:szCs w:val="20"/>
        </w:rPr>
        <w:t>our inability to establish collaborations, if needed;</w:t>
      </w:r>
    </w:p>
    <w:p w:rsidR="00000000" w:rsidRDefault="009012B9">
      <w:pPr>
        <w:ind w:hanging="480"/>
        <w:divId w:val="348527283"/>
        <w:rPr>
          <w:rFonts w:eastAsia="Times New Roman"/>
        </w:rPr>
      </w:pPr>
      <w:r>
        <w:rPr>
          <w:rFonts w:eastAsia="Times New Roman"/>
          <w:color w:val="000000"/>
          <w:sz w:val="20"/>
          <w:szCs w:val="20"/>
        </w:rPr>
        <w:t>•our failure to commercialize our product candidates, if approved;</w:t>
      </w:r>
    </w:p>
    <w:p w:rsidR="00000000" w:rsidRDefault="009012B9">
      <w:pPr>
        <w:ind w:hanging="480"/>
        <w:divId w:val="1424060949"/>
        <w:rPr>
          <w:rFonts w:eastAsia="Times New Roman"/>
        </w:rPr>
      </w:pPr>
      <w:r>
        <w:rPr>
          <w:rFonts w:eastAsia="Times New Roman"/>
          <w:color w:val="000000"/>
          <w:sz w:val="20"/>
          <w:szCs w:val="20"/>
        </w:rPr>
        <w:t>•additions or departures of key scientific or management personnel;</w:t>
      </w:r>
    </w:p>
    <w:p w:rsidR="00000000" w:rsidRDefault="009012B9">
      <w:pPr>
        <w:ind w:hanging="480"/>
        <w:divId w:val="998194048"/>
        <w:rPr>
          <w:rFonts w:eastAsia="Times New Roman"/>
        </w:rPr>
      </w:pPr>
      <w:r>
        <w:rPr>
          <w:rFonts w:eastAsia="Times New Roman"/>
          <w:color w:val="000000"/>
          <w:sz w:val="20"/>
          <w:szCs w:val="20"/>
        </w:rPr>
        <w:t>•unanticipated serious safety concerns related to the use of PLN-74</w:t>
      </w:r>
      <w:r>
        <w:rPr>
          <w:rFonts w:eastAsia="Times New Roman"/>
          <w:color w:val="000000"/>
          <w:sz w:val="20"/>
          <w:szCs w:val="20"/>
        </w:rPr>
        <w:t>809 or any other product candidate;</w:t>
      </w:r>
    </w:p>
    <w:p w:rsidR="00000000" w:rsidRDefault="009012B9">
      <w:pPr>
        <w:ind w:hanging="480"/>
        <w:divId w:val="768156961"/>
        <w:rPr>
          <w:rFonts w:eastAsia="Times New Roman"/>
        </w:rPr>
      </w:pPr>
      <w:r>
        <w:rPr>
          <w:rFonts w:eastAsia="Times New Roman"/>
          <w:color w:val="000000"/>
          <w:sz w:val="20"/>
          <w:szCs w:val="20"/>
        </w:rPr>
        <w:t>•introduction of new products or services offered by us or our competitors;</w:t>
      </w:r>
    </w:p>
    <w:p w:rsidR="00000000" w:rsidRDefault="009012B9">
      <w:pPr>
        <w:ind w:hanging="480"/>
        <w:divId w:val="1965572201"/>
        <w:rPr>
          <w:rFonts w:eastAsia="Times New Roman"/>
        </w:rPr>
      </w:pPr>
      <w:r>
        <w:rPr>
          <w:rFonts w:eastAsia="Times New Roman"/>
          <w:color w:val="000000"/>
          <w:sz w:val="20"/>
          <w:szCs w:val="20"/>
        </w:rPr>
        <w:t>•announcements of significant acquisitions, strategic partnerships, joint ventures or capital commitments by us or our competitors;</w:t>
      </w:r>
    </w:p>
    <w:p w:rsidR="00000000" w:rsidRDefault="009012B9">
      <w:pPr>
        <w:ind w:hanging="480"/>
        <w:divId w:val="195626038"/>
        <w:rPr>
          <w:rFonts w:eastAsia="Times New Roman"/>
        </w:rPr>
      </w:pPr>
      <w:r>
        <w:rPr>
          <w:rFonts w:eastAsia="Times New Roman"/>
          <w:color w:val="000000"/>
          <w:sz w:val="20"/>
          <w:szCs w:val="20"/>
        </w:rPr>
        <w:t>•our ability</w:t>
      </w:r>
      <w:r>
        <w:rPr>
          <w:rFonts w:eastAsia="Times New Roman"/>
          <w:color w:val="000000"/>
          <w:sz w:val="20"/>
          <w:szCs w:val="20"/>
        </w:rPr>
        <w:t xml:space="preserve"> to effectively manage our growth;</w:t>
      </w:r>
    </w:p>
    <w:p w:rsidR="00000000" w:rsidRDefault="009012B9">
      <w:pPr>
        <w:ind w:hanging="480"/>
        <w:divId w:val="618339374"/>
        <w:rPr>
          <w:rFonts w:eastAsia="Times New Roman"/>
        </w:rPr>
      </w:pPr>
      <w:r>
        <w:rPr>
          <w:rFonts w:eastAsia="Times New Roman"/>
          <w:color w:val="000000"/>
          <w:sz w:val="20"/>
          <w:szCs w:val="20"/>
        </w:rPr>
        <w:t>•actual or anticipated variations in quarterly operating results;</w:t>
      </w:r>
    </w:p>
    <w:p w:rsidR="00000000" w:rsidRDefault="009012B9">
      <w:pPr>
        <w:ind w:hanging="480"/>
        <w:divId w:val="402333403"/>
        <w:rPr>
          <w:rFonts w:eastAsia="Times New Roman"/>
        </w:rPr>
      </w:pPr>
      <w:r>
        <w:rPr>
          <w:rFonts w:eastAsia="Times New Roman"/>
          <w:color w:val="000000"/>
          <w:sz w:val="20"/>
          <w:szCs w:val="20"/>
        </w:rPr>
        <w:t>•our cash position;</w:t>
      </w:r>
    </w:p>
    <w:p w:rsidR="00000000" w:rsidRDefault="009012B9">
      <w:pPr>
        <w:ind w:hanging="480"/>
        <w:divId w:val="1083648618"/>
        <w:rPr>
          <w:rFonts w:eastAsia="Times New Roman"/>
        </w:rPr>
      </w:pPr>
      <w:r>
        <w:rPr>
          <w:rFonts w:eastAsia="Times New Roman"/>
          <w:color w:val="000000"/>
          <w:sz w:val="20"/>
          <w:szCs w:val="20"/>
        </w:rPr>
        <w:t>•our failure to meet the estimates and projections of the investment community or that we may otherwise provide to the public;</w:t>
      </w:r>
    </w:p>
    <w:p w:rsidR="00000000" w:rsidRDefault="009012B9">
      <w:pPr>
        <w:ind w:hanging="480"/>
        <w:divId w:val="1250888041"/>
        <w:rPr>
          <w:rFonts w:eastAsia="Times New Roman"/>
        </w:rPr>
      </w:pPr>
      <w:r>
        <w:rPr>
          <w:rFonts w:eastAsia="Times New Roman"/>
          <w:color w:val="000000"/>
          <w:sz w:val="20"/>
          <w:szCs w:val="20"/>
        </w:rPr>
        <w:t>•publica</w:t>
      </w:r>
      <w:r>
        <w:rPr>
          <w:rFonts w:eastAsia="Times New Roman"/>
          <w:color w:val="000000"/>
          <w:sz w:val="20"/>
          <w:szCs w:val="20"/>
        </w:rPr>
        <w:t>tion of research reports about us or our industry, or product candidates in particular, or positive or negative recommendations or withdrawal of research coverage by securities analysts;</w:t>
      </w:r>
    </w:p>
    <w:p w:rsidR="00000000" w:rsidRDefault="009012B9">
      <w:pPr>
        <w:ind w:hanging="480"/>
        <w:divId w:val="49505713"/>
        <w:rPr>
          <w:rFonts w:eastAsia="Times New Roman"/>
        </w:rPr>
      </w:pPr>
      <w:r>
        <w:rPr>
          <w:rFonts w:eastAsia="Times New Roman"/>
          <w:color w:val="000000"/>
          <w:sz w:val="20"/>
          <w:szCs w:val="20"/>
        </w:rPr>
        <w:t>•changes in the market valuations of similar companies;</w:t>
      </w:r>
    </w:p>
    <w:p w:rsidR="00000000" w:rsidRDefault="009012B9">
      <w:pPr>
        <w:ind w:hanging="480"/>
        <w:divId w:val="1539004639"/>
        <w:rPr>
          <w:rFonts w:eastAsia="Times New Roman"/>
        </w:rPr>
      </w:pPr>
      <w:r>
        <w:rPr>
          <w:rFonts w:eastAsia="Times New Roman"/>
          <w:color w:val="000000"/>
          <w:sz w:val="20"/>
          <w:szCs w:val="20"/>
        </w:rPr>
        <w:t>•changes in t</w:t>
      </w:r>
      <w:r>
        <w:rPr>
          <w:rFonts w:eastAsia="Times New Roman"/>
          <w:color w:val="000000"/>
          <w:sz w:val="20"/>
          <w:szCs w:val="20"/>
        </w:rPr>
        <w:t>he structure of the healthcare payment systems;</w:t>
      </w:r>
    </w:p>
    <w:p w:rsidR="00000000" w:rsidRDefault="009012B9">
      <w:pPr>
        <w:ind w:hanging="480"/>
        <w:divId w:val="1953049912"/>
        <w:rPr>
          <w:rFonts w:eastAsia="Times New Roman"/>
        </w:rPr>
      </w:pPr>
      <w:r>
        <w:rPr>
          <w:rFonts w:eastAsia="Times New Roman"/>
          <w:color w:val="000000"/>
          <w:sz w:val="20"/>
          <w:szCs w:val="20"/>
        </w:rPr>
        <w:t>•overall performance of the equity markets;</w:t>
      </w:r>
    </w:p>
    <w:p w:rsidR="00000000" w:rsidRDefault="009012B9">
      <w:pPr>
        <w:ind w:hanging="480"/>
        <w:divId w:val="1593468596"/>
        <w:rPr>
          <w:rFonts w:eastAsia="Times New Roman"/>
        </w:rPr>
      </w:pPr>
      <w:r>
        <w:rPr>
          <w:rFonts w:eastAsia="Times New Roman"/>
          <w:color w:val="000000"/>
          <w:sz w:val="20"/>
          <w:szCs w:val="20"/>
        </w:rPr>
        <w:t>•sales of our common stock by us or our stockholders in the future;</w:t>
      </w:r>
    </w:p>
    <w:p w:rsidR="00000000" w:rsidRDefault="009012B9">
      <w:pPr>
        <w:ind w:hanging="480"/>
        <w:divId w:val="1030716434"/>
        <w:rPr>
          <w:rFonts w:eastAsia="Times New Roman"/>
        </w:rPr>
      </w:pPr>
      <w:r>
        <w:rPr>
          <w:rFonts w:eastAsia="Times New Roman"/>
          <w:color w:val="000000"/>
          <w:sz w:val="20"/>
          <w:szCs w:val="20"/>
        </w:rPr>
        <w:t>•trading volume of our common stock;</w:t>
      </w:r>
    </w:p>
    <w:p w:rsidR="00000000" w:rsidRDefault="009012B9">
      <w:pPr>
        <w:jc w:val="center"/>
        <w:divId w:val="1669819952"/>
        <w:rPr>
          <w:rFonts w:eastAsia="Times New Roman"/>
        </w:rPr>
      </w:pPr>
      <w:r>
        <w:rPr>
          <w:rFonts w:eastAsia="Times New Roman"/>
          <w:color w:val="000000"/>
          <w:sz w:val="20"/>
          <w:szCs w:val="20"/>
        </w:rPr>
        <w:t>70</w:t>
      </w:r>
    </w:p>
    <w:p w:rsidR="00000000" w:rsidRDefault="009012B9">
      <w:pPr>
        <w:rPr>
          <w:rFonts w:eastAsia="Times New Roman"/>
        </w:rPr>
      </w:pPr>
      <w:r>
        <w:rPr>
          <w:rFonts w:eastAsia="Times New Roman"/>
        </w:rPr>
        <w:pict>
          <v:rect id="_x0000_i1094" style="width:0;height:1.5pt" o:hralign="center" o:hrstd="t" o:hr="t" fillcolor="#a0a0a0" stroked="f"/>
        </w:pict>
      </w:r>
    </w:p>
    <w:p w:rsidR="00000000" w:rsidRDefault="009012B9">
      <w:pPr>
        <w:divId w:val="1910726203"/>
        <w:rPr>
          <w:rFonts w:eastAsia="Times New Roman"/>
        </w:rPr>
      </w:pPr>
    </w:p>
    <w:p w:rsidR="00000000" w:rsidRDefault="009012B9">
      <w:pPr>
        <w:ind w:hanging="480"/>
        <w:divId w:val="2066833739"/>
        <w:rPr>
          <w:rFonts w:eastAsia="Times New Roman"/>
        </w:rPr>
      </w:pPr>
      <w:r>
        <w:rPr>
          <w:rFonts w:eastAsia="Times New Roman"/>
          <w:color w:val="000000"/>
          <w:sz w:val="20"/>
          <w:szCs w:val="20"/>
        </w:rPr>
        <w:t>•changes in accoun</w:t>
      </w:r>
      <w:r>
        <w:rPr>
          <w:rFonts w:eastAsia="Times New Roman"/>
          <w:color w:val="000000"/>
          <w:sz w:val="20"/>
          <w:szCs w:val="20"/>
        </w:rPr>
        <w:t>ting practices;</w:t>
      </w:r>
    </w:p>
    <w:p w:rsidR="00000000" w:rsidRDefault="009012B9">
      <w:pPr>
        <w:ind w:hanging="480"/>
        <w:divId w:val="658577511"/>
        <w:rPr>
          <w:rFonts w:eastAsia="Times New Roman"/>
        </w:rPr>
      </w:pPr>
      <w:r>
        <w:rPr>
          <w:rFonts w:eastAsia="Times New Roman"/>
          <w:color w:val="000000"/>
          <w:sz w:val="20"/>
          <w:szCs w:val="20"/>
        </w:rPr>
        <w:t>•ineffectiveness of our internal controls;</w:t>
      </w:r>
    </w:p>
    <w:p w:rsidR="00000000" w:rsidRDefault="009012B9">
      <w:pPr>
        <w:ind w:hanging="480"/>
        <w:divId w:val="973173367"/>
        <w:rPr>
          <w:rFonts w:eastAsia="Times New Roman"/>
        </w:rPr>
      </w:pPr>
      <w:r>
        <w:rPr>
          <w:rFonts w:eastAsia="Times New Roman"/>
          <w:color w:val="000000"/>
          <w:sz w:val="20"/>
          <w:szCs w:val="20"/>
        </w:rPr>
        <w:t>•disputes or other developments relating to proprietary rights, including patents, litigation matters and our ability to obtain patent protection for our technologies;</w:t>
      </w:r>
    </w:p>
    <w:p w:rsidR="00000000" w:rsidRDefault="009012B9">
      <w:pPr>
        <w:ind w:hanging="480"/>
        <w:divId w:val="1963609948"/>
        <w:rPr>
          <w:rFonts w:eastAsia="Times New Roman"/>
        </w:rPr>
      </w:pPr>
      <w:r>
        <w:rPr>
          <w:rFonts w:eastAsia="Times New Roman"/>
          <w:color w:val="000000"/>
          <w:sz w:val="20"/>
          <w:szCs w:val="20"/>
        </w:rPr>
        <w:t>•significant lawsuits, includ</w:t>
      </w:r>
      <w:r>
        <w:rPr>
          <w:rFonts w:eastAsia="Times New Roman"/>
          <w:color w:val="000000"/>
          <w:sz w:val="20"/>
          <w:szCs w:val="20"/>
        </w:rPr>
        <w:t>ing patent or stockholder litigation;</w:t>
      </w:r>
    </w:p>
    <w:p w:rsidR="00000000" w:rsidRDefault="009012B9">
      <w:pPr>
        <w:ind w:hanging="480"/>
        <w:divId w:val="535580809"/>
        <w:rPr>
          <w:rFonts w:eastAsia="Times New Roman"/>
        </w:rPr>
      </w:pPr>
      <w:r>
        <w:rPr>
          <w:rFonts w:eastAsia="Times New Roman"/>
          <w:color w:val="000000"/>
          <w:sz w:val="20"/>
          <w:szCs w:val="20"/>
        </w:rPr>
        <w:t>•general political and economic conditions; and</w:t>
      </w:r>
    </w:p>
    <w:p w:rsidR="00000000" w:rsidRDefault="009012B9">
      <w:pPr>
        <w:ind w:hanging="480"/>
        <w:divId w:val="1078749838"/>
        <w:rPr>
          <w:rFonts w:eastAsia="Times New Roman"/>
        </w:rPr>
      </w:pPr>
      <w:r>
        <w:rPr>
          <w:rFonts w:eastAsia="Times New Roman"/>
          <w:color w:val="000000"/>
          <w:sz w:val="20"/>
          <w:szCs w:val="20"/>
        </w:rPr>
        <w:t>•other events or factors, many of which are beyond our control.</w:t>
      </w:r>
    </w:p>
    <w:p w:rsidR="00000000" w:rsidRDefault="009012B9">
      <w:pPr>
        <w:ind w:firstLine="482"/>
        <w:divId w:val="2141459783"/>
        <w:rPr>
          <w:rFonts w:eastAsia="Times New Roman"/>
        </w:rPr>
      </w:pPr>
      <w:r>
        <w:rPr>
          <w:rFonts w:eastAsia="Times New Roman"/>
          <w:color w:val="000000"/>
          <w:sz w:val="20"/>
          <w:szCs w:val="20"/>
        </w:rPr>
        <w:t>In addition, the stock market in general, and the market for biopharmaceutical companies in particular, have experienced extreme price and volume fluctuations that have often been unrelated or disproportionate to the operating performance of these companie</w:t>
      </w:r>
      <w:r>
        <w:rPr>
          <w:rFonts w:eastAsia="Times New Roman"/>
          <w:color w:val="000000"/>
          <w:sz w:val="20"/>
          <w:szCs w:val="20"/>
        </w:rPr>
        <w:t>s, including as a result of the COVID-19 pandemic. Broad market and industry factors may negatively affect the market price of our common stock, regardless of our actual operating performance. If the market price of our common stock does not exceed the ini</w:t>
      </w:r>
      <w:r>
        <w:rPr>
          <w:rFonts w:eastAsia="Times New Roman"/>
          <w:color w:val="000000"/>
          <w:sz w:val="20"/>
          <w:szCs w:val="20"/>
        </w:rPr>
        <w:t xml:space="preserve">tial public offering price, you may not realize any return on your investment in us and may lose some or all of your investment. In the past, securities class action litigation has often been instituted against companies following periods of volatility in </w:t>
      </w:r>
      <w:r>
        <w:rPr>
          <w:rFonts w:eastAsia="Times New Roman"/>
          <w:color w:val="000000"/>
          <w:sz w:val="20"/>
          <w:szCs w:val="20"/>
        </w:rPr>
        <w:t>the market price of a company’s securities. This type of litigation, if instituted, could result in substantial costs and a diversion of management’s attention and resources.</w:t>
      </w:r>
    </w:p>
    <w:p w:rsidR="00000000" w:rsidRDefault="009012B9">
      <w:pPr>
        <w:divId w:val="1134104198"/>
        <w:rPr>
          <w:rFonts w:eastAsia="Times New Roman"/>
        </w:rPr>
      </w:pPr>
      <w:r>
        <w:rPr>
          <w:rFonts w:eastAsia="Times New Roman"/>
          <w:b/>
          <w:bCs/>
          <w:i/>
          <w:iCs/>
          <w:color w:val="000000"/>
          <w:sz w:val="20"/>
          <w:szCs w:val="20"/>
        </w:rPr>
        <w:t>We do not intend to pay dividends on our common stock so any returns will be limi</w:t>
      </w:r>
      <w:r>
        <w:rPr>
          <w:rFonts w:eastAsia="Times New Roman"/>
          <w:b/>
          <w:bCs/>
          <w:i/>
          <w:iCs/>
          <w:color w:val="000000"/>
          <w:sz w:val="20"/>
          <w:szCs w:val="20"/>
        </w:rPr>
        <w:t>ted to the value of our stock.</w:t>
      </w:r>
    </w:p>
    <w:p w:rsidR="00000000" w:rsidRDefault="009012B9">
      <w:pPr>
        <w:ind w:firstLine="482"/>
        <w:divId w:val="639190868"/>
        <w:rPr>
          <w:rFonts w:eastAsia="Times New Roman"/>
        </w:rPr>
      </w:pPr>
      <w:r>
        <w:rPr>
          <w:rFonts w:eastAsia="Times New Roman"/>
          <w:color w:val="000000"/>
          <w:sz w:val="20"/>
          <w:szCs w:val="20"/>
        </w:rPr>
        <w:t>We currently anticipate that we will retain future earnings for the development, operation and expansion of our business and do not anticipate declaring or paying any cash dividends for the foreseeable future. Furthermore, fu</w:t>
      </w:r>
      <w:r>
        <w:rPr>
          <w:rFonts w:eastAsia="Times New Roman"/>
          <w:color w:val="000000"/>
          <w:sz w:val="20"/>
          <w:szCs w:val="20"/>
        </w:rPr>
        <w:t>ture debt or other financing arrangements may contain terms prohibiting or limiting the amount of dividends that may be declared or paid on our common stock. Any return to stockholders will therefore be limited to the appreciation of their stock.</w:t>
      </w:r>
    </w:p>
    <w:p w:rsidR="00000000" w:rsidRDefault="009012B9">
      <w:pPr>
        <w:divId w:val="2134513702"/>
        <w:rPr>
          <w:rFonts w:eastAsia="Times New Roman"/>
        </w:rPr>
      </w:pPr>
      <w:r>
        <w:rPr>
          <w:rFonts w:eastAsia="Times New Roman"/>
          <w:b/>
          <w:bCs/>
          <w:i/>
          <w:iCs/>
          <w:color w:val="000000"/>
          <w:sz w:val="20"/>
          <w:szCs w:val="20"/>
        </w:rPr>
        <w:t>Our execu</w:t>
      </w:r>
      <w:r>
        <w:rPr>
          <w:rFonts w:eastAsia="Times New Roman"/>
          <w:b/>
          <w:bCs/>
          <w:i/>
          <w:iCs/>
          <w:color w:val="000000"/>
          <w:sz w:val="20"/>
          <w:szCs w:val="20"/>
        </w:rPr>
        <w:t>tive officers, directors and their affiliates and our principal stockholders own a significant percentage of our stock and will be able to exert significant control over matters subject to stockholder approval.</w:t>
      </w:r>
    </w:p>
    <w:p w:rsidR="00000000" w:rsidRDefault="009012B9">
      <w:pPr>
        <w:ind w:firstLine="482"/>
        <w:divId w:val="2141460575"/>
        <w:rPr>
          <w:rFonts w:eastAsia="Times New Roman"/>
        </w:rPr>
      </w:pPr>
      <w:r>
        <w:rPr>
          <w:rFonts w:eastAsia="Times New Roman"/>
          <w:color w:val="000000"/>
          <w:sz w:val="20"/>
          <w:szCs w:val="20"/>
        </w:rPr>
        <w:t>Based on shares outstanding as of March 31, 2</w:t>
      </w:r>
      <w:r>
        <w:rPr>
          <w:rFonts w:eastAsia="Times New Roman"/>
          <w:color w:val="000000"/>
          <w:sz w:val="20"/>
          <w:szCs w:val="20"/>
        </w:rPr>
        <w:t>021, our executive officers, directors and their affiliates and our principal stockholders beneficially held, in the aggregate, approximately a quarter of our outstanding voting stock. These stockholders, acting together, would be able to significantly inf</w:t>
      </w:r>
      <w:r>
        <w:rPr>
          <w:rFonts w:eastAsia="Times New Roman"/>
          <w:color w:val="000000"/>
          <w:sz w:val="20"/>
          <w:szCs w:val="20"/>
        </w:rPr>
        <w:t>luence all matters requiring stockholder approval. For example, these stockholders would be able to significantly influence elections of directors, amendments of our organizational documents, or approval of any merger, sale of assets, or other major corpor</w:t>
      </w:r>
      <w:r>
        <w:rPr>
          <w:rFonts w:eastAsia="Times New Roman"/>
          <w:color w:val="000000"/>
          <w:sz w:val="20"/>
          <w:szCs w:val="20"/>
        </w:rPr>
        <w:t>ate transaction. This may prevent or discourage unsolicited acquisition proposals or offers for our common stock that you may feel are in your best interest as one of our stockholders.</w:t>
      </w:r>
    </w:p>
    <w:p w:rsidR="00000000" w:rsidRDefault="009012B9">
      <w:pPr>
        <w:divId w:val="25520644"/>
        <w:rPr>
          <w:rFonts w:eastAsia="Times New Roman"/>
        </w:rPr>
      </w:pPr>
      <w:r>
        <w:rPr>
          <w:rFonts w:eastAsia="Times New Roman"/>
          <w:b/>
          <w:bCs/>
          <w:i/>
          <w:iCs/>
          <w:color w:val="000000"/>
          <w:sz w:val="20"/>
          <w:szCs w:val="20"/>
        </w:rPr>
        <w:t>We are an emerging growth company, and we cannot be certain if the redu</w:t>
      </w:r>
      <w:r>
        <w:rPr>
          <w:rFonts w:eastAsia="Times New Roman"/>
          <w:b/>
          <w:bCs/>
          <w:i/>
          <w:iCs/>
          <w:color w:val="000000"/>
          <w:sz w:val="20"/>
          <w:szCs w:val="20"/>
        </w:rPr>
        <w:t>ced reporting requirements applicable to emerging growth companies will make our common stock less attractive to investors.</w:t>
      </w:r>
    </w:p>
    <w:p w:rsidR="00000000" w:rsidRDefault="009012B9">
      <w:pPr>
        <w:divId w:val="851261301"/>
        <w:rPr>
          <w:rFonts w:eastAsia="Times New Roman"/>
        </w:rPr>
      </w:pPr>
      <w:r>
        <w:rPr>
          <w:rFonts w:eastAsia="Times New Roman"/>
          <w:color w:val="000000"/>
          <w:sz w:val="20"/>
          <w:szCs w:val="20"/>
        </w:rPr>
        <w:t xml:space="preserve">We are an emerging growth company, or EGC, as defined in the Jumpstart Our Business Startups Act, or the JOBS Act, enacted in April </w:t>
      </w:r>
      <w:r>
        <w:rPr>
          <w:rFonts w:eastAsia="Times New Roman"/>
          <w:color w:val="000000"/>
          <w:sz w:val="20"/>
          <w:szCs w:val="20"/>
        </w:rPr>
        <w:t>2012. For as long as we continue to be an EGC, we may take advantage of exemptions from various reporting requirements that are applicable to other public companies that are not EGCs, including not being required to comply with the auditor attestation requ</w:t>
      </w:r>
      <w:r>
        <w:rPr>
          <w:rFonts w:eastAsia="Times New Roman"/>
          <w:color w:val="000000"/>
          <w:sz w:val="20"/>
          <w:szCs w:val="20"/>
        </w:rPr>
        <w:t xml:space="preserve">irements of Section 404 of the Sarbanes-Oxley Act of 2002, as amended, or the Sarbanes-Oxley Act, reduced disclosure obligations regarding executive compensation and our periodic reports and proxy statements and exemptions from the requirements of holding </w:t>
      </w:r>
      <w:r>
        <w:rPr>
          <w:rFonts w:eastAsia="Times New Roman"/>
          <w:color w:val="000000"/>
          <w:sz w:val="20"/>
          <w:szCs w:val="20"/>
        </w:rPr>
        <w:t>nonbinding advisory votes on executive compensation and stockholder approval of any golden parachute payments not previously approved. We could be an EGC for up to five years following the year in which we completed the IPO, although circumstances could ca</w:t>
      </w:r>
      <w:r>
        <w:rPr>
          <w:rFonts w:eastAsia="Times New Roman"/>
          <w:color w:val="000000"/>
          <w:sz w:val="20"/>
          <w:szCs w:val="20"/>
        </w:rPr>
        <w:t>use us to lose that status earlier. We will remain an EGC until the earlier of (i) the last day of the fiscal year (a) following the fifth anniversary of the completion of the IPO, (b) in which we have total annual gross revenue of at least $1.07 billion o</w:t>
      </w:r>
      <w:r>
        <w:rPr>
          <w:rFonts w:eastAsia="Times New Roman"/>
          <w:color w:val="000000"/>
          <w:sz w:val="20"/>
          <w:szCs w:val="20"/>
        </w:rPr>
        <w:t>r (c) in which we are deemed to be a large accelerated filer, which requires the market value of our common stock that is held by non-affiliates to exceed $700.0 million as of the prior June 30th during a time after which we have been subject to the Exchan</w:t>
      </w:r>
      <w:r>
        <w:rPr>
          <w:rFonts w:eastAsia="Times New Roman"/>
          <w:color w:val="000000"/>
          <w:sz w:val="20"/>
          <w:szCs w:val="20"/>
        </w:rPr>
        <w:t>ge Act for at least twelve calendar months and we have filed at least one annual report on Form 10-K, and (ii) the date on which we have issued more than $1.0 billion in non-convertible debt during the prior three-year period.</w:t>
      </w:r>
    </w:p>
    <w:p w:rsidR="00000000" w:rsidRDefault="009012B9">
      <w:pPr>
        <w:ind w:firstLine="482"/>
        <w:divId w:val="730690261"/>
        <w:rPr>
          <w:rFonts w:eastAsia="Times New Roman"/>
        </w:rPr>
      </w:pPr>
      <w:r>
        <w:rPr>
          <w:rFonts w:eastAsia="Times New Roman"/>
          <w:color w:val="000000"/>
          <w:sz w:val="20"/>
          <w:szCs w:val="20"/>
        </w:rPr>
        <w:t>We may choose to take advanta</w:t>
      </w:r>
      <w:r>
        <w:rPr>
          <w:rFonts w:eastAsia="Times New Roman"/>
          <w:color w:val="000000"/>
          <w:sz w:val="20"/>
          <w:szCs w:val="20"/>
        </w:rPr>
        <w:t>ge of some, but not all, of the available exemptions. We cannot predict whether investors will find our common stock less attractive if we rely on certain or all of these exemptions. If some investors find our common stock less attractive as a result, ther</w:t>
      </w:r>
      <w:r>
        <w:rPr>
          <w:rFonts w:eastAsia="Times New Roman"/>
          <w:color w:val="000000"/>
          <w:sz w:val="20"/>
          <w:szCs w:val="20"/>
        </w:rPr>
        <w:t>e may be a less active trading market for our common stock and our stock price may be more volatile.</w:t>
      </w:r>
    </w:p>
    <w:p w:rsidR="00000000" w:rsidRDefault="009012B9">
      <w:pPr>
        <w:jc w:val="center"/>
        <w:divId w:val="87239541"/>
        <w:rPr>
          <w:rFonts w:eastAsia="Times New Roman"/>
        </w:rPr>
      </w:pPr>
      <w:r>
        <w:rPr>
          <w:rFonts w:eastAsia="Times New Roman"/>
          <w:color w:val="000000"/>
          <w:sz w:val="20"/>
          <w:szCs w:val="20"/>
        </w:rPr>
        <w:t>71</w:t>
      </w:r>
    </w:p>
    <w:p w:rsidR="00000000" w:rsidRDefault="009012B9">
      <w:pPr>
        <w:rPr>
          <w:rFonts w:eastAsia="Times New Roman"/>
        </w:rPr>
      </w:pPr>
      <w:r>
        <w:rPr>
          <w:rFonts w:eastAsia="Times New Roman"/>
        </w:rPr>
        <w:pict>
          <v:rect id="_x0000_i1095" style="width:0;height:1.5pt" o:hralign="center" o:hrstd="t" o:hr="t" fillcolor="#a0a0a0" stroked="f"/>
        </w:pict>
      </w:r>
    </w:p>
    <w:p w:rsidR="00000000" w:rsidRDefault="009012B9">
      <w:pPr>
        <w:divId w:val="740449821"/>
        <w:rPr>
          <w:rFonts w:eastAsia="Times New Roman"/>
        </w:rPr>
      </w:pPr>
    </w:p>
    <w:p w:rsidR="00000000" w:rsidRDefault="009012B9">
      <w:pPr>
        <w:ind w:firstLine="482"/>
        <w:divId w:val="1923368662"/>
        <w:rPr>
          <w:rFonts w:eastAsia="Times New Roman"/>
        </w:rPr>
      </w:pPr>
      <w:r>
        <w:rPr>
          <w:rFonts w:eastAsia="Times New Roman"/>
          <w:color w:val="000000"/>
          <w:sz w:val="20"/>
          <w:szCs w:val="20"/>
        </w:rPr>
        <w:t>Under the JOBS Act, EGCs can also delay adopting new or revised accounting standards until such time as those stan</w:t>
      </w:r>
      <w:r>
        <w:rPr>
          <w:rFonts w:eastAsia="Times New Roman"/>
          <w:color w:val="000000"/>
          <w:sz w:val="20"/>
          <w:szCs w:val="20"/>
        </w:rPr>
        <w:t>dards apply to private companies, which may make our financial statements less comparable to companies that comply with new or revised accounting pronouncements as of public company effective dates.</w:t>
      </w:r>
    </w:p>
    <w:p w:rsidR="00000000" w:rsidRDefault="009012B9">
      <w:pPr>
        <w:divId w:val="326835353"/>
        <w:rPr>
          <w:rFonts w:eastAsia="Times New Roman"/>
        </w:rPr>
      </w:pPr>
      <w:r>
        <w:rPr>
          <w:rFonts w:eastAsia="Times New Roman"/>
          <w:b/>
          <w:bCs/>
          <w:i/>
          <w:iCs/>
          <w:color w:val="000000"/>
          <w:sz w:val="20"/>
          <w:szCs w:val="20"/>
        </w:rPr>
        <w:t>We incur significant increased costs as a result of opera</w:t>
      </w:r>
      <w:r>
        <w:rPr>
          <w:rFonts w:eastAsia="Times New Roman"/>
          <w:b/>
          <w:bCs/>
          <w:i/>
          <w:iCs/>
          <w:color w:val="000000"/>
          <w:sz w:val="20"/>
          <w:szCs w:val="20"/>
        </w:rPr>
        <w:t>ting as a public company, and our management is required to devote substantial time to new compliance initiatives.</w:t>
      </w:r>
    </w:p>
    <w:p w:rsidR="00000000" w:rsidRDefault="009012B9">
      <w:pPr>
        <w:ind w:firstLine="482"/>
        <w:divId w:val="1013384191"/>
        <w:rPr>
          <w:rFonts w:eastAsia="Times New Roman"/>
        </w:rPr>
      </w:pPr>
      <w:r>
        <w:rPr>
          <w:rFonts w:eastAsia="Times New Roman"/>
          <w:color w:val="000000"/>
          <w:sz w:val="20"/>
          <w:szCs w:val="20"/>
        </w:rPr>
        <w:t>As a public company, we incur significant legal, accounting, and other expenses. We are subject to the reporting requirements of the Exchange</w:t>
      </w:r>
      <w:r>
        <w:rPr>
          <w:rFonts w:eastAsia="Times New Roman"/>
          <w:color w:val="000000"/>
          <w:sz w:val="20"/>
          <w:szCs w:val="20"/>
        </w:rPr>
        <w:t xml:space="preserve"> Act which requires, among other things, that we file with the SEC annual, quarterly, and current reports with respect to our business and financial condition. In addition, the Sarbanes-Oxley Act, as well as rules subsequently adopted by the SEC and the Na</w:t>
      </w:r>
      <w:r>
        <w:rPr>
          <w:rFonts w:eastAsia="Times New Roman"/>
          <w:color w:val="000000"/>
          <w:sz w:val="20"/>
          <w:szCs w:val="20"/>
        </w:rPr>
        <w:t>sdaq Global Market to implement provisions of the Sarbanes-Oxley Act, impose significant requirements on public companies, including requiring establishment and maintenance of effective disclosure and financial reporting controls and changes in corporate g</w:t>
      </w:r>
      <w:r>
        <w:rPr>
          <w:rFonts w:eastAsia="Times New Roman"/>
          <w:color w:val="000000"/>
          <w:sz w:val="20"/>
          <w:szCs w:val="20"/>
        </w:rPr>
        <w:t>overnance practices. Further, there are significant corporate governance and executive compensation related provisions in the Dodd-Frank Act that require the SEC to adopt additional rules and regulations in these areas such as “say on pay” and proxy access</w:t>
      </w:r>
      <w:r>
        <w:rPr>
          <w:rFonts w:eastAsia="Times New Roman"/>
          <w:color w:val="000000"/>
          <w:sz w:val="20"/>
          <w:szCs w:val="20"/>
        </w:rPr>
        <w:t>. Recent legislation permits EGCs to implement many of these requirements over a longer period and up to five years from the pricing of an IPO. Stockholder activism, the current political environment and the current high level of government intervention an</w:t>
      </w:r>
      <w:r>
        <w:rPr>
          <w:rFonts w:eastAsia="Times New Roman"/>
          <w:color w:val="000000"/>
          <w:sz w:val="20"/>
          <w:szCs w:val="20"/>
        </w:rPr>
        <w:t>d regulatory reform may lead to substantial new regulations and disclosure obligations, which may lead to additional compliance costs and impact the manner in which we operate our business in ways we cannot currently anticipate.</w:t>
      </w:r>
    </w:p>
    <w:p w:rsidR="00000000" w:rsidRDefault="009012B9">
      <w:pPr>
        <w:ind w:firstLine="482"/>
        <w:divId w:val="1633945551"/>
        <w:rPr>
          <w:rFonts w:eastAsia="Times New Roman"/>
        </w:rPr>
      </w:pPr>
      <w:r>
        <w:rPr>
          <w:rFonts w:eastAsia="Times New Roman"/>
          <w:color w:val="000000"/>
          <w:sz w:val="20"/>
          <w:szCs w:val="20"/>
        </w:rPr>
        <w:t>We expect the rules and reg</w:t>
      </w:r>
      <w:r>
        <w:rPr>
          <w:rFonts w:eastAsia="Times New Roman"/>
          <w:color w:val="000000"/>
          <w:sz w:val="20"/>
          <w:szCs w:val="20"/>
        </w:rPr>
        <w:t>ulations applicable to public companies to substantially increase our legal and financial compliance costs and to make some activities more time-consuming and costly. If these requirements divert the attention of our management and personnel from other bus</w:t>
      </w:r>
      <w:r>
        <w:rPr>
          <w:rFonts w:eastAsia="Times New Roman"/>
          <w:color w:val="000000"/>
          <w:sz w:val="20"/>
          <w:szCs w:val="20"/>
        </w:rPr>
        <w:t>iness concerns, they could have an adverse effect on our business. The increased costs will decrease our net income or increase our net loss and may require us to reduce costs in other areas of our business or increase the prices of our products or service</w:t>
      </w:r>
      <w:r>
        <w:rPr>
          <w:rFonts w:eastAsia="Times New Roman"/>
          <w:color w:val="000000"/>
          <w:sz w:val="20"/>
          <w:szCs w:val="20"/>
        </w:rPr>
        <w:t>s. For example, we expect these rules and regulations to make it more difficult and more expensive for us to obtain director and officer liability insurance and we may be required to incur substantial costs to maintain the same or similar coverage. We cann</w:t>
      </w:r>
      <w:r>
        <w:rPr>
          <w:rFonts w:eastAsia="Times New Roman"/>
          <w:color w:val="000000"/>
          <w:sz w:val="20"/>
          <w:szCs w:val="20"/>
        </w:rPr>
        <w:t>ot predict or estimate the amount or timing of additional costs we may incur to respond to these requirements. The impact of these requirements could also make it more difficult for us to attract and retain qualified persons to serve on our board of direct</w:t>
      </w:r>
      <w:r>
        <w:rPr>
          <w:rFonts w:eastAsia="Times New Roman"/>
          <w:color w:val="000000"/>
          <w:sz w:val="20"/>
          <w:szCs w:val="20"/>
        </w:rPr>
        <w:t>ors, our board committees, or as executive officers.</w:t>
      </w:r>
    </w:p>
    <w:p w:rsidR="00000000" w:rsidRDefault="009012B9">
      <w:pPr>
        <w:divId w:val="376975413"/>
        <w:rPr>
          <w:rFonts w:eastAsia="Times New Roman"/>
        </w:rPr>
      </w:pPr>
      <w:r>
        <w:rPr>
          <w:rFonts w:eastAsia="Times New Roman"/>
          <w:b/>
          <w:bCs/>
          <w:i/>
          <w:iCs/>
          <w:color w:val="000000"/>
          <w:sz w:val="20"/>
          <w:szCs w:val="20"/>
        </w:rPr>
        <w:t>If we fail to maintain an effective system of internal control over financial reporting, we may not be able to accurately report our financial results or prevent fraud. As a result, stockholders could lo</w:t>
      </w:r>
      <w:r>
        <w:rPr>
          <w:rFonts w:eastAsia="Times New Roman"/>
          <w:b/>
          <w:bCs/>
          <w:i/>
          <w:iCs/>
          <w:color w:val="000000"/>
          <w:sz w:val="20"/>
          <w:szCs w:val="20"/>
        </w:rPr>
        <w:t>se confidence in our financial and other public reporting, which would harm our business and the trading price of our common stock.</w:t>
      </w:r>
    </w:p>
    <w:p w:rsidR="00000000" w:rsidRDefault="009012B9">
      <w:pPr>
        <w:ind w:firstLine="482"/>
        <w:divId w:val="1710838027"/>
        <w:rPr>
          <w:rFonts w:eastAsia="Times New Roman"/>
        </w:rPr>
      </w:pPr>
      <w:r>
        <w:rPr>
          <w:rFonts w:eastAsia="Times New Roman"/>
          <w:color w:val="000000"/>
          <w:sz w:val="20"/>
          <w:szCs w:val="20"/>
        </w:rPr>
        <w:t>Effective internal controls over financial reporting are necessary for us to provide reliable financial reports and, togethe</w:t>
      </w:r>
      <w:r>
        <w:rPr>
          <w:rFonts w:eastAsia="Times New Roman"/>
          <w:color w:val="000000"/>
          <w:sz w:val="20"/>
          <w:szCs w:val="20"/>
        </w:rPr>
        <w:t xml:space="preserve">r with adequate disclosure controls and procedures, are designed to prevent fraud. Any failure to implement required new or improved controls, or difficulties encountered in their implementation could cause us to fail to meet our reporting obligations. In </w:t>
      </w:r>
      <w:r>
        <w:rPr>
          <w:rFonts w:eastAsia="Times New Roman"/>
          <w:color w:val="000000"/>
          <w:sz w:val="20"/>
          <w:szCs w:val="20"/>
        </w:rPr>
        <w:t>addition, any testing by us conducted in connection with Section 404, or any subsequent testing by our independent registered public accounting firm, may reveal deficiencies in our internal controls over financial reporting that are deemed to be material w</w:t>
      </w:r>
      <w:r>
        <w:rPr>
          <w:rFonts w:eastAsia="Times New Roman"/>
          <w:color w:val="000000"/>
          <w:sz w:val="20"/>
          <w:szCs w:val="20"/>
        </w:rPr>
        <w:t>eaknesses or that may require prospective or retroactive changes to our financial statements or identify other areas for further attention or improvement. Inferior internal controls could also cause investors to lose confidence in our reported financial in</w:t>
      </w:r>
      <w:r>
        <w:rPr>
          <w:rFonts w:eastAsia="Times New Roman"/>
          <w:color w:val="000000"/>
          <w:sz w:val="20"/>
          <w:szCs w:val="20"/>
        </w:rPr>
        <w:t>formation, which could have a negative effect on the trading price of our stock.</w:t>
      </w:r>
    </w:p>
    <w:p w:rsidR="00000000" w:rsidRDefault="009012B9">
      <w:pPr>
        <w:ind w:firstLine="482"/>
        <w:divId w:val="942692624"/>
        <w:rPr>
          <w:rFonts w:eastAsia="Times New Roman"/>
        </w:rPr>
      </w:pPr>
      <w:r>
        <w:rPr>
          <w:rFonts w:eastAsia="Times New Roman"/>
          <w:color w:val="000000"/>
          <w:sz w:val="20"/>
          <w:szCs w:val="20"/>
        </w:rPr>
        <w:t>We will be required to disclose changes made in our internal controls and procedures on a quarterly basis and our management will be required to assess the effectiveness of th</w:t>
      </w:r>
      <w:r>
        <w:rPr>
          <w:rFonts w:eastAsia="Times New Roman"/>
          <w:color w:val="000000"/>
          <w:sz w:val="20"/>
          <w:szCs w:val="20"/>
        </w:rPr>
        <w:t>ese controls annually. However, for as long as we are an EGC, our independent registered public accounting firm will not be required to attest to the effectiveness of our internal controls over financial reporting pursuant to Section 404. We could be an EG</w:t>
      </w:r>
      <w:r>
        <w:rPr>
          <w:rFonts w:eastAsia="Times New Roman"/>
          <w:color w:val="000000"/>
          <w:sz w:val="20"/>
          <w:szCs w:val="20"/>
        </w:rPr>
        <w:t>C for up to five years. An independent assessment of the effectiveness of our internal controls over financial reporting could detect problems that our management’s assessment might not.</w:t>
      </w:r>
    </w:p>
    <w:p w:rsidR="00000000" w:rsidRDefault="009012B9">
      <w:pPr>
        <w:divId w:val="1320646150"/>
        <w:rPr>
          <w:rFonts w:eastAsia="Times New Roman"/>
        </w:rPr>
      </w:pPr>
      <w:r>
        <w:rPr>
          <w:rFonts w:eastAsia="Times New Roman"/>
          <w:b/>
          <w:bCs/>
          <w:i/>
          <w:iCs/>
          <w:color w:val="000000"/>
          <w:sz w:val="20"/>
          <w:szCs w:val="20"/>
        </w:rPr>
        <w:t>Our disclosure controls and procedures may not prevent or detect all errors or acts of fraud.</w:t>
      </w:r>
    </w:p>
    <w:p w:rsidR="00000000" w:rsidRDefault="009012B9">
      <w:pPr>
        <w:ind w:firstLine="482"/>
        <w:divId w:val="1650668905"/>
        <w:rPr>
          <w:rFonts w:eastAsia="Times New Roman"/>
        </w:rPr>
      </w:pPr>
      <w:r>
        <w:rPr>
          <w:rFonts w:eastAsia="Times New Roman"/>
          <w:color w:val="000000"/>
          <w:sz w:val="20"/>
          <w:szCs w:val="20"/>
        </w:rPr>
        <w:t>As a public reporting company, we are subject to certain reporting requirements of the Exchange Act. Our disclosure controls and procedures are designed to reason</w:t>
      </w:r>
      <w:r>
        <w:rPr>
          <w:rFonts w:eastAsia="Times New Roman"/>
          <w:color w:val="000000"/>
          <w:sz w:val="20"/>
          <w:szCs w:val="20"/>
        </w:rPr>
        <w:t xml:space="preserve">ably assure that information required to be disclosed by us in reports we file or submit under the Exchange Act is accumulated and communicated to management, recorded, processed, summarized, and reported within the time periods specified in the rules and </w:t>
      </w:r>
      <w:r>
        <w:rPr>
          <w:rFonts w:eastAsia="Times New Roman"/>
          <w:color w:val="000000"/>
          <w:sz w:val="20"/>
          <w:szCs w:val="20"/>
        </w:rPr>
        <w:t>forms of the SEC. We believe that any disclosure controls and procedures or internal controls and procedures, no matter how well conceived and operated, can provide only reasonable, not absolute, assurance that the objectives of the control system are met.</w:t>
      </w:r>
      <w:r>
        <w:rPr>
          <w:rFonts w:eastAsia="Times New Roman"/>
          <w:color w:val="000000"/>
          <w:sz w:val="20"/>
          <w:szCs w:val="20"/>
        </w:rPr>
        <w:t xml:space="preserve"> These inherent limitations include the realities that judgments in decision-making can be faulty, and that breakdowns can occur because of simple error or mistake. Additionally, controls can be circumvented by the individual acts of some persons, by collu</w:t>
      </w:r>
      <w:r>
        <w:rPr>
          <w:rFonts w:eastAsia="Times New Roman"/>
          <w:color w:val="000000"/>
          <w:sz w:val="20"/>
          <w:szCs w:val="20"/>
        </w:rPr>
        <w:t>sion of two or more people or by an unauthorized override of the controls. Accordingly, because of the inherent limitations in our control system, misstatements, or insufficient disclosures due to error or fraud may occur and not be detected.</w:t>
      </w:r>
    </w:p>
    <w:p w:rsidR="00000000" w:rsidRDefault="009012B9">
      <w:pPr>
        <w:jc w:val="center"/>
        <w:divId w:val="310408643"/>
        <w:rPr>
          <w:rFonts w:eastAsia="Times New Roman"/>
        </w:rPr>
      </w:pPr>
      <w:r>
        <w:rPr>
          <w:rFonts w:eastAsia="Times New Roman"/>
          <w:color w:val="000000"/>
          <w:sz w:val="20"/>
          <w:szCs w:val="20"/>
        </w:rPr>
        <w:t>72</w:t>
      </w:r>
    </w:p>
    <w:p w:rsidR="00000000" w:rsidRDefault="009012B9">
      <w:pPr>
        <w:rPr>
          <w:rFonts w:eastAsia="Times New Roman"/>
        </w:rPr>
      </w:pPr>
      <w:r>
        <w:rPr>
          <w:rFonts w:eastAsia="Times New Roman"/>
        </w:rPr>
        <w:pict>
          <v:rect id="_x0000_i1096" style="width:0;height:1.5pt" o:hralign="center" o:hrstd="t" o:hr="t" fillcolor="#a0a0a0" stroked="f"/>
        </w:pict>
      </w:r>
    </w:p>
    <w:p w:rsidR="00000000" w:rsidRDefault="009012B9">
      <w:pPr>
        <w:divId w:val="455413841"/>
        <w:rPr>
          <w:rFonts w:eastAsia="Times New Roman"/>
        </w:rPr>
      </w:pPr>
    </w:p>
    <w:p w:rsidR="00000000" w:rsidRDefault="009012B9">
      <w:pPr>
        <w:divId w:val="1115103689"/>
        <w:rPr>
          <w:rFonts w:eastAsia="Times New Roman"/>
        </w:rPr>
      </w:pPr>
      <w:r>
        <w:rPr>
          <w:rFonts w:eastAsia="Times New Roman"/>
          <w:b/>
          <w:bCs/>
          <w:i/>
          <w:iCs/>
          <w:color w:val="000000"/>
          <w:sz w:val="20"/>
          <w:szCs w:val="20"/>
        </w:rPr>
        <w:t>If there are substantial sales of shares of our common stock, the price of our common stock could decline.</w:t>
      </w:r>
    </w:p>
    <w:p w:rsidR="00000000" w:rsidRDefault="009012B9">
      <w:pPr>
        <w:ind w:firstLine="482"/>
        <w:divId w:val="857080118"/>
        <w:rPr>
          <w:rFonts w:eastAsia="Times New Roman"/>
        </w:rPr>
      </w:pPr>
      <w:r>
        <w:rPr>
          <w:rFonts w:eastAsia="Times New Roman"/>
          <w:color w:val="000000"/>
          <w:sz w:val="20"/>
          <w:szCs w:val="20"/>
        </w:rPr>
        <w:t xml:space="preserve">Shares of common stock that are either subject to outstanding options or reserved for future issuance under our existing </w:t>
      </w:r>
      <w:r>
        <w:rPr>
          <w:rFonts w:eastAsia="Times New Roman"/>
          <w:color w:val="000000"/>
          <w:sz w:val="20"/>
          <w:szCs w:val="20"/>
        </w:rPr>
        <w:t>equity compensation plans will become eligible for sale in the public market as they become vested. If these additional shares of common stock are sold, or if it is perceived that they will be sold, in the public market, the trading price of our common sto</w:t>
      </w:r>
      <w:r>
        <w:rPr>
          <w:rFonts w:eastAsia="Times New Roman"/>
          <w:color w:val="000000"/>
          <w:sz w:val="20"/>
          <w:szCs w:val="20"/>
        </w:rPr>
        <w:t xml:space="preserve">ck could decline. Additionally, the number of shares of our common stock reserved for issuance under our 2020 Stock Option and Incentive Plan will automatically increase on January 1 of each year, beginning on January 1, 2021, by 5% of the total number of </w:t>
      </w:r>
      <w:r>
        <w:rPr>
          <w:rFonts w:eastAsia="Times New Roman"/>
          <w:color w:val="000000"/>
          <w:sz w:val="20"/>
          <w:szCs w:val="20"/>
        </w:rPr>
        <w:t>shares of our capital stock outstanding on December 31 of the preceding calendar year, or a lesser number of shares determined by our board of directors or compensation committee. Moreover, the number of shares of our common stock reserved for issuance und</w:t>
      </w:r>
      <w:r>
        <w:rPr>
          <w:rFonts w:eastAsia="Times New Roman"/>
          <w:color w:val="000000"/>
          <w:sz w:val="20"/>
          <w:szCs w:val="20"/>
        </w:rPr>
        <w:t xml:space="preserve">er our 2020 Employee Stock Purchase Plan will automatically increase on January 1 of each year, beginning on January 1, 2021, by the lesser of 700,000 shares of common stock, 1% of the total number of shares of our capital stock outstanding on December 31 </w:t>
      </w:r>
      <w:r>
        <w:rPr>
          <w:rFonts w:eastAsia="Times New Roman"/>
          <w:color w:val="000000"/>
          <w:sz w:val="20"/>
          <w:szCs w:val="20"/>
        </w:rPr>
        <w:t>of the preceding calendar year, or a lesser number of shares determined by our board of directors or compensation committee. Unless our board of directors elects not to increase the number of shares available for future grant each year, our stockholders ma</w:t>
      </w:r>
      <w:r>
        <w:rPr>
          <w:rFonts w:eastAsia="Times New Roman"/>
          <w:color w:val="000000"/>
          <w:sz w:val="20"/>
          <w:szCs w:val="20"/>
        </w:rPr>
        <w:t>y experience additional dilution.</w:t>
      </w:r>
    </w:p>
    <w:p w:rsidR="00000000" w:rsidRDefault="009012B9">
      <w:pPr>
        <w:ind w:firstLine="482"/>
        <w:divId w:val="112096888"/>
        <w:rPr>
          <w:rFonts w:eastAsia="Times New Roman"/>
        </w:rPr>
      </w:pPr>
      <w:r>
        <w:rPr>
          <w:rFonts w:eastAsia="Times New Roman"/>
          <w:color w:val="000000"/>
          <w:sz w:val="20"/>
          <w:szCs w:val="20"/>
        </w:rPr>
        <w:t>The holders of over 20 million shares of our common stock are entitled to rights with respect to the registration of their shares under the Securities Act as provided under the terms of an investors’ rights agreement betwe</w:t>
      </w:r>
      <w:r>
        <w:rPr>
          <w:rFonts w:eastAsia="Times New Roman"/>
          <w:color w:val="000000"/>
          <w:sz w:val="20"/>
          <w:szCs w:val="20"/>
        </w:rPr>
        <w:t>en us and the holders of our redeemable convertible preferred stock. Registration of these shares under the Securities Act would result in the shares becoming freely tradable without restriction under the Securities Act, except for shares held by affiliate</w:t>
      </w:r>
      <w:r>
        <w:rPr>
          <w:rFonts w:eastAsia="Times New Roman"/>
          <w:color w:val="000000"/>
          <w:sz w:val="20"/>
          <w:szCs w:val="20"/>
        </w:rPr>
        <w:t>s, as defined in Rule 144 under the Securities Act. Any sales of securities by these stockholders could have a material adverse effect on the trading price of our common stock.</w:t>
      </w:r>
    </w:p>
    <w:p w:rsidR="00000000" w:rsidRDefault="009012B9">
      <w:pPr>
        <w:divId w:val="2084986244"/>
        <w:rPr>
          <w:rFonts w:eastAsia="Times New Roman"/>
        </w:rPr>
      </w:pPr>
      <w:r>
        <w:rPr>
          <w:rFonts w:eastAsia="Times New Roman"/>
          <w:b/>
          <w:bCs/>
          <w:i/>
          <w:iCs/>
          <w:color w:val="000000"/>
          <w:sz w:val="20"/>
          <w:szCs w:val="20"/>
        </w:rPr>
        <w:t>We have broad discretion in the use of our existing cash, cash equivalents and short-term investments and may not use them effectively.</w:t>
      </w:r>
    </w:p>
    <w:p w:rsidR="00000000" w:rsidRDefault="009012B9">
      <w:pPr>
        <w:ind w:firstLine="482"/>
        <w:divId w:val="1054154735"/>
        <w:rPr>
          <w:rFonts w:eastAsia="Times New Roman"/>
        </w:rPr>
      </w:pPr>
      <w:r>
        <w:rPr>
          <w:rFonts w:eastAsia="Times New Roman"/>
          <w:color w:val="000000"/>
          <w:sz w:val="20"/>
          <w:szCs w:val="20"/>
        </w:rPr>
        <w:t>Our management will have broad discretion in the application of our existing cash, cash equivalents and short-term inves</w:t>
      </w:r>
      <w:r>
        <w:rPr>
          <w:rFonts w:eastAsia="Times New Roman"/>
          <w:color w:val="000000"/>
          <w:sz w:val="20"/>
          <w:szCs w:val="20"/>
        </w:rPr>
        <w:t>tments. Because of the number and variability of factors that will determine our use of our existing cash, cash equivalents and short-term investments, their ultimate use may vary substantially from their currently intended use. Our management might not ap</w:t>
      </w:r>
      <w:r>
        <w:rPr>
          <w:rFonts w:eastAsia="Times New Roman"/>
          <w:color w:val="000000"/>
          <w:sz w:val="20"/>
          <w:szCs w:val="20"/>
        </w:rPr>
        <w:t>ply our existing cash, cash equivalents and short-term investments in ways that ultimately increase the value of your investment. The failure by our management to apply these funds effectively could harm our business. Pending their use, we may invest in sh</w:t>
      </w:r>
      <w:r>
        <w:rPr>
          <w:rFonts w:eastAsia="Times New Roman"/>
          <w:color w:val="000000"/>
          <w:sz w:val="20"/>
          <w:szCs w:val="20"/>
        </w:rPr>
        <w:t>ort-term, investment-grade, interest-bearing securities. These investments may not yield a favorable return to our stockholders. If we do not invest or apply our existing cash, cash equivalents and short-term investments in ways that enhance stockholder va</w:t>
      </w:r>
      <w:r>
        <w:rPr>
          <w:rFonts w:eastAsia="Times New Roman"/>
          <w:color w:val="000000"/>
          <w:sz w:val="20"/>
          <w:szCs w:val="20"/>
        </w:rPr>
        <w:t>lue, we may fail to achieve expected financial results, which could cause our stock price to decline.</w:t>
      </w:r>
    </w:p>
    <w:p w:rsidR="00000000" w:rsidRDefault="009012B9">
      <w:pPr>
        <w:divId w:val="746462536"/>
        <w:rPr>
          <w:rFonts w:eastAsia="Times New Roman"/>
        </w:rPr>
      </w:pPr>
      <w:r>
        <w:rPr>
          <w:rFonts w:eastAsia="Times New Roman"/>
          <w:b/>
          <w:bCs/>
          <w:i/>
          <w:iCs/>
          <w:color w:val="000000"/>
          <w:sz w:val="20"/>
          <w:szCs w:val="20"/>
        </w:rPr>
        <w:t>Anti-takeover provisions under our charter documents and Delaware law could delay or prevent a change of control which could limit the market price of our</w:t>
      </w:r>
      <w:r>
        <w:rPr>
          <w:rFonts w:eastAsia="Times New Roman"/>
          <w:b/>
          <w:bCs/>
          <w:i/>
          <w:iCs/>
          <w:color w:val="000000"/>
          <w:sz w:val="20"/>
          <w:szCs w:val="20"/>
        </w:rPr>
        <w:t xml:space="preserve"> common stock and may prevent or frustrate attempts by our stockholders to replace or remove our current management.</w:t>
      </w:r>
    </w:p>
    <w:p w:rsidR="00000000" w:rsidRDefault="009012B9">
      <w:pPr>
        <w:ind w:firstLine="482"/>
        <w:divId w:val="1900245286"/>
        <w:rPr>
          <w:rFonts w:eastAsia="Times New Roman"/>
        </w:rPr>
      </w:pPr>
      <w:r>
        <w:rPr>
          <w:rFonts w:eastAsia="Times New Roman"/>
          <w:color w:val="000000"/>
          <w:sz w:val="20"/>
          <w:szCs w:val="20"/>
        </w:rPr>
        <w:t>Our amended and restated certificate of incorporation and amended and restated bylaws, which became effective upon the completion of our IP</w:t>
      </w:r>
      <w:r>
        <w:rPr>
          <w:rFonts w:eastAsia="Times New Roman"/>
          <w:color w:val="000000"/>
          <w:sz w:val="20"/>
          <w:szCs w:val="20"/>
        </w:rPr>
        <w:t>O, contain provisions that could delay or prevent a change of control of our company or changes in our board of directors that our stockholders might consider favorable. Some of these provisions include:</w:t>
      </w:r>
    </w:p>
    <w:p w:rsidR="00000000" w:rsidRDefault="009012B9">
      <w:pPr>
        <w:ind w:hanging="480"/>
        <w:divId w:val="1546719343"/>
        <w:rPr>
          <w:rFonts w:eastAsia="Times New Roman"/>
        </w:rPr>
      </w:pPr>
      <w:r>
        <w:rPr>
          <w:rFonts w:eastAsia="Times New Roman"/>
          <w:color w:val="000000"/>
          <w:sz w:val="20"/>
          <w:szCs w:val="20"/>
        </w:rPr>
        <w:t>•a board of directors divided into three classes ser</w:t>
      </w:r>
      <w:r>
        <w:rPr>
          <w:rFonts w:eastAsia="Times New Roman"/>
          <w:color w:val="000000"/>
          <w:sz w:val="20"/>
          <w:szCs w:val="20"/>
        </w:rPr>
        <w:t>ving staggered three-year terms, such that not all members of the board will be elected at one time;</w:t>
      </w:r>
    </w:p>
    <w:p w:rsidR="00000000" w:rsidRDefault="009012B9">
      <w:pPr>
        <w:ind w:hanging="480"/>
        <w:divId w:val="55252470"/>
        <w:rPr>
          <w:rFonts w:eastAsia="Times New Roman"/>
        </w:rPr>
      </w:pPr>
      <w:r>
        <w:rPr>
          <w:rFonts w:eastAsia="Times New Roman"/>
          <w:color w:val="000000"/>
          <w:sz w:val="20"/>
          <w:szCs w:val="20"/>
        </w:rPr>
        <w:t>•a prohibition on stockholder action through written consent, which requires that all stockholder actions be taken at a meeting of our stockholders;</w:t>
      </w:r>
    </w:p>
    <w:p w:rsidR="00000000" w:rsidRDefault="009012B9">
      <w:pPr>
        <w:ind w:hanging="480"/>
        <w:divId w:val="2118406733"/>
        <w:rPr>
          <w:rFonts w:eastAsia="Times New Roman"/>
        </w:rPr>
      </w:pPr>
      <w:r>
        <w:rPr>
          <w:rFonts w:eastAsia="Times New Roman"/>
          <w:color w:val="000000"/>
          <w:sz w:val="20"/>
          <w:szCs w:val="20"/>
        </w:rPr>
        <w:t>•a req</w:t>
      </w:r>
      <w:r>
        <w:rPr>
          <w:rFonts w:eastAsia="Times New Roman"/>
          <w:color w:val="000000"/>
          <w:sz w:val="20"/>
          <w:szCs w:val="20"/>
        </w:rPr>
        <w:t>uirement that special meetings of stockholders be called only by the board of directors acting pursuant to a resolution approved by the affirmative vote of a majority of the directors then in office;</w:t>
      </w:r>
    </w:p>
    <w:p w:rsidR="00000000" w:rsidRDefault="009012B9">
      <w:pPr>
        <w:ind w:hanging="480"/>
        <w:divId w:val="80179504"/>
        <w:rPr>
          <w:rFonts w:eastAsia="Times New Roman"/>
        </w:rPr>
      </w:pPr>
      <w:r>
        <w:rPr>
          <w:rFonts w:eastAsia="Times New Roman"/>
          <w:color w:val="000000"/>
          <w:sz w:val="20"/>
          <w:szCs w:val="20"/>
        </w:rPr>
        <w:t>•advance notice requirements for stockholder proposals a</w:t>
      </w:r>
      <w:r>
        <w:rPr>
          <w:rFonts w:eastAsia="Times New Roman"/>
          <w:color w:val="000000"/>
          <w:sz w:val="20"/>
          <w:szCs w:val="20"/>
        </w:rPr>
        <w:t>nd nominations for election to our board of directors;</w:t>
      </w:r>
    </w:p>
    <w:p w:rsidR="00000000" w:rsidRDefault="009012B9">
      <w:pPr>
        <w:ind w:hanging="480"/>
        <w:divId w:val="2036804648"/>
        <w:rPr>
          <w:rFonts w:eastAsia="Times New Roman"/>
        </w:rPr>
      </w:pPr>
      <w:r>
        <w:rPr>
          <w:rFonts w:eastAsia="Times New Roman"/>
          <w:color w:val="000000"/>
          <w:sz w:val="20"/>
          <w:szCs w:val="20"/>
        </w:rPr>
        <w:t>•a requirement that no member of our board of directors may be removed from office by our stockholders except for cause and, in addition to any other vote required by law, upon the approval of not less</w:t>
      </w:r>
      <w:r>
        <w:rPr>
          <w:rFonts w:eastAsia="Times New Roman"/>
          <w:color w:val="000000"/>
          <w:sz w:val="20"/>
          <w:szCs w:val="20"/>
        </w:rPr>
        <w:t xml:space="preserve"> than two-thirds of all outstanding shares of our voting stock then entitled to vote in the election of directors;</w:t>
      </w:r>
    </w:p>
    <w:p w:rsidR="00000000" w:rsidRDefault="009012B9">
      <w:pPr>
        <w:ind w:hanging="480"/>
        <w:divId w:val="343361663"/>
        <w:rPr>
          <w:rFonts w:eastAsia="Times New Roman"/>
        </w:rPr>
      </w:pPr>
      <w:r>
        <w:rPr>
          <w:rFonts w:eastAsia="Times New Roman"/>
          <w:color w:val="000000"/>
          <w:sz w:val="20"/>
          <w:szCs w:val="20"/>
        </w:rPr>
        <w:t>•a requirement of approval of not less than two-thirds of all outstanding shares of our voting stock to amend any bylaws by stockholder actio</w:t>
      </w:r>
      <w:r>
        <w:rPr>
          <w:rFonts w:eastAsia="Times New Roman"/>
          <w:color w:val="000000"/>
          <w:sz w:val="20"/>
          <w:szCs w:val="20"/>
        </w:rPr>
        <w:t>n or to amend specific provisions of our certificate of incorporation; and</w:t>
      </w:r>
    </w:p>
    <w:p w:rsidR="00000000" w:rsidRDefault="009012B9">
      <w:pPr>
        <w:jc w:val="center"/>
        <w:divId w:val="1318069362"/>
        <w:rPr>
          <w:rFonts w:eastAsia="Times New Roman"/>
        </w:rPr>
      </w:pPr>
      <w:r>
        <w:rPr>
          <w:rFonts w:eastAsia="Times New Roman"/>
          <w:color w:val="000000"/>
          <w:sz w:val="20"/>
          <w:szCs w:val="20"/>
        </w:rPr>
        <w:t>73</w:t>
      </w:r>
    </w:p>
    <w:p w:rsidR="00000000" w:rsidRDefault="009012B9">
      <w:pPr>
        <w:rPr>
          <w:rFonts w:eastAsia="Times New Roman"/>
        </w:rPr>
      </w:pPr>
      <w:r>
        <w:rPr>
          <w:rFonts w:eastAsia="Times New Roman"/>
        </w:rPr>
        <w:pict>
          <v:rect id="_x0000_i1097" style="width:0;height:1.5pt" o:hralign="center" o:hrstd="t" o:hr="t" fillcolor="#a0a0a0" stroked="f"/>
        </w:pict>
      </w:r>
    </w:p>
    <w:p w:rsidR="00000000" w:rsidRDefault="009012B9">
      <w:pPr>
        <w:divId w:val="1569729345"/>
        <w:rPr>
          <w:rFonts w:eastAsia="Times New Roman"/>
        </w:rPr>
      </w:pPr>
    </w:p>
    <w:p w:rsidR="00000000" w:rsidRDefault="009012B9">
      <w:pPr>
        <w:ind w:hanging="480"/>
        <w:divId w:val="741877088"/>
        <w:rPr>
          <w:rFonts w:eastAsia="Times New Roman"/>
        </w:rPr>
      </w:pPr>
      <w:r>
        <w:rPr>
          <w:rFonts w:eastAsia="Times New Roman"/>
          <w:color w:val="000000"/>
          <w:sz w:val="20"/>
          <w:szCs w:val="20"/>
        </w:rPr>
        <w:t>•the authority of the board of directors to issue convertible preferred stock on terms determined by the board of directors without stockhol</w:t>
      </w:r>
      <w:r>
        <w:rPr>
          <w:rFonts w:eastAsia="Times New Roman"/>
          <w:color w:val="000000"/>
          <w:sz w:val="20"/>
          <w:szCs w:val="20"/>
        </w:rPr>
        <w:t>der approval and which convertible preferred stock may include rights superior to the rights of the holders of common stock.</w:t>
      </w:r>
    </w:p>
    <w:p w:rsidR="00000000" w:rsidRDefault="009012B9">
      <w:pPr>
        <w:ind w:firstLine="482"/>
        <w:divId w:val="1935894670"/>
        <w:rPr>
          <w:rFonts w:eastAsia="Times New Roman"/>
        </w:rPr>
      </w:pPr>
      <w:r>
        <w:rPr>
          <w:rFonts w:eastAsia="Times New Roman"/>
          <w:color w:val="000000"/>
          <w:sz w:val="20"/>
          <w:szCs w:val="20"/>
        </w:rPr>
        <w:t>In addition, because we are incorporated in Delaware, we are governed by the provisions of Section 203 of the General Corporation L</w:t>
      </w:r>
      <w:r>
        <w:rPr>
          <w:rFonts w:eastAsia="Times New Roman"/>
          <w:color w:val="000000"/>
          <w:sz w:val="20"/>
          <w:szCs w:val="20"/>
        </w:rPr>
        <w:t>aw of the State of Delaware, which may prohibit certain business combinations with stockholders owning 15% or more of our outstanding voting stock. These anti-takeover provisions and other provisions in our amended and restated certificate of incorporation</w:t>
      </w:r>
      <w:r>
        <w:rPr>
          <w:rFonts w:eastAsia="Times New Roman"/>
          <w:color w:val="000000"/>
          <w:sz w:val="20"/>
          <w:szCs w:val="20"/>
        </w:rPr>
        <w:t xml:space="preserve"> and amended and restated bylaws could make it more difficult for stockholders or potential acquirers to obtain control of our board of directors or initiate actions that are opposed by the then-current board of directors and could also delay or impede a m</w:t>
      </w:r>
      <w:r>
        <w:rPr>
          <w:rFonts w:eastAsia="Times New Roman"/>
          <w:color w:val="000000"/>
          <w:sz w:val="20"/>
          <w:szCs w:val="20"/>
        </w:rPr>
        <w:t xml:space="preserve">erger, tender offer or proxy contest involving our company. These provisions could also discourage proxy contests and make it more difficult for you and other stockholders to elect directors of your choosing or cause us to take other corporate actions you </w:t>
      </w:r>
      <w:r>
        <w:rPr>
          <w:rFonts w:eastAsia="Times New Roman"/>
          <w:color w:val="000000"/>
          <w:sz w:val="20"/>
          <w:szCs w:val="20"/>
        </w:rPr>
        <w:t>desire. Any delay or prevention of a change of control transaction or changes in our board of directors could cause the market price of our common stock to decline.</w:t>
      </w:r>
    </w:p>
    <w:p w:rsidR="00000000" w:rsidRDefault="009012B9">
      <w:pPr>
        <w:divId w:val="1096485626"/>
        <w:rPr>
          <w:rFonts w:eastAsia="Times New Roman"/>
        </w:rPr>
      </w:pPr>
      <w:r>
        <w:rPr>
          <w:rFonts w:eastAsia="Times New Roman"/>
          <w:b/>
          <w:bCs/>
          <w:i/>
          <w:iCs/>
          <w:color w:val="000000"/>
          <w:sz w:val="20"/>
          <w:szCs w:val="20"/>
        </w:rPr>
        <w:t>If securities or industry analysts do not publish research or publish inaccurate or unfavor</w:t>
      </w:r>
      <w:r>
        <w:rPr>
          <w:rFonts w:eastAsia="Times New Roman"/>
          <w:b/>
          <w:bCs/>
          <w:i/>
          <w:iCs/>
          <w:color w:val="000000"/>
          <w:sz w:val="20"/>
          <w:szCs w:val="20"/>
        </w:rPr>
        <w:t>able research about our business, our stock price and trading volume could decline.</w:t>
      </w:r>
    </w:p>
    <w:p w:rsidR="00000000" w:rsidRDefault="009012B9">
      <w:pPr>
        <w:ind w:firstLine="482"/>
        <w:divId w:val="915627513"/>
        <w:rPr>
          <w:rFonts w:eastAsia="Times New Roman"/>
        </w:rPr>
      </w:pPr>
      <w:r>
        <w:rPr>
          <w:rFonts w:eastAsia="Times New Roman"/>
          <w:color w:val="000000"/>
          <w:sz w:val="20"/>
          <w:szCs w:val="20"/>
        </w:rPr>
        <w:t>The trading market for our common stock will depend in part on the research and reports that securities or industry analysts publish about us or our business. If one or mor</w:t>
      </w:r>
      <w:r>
        <w:rPr>
          <w:rFonts w:eastAsia="Times New Roman"/>
          <w:color w:val="000000"/>
          <w:sz w:val="20"/>
          <w:szCs w:val="20"/>
        </w:rPr>
        <w:t>e of the analysts who covers us downgrades our stock or publishes inaccurate or unfavorable research about our business, our stock price may decline. If one or more of these analysts ceases coverage of our company or fails to publish reports on us regularl</w:t>
      </w:r>
      <w:r>
        <w:rPr>
          <w:rFonts w:eastAsia="Times New Roman"/>
          <w:color w:val="000000"/>
          <w:sz w:val="20"/>
          <w:szCs w:val="20"/>
        </w:rPr>
        <w:t>y, demand for our stock could decrease, which might cause our stock price and trading volume to decline.</w:t>
      </w:r>
    </w:p>
    <w:p w:rsidR="00000000" w:rsidRDefault="009012B9">
      <w:pPr>
        <w:divId w:val="1296570565"/>
        <w:rPr>
          <w:rFonts w:eastAsia="Times New Roman"/>
        </w:rPr>
      </w:pPr>
      <w:r>
        <w:rPr>
          <w:rFonts w:eastAsia="Times New Roman"/>
          <w:b/>
          <w:bCs/>
          <w:i/>
          <w:iCs/>
          <w:color w:val="000000"/>
          <w:sz w:val="20"/>
          <w:szCs w:val="20"/>
        </w:rPr>
        <w:t>Our amended and restated bylaws designate certain courts as the exclusive forum for certain litigation that may be initiated by our stockholders, which</w:t>
      </w:r>
      <w:r>
        <w:rPr>
          <w:rFonts w:eastAsia="Times New Roman"/>
          <w:b/>
          <w:bCs/>
          <w:i/>
          <w:iCs/>
          <w:color w:val="000000"/>
          <w:sz w:val="20"/>
          <w:szCs w:val="20"/>
        </w:rPr>
        <w:t xml:space="preserve"> could limit our stockholders’ ability to litigate disputes with us in a different judicial forum.</w:t>
      </w:r>
    </w:p>
    <w:p w:rsidR="00000000" w:rsidRDefault="009012B9">
      <w:pPr>
        <w:ind w:firstLine="482"/>
        <w:divId w:val="982080002"/>
        <w:rPr>
          <w:rFonts w:eastAsia="Times New Roman"/>
        </w:rPr>
      </w:pPr>
      <w:r>
        <w:rPr>
          <w:rFonts w:eastAsia="Times New Roman"/>
          <w:color w:val="000000"/>
          <w:sz w:val="20"/>
          <w:szCs w:val="20"/>
        </w:rPr>
        <w:t>Pursuant to our amended and restated bylaws, that became effective upon the completion of our IPO, unless we consent in writing to the selection of an altern</w:t>
      </w:r>
      <w:r>
        <w:rPr>
          <w:rFonts w:eastAsia="Times New Roman"/>
          <w:color w:val="000000"/>
          <w:sz w:val="20"/>
          <w:szCs w:val="20"/>
        </w:rPr>
        <w:t>ative forum, the Court of Chancery of the State of Delaware will be the sole and exclusive forum for any state law claims for: (i) any derivative action or proceeding brought on our behalf; (ii) any action asserting a claim of breach of a fiduciary duty or</w:t>
      </w:r>
      <w:r>
        <w:rPr>
          <w:rFonts w:eastAsia="Times New Roman"/>
          <w:color w:val="000000"/>
          <w:sz w:val="20"/>
          <w:szCs w:val="20"/>
        </w:rPr>
        <w:t xml:space="preserve"> other wrongdoing by any of our directors, officers, employees or agents to us or our stockholders; (iii) any action asserting a claim against us arising pursuant to any provision of the General Corporation Law of the State of Delaware, our amended and res</w:t>
      </w:r>
      <w:r>
        <w:rPr>
          <w:rFonts w:eastAsia="Times New Roman"/>
          <w:color w:val="000000"/>
          <w:sz w:val="20"/>
          <w:szCs w:val="20"/>
        </w:rPr>
        <w:t>tated certificate of incorporation or our amended and restated bylaws; (iv) any action to interpret, apply, enforce or determine the validity of our certificate of incorporation or bylaws; or (v) any action asserting a claim governed by the internal affair</w:t>
      </w:r>
      <w:r>
        <w:rPr>
          <w:rFonts w:eastAsia="Times New Roman"/>
          <w:color w:val="000000"/>
          <w:sz w:val="20"/>
          <w:szCs w:val="20"/>
        </w:rPr>
        <w:t>s doctrine, in each case subject to the Court of Chancery having personal jurisdiction over the indispensable parties named as defendants therein, or the Delaware forum provision. This exclusive forum provision will not apply to any causes of action arisin</w:t>
      </w:r>
      <w:r>
        <w:rPr>
          <w:rFonts w:eastAsia="Times New Roman"/>
          <w:color w:val="000000"/>
          <w:sz w:val="20"/>
          <w:szCs w:val="20"/>
        </w:rPr>
        <w:t>g under the Securities Act or the Exchange Act or any other claim for which the federal courts have exclusive jurisdiction. Unless we consent in writing to the selection of an alternate forum, the federal district courts shall be the sole and exclusive for</w:t>
      </w:r>
      <w:r>
        <w:rPr>
          <w:rFonts w:eastAsia="Times New Roman"/>
          <w:color w:val="000000"/>
          <w:sz w:val="20"/>
          <w:szCs w:val="20"/>
        </w:rPr>
        <w:t>um for resolving any complaint asserting a cause of action arising under the Securities Act, or the federal forum provision. In addition, our amended and restated bylaws provide that any person or entity purchasing or otherwise acquiring any interest in sh</w:t>
      </w:r>
      <w:r>
        <w:rPr>
          <w:rFonts w:eastAsia="Times New Roman"/>
          <w:color w:val="000000"/>
          <w:sz w:val="20"/>
          <w:szCs w:val="20"/>
        </w:rPr>
        <w:t>ares of our common stock is deemed to have notice of and consented to the Delaware forum provision and the Federal forum provision; provided, however, that stockholders cannot and will not be deemed to have waived our compliance with the federal securities</w:t>
      </w:r>
      <w:r>
        <w:rPr>
          <w:rFonts w:eastAsia="Times New Roman"/>
          <w:color w:val="000000"/>
          <w:sz w:val="20"/>
          <w:szCs w:val="20"/>
        </w:rPr>
        <w:t xml:space="preserve"> laws and the rules and regulations thereunder.</w:t>
      </w:r>
    </w:p>
    <w:p w:rsidR="00000000" w:rsidRDefault="009012B9">
      <w:pPr>
        <w:ind w:firstLine="482"/>
        <w:divId w:val="483742718"/>
        <w:rPr>
          <w:rFonts w:eastAsia="Times New Roman"/>
        </w:rPr>
      </w:pPr>
      <w:r>
        <w:rPr>
          <w:rFonts w:eastAsia="Times New Roman"/>
          <w:color w:val="000000"/>
          <w:sz w:val="20"/>
          <w:szCs w:val="20"/>
        </w:rPr>
        <w:t>The Delaware forum provision and the federal forum provision may impose additional litigation costs on stockholders who assert the provision is not enforceable and may impose more general additional litigatio</w:t>
      </w:r>
      <w:r>
        <w:rPr>
          <w:rFonts w:eastAsia="Times New Roman"/>
          <w:color w:val="000000"/>
          <w:sz w:val="20"/>
          <w:szCs w:val="20"/>
        </w:rPr>
        <w:t>n costs in pursuing any such claims, particularly if the stockholders do not reside in or near the State of Delaware or the State of California. In addition, these forum selection clauses in our bylaws may limit our stockholders’ ability to bring a claim i</w:t>
      </w:r>
      <w:r>
        <w:rPr>
          <w:rFonts w:eastAsia="Times New Roman"/>
          <w:color w:val="000000"/>
          <w:sz w:val="20"/>
          <w:szCs w:val="20"/>
        </w:rPr>
        <w:t>n a judicial forum that they find favorable for disputes with us or our directors, officers or employees, which may discourage such lawsuits against us and our directors, officers and employees even though an action, if successful, might benefit our stockh</w:t>
      </w:r>
      <w:r>
        <w:rPr>
          <w:rFonts w:eastAsia="Times New Roman"/>
          <w:color w:val="000000"/>
          <w:sz w:val="20"/>
          <w:szCs w:val="20"/>
        </w:rPr>
        <w:t>olders. In addition, while the Delaware Supreme Court ruled in March 2020 that federal forum selection provisions purporting to require claims under the Securities Act be brought in federal court were “facially valid” under Delaware law, there is uncertain</w:t>
      </w:r>
      <w:r>
        <w:rPr>
          <w:rFonts w:eastAsia="Times New Roman"/>
          <w:color w:val="000000"/>
          <w:sz w:val="20"/>
          <w:szCs w:val="20"/>
        </w:rPr>
        <w:t>ty as to whether other courts will enforce our Federal forum provision. If the Federal forum provision is found to be unenforceable, we may incur additional costs associated with resolving such matters. The federal forum provision may also impose additiona</w:t>
      </w:r>
      <w:r>
        <w:rPr>
          <w:rFonts w:eastAsia="Times New Roman"/>
          <w:color w:val="000000"/>
          <w:sz w:val="20"/>
          <w:szCs w:val="20"/>
        </w:rPr>
        <w:t>l litigation costs on stockholders who assert the provision is not enforceable or invalid. The Court of Chancery of the State of Delaware and the federal district courts may also reach different judgments or results than would other courts, including court</w:t>
      </w:r>
      <w:r>
        <w:rPr>
          <w:rFonts w:eastAsia="Times New Roman"/>
          <w:color w:val="000000"/>
          <w:sz w:val="20"/>
          <w:szCs w:val="20"/>
        </w:rPr>
        <w:t>s where a stockholder considering an action may be located or would otherwise choose to bring the action, and such judgments may be more or less favorable to us than our stockholders.</w:t>
      </w:r>
    </w:p>
    <w:p w:rsidR="00000000" w:rsidRDefault="009012B9">
      <w:pPr>
        <w:jc w:val="center"/>
        <w:divId w:val="1622178612"/>
        <w:rPr>
          <w:rFonts w:eastAsia="Times New Roman"/>
        </w:rPr>
      </w:pPr>
      <w:r>
        <w:rPr>
          <w:rFonts w:eastAsia="Times New Roman"/>
          <w:color w:val="000000"/>
          <w:sz w:val="20"/>
          <w:szCs w:val="20"/>
        </w:rPr>
        <w:t>74</w:t>
      </w:r>
    </w:p>
    <w:p w:rsidR="00000000" w:rsidRDefault="009012B9">
      <w:pPr>
        <w:rPr>
          <w:rFonts w:eastAsia="Times New Roman"/>
        </w:rPr>
      </w:pPr>
      <w:r>
        <w:rPr>
          <w:rFonts w:eastAsia="Times New Roman"/>
        </w:rPr>
        <w:pict>
          <v:rect id="_x0000_i1098" style="width:0;height:1.5pt" o:hralign="center" o:hrstd="t" o:hr="t" fillcolor="#a0a0a0" stroked="f"/>
        </w:pict>
      </w:r>
    </w:p>
    <w:p w:rsidR="00000000" w:rsidRDefault="009012B9">
      <w:pPr>
        <w:divId w:val="1144812268"/>
        <w:rPr>
          <w:rFonts w:eastAsia="Times New Roman"/>
        </w:rPr>
      </w:pPr>
    </w:p>
    <w:p w:rsidR="00000000" w:rsidRDefault="009012B9">
      <w:pPr>
        <w:ind w:firstLine="482"/>
        <w:divId w:val="1213539711"/>
        <w:rPr>
          <w:rFonts w:eastAsia="Times New Roman"/>
        </w:rPr>
      </w:pPr>
      <w:r>
        <w:rPr>
          <w:rFonts w:eastAsia="Times New Roman"/>
          <w:b/>
          <w:bCs/>
          <w:color w:val="000000"/>
          <w:sz w:val="20"/>
          <w:szCs w:val="20"/>
        </w:rPr>
        <w:t>General Risk Factors</w:t>
      </w:r>
    </w:p>
    <w:p w:rsidR="00000000" w:rsidRDefault="009012B9">
      <w:pPr>
        <w:divId w:val="2049256888"/>
        <w:rPr>
          <w:rFonts w:eastAsia="Times New Roman"/>
        </w:rPr>
      </w:pPr>
      <w:r>
        <w:rPr>
          <w:rFonts w:eastAsia="Times New Roman"/>
          <w:b/>
          <w:bCs/>
          <w:i/>
          <w:iCs/>
          <w:color w:val="000000"/>
          <w:sz w:val="20"/>
          <w:szCs w:val="20"/>
        </w:rPr>
        <w:t>Our issua</w:t>
      </w:r>
      <w:r>
        <w:rPr>
          <w:rFonts w:eastAsia="Times New Roman"/>
          <w:b/>
          <w:bCs/>
          <w:i/>
          <w:iCs/>
          <w:color w:val="000000"/>
          <w:sz w:val="20"/>
          <w:szCs w:val="20"/>
        </w:rPr>
        <w:t>nce of additional capital stock in connection with financings, acquisitions, investments, our stock incentive plans or otherwise will dilute all other stockholders.</w:t>
      </w:r>
    </w:p>
    <w:p w:rsidR="00000000" w:rsidRDefault="009012B9">
      <w:pPr>
        <w:ind w:firstLine="482"/>
        <w:divId w:val="1976058762"/>
        <w:rPr>
          <w:rFonts w:eastAsia="Times New Roman"/>
        </w:rPr>
      </w:pPr>
      <w:r>
        <w:rPr>
          <w:rFonts w:eastAsia="Times New Roman"/>
          <w:color w:val="000000"/>
          <w:sz w:val="20"/>
          <w:szCs w:val="20"/>
        </w:rPr>
        <w:t>We expect to issue additional capital stock in the future that will result in dilution to a</w:t>
      </w:r>
      <w:r>
        <w:rPr>
          <w:rFonts w:eastAsia="Times New Roman"/>
          <w:color w:val="000000"/>
          <w:sz w:val="20"/>
          <w:szCs w:val="20"/>
        </w:rPr>
        <w:t>ll other stockholders. We expect to continue to grant equity awards to employees, directors, and consultants under our stock incentive plans. We may also raise capital through equity financings in the future. As part of our business strategy, we may acquir</w:t>
      </w:r>
      <w:r>
        <w:rPr>
          <w:rFonts w:eastAsia="Times New Roman"/>
          <w:color w:val="000000"/>
          <w:sz w:val="20"/>
          <w:szCs w:val="20"/>
        </w:rPr>
        <w:t xml:space="preserve">e or make investments in complementary companies, products, or technologies and issue equity securities to pay for any such acquisition or investment. Any such issuances of additional capital stock may cause stockholders to experience significant dilution </w:t>
      </w:r>
      <w:r>
        <w:rPr>
          <w:rFonts w:eastAsia="Times New Roman"/>
          <w:color w:val="000000"/>
          <w:sz w:val="20"/>
          <w:szCs w:val="20"/>
        </w:rPr>
        <w:t>of their ownership interests and the per share value of our common stock to decline.</w:t>
      </w:r>
    </w:p>
    <w:p w:rsidR="00000000" w:rsidRDefault="009012B9">
      <w:pPr>
        <w:divId w:val="437868490"/>
        <w:rPr>
          <w:rFonts w:eastAsia="Times New Roman"/>
        </w:rPr>
      </w:pPr>
      <w:r>
        <w:rPr>
          <w:rFonts w:eastAsia="Times New Roman"/>
          <w:b/>
          <w:bCs/>
          <w:i/>
          <w:iCs/>
          <w:color w:val="000000"/>
          <w:sz w:val="20"/>
          <w:szCs w:val="20"/>
        </w:rPr>
        <w:t>We may incur substantial costs in our efforts to comply with evolving global data protection laws and regulations, and any failure or perceived failure by us to comply wit</w:t>
      </w:r>
      <w:r>
        <w:rPr>
          <w:rFonts w:eastAsia="Times New Roman"/>
          <w:b/>
          <w:bCs/>
          <w:i/>
          <w:iCs/>
          <w:color w:val="000000"/>
          <w:sz w:val="20"/>
          <w:szCs w:val="20"/>
        </w:rPr>
        <w:t>h such laws and regulations may harm our business and operations.</w:t>
      </w:r>
    </w:p>
    <w:p w:rsidR="00000000" w:rsidRDefault="009012B9">
      <w:pPr>
        <w:ind w:firstLine="482"/>
        <w:divId w:val="1870793720"/>
        <w:rPr>
          <w:rFonts w:eastAsia="Times New Roman"/>
        </w:rPr>
      </w:pPr>
      <w:r>
        <w:rPr>
          <w:rFonts w:eastAsia="Times New Roman"/>
          <w:color w:val="000000"/>
          <w:sz w:val="20"/>
          <w:szCs w:val="20"/>
        </w:rPr>
        <w:t>The global data protection landscape is rapidly evolving, and we may be or become subject to or affected by numerous federal, state and foreign laws and regulations, as well as regulatory guidance, governing the collection, use, disclosure, transfer, secur</w:t>
      </w:r>
      <w:r>
        <w:rPr>
          <w:rFonts w:eastAsia="Times New Roman"/>
          <w:color w:val="000000"/>
          <w:sz w:val="20"/>
          <w:szCs w:val="20"/>
        </w:rPr>
        <w:t>ity and processing of personal data, such as information that we collect about participants and healthcare providers in connection with clinical trials. Implementation standards and enforcement practices are likely to remain uncertain for the foreseeable f</w:t>
      </w:r>
      <w:r>
        <w:rPr>
          <w:rFonts w:eastAsia="Times New Roman"/>
          <w:color w:val="000000"/>
          <w:sz w:val="20"/>
          <w:szCs w:val="20"/>
        </w:rPr>
        <w:t>uture, which may create uncertainty in our business, affect our or our service providers’ ability to operate in certain jurisdictions or to collect, store, transfer use and share personal data, result in liability or impose additional compliance or other c</w:t>
      </w:r>
      <w:r>
        <w:rPr>
          <w:rFonts w:eastAsia="Times New Roman"/>
          <w:color w:val="000000"/>
          <w:sz w:val="20"/>
          <w:szCs w:val="20"/>
        </w:rPr>
        <w:t>osts on us. Any failure or perceived failure by us to comply with federal, state, or foreign laws or self-regulatory standards could result in negative publicity, diversion of management time and effort and proceedings against us by governmental entities o</w:t>
      </w:r>
      <w:r>
        <w:rPr>
          <w:rFonts w:eastAsia="Times New Roman"/>
          <w:color w:val="000000"/>
          <w:sz w:val="20"/>
          <w:szCs w:val="20"/>
        </w:rPr>
        <w:t>r others. Recently, California passed the California Data Privacy Protection Act of 2018, or the CCPA, which went into effect in January 2020 and provides new data privacy rights for consumers and new operational requirements for companies, which may incre</w:t>
      </w:r>
      <w:r>
        <w:rPr>
          <w:rFonts w:eastAsia="Times New Roman"/>
          <w:color w:val="000000"/>
          <w:sz w:val="20"/>
          <w:szCs w:val="20"/>
        </w:rPr>
        <w:t>ase our compliance costs and potential liability. The CCPA gives California residents expanded rights to access and delete their personal information, opt out of certain personal information sharing, and receive detailed information about how their persona</w:t>
      </w:r>
      <w:r>
        <w:rPr>
          <w:rFonts w:eastAsia="Times New Roman"/>
          <w:color w:val="000000"/>
          <w:sz w:val="20"/>
          <w:szCs w:val="20"/>
        </w:rPr>
        <w:t xml:space="preserve">l information is used. The CCPA provides for civil penalties for violations, as well as a private right of action for data breaches that is expected to increase data breach litigation. While there is currently an exception for protected health information </w:t>
      </w:r>
      <w:r>
        <w:rPr>
          <w:rFonts w:eastAsia="Times New Roman"/>
          <w:color w:val="000000"/>
          <w:sz w:val="20"/>
          <w:szCs w:val="20"/>
        </w:rPr>
        <w:t>that is subject to HIPAA and clinical trial regulations, as currently written, the CCPA may impact certain of our business activities. The new California law may lead to similar laws in other U.S. states or at a national level, which could increase our pot</w:t>
      </w:r>
      <w:r>
        <w:rPr>
          <w:rFonts w:eastAsia="Times New Roman"/>
          <w:color w:val="000000"/>
          <w:sz w:val="20"/>
          <w:szCs w:val="20"/>
        </w:rPr>
        <w:t>ential liability and adversely affect our business.</w:t>
      </w:r>
    </w:p>
    <w:p w:rsidR="00000000" w:rsidRDefault="009012B9">
      <w:pPr>
        <w:ind w:firstLine="482"/>
        <w:divId w:val="992492420"/>
        <w:rPr>
          <w:rFonts w:eastAsia="Times New Roman"/>
        </w:rPr>
      </w:pPr>
      <w:r>
        <w:rPr>
          <w:rFonts w:eastAsia="Times New Roman"/>
          <w:color w:val="000000"/>
          <w:sz w:val="20"/>
          <w:szCs w:val="20"/>
        </w:rPr>
        <w:t>In addition to our operations in the United States, which may be subject to healthcare and other laws relating to the privacy and security of health information and other personal information, we may seek</w:t>
      </w:r>
      <w:r>
        <w:rPr>
          <w:rFonts w:eastAsia="Times New Roman"/>
          <w:color w:val="000000"/>
          <w:sz w:val="20"/>
          <w:szCs w:val="20"/>
        </w:rPr>
        <w:t xml:space="preserve"> to conduct clinical trials in the EEA and UK and may become subject to additional European or UK data privacy laws, regulations, and guidelines. The General Data Protection Regulation, (EU) 2016/679, or GDPR, became effective on May 25, 2018, and deals wi</w:t>
      </w:r>
      <w:r>
        <w:rPr>
          <w:rFonts w:eastAsia="Times New Roman"/>
          <w:color w:val="000000"/>
          <w:sz w:val="20"/>
          <w:szCs w:val="20"/>
        </w:rPr>
        <w:t>th the collection, use, storage, disclosure, transfer, or other processing of personal data, including personal health data, regarding individuals in the EEA. The GDPR imposes a broad range of strict requirements on companies subject to the GDPR, including</w:t>
      </w:r>
      <w:r>
        <w:rPr>
          <w:rFonts w:eastAsia="Times New Roman"/>
          <w:color w:val="000000"/>
          <w:sz w:val="20"/>
          <w:szCs w:val="20"/>
        </w:rPr>
        <w:t xml:space="preserve"> requirements relating to having legal bases for processing personal data relating to identifiable individuals and transferring such information outside the EEA, including to the United States, providing details to those individuals regarding the processin</w:t>
      </w:r>
      <w:r>
        <w:rPr>
          <w:rFonts w:eastAsia="Times New Roman"/>
          <w:color w:val="000000"/>
          <w:sz w:val="20"/>
          <w:szCs w:val="20"/>
        </w:rPr>
        <w:t>g of their personal health and other sensitive data, obtaining consent of the individuals to whom the personal data relates, keeping personal information secure, having data processing agreements with third parties who process personal information, respond</w:t>
      </w:r>
      <w:r>
        <w:rPr>
          <w:rFonts w:eastAsia="Times New Roman"/>
          <w:color w:val="000000"/>
          <w:sz w:val="20"/>
          <w:szCs w:val="20"/>
        </w:rPr>
        <w:t>ing to individuals’ requests to exercise their rights in respect of their personal information, reporting security breaches involving personal data to the competent national data protection authority and affected individuals, appointing data protection off</w:t>
      </w:r>
      <w:r>
        <w:rPr>
          <w:rFonts w:eastAsia="Times New Roman"/>
          <w:color w:val="000000"/>
          <w:sz w:val="20"/>
          <w:szCs w:val="20"/>
        </w:rPr>
        <w:t>icers, conducting data protection impact assessments, and record-keeping. The GDPR increases substantially the penalties to which we could be subject in the event of any non-compliance, including fines of up to 10,000,000 Euros or up to 2% of our total wor</w:t>
      </w:r>
      <w:r>
        <w:rPr>
          <w:rFonts w:eastAsia="Times New Roman"/>
          <w:color w:val="000000"/>
          <w:sz w:val="20"/>
          <w:szCs w:val="20"/>
        </w:rPr>
        <w:t>ldwide annual turnover for certain comparatively minor offenses, or up to 20,000,000 Euros or up to 4% of our total worldwide annual turnover, whichever is greater, for more serious offenses. The GDPR also confers a private right of action on data subjects</w:t>
      </w:r>
      <w:r>
        <w:rPr>
          <w:rFonts w:eastAsia="Times New Roman"/>
          <w:color w:val="000000"/>
          <w:sz w:val="20"/>
          <w:szCs w:val="20"/>
        </w:rPr>
        <w:t xml:space="preserve"> and consumer associations to lodge complaints with supervisory authorities, seek judicial remedies, and obtain compensation for damages resulting from violations of the GDPR. In addition, the GDPR includes restrictions on cross-border data transfers.</w:t>
      </w:r>
    </w:p>
    <w:p w:rsidR="00000000" w:rsidRDefault="009012B9">
      <w:pPr>
        <w:ind w:firstLine="482"/>
        <w:divId w:val="1270550679"/>
        <w:rPr>
          <w:rFonts w:eastAsia="Times New Roman"/>
        </w:rPr>
      </w:pPr>
      <w:r>
        <w:rPr>
          <w:rFonts w:eastAsia="Times New Roman"/>
          <w:color w:val="000000"/>
          <w:sz w:val="20"/>
          <w:szCs w:val="20"/>
        </w:rPr>
        <w:t>Furt</w:t>
      </w:r>
      <w:r>
        <w:rPr>
          <w:rFonts w:eastAsia="Times New Roman"/>
          <w:color w:val="000000"/>
          <w:sz w:val="20"/>
          <w:szCs w:val="20"/>
        </w:rPr>
        <w:t xml:space="preserve">her, national laws of member states of the EU are in the process of being adapted to the requirements under the GDPR, thereby implementing national laws which may partially deviate from the GDPR and impose different obligations from country to country, so </w:t>
      </w:r>
      <w:r>
        <w:rPr>
          <w:rFonts w:eastAsia="Times New Roman"/>
          <w:color w:val="000000"/>
          <w:sz w:val="20"/>
          <w:szCs w:val="20"/>
        </w:rPr>
        <w:t>that we do not expect to operate in a uniform legal landscape in the EEA. Also, as it relates to processing and transfer of genetic data, the GDPR specifically allows national laws to impose additional and more specific requirements or restrictions, and Eu</w:t>
      </w:r>
      <w:r>
        <w:rPr>
          <w:rFonts w:eastAsia="Times New Roman"/>
          <w:color w:val="000000"/>
          <w:sz w:val="20"/>
          <w:szCs w:val="20"/>
        </w:rPr>
        <w:t xml:space="preserve">ropean laws have historically differed quite substantially in this field, leading to additional uncertainty. The United Kingdom’s decision to leave the EU, often referred to as Brexit, has created uncertainty with regard to data protection </w:t>
      </w:r>
    </w:p>
    <w:p w:rsidR="00000000" w:rsidRDefault="009012B9">
      <w:pPr>
        <w:jc w:val="center"/>
        <w:divId w:val="279915726"/>
        <w:rPr>
          <w:rFonts w:eastAsia="Times New Roman"/>
        </w:rPr>
      </w:pPr>
      <w:r>
        <w:rPr>
          <w:rFonts w:eastAsia="Times New Roman"/>
          <w:color w:val="000000"/>
          <w:sz w:val="20"/>
          <w:szCs w:val="20"/>
        </w:rPr>
        <w:t>75</w:t>
      </w:r>
    </w:p>
    <w:p w:rsidR="00000000" w:rsidRDefault="009012B9">
      <w:pPr>
        <w:rPr>
          <w:rFonts w:eastAsia="Times New Roman"/>
        </w:rPr>
      </w:pPr>
      <w:r>
        <w:rPr>
          <w:rFonts w:eastAsia="Times New Roman"/>
        </w:rPr>
        <w:pict>
          <v:rect id="_x0000_i1099" style="width:0;height:1.5pt" o:hralign="center" o:hrstd="t" o:hr="t" fillcolor="#a0a0a0" stroked="f"/>
        </w:pict>
      </w:r>
    </w:p>
    <w:p w:rsidR="00000000" w:rsidRDefault="009012B9">
      <w:pPr>
        <w:divId w:val="820194921"/>
        <w:rPr>
          <w:rFonts w:eastAsia="Times New Roman"/>
        </w:rPr>
      </w:pPr>
    </w:p>
    <w:p w:rsidR="00000000" w:rsidRDefault="009012B9">
      <w:pPr>
        <w:divId w:val="1031036441"/>
        <w:rPr>
          <w:rFonts w:eastAsia="Times New Roman"/>
        </w:rPr>
      </w:pPr>
      <w:r>
        <w:rPr>
          <w:rFonts w:eastAsia="Times New Roman"/>
          <w:color w:val="000000"/>
          <w:sz w:val="20"/>
          <w:szCs w:val="20"/>
        </w:rPr>
        <w:t>regulation in the United Kingdom. In particular, it is unclear how data transfers to and from the United Kingdom will be regulated now that the United Kingdom has left the EU.</w:t>
      </w:r>
    </w:p>
    <w:p w:rsidR="00000000" w:rsidRDefault="009012B9">
      <w:pPr>
        <w:ind w:firstLine="482"/>
        <w:divId w:val="1985624120"/>
        <w:rPr>
          <w:rFonts w:eastAsia="Times New Roman"/>
        </w:rPr>
      </w:pPr>
      <w:r>
        <w:rPr>
          <w:rFonts w:eastAsia="Times New Roman"/>
          <w:color w:val="000000"/>
          <w:sz w:val="20"/>
          <w:szCs w:val="20"/>
        </w:rPr>
        <w:t>In the event we commence clinical trials in the EEA, the GDPR may increase our r</w:t>
      </w:r>
      <w:r>
        <w:rPr>
          <w:rFonts w:eastAsia="Times New Roman"/>
          <w:color w:val="000000"/>
          <w:sz w:val="20"/>
          <w:szCs w:val="20"/>
        </w:rPr>
        <w:t xml:space="preserve">esponsibility and liability in relation to personal data that we process where such processing is subject to the GDPR, and we may be required to put in place additional mechanisms and safeguards to ensure compliance with the GDPR, including as implemented </w:t>
      </w:r>
      <w:r>
        <w:rPr>
          <w:rFonts w:eastAsia="Times New Roman"/>
          <w:color w:val="000000"/>
          <w:sz w:val="20"/>
          <w:szCs w:val="20"/>
        </w:rPr>
        <w:t>by individual countries. Compliance with the GDPR will be a rigorous and time-intensive process that may increase our cost of doing business or require us to change our business practices, and despite those efforts, there is a risk that we may be subject t</w:t>
      </w:r>
      <w:r>
        <w:rPr>
          <w:rFonts w:eastAsia="Times New Roman"/>
          <w:color w:val="000000"/>
          <w:sz w:val="20"/>
          <w:szCs w:val="20"/>
        </w:rPr>
        <w:t>o fines and penalties, litigation, and reputational harm in connection with our European activities. We expect that we will continue to face uncertainty as to whether our efforts to comply with any obligations under European privacy laws will be sufficient</w:t>
      </w:r>
      <w:r>
        <w:rPr>
          <w:rFonts w:eastAsia="Times New Roman"/>
          <w:color w:val="000000"/>
          <w:sz w:val="20"/>
          <w:szCs w:val="20"/>
        </w:rPr>
        <w:t>. If we are investigated by a European data protection authority, we may face fines and other penalties. Any such investigation or charges by European data protection authorities could have a negative effect on our existing business and on our ability to a</w:t>
      </w:r>
      <w:r>
        <w:rPr>
          <w:rFonts w:eastAsia="Times New Roman"/>
          <w:color w:val="000000"/>
          <w:sz w:val="20"/>
          <w:szCs w:val="20"/>
        </w:rPr>
        <w:t>ttract and retain new clients or biopharmaceutical partners. We may also experience hesitancy, reluctance, or refusal by European or multi-national clients or biopharmaceutical partners to continue to use our products and solutions due to the potential ris</w:t>
      </w:r>
      <w:r>
        <w:rPr>
          <w:rFonts w:eastAsia="Times New Roman"/>
          <w:color w:val="000000"/>
          <w:sz w:val="20"/>
          <w:szCs w:val="20"/>
        </w:rPr>
        <w:t xml:space="preserve">k exposure as a result of the current (and, in particular, future) data protection obligations imposed on them by certain data protection authorities in interpretation of current law, including the GDPR. Such clients or biopharmaceutical partners may also </w:t>
      </w:r>
      <w:r>
        <w:rPr>
          <w:rFonts w:eastAsia="Times New Roman"/>
          <w:color w:val="000000"/>
          <w:sz w:val="20"/>
          <w:szCs w:val="20"/>
        </w:rPr>
        <w:t>view any alternative approaches to compliance as being too costly, too burdensome, too legally uncertain, or otherwise objectionable and therefore decide not to do business with us. Any of the forgoing could materially harm our business, prospects, financi</w:t>
      </w:r>
      <w:r>
        <w:rPr>
          <w:rFonts w:eastAsia="Times New Roman"/>
          <w:color w:val="000000"/>
          <w:sz w:val="20"/>
          <w:szCs w:val="20"/>
        </w:rPr>
        <w:t>al condition and results of operations.</w:t>
      </w:r>
    </w:p>
    <w:p w:rsidR="00000000" w:rsidRDefault="009012B9">
      <w:pPr>
        <w:divId w:val="1314673336"/>
        <w:rPr>
          <w:rFonts w:eastAsia="Times New Roman"/>
        </w:rPr>
      </w:pPr>
      <w:r>
        <w:rPr>
          <w:rFonts w:eastAsia="Times New Roman"/>
          <w:b/>
          <w:bCs/>
          <w:i/>
          <w:iCs/>
          <w:color w:val="000000"/>
          <w:sz w:val="20"/>
          <w:szCs w:val="20"/>
        </w:rPr>
        <w:t>Legal, political and economic uncertainty surrounding the exit of the U.K. from the EU may be a source of instability in international markets, create significant currency fluctuations, adversely affect our operation</w:t>
      </w:r>
      <w:r>
        <w:rPr>
          <w:rFonts w:eastAsia="Times New Roman"/>
          <w:b/>
          <w:bCs/>
          <w:i/>
          <w:iCs/>
          <w:color w:val="000000"/>
          <w:sz w:val="20"/>
          <w:szCs w:val="20"/>
        </w:rPr>
        <w:t>s in the U.K. and pose additional risks to our business, revenue, financial condition, and results of operations.</w:t>
      </w:r>
    </w:p>
    <w:p w:rsidR="00000000" w:rsidRDefault="009012B9">
      <w:pPr>
        <w:ind w:firstLine="475"/>
        <w:divId w:val="1850023554"/>
        <w:rPr>
          <w:rFonts w:eastAsia="Times New Roman"/>
        </w:rPr>
      </w:pPr>
      <w:r>
        <w:rPr>
          <w:rFonts w:eastAsia="Times New Roman"/>
          <w:color w:val="000000"/>
          <w:sz w:val="20"/>
          <w:szCs w:val="20"/>
        </w:rPr>
        <w:t>On June 23, 2016, the U.K. held a referendum in which a majority of the eligible members of the electorate voted to leave the EU, commonly ref</w:t>
      </w:r>
      <w:r>
        <w:rPr>
          <w:rFonts w:eastAsia="Times New Roman"/>
          <w:color w:val="000000"/>
          <w:sz w:val="20"/>
          <w:szCs w:val="20"/>
        </w:rPr>
        <w:t>erred to as Brexit. Pursuant to Article 50 of the Treaty on EU, the U.K. ceased being a Member State of the EU on January 31, 2020. A transition period began February 1, 2020 and continued until December 31, 2020. During the transition period most laws, in</w:t>
      </w:r>
      <w:r>
        <w:rPr>
          <w:rFonts w:eastAsia="Times New Roman"/>
          <w:color w:val="000000"/>
          <w:sz w:val="20"/>
          <w:szCs w:val="20"/>
        </w:rPr>
        <w:t>cluding medicinal products laws, of the EU continued to apply to the U.K. while the future relationship between the U.K. and the EU was formally negotiated. The U.K. and the EU have signed a EU-UK Trade and Cooperation Agreement, or TCA, which became provi</w:t>
      </w:r>
      <w:r>
        <w:rPr>
          <w:rFonts w:eastAsia="Times New Roman"/>
          <w:color w:val="000000"/>
          <w:sz w:val="20"/>
          <w:szCs w:val="20"/>
        </w:rPr>
        <w:t xml:space="preserve">sionally applicable on January 1, 2021 and will become formally applicable once ratified by both the U.K. and the EU. This agreement provides details on how some aspects of the U.K. and EU’s relationship will operate going forwards however there are still </w:t>
      </w:r>
      <w:r>
        <w:rPr>
          <w:rFonts w:eastAsia="Times New Roman"/>
          <w:color w:val="000000"/>
          <w:sz w:val="20"/>
          <w:szCs w:val="20"/>
        </w:rPr>
        <w:t>many uncertainties. This lack of clarity on future U.K. laws and regulations and their interaction with the EU laws and regulations may negatively impact foreign direct investment in the U.K., increase costs, depress economic activity and restrict access t</w:t>
      </w:r>
      <w:r>
        <w:rPr>
          <w:rFonts w:eastAsia="Times New Roman"/>
          <w:color w:val="000000"/>
          <w:sz w:val="20"/>
          <w:szCs w:val="20"/>
        </w:rPr>
        <w:t>o capital.</w:t>
      </w:r>
    </w:p>
    <w:p w:rsidR="00000000" w:rsidRDefault="009012B9">
      <w:pPr>
        <w:ind w:firstLine="482"/>
        <w:divId w:val="1935822885"/>
        <w:rPr>
          <w:rFonts w:eastAsia="Times New Roman"/>
        </w:rPr>
      </w:pPr>
      <w:r>
        <w:rPr>
          <w:rFonts w:eastAsia="Times New Roman"/>
          <w:color w:val="000000"/>
          <w:sz w:val="20"/>
          <w:szCs w:val="20"/>
        </w:rPr>
        <w:t>The uncertainty concerning the U.K.’s legal, political and economic relationship with the EU after Brexit may be a source of instability in the international markets, create significant currency fluctuations, and/or otherwise adversely affect tr</w:t>
      </w:r>
      <w:r>
        <w:rPr>
          <w:rFonts w:eastAsia="Times New Roman"/>
          <w:color w:val="000000"/>
          <w:sz w:val="20"/>
          <w:szCs w:val="20"/>
        </w:rPr>
        <w:t>ading agreements or similar cross-border co-operation arrangements (whether economic, tax, fiscal, legal, regulatory or otherwise) beyond the date of Brexit.</w:t>
      </w:r>
    </w:p>
    <w:p w:rsidR="00000000" w:rsidRDefault="009012B9">
      <w:pPr>
        <w:ind w:firstLine="475"/>
        <w:divId w:val="1166894035"/>
        <w:rPr>
          <w:rFonts w:eastAsia="Times New Roman"/>
        </w:rPr>
      </w:pPr>
      <w:r>
        <w:rPr>
          <w:rFonts w:eastAsia="Times New Roman"/>
          <w:color w:val="000000"/>
          <w:sz w:val="20"/>
          <w:szCs w:val="20"/>
        </w:rPr>
        <w:t xml:space="preserve">These developments, or the perception that any of them could occur, have had, and may continue to </w:t>
      </w:r>
      <w:r>
        <w:rPr>
          <w:rFonts w:eastAsia="Times New Roman"/>
          <w:color w:val="000000"/>
          <w:sz w:val="20"/>
          <w:szCs w:val="20"/>
        </w:rPr>
        <w:t xml:space="preserve">have a significant adverse effect on global economic conditions and the stability of global financial markets, and could significantly reduce global market liquidity and limit the ability of key market participants to operate in certain financial markets. </w:t>
      </w:r>
      <w:r>
        <w:rPr>
          <w:rFonts w:eastAsia="Times New Roman"/>
          <w:color w:val="000000"/>
          <w:sz w:val="20"/>
          <w:szCs w:val="20"/>
        </w:rPr>
        <w:t>In particular, it could also lead to a period of considerable uncertainty in relation to the U.K. financial and banking markets, as well as on the regulatory process in Europe. Asset valuations, currency exchange rates and credit ratings may also be subjec</w:t>
      </w:r>
      <w:r>
        <w:rPr>
          <w:rFonts w:eastAsia="Times New Roman"/>
          <w:color w:val="000000"/>
          <w:sz w:val="20"/>
          <w:szCs w:val="20"/>
        </w:rPr>
        <w:t>t to increased market volatility.</w:t>
      </w:r>
    </w:p>
    <w:p w:rsidR="00000000" w:rsidRDefault="009012B9">
      <w:pPr>
        <w:ind w:firstLine="475"/>
        <w:divId w:val="743919900"/>
        <w:rPr>
          <w:rFonts w:eastAsia="Times New Roman"/>
        </w:rPr>
      </w:pPr>
    </w:p>
    <w:p w:rsidR="00000000" w:rsidRDefault="009012B9">
      <w:pPr>
        <w:ind w:firstLine="482"/>
        <w:divId w:val="1053843751"/>
        <w:rPr>
          <w:rFonts w:eastAsia="Times New Roman"/>
        </w:rPr>
      </w:pPr>
      <w:r>
        <w:rPr>
          <w:rFonts w:eastAsia="Times New Roman"/>
          <w:color w:val="000000"/>
          <w:sz w:val="20"/>
          <w:szCs w:val="20"/>
        </w:rPr>
        <w:t>If other EU and Member States pursue withdrawal, barrier-free access between the U.K. and other EU Member States or among the European Economic Area overall could be diminished or eliminated. The long-term effects of Bre</w:t>
      </w:r>
      <w:r>
        <w:rPr>
          <w:rFonts w:eastAsia="Times New Roman"/>
          <w:color w:val="000000"/>
          <w:sz w:val="20"/>
          <w:szCs w:val="20"/>
        </w:rPr>
        <w:t>xit will depend on how the terms of the TCA take effect in practice and any further agreements (or lack thereof) between the U.K. and the EU.</w:t>
      </w:r>
    </w:p>
    <w:p w:rsidR="00000000" w:rsidRDefault="009012B9">
      <w:pPr>
        <w:ind w:firstLine="482"/>
        <w:divId w:val="901795852"/>
        <w:rPr>
          <w:rFonts w:eastAsia="Times New Roman"/>
        </w:rPr>
      </w:pPr>
      <w:r>
        <w:rPr>
          <w:rFonts w:eastAsia="Times New Roman"/>
          <w:color w:val="000000"/>
          <w:sz w:val="20"/>
          <w:szCs w:val="20"/>
        </w:rPr>
        <w:t>Such a withdrawal from the EU is unprecedented, and it is unclear how the restrictions on the U.K.’s access to the</w:t>
      </w:r>
      <w:r>
        <w:rPr>
          <w:rFonts w:eastAsia="Times New Roman"/>
          <w:color w:val="000000"/>
          <w:sz w:val="20"/>
          <w:szCs w:val="20"/>
        </w:rPr>
        <w:t xml:space="preserve"> European single market for goods, capital, services and labor within the EU, or single market, and the wider commercial, legal and regulatory environment, will impact our current and future operations (including business activities conducted by third part</w:t>
      </w:r>
      <w:r>
        <w:rPr>
          <w:rFonts w:eastAsia="Times New Roman"/>
          <w:color w:val="000000"/>
          <w:sz w:val="20"/>
          <w:szCs w:val="20"/>
        </w:rPr>
        <w:t>ies and contract manufacturers on our behalf) and clinical activities in the U.K.</w:t>
      </w:r>
    </w:p>
    <w:p w:rsidR="00000000" w:rsidRDefault="009012B9">
      <w:pPr>
        <w:ind w:firstLine="475"/>
        <w:divId w:val="1857117497"/>
        <w:rPr>
          <w:rFonts w:eastAsia="Times New Roman"/>
        </w:rPr>
      </w:pPr>
      <w:r>
        <w:rPr>
          <w:rFonts w:eastAsia="Times New Roman"/>
          <w:color w:val="000000"/>
          <w:sz w:val="20"/>
          <w:szCs w:val="20"/>
        </w:rPr>
        <w:t>We may also face new regulatory costs and challenges that could have an adverse effect on our operations. The U.K. will lose the benefits of global trade agreements negotiate</w:t>
      </w:r>
      <w:r>
        <w:rPr>
          <w:rFonts w:eastAsia="Times New Roman"/>
          <w:color w:val="000000"/>
          <w:sz w:val="20"/>
          <w:szCs w:val="20"/>
        </w:rPr>
        <w:t>d by the EU on behalf of its members, which may result in increased trade barriers that could make our doing business in the EU and the EEA more difficult. Since the regulatory framework in the U.K. covering quality, safety and efficacy of pharmaceutical p</w:t>
      </w:r>
      <w:r>
        <w:rPr>
          <w:rFonts w:eastAsia="Times New Roman"/>
          <w:color w:val="000000"/>
          <w:sz w:val="20"/>
          <w:szCs w:val="20"/>
        </w:rPr>
        <w:t xml:space="preserve">roducts, clinical trials, marketing authorization, commercial sales and distribution of pharmaceutical products is derived from EU Directives and Regulations, Brexit could materially impact the </w:t>
      </w:r>
    </w:p>
    <w:p w:rsidR="00000000" w:rsidRDefault="009012B9">
      <w:pPr>
        <w:jc w:val="center"/>
        <w:divId w:val="1787892515"/>
        <w:rPr>
          <w:rFonts w:eastAsia="Times New Roman"/>
        </w:rPr>
      </w:pPr>
      <w:r>
        <w:rPr>
          <w:rFonts w:eastAsia="Times New Roman"/>
          <w:color w:val="000000"/>
          <w:sz w:val="20"/>
          <w:szCs w:val="20"/>
        </w:rPr>
        <w:t>76</w:t>
      </w:r>
    </w:p>
    <w:p w:rsidR="00000000" w:rsidRDefault="009012B9">
      <w:pPr>
        <w:rPr>
          <w:rFonts w:eastAsia="Times New Roman"/>
        </w:rPr>
      </w:pPr>
      <w:r>
        <w:rPr>
          <w:rFonts w:eastAsia="Times New Roman"/>
        </w:rPr>
        <w:pict>
          <v:rect id="_x0000_i1100" style="width:0;height:1.5pt" o:hralign="center" o:hrstd="t" o:hr="t" fillcolor="#a0a0a0" stroked="f"/>
        </w:pict>
      </w:r>
    </w:p>
    <w:p w:rsidR="00000000" w:rsidRDefault="009012B9">
      <w:pPr>
        <w:divId w:val="346714998"/>
        <w:rPr>
          <w:rFonts w:eastAsia="Times New Roman"/>
        </w:rPr>
      </w:pPr>
    </w:p>
    <w:p w:rsidR="00000000" w:rsidRDefault="009012B9">
      <w:pPr>
        <w:divId w:val="730231260"/>
        <w:rPr>
          <w:rFonts w:eastAsia="Times New Roman"/>
        </w:rPr>
      </w:pPr>
      <w:r>
        <w:rPr>
          <w:rFonts w:eastAsia="Times New Roman"/>
          <w:color w:val="000000"/>
          <w:sz w:val="20"/>
          <w:szCs w:val="20"/>
        </w:rPr>
        <w:t>future regulatory re</w:t>
      </w:r>
      <w:r>
        <w:rPr>
          <w:rFonts w:eastAsia="Times New Roman"/>
          <w:color w:val="000000"/>
          <w:sz w:val="20"/>
          <w:szCs w:val="20"/>
        </w:rPr>
        <w:t>gime with respect to the approval of our product candidates in the U.K. now that UK legislation may depart from EU legislation. For instance, now the transition period has expired, Great Britain will no longer be covered by the centralized procedure for ob</w:t>
      </w:r>
      <w:r>
        <w:rPr>
          <w:rFonts w:eastAsia="Times New Roman"/>
          <w:color w:val="000000"/>
          <w:sz w:val="20"/>
          <w:szCs w:val="20"/>
        </w:rPr>
        <w:t>taining an EEA-wide marketing authorization from the EMA and a separate process for authorization of drug products, including our product candidates and products in the U.K, will be required in Great Britain resulting in an authorization covering the UK or</w:t>
      </w:r>
      <w:r>
        <w:rPr>
          <w:rFonts w:eastAsia="Times New Roman"/>
          <w:color w:val="000000"/>
          <w:sz w:val="20"/>
          <w:szCs w:val="20"/>
        </w:rPr>
        <w:t xml:space="preserve"> Great Britain only. Any delay in obtaining, or an inability to obtain, any regulatory approvals, as a result of Brexit or otherwise, would prevent us from commercializing our product candidates in the U.K. and/or the EU and restrict our ability to generat</w:t>
      </w:r>
      <w:r>
        <w:rPr>
          <w:rFonts w:eastAsia="Times New Roman"/>
          <w:color w:val="000000"/>
          <w:sz w:val="20"/>
          <w:szCs w:val="20"/>
        </w:rPr>
        <w:t>e revenue and achieve and sustain profitability. If any of these outcomes occur, we may be forced to restrict or delay efforts to seek regulatory approval in the U.K. and/or EU for our product candidates, which could significantly and materially harm our b</w:t>
      </w:r>
      <w:r>
        <w:rPr>
          <w:rFonts w:eastAsia="Times New Roman"/>
          <w:color w:val="000000"/>
          <w:sz w:val="20"/>
          <w:szCs w:val="20"/>
        </w:rPr>
        <w:t>usiness. Even prior to any change to the U.K.’s relationship with the EU, the announcement of Brexit has created economic uncertainty surrounding the terms of Brexit and its consequences could adversely impact customer confidence resulting in customers red</w:t>
      </w:r>
      <w:r>
        <w:rPr>
          <w:rFonts w:eastAsia="Times New Roman"/>
          <w:color w:val="000000"/>
          <w:sz w:val="20"/>
          <w:szCs w:val="20"/>
        </w:rPr>
        <w:t>ucing their spending budgets on our product candidates, if approved, which could adversely affect our business, financial condition, results of operations and could adversely affect the market price of our common stock.</w:t>
      </w:r>
    </w:p>
    <w:p w:rsidR="00000000" w:rsidRDefault="009012B9">
      <w:pPr>
        <w:divId w:val="570235585"/>
        <w:rPr>
          <w:rFonts w:eastAsia="Times New Roman"/>
        </w:rPr>
      </w:pPr>
      <w:r>
        <w:rPr>
          <w:rFonts w:eastAsia="Times New Roman"/>
          <w:b/>
          <w:bCs/>
          <w:i/>
          <w:iCs/>
          <w:color w:val="000000"/>
          <w:sz w:val="20"/>
          <w:szCs w:val="20"/>
        </w:rPr>
        <w:t>Changes in U.S. tax law could advers</w:t>
      </w:r>
      <w:r>
        <w:rPr>
          <w:rFonts w:eastAsia="Times New Roman"/>
          <w:b/>
          <w:bCs/>
          <w:i/>
          <w:iCs/>
          <w:color w:val="000000"/>
          <w:sz w:val="20"/>
          <w:szCs w:val="20"/>
        </w:rPr>
        <w:t>ely affect our financial condition and results of operations.</w:t>
      </w:r>
    </w:p>
    <w:p w:rsidR="00000000" w:rsidRDefault="009012B9">
      <w:pPr>
        <w:ind w:firstLine="482"/>
        <w:divId w:val="1717043702"/>
        <w:rPr>
          <w:rFonts w:eastAsia="Times New Roman"/>
        </w:rPr>
      </w:pPr>
      <w:r>
        <w:rPr>
          <w:rFonts w:eastAsia="Times New Roman"/>
          <w:color w:val="000000"/>
          <w:sz w:val="20"/>
          <w:szCs w:val="20"/>
        </w:rPr>
        <w:t xml:space="preserve">The rules dealing with U.S. federal, state, and local income taxation are constantly under review by persons involved in the legislative process and by the Internal Revenue Service and the U.S. </w:t>
      </w:r>
      <w:r>
        <w:rPr>
          <w:rFonts w:eastAsia="Times New Roman"/>
          <w:color w:val="000000"/>
          <w:sz w:val="20"/>
          <w:szCs w:val="20"/>
        </w:rPr>
        <w:t>Treasury Department. Changes to tax laws (which changes may have retroactive application) could adversely affect us or holders of our common stock. In recent years, many such changes have been made and changes are likely to continue to occur in the future.</w:t>
      </w:r>
      <w:r>
        <w:rPr>
          <w:rFonts w:eastAsia="Times New Roman"/>
          <w:color w:val="000000"/>
          <w:sz w:val="20"/>
          <w:szCs w:val="20"/>
        </w:rPr>
        <w:t xml:space="preserve"> Future changes in U.S. tax laws could have a material adverse effect on our business, cash flow, financial condition or results of operations. We urge investors to consult with their legal and tax advisors regarding the implications of potential changes i</w:t>
      </w:r>
      <w:r>
        <w:rPr>
          <w:rFonts w:eastAsia="Times New Roman"/>
          <w:color w:val="000000"/>
          <w:sz w:val="20"/>
          <w:szCs w:val="20"/>
        </w:rPr>
        <w:t>n U.S. tax laws on an investment in our common stock.</w:t>
      </w:r>
    </w:p>
    <w:p w:rsidR="00000000" w:rsidRDefault="009012B9">
      <w:pPr>
        <w:divId w:val="1266575368"/>
        <w:rPr>
          <w:rFonts w:eastAsia="Times New Roman"/>
        </w:rPr>
      </w:pPr>
      <w:r>
        <w:rPr>
          <w:rFonts w:eastAsia="Times New Roman"/>
          <w:b/>
          <w:bCs/>
          <w:i/>
          <w:iCs/>
          <w:color w:val="000000"/>
          <w:sz w:val="20"/>
          <w:szCs w:val="20"/>
        </w:rPr>
        <w:t>Our internal computer systems, or those of our collaborators or other contractors or consultants, may fail or suffer security breaches, which could result in a material disruption of our product develop</w:t>
      </w:r>
      <w:r>
        <w:rPr>
          <w:rFonts w:eastAsia="Times New Roman"/>
          <w:b/>
          <w:bCs/>
          <w:i/>
          <w:iCs/>
          <w:color w:val="000000"/>
          <w:sz w:val="20"/>
          <w:szCs w:val="20"/>
        </w:rPr>
        <w:t>ment programs.</w:t>
      </w:r>
    </w:p>
    <w:p w:rsidR="00000000" w:rsidRDefault="009012B9">
      <w:pPr>
        <w:ind w:firstLine="495"/>
        <w:divId w:val="531193497"/>
        <w:rPr>
          <w:rFonts w:eastAsia="Times New Roman"/>
        </w:rPr>
      </w:pPr>
      <w:r>
        <w:rPr>
          <w:rFonts w:eastAsia="Times New Roman"/>
          <w:color w:val="000000"/>
          <w:sz w:val="20"/>
          <w:szCs w:val="20"/>
        </w:rPr>
        <w:t>Our internal computer systems and those of our current and any future collaborators and other contractors or consultants are vulnerable to damage from computer viruses, unauthorized access, natural disasters, terrorism, war and telecommunica</w:t>
      </w:r>
      <w:r>
        <w:rPr>
          <w:rFonts w:eastAsia="Times New Roman"/>
          <w:color w:val="000000"/>
          <w:sz w:val="20"/>
          <w:szCs w:val="20"/>
        </w:rPr>
        <w:t>tion and electrical failures. While we have not experienced any such material system failure, accident, or security breach to date, if such an event were to occur and cause interruptions in our operations, it could result in a disruption of our development</w:t>
      </w:r>
      <w:r>
        <w:rPr>
          <w:rFonts w:eastAsia="Times New Roman"/>
          <w:color w:val="000000"/>
          <w:sz w:val="20"/>
          <w:szCs w:val="20"/>
        </w:rPr>
        <w:t xml:space="preserve"> programs and our business operations, whether due to a loss of our trade secrets or other proprietary information or other similar disruptions. For example, the loss of clinical trial data from future clinical trials could result in delays in our regulato</w:t>
      </w:r>
      <w:r>
        <w:rPr>
          <w:rFonts w:eastAsia="Times New Roman"/>
          <w:color w:val="000000"/>
          <w:sz w:val="20"/>
          <w:szCs w:val="20"/>
        </w:rPr>
        <w:t>ry approval efforts and significantly increase our costs to recover or reproduce the data. To the extent that any disruption or security breach were to result in a loss of, or damage to, our data or applications, or inappropriate disclosure of confidential</w:t>
      </w:r>
      <w:r>
        <w:rPr>
          <w:rFonts w:eastAsia="Times New Roman"/>
          <w:color w:val="000000"/>
          <w:sz w:val="20"/>
          <w:szCs w:val="20"/>
        </w:rPr>
        <w:t xml:space="preserve"> or proprietary information, we could incur liability, our competitive position could be harmed and the further development and commercialization of our product candidates could be delayed.</w:t>
      </w:r>
    </w:p>
    <w:p w:rsidR="00000000" w:rsidRDefault="009012B9">
      <w:pPr>
        <w:ind w:firstLine="495"/>
        <w:divId w:val="1077748312"/>
        <w:rPr>
          <w:rFonts w:eastAsia="Times New Roman"/>
        </w:rPr>
      </w:pPr>
      <w:r>
        <w:rPr>
          <w:rFonts w:eastAsia="Times New Roman"/>
          <w:color w:val="000000"/>
          <w:sz w:val="20"/>
          <w:szCs w:val="20"/>
        </w:rPr>
        <w:t>We could be subject to risks caused by misappropriation, misuse, l</w:t>
      </w:r>
      <w:r>
        <w:rPr>
          <w:rFonts w:eastAsia="Times New Roman"/>
          <w:color w:val="000000"/>
          <w:sz w:val="20"/>
          <w:szCs w:val="20"/>
        </w:rPr>
        <w:t xml:space="preserve">eakage, falsification or intentional or accidental release or loss of information maintained in the information systems and networks of our company and our vendors, including personal information of our employees and study subjects, and company and vendor </w:t>
      </w:r>
      <w:r>
        <w:rPr>
          <w:rFonts w:eastAsia="Times New Roman"/>
          <w:color w:val="000000"/>
          <w:sz w:val="20"/>
          <w:szCs w:val="20"/>
        </w:rPr>
        <w:t>confidential data. In addition, outside parties may attempt to penetrate our systems or those of our vendors or fraudulently induce our personnel or the personnel of our vendors to disclose sensitive information in order to gain access to our data and/or s</w:t>
      </w:r>
      <w:r>
        <w:rPr>
          <w:rFonts w:eastAsia="Times New Roman"/>
          <w:color w:val="000000"/>
          <w:sz w:val="20"/>
          <w:szCs w:val="20"/>
        </w:rPr>
        <w:t>ystems. We may experience threats to our data and systems, including malicious codes and viruses, phishing and other cyberattack. The number and complexity of these threats continue to increase over time. If a material breach of, or accidental or intention</w:t>
      </w:r>
      <w:r>
        <w:rPr>
          <w:rFonts w:eastAsia="Times New Roman"/>
          <w:color w:val="000000"/>
          <w:sz w:val="20"/>
          <w:szCs w:val="20"/>
        </w:rPr>
        <w:t>al loss of data from, our information technology systems or those of our vendors occurs, the market perception of the effectiveness of our security measures could be harmed and our reputation and credibility could be damaged. We could be required to expend</w:t>
      </w:r>
      <w:r>
        <w:rPr>
          <w:rFonts w:eastAsia="Times New Roman"/>
          <w:color w:val="000000"/>
          <w:sz w:val="20"/>
          <w:szCs w:val="20"/>
        </w:rPr>
        <w:t xml:space="preserve"> significant amounts of money and other resources to repair or replace information systems or networks. In addition, we could be subject to regulatory actions and/or claims made by individuals and groups in private litigation involving privacy issues relat</w:t>
      </w:r>
      <w:r>
        <w:rPr>
          <w:rFonts w:eastAsia="Times New Roman"/>
          <w:color w:val="000000"/>
          <w:sz w:val="20"/>
          <w:szCs w:val="20"/>
        </w:rPr>
        <w:t>ed to data collection and use practices and other data privacy laws and regulations, including claims for misuse or inappropriate disclosure of data, as well as unfair or deceptive practices. Although we develop and maintain systems and controls designed t</w:t>
      </w:r>
      <w:r>
        <w:rPr>
          <w:rFonts w:eastAsia="Times New Roman"/>
          <w:color w:val="000000"/>
          <w:sz w:val="20"/>
          <w:szCs w:val="20"/>
        </w:rPr>
        <w:t>o prevent these events from occurring, and we have a process to identify and mitigate threats, the development and maintenance of these systems, controls and processes is costly and requires ongoing monitoring and updating as technologies change and effort</w:t>
      </w:r>
      <w:r>
        <w:rPr>
          <w:rFonts w:eastAsia="Times New Roman"/>
          <w:color w:val="000000"/>
          <w:sz w:val="20"/>
          <w:szCs w:val="20"/>
        </w:rPr>
        <w:t>s to overcome security measures become increasingly sophisticated. Moreover, despite our efforts, the possibility of these events occurring cannot be eliminated entirely. As we outsource more of our information systems to vendors, engage in more electronic</w:t>
      </w:r>
      <w:r>
        <w:rPr>
          <w:rFonts w:eastAsia="Times New Roman"/>
          <w:color w:val="000000"/>
          <w:sz w:val="20"/>
          <w:szCs w:val="20"/>
        </w:rPr>
        <w:t xml:space="preserve"> transactions with payors and patients, and rely more on cloud-based information systems, the related security risks will increase, and we will need to expend additional resources to protect our technology and information systems. In addition, there can be</w:t>
      </w:r>
      <w:r>
        <w:rPr>
          <w:rFonts w:eastAsia="Times New Roman"/>
          <w:color w:val="000000"/>
          <w:sz w:val="20"/>
          <w:szCs w:val="20"/>
        </w:rPr>
        <w:t xml:space="preserve"> no assurance that our internal information technology systems or those of our third-party contractors, or our consultants’ efforts to implement adequate security and control measures, will be sufficient to protect us against breakdowns, service disruption</w:t>
      </w:r>
      <w:r>
        <w:rPr>
          <w:rFonts w:eastAsia="Times New Roman"/>
          <w:color w:val="000000"/>
          <w:sz w:val="20"/>
          <w:szCs w:val="20"/>
        </w:rPr>
        <w:t>, data deterioration or loss in the event of a system malfunction, or prevent data from being stolen or corrupted in the event of a cyberattack, security breach, industrial espionage attacks or insider threat attacks which could result in financial, legal,</w:t>
      </w:r>
      <w:r>
        <w:rPr>
          <w:rFonts w:eastAsia="Times New Roman"/>
          <w:color w:val="000000"/>
          <w:sz w:val="20"/>
          <w:szCs w:val="20"/>
        </w:rPr>
        <w:t xml:space="preserve"> business or reputational harm.</w:t>
      </w:r>
    </w:p>
    <w:p w:rsidR="00000000" w:rsidRDefault="009012B9">
      <w:pPr>
        <w:jc w:val="center"/>
        <w:divId w:val="602612664"/>
        <w:rPr>
          <w:rFonts w:eastAsia="Times New Roman"/>
        </w:rPr>
      </w:pPr>
      <w:r>
        <w:rPr>
          <w:rFonts w:eastAsia="Times New Roman"/>
          <w:color w:val="000000"/>
          <w:sz w:val="20"/>
          <w:szCs w:val="20"/>
        </w:rPr>
        <w:t>77</w:t>
      </w:r>
    </w:p>
    <w:p w:rsidR="00000000" w:rsidRDefault="009012B9">
      <w:pPr>
        <w:rPr>
          <w:rFonts w:eastAsia="Times New Roman"/>
        </w:rPr>
      </w:pPr>
      <w:r>
        <w:rPr>
          <w:rFonts w:eastAsia="Times New Roman"/>
        </w:rPr>
        <w:pict>
          <v:rect id="_x0000_i1101" style="width:0;height:1.5pt" o:hralign="center" o:hrstd="t" o:hr="t" fillcolor="#a0a0a0" stroked="f"/>
        </w:pict>
      </w:r>
    </w:p>
    <w:p w:rsidR="00000000" w:rsidRDefault="009012B9">
      <w:pPr>
        <w:divId w:val="950744634"/>
        <w:rPr>
          <w:rFonts w:eastAsia="Times New Roman"/>
        </w:rPr>
      </w:pPr>
    </w:p>
    <w:p w:rsidR="00000000" w:rsidRDefault="009012B9">
      <w:pPr>
        <w:divId w:val="1394889162"/>
        <w:rPr>
          <w:rFonts w:eastAsia="Times New Roman"/>
        </w:rPr>
      </w:pPr>
      <w:r>
        <w:rPr>
          <w:rFonts w:eastAsia="Times New Roman"/>
          <w:b/>
          <w:bCs/>
          <w:i/>
          <w:iCs/>
          <w:color w:val="000000"/>
          <w:sz w:val="20"/>
          <w:szCs w:val="20"/>
        </w:rPr>
        <w:t>Unfavorable global economic conditions could adversely affect our business, financial condition or results of operations.</w:t>
      </w:r>
    </w:p>
    <w:p w:rsidR="00000000" w:rsidRDefault="009012B9">
      <w:pPr>
        <w:ind w:firstLine="482"/>
        <w:divId w:val="1431002207"/>
        <w:rPr>
          <w:rFonts w:eastAsia="Times New Roman"/>
        </w:rPr>
      </w:pPr>
      <w:r>
        <w:rPr>
          <w:rFonts w:eastAsia="Times New Roman"/>
          <w:color w:val="000000"/>
          <w:sz w:val="20"/>
          <w:szCs w:val="20"/>
        </w:rPr>
        <w:t>Our results of operations could be adversely affected by general conditions in the global econom</w:t>
      </w:r>
      <w:r>
        <w:rPr>
          <w:rFonts w:eastAsia="Times New Roman"/>
          <w:color w:val="000000"/>
          <w:sz w:val="20"/>
          <w:szCs w:val="20"/>
        </w:rPr>
        <w:t>y and in the global financial markets. Portions of our future clinical trials may be conducted outside of the United States and unfavorable economic conditions resulting in the weakening of the U.S. dollar would make those clinical trials costlier to opera</w:t>
      </w:r>
      <w:r>
        <w:rPr>
          <w:rFonts w:eastAsia="Times New Roman"/>
          <w:color w:val="000000"/>
          <w:sz w:val="20"/>
          <w:szCs w:val="20"/>
        </w:rPr>
        <w:t>te. Furthermore, the most recent global financial crisis caused extreme volatility and disruptions in the capital and credit markets. A severe or prolonged economic downturn, including due to the impact of the COVID-19 pandemic, could result in a variety o</w:t>
      </w:r>
      <w:r>
        <w:rPr>
          <w:rFonts w:eastAsia="Times New Roman"/>
          <w:color w:val="000000"/>
          <w:sz w:val="20"/>
          <w:szCs w:val="20"/>
        </w:rPr>
        <w:t>f risks to our business, including a reduced ability to raise additional capital when needed on acceptable terms, if at all. A weak or declining economy or international trade disputes could also strain our suppliers, some of which are located outside of t</w:t>
      </w:r>
      <w:r>
        <w:rPr>
          <w:rFonts w:eastAsia="Times New Roman"/>
          <w:color w:val="000000"/>
          <w:sz w:val="20"/>
          <w:szCs w:val="20"/>
        </w:rPr>
        <w:t>he United States, possibly resulting in supply disruption. Any of the foregoing could harm our business and we cannot anticipate all of the ways in which the current economic climate and financial market conditions could adversely impact our business.</w:t>
      </w:r>
    </w:p>
    <w:p w:rsidR="00000000" w:rsidRDefault="009012B9">
      <w:pPr>
        <w:divId w:val="1266815099"/>
        <w:rPr>
          <w:rFonts w:eastAsia="Times New Roman"/>
        </w:rPr>
      </w:pPr>
      <w:r>
        <w:rPr>
          <w:rFonts w:eastAsia="Times New Roman"/>
          <w:b/>
          <w:bCs/>
          <w:i/>
          <w:iCs/>
          <w:color w:val="000000"/>
          <w:sz w:val="20"/>
          <w:szCs w:val="20"/>
        </w:rPr>
        <w:t xml:space="preserve">The </w:t>
      </w:r>
      <w:r>
        <w:rPr>
          <w:rFonts w:eastAsia="Times New Roman"/>
          <w:b/>
          <w:bCs/>
          <w:i/>
          <w:iCs/>
          <w:color w:val="000000"/>
          <w:sz w:val="20"/>
          <w:szCs w:val="20"/>
        </w:rPr>
        <w:t>increasing use of social media platforms presents new risks and challenges.</w:t>
      </w:r>
    </w:p>
    <w:p w:rsidR="00000000" w:rsidRDefault="009012B9">
      <w:pPr>
        <w:ind w:firstLine="482"/>
        <w:divId w:val="1440953430"/>
        <w:rPr>
          <w:rFonts w:eastAsia="Times New Roman"/>
        </w:rPr>
      </w:pPr>
      <w:r>
        <w:rPr>
          <w:rFonts w:eastAsia="Times New Roman"/>
          <w:color w:val="000000"/>
          <w:sz w:val="20"/>
          <w:szCs w:val="20"/>
        </w:rPr>
        <w:t>Social media is increasingly being used to communicate about our clinical development programs and the diseases our therapeutics are being developed to treat, and we intend to util</w:t>
      </w:r>
      <w:r>
        <w:rPr>
          <w:rFonts w:eastAsia="Times New Roman"/>
          <w:color w:val="000000"/>
          <w:sz w:val="20"/>
          <w:szCs w:val="20"/>
        </w:rPr>
        <w:t>ize appropriate social media in connection with our commercialization efforts following approval of our product candidates, if any. Social media practices in the biopharmaceutical industry continue to evolve and regulations and regulatory guidance relating</w:t>
      </w:r>
      <w:r>
        <w:rPr>
          <w:rFonts w:eastAsia="Times New Roman"/>
          <w:color w:val="000000"/>
          <w:sz w:val="20"/>
          <w:szCs w:val="20"/>
        </w:rPr>
        <w:t xml:space="preserve"> to such use are evolving and not always clear. This evolution creates uncertainty and risk of noncompliance with regulations applicable to our business, resulting in potential regulatory actions against us, along with the potential for litigation related </w:t>
      </w:r>
      <w:r>
        <w:rPr>
          <w:rFonts w:eastAsia="Times New Roman"/>
          <w:color w:val="000000"/>
          <w:sz w:val="20"/>
          <w:szCs w:val="20"/>
        </w:rPr>
        <w:t>to off-label marketing or other prohibited activities. For example, patients may use social media channels to comment on their experience in an ongoing blinded clinical trial or to report an alleged adverse event. When such disclosures occur, there is a ri</w:t>
      </w:r>
      <w:r>
        <w:rPr>
          <w:rFonts w:eastAsia="Times New Roman"/>
          <w:color w:val="000000"/>
          <w:sz w:val="20"/>
          <w:szCs w:val="20"/>
        </w:rPr>
        <w:t>sk that trial enrollment may be adversely impacted, we fail to monitor and comply with applicable adverse event reporting obligations or that we may not be able to defend our business or the public’s legitimate interests in the face of the political and ma</w:t>
      </w:r>
      <w:r>
        <w:rPr>
          <w:rFonts w:eastAsia="Times New Roman"/>
          <w:color w:val="000000"/>
          <w:sz w:val="20"/>
          <w:szCs w:val="20"/>
        </w:rPr>
        <w:t>rket pressures generated by social media due to restrictions on what we may say about our product candidates. There is also a risk of inappropriate disclosure of sensitive information or negative or inaccurate posts or comments about us on any social netwo</w:t>
      </w:r>
      <w:r>
        <w:rPr>
          <w:rFonts w:eastAsia="Times New Roman"/>
          <w:color w:val="000000"/>
          <w:sz w:val="20"/>
          <w:szCs w:val="20"/>
        </w:rPr>
        <w:t>rking website. If any of these events were to occur or we otherwise fail to comply with applicable regulations, we could incur liability, face regulatory actions or incur other harm to our business.</w:t>
      </w:r>
    </w:p>
    <w:p w:rsidR="00000000" w:rsidRDefault="009012B9">
      <w:pPr>
        <w:divId w:val="1495728286"/>
        <w:rPr>
          <w:rFonts w:eastAsia="Times New Roman"/>
        </w:rPr>
      </w:pPr>
      <w:r>
        <w:rPr>
          <w:rFonts w:eastAsia="Times New Roman"/>
          <w:b/>
          <w:bCs/>
          <w:i/>
          <w:iCs/>
          <w:color w:val="000000"/>
          <w:sz w:val="20"/>
          <w:szCs w:val="20"/>
        </w:rPr>
        <w:t>Our estimates of market opportunity and forecasts of mark</w:t>
      </w:r>
      <w:r>
        <w:rPr>
          <w:rFonts w:eastAsia="Times New Roman"/>
          <w:b/>
          <w:bCs/>
          <w:i/>
          <w:iCs/>
          <w:color w:val="000000"/>
          <w:sz w:val="20"/>
          <w:szCs w:val="20"/>
        </w:rPr>
        <w:t>et growth may prove to be inaccurate, and even if the markets in which we compete achieve the forecasted growth, our business may not grow at similar rates, or at all.</w:t>
      </w:r>
    </w:p>
    <w:p w:rsidR="00000000" w:rsidRDefault="009012B9">
      <w:pPr>
        <w:ind w:firstLine="482"/>
        <w:divId w:val="590967920"/>
        <w:rPr>
          <w:rFonts w:eastAsia="Times New Roman"/>
        </w:rPr>
      </w:pPr>
      <w:r>
        <w:rPr>
          <w:rFonts w:eastAsia="Times New Roman"/>
          <w:color w:val="000000"/>
          <w:sz w:val="20"/>
          <w:szCs w:val="20"/>
        </w:rPr>
        <w:t>Our market opportunity estimates and growth forecasts are subject to significant uncerta</w:t>
      </w:r>
      <w:r>
        <w:rPr>
          <w:rFonts w:eastAsia="Times New Roman"/>
          <w:color w:val="000000"/>
          <w:sz w:val="20"/>
          <w:szCs w:val="20"/>
        </w:rPr>
        <w:t>inty and are based on assumptions and estimates which may not prove to be accurate. Our estimates and forecasts relating to size and expected growth of our target market may prove to be inaccurate. Even if the markets in which we compete meet our size esti</w:t>
      </w:r>
      <w:r>
        <w:rPr>
          <w:rFonts w:eastAsia="Times New Roman"/>
          <w:color w:val="000000"/>
          <w:sz w:val="20"/>
          <w:szCs w:val="20"/>
        </w:rPr>
        <w:t>mates and growth forecasts, our business may not grow at similar rates, or at all. Our growth is subject to many factors, including our success in implementing our business strategy, which is subject to many risks and uncertainties.</w:t>
      </w:r>
    </w:p>
    <w:p w:rsidR="00000000" w:rsidRDefault="009012B9">
      <w:pPr>
        <w:divId w:val="231427893"/>
        <w:rPr>
          <w:rFonts w:eastAsia="Times New Roman"/>
        </w:rPr>
      </w:pPr>
      <w:r>
        <w:rPr>
          <w:rFonts w:eastAsia="Times New Roman"/>
          <w:b/>
          <w:bCs/>
          <w:color w:val="000000"/>
          <w:sz w:val="20"/>
          <w:szCs w:val="20"/>
        </w:rPr>
        <w:t>Item 2. Unregistered Sa</w:t>
      </w:r>
      <w:r>
        <w:rPr>
          <w:rFonts w:eastAsia="Times New Roman"/>
          <w:b/>
          <w:bCs/>
          <w:color w:val="000000"/>
          <w:sz w:val="20"/>
          <w:szCs w:val="20"/>
        </w:rPr>
        <w:t>les of Equity Securities and Use of Proceeds.</w:t>
      </w:r>
    </w:p>
    <w:p w:rsidR="00000000" w:rsidRDefault="009012B9">
      <w:pPr>
        <w:divId w:val="1425297359"/>
        <w:rPr>
          <w:rFonts w:eastAsia="Times New Roman"/>
        </w:rPr>
      </w:pPr>
      <w:r>
        <w:rPr>
          <w:rFonts w:eastAsia="Times New Roman"/>
          <w:b/>
          <w:bCs/>
          <w:color w:val="000000"/>
          <w:sz w:val="20"/>
          <w:szCs w:val="20"/>
        </w:rPr>
        <w:t>Unregistered Sales of Equity Securities</w:t>
      </w:r>
    </w:p>
    <w:p w:rsidR="00000000" w:rsidRDefault="009012B9">
      <w:pPr>
        <w:ind w:firstLine="1260"/>
        <w:divId w:val="1767847293"/>
        <w:rPr>
          <w:rFonts w:eastAsia="Times New Roman"/>
        </w:rPr>
      </w:pPr>
      <w:r>
        <w:rPr>
          <w:rFonts w:eastAsia="Times New Roman"/>
          <w:color w:val="000000"/>
          <w:sz w:val="20"/>
          <w:szCs w:val="20"/>
        </w:rPr>
        <w:t>None.</w:t>
      </w:r>
    </w:p>
    <w:p w:rsidR="00000000" w:rsidRDefault="009012B9">
      <w:pPr>
        <w:divId w:val="628631153"/>
        <w:rPr>
          <w:rFonts w:eastAsia="Times New Roman"/>
        </w:rPr>
      </w:pPr>
      <w:r>
        <w:rPr>
          <w:rFonts w:eastAsia="Times New Roman"/>
          <w:b/>
          <w:bCs/>
          <w:color w:val="000000"/>
          <w:sz w:val="20"/>
          <w:szCs w:val="20"/>
        </w:rPr>
        <w:t>Use of Proceeds from our Initial Public Offering of Common Stock</w:t>
      </w:r>
    </w:p>
    <w:p w:rsidR="00000000" w:rsidRDefault="009012B9">
      <w:pPr>
        <w:ind w:firstLine="1260"/>
        <w:divId w:val="1595894678"/>
        <w:rPr>
          <w:rFonts w:eastAsia="Times New Roman"/>
        </w:rPr>
      </w:pPr>
      <w:r>
        <w:rPr>
          <w:rFonts w:eastAsia="Times New Roman"/>
          <w:color w:val="000000"/>
          <w:sz w:val="20"/>
          <w:szCs w:val="20"/>
        </w:rPr>
        <w:t xml:space="preserve">On June 2, 2020, our Registration Statement on Form S-1 (No. 333-238146) was declared effective by </w:t>
      </w:r>
      <w:r>
        <w:rPr>
          <w:rFonts w:eastAsia="Times New Roman"/>
          <w:color w:val="000000"/>
          <w:sz w:val="20"/>
          <w:szCs w:val="20"/>
        </w:rPr>
        <w:t>the SEC pursuant to which we issued and sold an aggregate of 10,350,000 shares of common stock (inclusive of 9,000,000 shares of common stock and 1,350,000 shares of common stock pursuant to the underwriters’ exercise of their over-allotment option) at a p</w:t>
      </w:r>
      <w:r>
        <w:rPr>
          <w:rFonts w:eastAsia="Times New Roman"/>
          <w:color w:val="000000"/>
          <w:sz w:val="20"/>
          <w:szCs w:val="20"/>
        </w:rPr>
        <w:t>ublic offering price of $16.00 per share for aggregate net cash proceeds of $148.3 million, after deducting underwriting discounts, commissions and offering costs. No payments for such expenses were made directly or indirectly to (i) any of our officers or</w:t>
      </w:r>
      <w:r>
        <w:rPr>
          <w:rFonts w:eastAsia="Times New Roman"/>
          <w:color w:val="000000"/>
          <w:sz w:val="20"/>
          <w:szCs w:val="20"/>
        </w:rPr>
        <w:t xml:space="preserve"> directors or their associates, (ii) any persons owning 10% or more of any class of our equity securities or (iii) any of our affiliates.</w:t>
      </w:r>
    </w:p>
    <w:p w:rsidR="00000000" w:rsidRDefault="009012B9">
      <w:pPr>
        <w:ind w:firstLine="1260"/>
        <w:divId w:val="8797108"/>
        <w:rPr>
          <w:rFonts w:eastAsia="Times New Roman"/>
        </w:rPr>
      </w:pPr>
      <w:r>
        <w:rPr>
          <w:rFonts w:eastAsia="Times New Roman"/>
          <w:color w:val="000000"/>
          <w:sz w:val="20"/>
          <w:szCs w:val="20"/>
        </w:rPr>
        <w:t>The sale and issuance of 10,350,000 shares closed on June 5, 2020.</w:t>
      </w:r>
    </w:p>
    <w:p w:rsidR="00000000" w:rsidRDefault="009012B9">
      <w:pPr>
        <w:ind w:firstLine="1260"/>
        <w:divId w:val="264657876"/>
        <w:rPr>
          <w:rFonts w:eastAsia="Times New Roman"/>
        </w:rPr>
      </w:pPr>
      <w:r>
        <w:rPr>
          <w:rFonts w:eastAsia="Times New Roman"/>
          <w:color w:val="000000"/>
          <w:sz w:val="20"/>
          <w:szCs w:val="20"/>
        </w:rPr>
        <w:t>There has been no material change in the planned us</w:t>
      </w:r>
      <w:r>
        <w:rPr>
          <w:rFonts w:eastAsia="Times New Roman"/>
          <w:color w:val="000000"/>
          <w:sz w:val="20"/>
          <w:szCs w:val="20"/>
        </w:rPr>
        <w:t xml:space="preserve">e of proceeds from our initial public offering from that described in our prospectus dated June 2, 2020 filed with the SEC on June 3, 2020 in connection with our IPO. </w:t>
      </w:r>
    </w:p>
    <w:p w:rsidR="00000000" w:rsidRDefault="009012B9">
      <w:pPr>
        <w:jc w:val="center"/>
        <w:divId w:val="1729910961"/>
        <w:rPr>
          <w:rFonts w:eastAsia="Times New Roman"/>
        </w:rPr>
      </w:pPr>
      <w:r>
        <w:rPr>
          <w:rFonts w:eastAsia="Times New Roman"/>
          <w:color w:val="000000"/>
          <w:sz w:val="20"/>
          <w:szCs w:val="20"/>
        </w:rPr>
        <w:t>78</w:t>
      </w:r>
    </w:p>
    <w:p w:rsidR="00000000" w:rsidRDefault="009012B9">
      <w:pPr>
        <w:rPr>
          <w:rFonts w:eastAsia="Times New Roman"/>
        </w:rPr>
      </w:pPr>
      <w:r>
        <w:rPr>
          <w:rFonts w:eastAsia="Times New Roman"/>
        </w:rPr>
        <w:pict>
          <v:rect id="_x0000_i1102" style="width:0;height:1.5pt" o:hralign="center" o:hrstd="t" o:hr="t" fillcolor="#a0a0a0" stroked="f"/>
        </w:pict>
      </w:r>
    </w:p>
    <w:p w:rsidR="00000000" w:rsidRDefault="009012B9">
      <w:pPr>
        <w:divId w:val="1633364192"/>
        <w:rPr>
          <w:rFonts w:eastAsia="Times New Roman"/>
        </w:rPr>
      </w:pPr>
    </w:p>
    <w:p w:rsidR="00000000" w:rsidRDefault="009012B9">
      <w:pPr>
        <w:divId w:val="2041735752"/>
        <w:rPr>
          <w:rFonts w:eastAsia="Times New Roman"/>
        </w:rPr>
      </w:pPr>
      <w:r>
        <w:rPr>
          <w:rFonts w:eastAsia="Times New Roman"/>
          <w:b/>
          <w:bCs/>
          <w:color w:val="000000"/>
          <w:sz w:val="20"/>
          <w:szCs w:val="20"/>
        </w:rPr>
        <w:t>Repurchase of Shares of Company Equity Securit</w:t>
      </w:r>
      <w:r>
        <w:rPr>
          <w:rFonts w:eastAsia="Times New Roman"/>
          <w:b/>
          <w:bCs/>
          <w:color w:val="000000"/>
          <w:sz w:val="20"/>
          <w:szCs w:val="20"/>
        </w:rPr>
        <w:t>ies</w:t>
      </w:r>
    </w:p>
    <w:p w:rsidR="00000000" w:rsidRDefault="009012B9">
      <w:pPr>
        <w:ind w:firstLine="1260"/>
        <w:divId w:val="1932548613"/>
        <w:rPr>
          <w:rFonts w:eastAsia="Times New Roman"/>
        </w:rPr>
      </w:pPr>
      <w:r>
        <w:rPr>
          <w:rFonts w:eastAsia="Times New Roman"/>
          <w:color w:val="000000"/>
          <w:sz w:val="20"/>
          <w:szCs w:val="20"/>
        </w:rPr>
        <w:t>None.</w:t>
      </w:r>
    </w:p>
    <w:p w:rsidR="00000000" w:rsidRDefault="009012B9">
      <w:pPr>
        <w:divId w:val="94836930"/>
        <w:rPr>
          <w:rFonts w:eastAsia="Times New Roman"/>
        </w:rPr>
      </w:pPr>
      <w:r>
        <w:rPr>
          <w:rFonts w:eastAsia="Times New Roman"/>
          <w:b/>
          <w:bCs/>
          <w:color w:val="000000"/>
          <w:sz w:val="20"/>
          <w:szCs w:val="20"/>
        </w:rPr>
        <w:t>Item 3. Defaults Upon Senior Securities.</w:t>
      </w:r>
    </w:p>
    <w:p w:rsidR="00000000" w:rsidRDefault="009012B9">
      <w:pPr>
        <w:ind w:firstLine="1260"/>
        <w:divId w:val="1262375363"/>
        <w:rPr>
          <w:rFonts w:eastAsia="Times New Roman"/>
        </w:rPr>
      </w:pPr>
      <w:r>
        <w:rPr>
          <w:rFonts w:eastAsia="Times New Roman"/>
          <w:color w:val="000000"/>
          <w:sz w:val="20"/>
          <w:szCs w:val="20"/>
        </w:rPr>
        <w:t>Not applicable.</w:t>
      </w:r>
    </w:p>
    <w:p w:rsidR="00000000" w:rsidRDefault="009012B9">
      <w:pPr>
        <w:divId w:val="1122308050"/>
        <w:rPr>
          <w:rFonts w:eastAsia="Times New Roman"/>
        </w:rPr>
      </w:pPr>
      <w:r>
        <w:rPr>
          <w:rFonts w:eastAsia="Times New Roman"/>
          <w:b/>
          <w:bCs/>
          <w:color w:val="000000"/>
          <w:sz w:val="20"/>
          <w:szCs w:val="20"/>
        </w:rPr>
        <w:t>Item 4. Mine Safety Disclosures.</w:t>
      </w:r>
    </w:p>
    <w:p w:rsidR="00000000" w:rsidRDefault="009012B9">
      <w:pPr>
        <w:ind w:firstLine="1260"/>
        <w:divId w:val="1807619877"/>
        <w:rPr>
          <w:rFonts w:eastAsia="Times New Roman"/>
        </w:rPr>
      </w:pPr>
      <w:r>
        <w:rPr>
          <w:rFonts w:eastAsia="Times New Roman"/>
          <w:color w:val="000000"/>
          <w:sz w:val="20"/>
          <w:szCs w:val="20"/>
        </w:rPr>
        <w:t>Not applicable.</w:t>
      </w:r>
    </w:p>
    <w:p w:rsidR="00000000" w:rsidRDefault="009012B9">
      <w:pPr>
        <w:divId w:val="52193043"/>
        <w:rPr>
          <w:rFonts w:eastAsia="Times New Roman"/>
        </w:rPr>
      </w:pPr>
      <w:r>
        <w:rPr>
          <w:rFonts w:eastAsia="Times New Roman"/>
          <w:b/>
          <w:bCs/>
          <w:color w:val="000000"/>
          <w:sz w:val="20"/>
          <w:szCs w:val="20"/>
        </w:rPr>
        <w:t>Item 5. Other Information.</w:t>
      </w:r>
    </w:p>
    <w:p w:rsidR="00000000" w:rsidRDefault="009012B9">
      <w:pPr>
        <w:ind w:firstLine="1260"/>
        <w:divId w:val="1864897582"/>
        <w:rPr>
          <w:rFonts w:eastAsia="Times New Roman"/>
        </w:rPr>
      </w:pPr>
      <w:r>
        <w:rPr>
          <w:rFonts w:eastAsia="Times New Roman"/>
          <w:color w:val="000000"/>
          <w:sz w:val="20"/>
          <w:szCs w:val="20"/>
        </w:rPr>
        <w:t>None.</w:t>
      </w:r>
    </w:p>
    <w:p w:rsidR="00000000" w:rsidRDefault="009012B9">
      <w:pPr>
        <w:divId w:val="971178075"/>
        <w:rPr>
          <w:rFonts w:eastAsia="Times New Roman"/>
        </w:rPr>
      </w:pPr>
      <w:r>
        <w:rPr>
          <w:rFonts w:eastAsia="Times New Roman"/>
          <w:b/>
          <w:bCs/>
          <w:color w:val="000000"/>
          <w:sz w:val="20"/>
          <w:szCs w:val="20"/>
        </w:rPr>
        <w:t>Item 6. Exhibits</w:t>
      </w:r>
    </w:p>
    <w:p w:rsidR="00000000" w:rsidRDefault="009012B9">
      <w:pPr>
        <w:ind w:firstLine="1260"/>
        <w:divId w:val="1014042212"/>
        <w:rPr>
          <w:rFonts w:eastAsia="Times New Roman"/>
        </w:rPr>
      </w:pPr>
      <w:r>
        <w:rPr>
          <w:rFonts w:eastAsia="Times New Roman"/>
          <w:color w:val="000000"/>
          <w:sz w:val="20"/>
          <w:szCs w:val="20"/>
        </w:rPr>
        <w:t>See Exhibit Index</w:t>
      </w:r>
    </w:p>
    <w:p w:rsidR="00000000" w:rsidRDefault="009012B9">
      <w:pPr>
        <w:jc w:val="center"/>
        <w:divId w:val="652177565"/>
        <w:rPr>
          <w:rFonts w:eastAsia="Times New Roman"/>
        </w:rPr>
      </w:pPr>
      <w:r>
        <w:rPr>
          <w:rFonts w:eastAsia="Times New Roman"/>
          <w:b/>
          <w:bCs/>
          <w:color w:val="000000"/>
          <w:sz w:val="20"/>
          <w:szCs w:val="20"/>
        </w:rPr>
        <w:t>Exhibit Index.</w:t>
      </w:r>
    </w:p>
    <w:tbl>
      <w:tblPr>
        <w:tblW w:w="4853" w:type="pct"/>
        <w:tblCellMar>
          <w:top w:w="15" w:type="dxa"/>
          <w:left w:w="15" w:type="dxa"/>
          <w:bottom w:w="15" w:type="dxa"/>
          <w:right w:w="15" w:type="dxa"/>
        </w:tblCellMar>
        <w:tblLook w:val="04A0" w:firstRow="1" w:lastRow="0" w:firstColumn="1" w:lastColumn="0" w:noHBand="0" w:noVBand="1"/>
      </w:tblPr>
      <w:tblGrid>
        <w:gridCol w:w="71"/>
        <w:gridCol w:w="883"/>
        <w:gridCol w:w="36"/>
        <w:gridCol w:w="36"/>
        <w:gridCol w:w="36"/>
        <w:gridCol w:w="36"/>
        <w:gridCol w:w="44"/>
        <w:gridCol w:w="6884"/>
        <w:gridCol w:w="36"/>
      </w:tblGrid>
      <w:tr w:rsidR="00000000">
        <w:trPr>
          <w:divId w:val="700323924"/>
        </w:trPr>
        <w:tc>
          <w:tcPr>
            <w:tcW w:w="50" w:type="pct"/>
            <w:vAlign w:val="center"/>
            <w:hideMark/>
          </w:tcPr>
          <w:p w:rsidR="00000000" w:rsidRDefault="009012B9">
            <w:pPr>
              <w:jc w:val="center"/>
              <w:rPr>
                <w:rFonts w:eastAsia="Times New Roman"/>
              </w:rPr>
            </w:pPr>
          </w:p>
        </w:tc>
        <w:tc>
          <w:tcPr>
            <w:tcW w:w="570"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27"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4282"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r>
      <w:tr w:rsidR="00000000">
        <w:trPr>
          <w:divId w:val="700323924"/>
        </w:trPr>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No.</w:t>
            </w:r>
          </w:p>
        </w:tc>
        <w:tc>
          <w:tcPr>
            <w:tcW w:w="0" w:type="auto"/>
            <w:gridSpan w:val="3"/>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12B9">
            <w:pPr>
              <w:spacing w:after="100"/>
              <w:jc w:val="center"/>
              <w:rPr>
                <w:rFonts w:eastAsia="Times New Roman"/>
              </w:rPr>
            </w:pPr>
            <w:r>
              <w:rPr>
                <w:rFonts w:eastAsia="Times New Roman"/>
                <w:b/>
                <w:bCs/>
                <w:color w:val="000000"/>
                <w:sz w:val="16"/>
                <w:szCs w:val="16"/>
              </w:rPr>
              <w:t>Description</w:t>
            </w:r>
          </w:p>
        </w:tc>
      </w:tr>
      <w:tr w:rsidR="00000000">
        <w:trPr>
          <w:divId w:val="700323924"/>
          <w:trHeight w:val="180"/>
        </w:trPr>
        <w:tc>
          <w:tcPr>
            <w:tcW w:w="0" w:type="auto"/>
            <w:gridSpan w:val="3"/>
            <w:tcBorders>
              <w:top w:val="single" w:sz="8" w:space="0" w:color="000000"/>
            </w:tcBorders>
            <w:tcMar>
              <w:top w:w="0" w:type="dxa"/>
              <w:left w:w="20" w:type="dxa"/>
              <w:bottom w:w="0" w:type="dxa"/>
              <w:right w:w="20" w:type="dxa"/>
            </w:tcMar>
            <w:vAlign w:val="center"/>
            <w:hideMark/>
          </w:tcPr>
          <w:p w:rsidR="00000000" w:rsidRDefault="009012B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12B9">
            <w:pPr>
              <w:spacing w:after="100"/>
              <w:rPr>
                <w:rFonts w:eastAsia="Times New Roman"/>
                <w:sz w:val="20"/>
                <w:szCs w:val="20"/>
              </w:rPr>
            </w:pPr>
          </w:p>
        </w:tc>
      </w:tr>
      <w:tr w:rsidR="00000000">
        <w:trPr>
          <w:divId w:val="700323924"/>
        </w:trPr>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tcMar>
              <w:top w:w="30" w:type="dxa"/>
              <w:left w:w="20" w:type="dxa"/>
              <w:bottom w:w="30" w:type="dxa"/>
              <w:right w:w="20" w:type="dxa"/>
            </w:tcMar>
            <w:hideMark/>
          </w:tcPr>
          <w:p w:rsidR="00000000" w:rsidRDefault="009012B9">
            <w:pPr>
              <w:spacing w:after="100"/>
              <w:divId w:val="1593733686"/>
              <w:rPr>
                <w:rFonts w:eastAsia="Times New Roman"/>
              </w:rPr>
            </w:pPr>
            <w:hyperlink r:id="rId4" w:history="1">
              <w:r>
                <w:rPr>
                  <w:rStyle w:val="a3"/>
                  <w:rFonts w:eastAsia="Times New Roman"/>
                  <w:sz w:val="20"/>
                  <w:szCs w:val="20"/>
                </w:rPr>
                <w:t>Amended and Restated Certificate of Incorporation of the Registrant, as currently in effect (incorporated by reference to Exhibit 3.1 of the Re</w:t>
              </w:r>
              <w:r>
                <w:rPr>
                  <w:rStyle w:val="a3"/>
                  <w:rFonts w:eastAsia="Times New Roman"/>
                  <w:sz w:val="20"/>
                  <w:szCs w:val="20"/>
                </w:rPr>
                <w:t>gistrant’s quarterly report on Form 10-Q (File No. 001-39303) filed on August 11, 2020).</w:t>
              </w:r>
            </w:hyperlink>
          </w:p>
        </w:tc>
      </w:tr>
      <w:tr w:rsidR="00000000">
        <w:trPr>
          <w:divId w:val="700323924"/>
          <w:trHeight w:val="180"/>
        </w:trPr>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r>
      <w:tr w:rsidR="00000000">
        <w:trPr>
          <w:divId w:val="700323924"/>
        </w:trPr>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tcMar>
              <w:top w:w="30" w:type="dxa"/>
              <w:left w:w="20" w:type="dxa"/>
              <w:bottom w:w="30" w:type="dxa"/>
              <w:right w:w="20" w:type="dxa"/>
            </w:tcMar>
            <w:hideMark/>
          </w:tcPr>
          <w:p w:rsidR="00000000" w:rsidRDefault="009012B9">
            <w:pPr>
              <w:spacing w:after="100"/>
              <w:divId w:val="928197864"/>
              <w:rPr>
                <w:rFonts w:eastAsia="Times New Roman"/>
              </w:rPr>
            </w:pPr>
            <w:hyperlink r:id="rId5" w:history="1">
              <w:r>
                <w:rPr>
                  <w:rStyle w:val="a3"/>
                  <w:rFonts w:eastAsia="Times New Roman"/>
                  <w:sz w:val="20"/>
                  <w:szCs w:val="20"/>
                </w:rPr>
                <w:t>Amended and Restated Bylaws of the Registrant, as currently in effect (incorporated by reference to Exhibit 3.2 of the Registrant’s quarterly report on Fo</w:t>
              </w:r>
              <w:r>
                <w:rPr>
                  <w:rStyle w:val="a3"/>
                  <w:rFonts w:eastAsia="Times New Roman"/>
                  <w:sz w:val="20"/>
                  <w:szCs w:val="20"/>
                </w:rPr>
                <w:t>rm 10-Q (File No. 001-39303) filed on August 11, 2020).</w:t>
              </w:r>
            </w:hyperlink>
          </w:p>
        </w:tc>
      </w:tr>
      <w:tr w:rsidR="00000000">
        <w:trPr>
          <w:divId w:val="700323924"/>
          <w:trHeight w:val="180"/>
        </w:trPr>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r>
      <w:tr w:rsidR="00000000">
        <w:trPr>
          <w:divId w:val="700323924"/>
        </w:trPr>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012B9">
            <w:pPr>
              <w:spacing w:after="100"/>
              <w:divId w:val="1567372331"/>
              <w:rPr>
                <w:rFonts w:eastAsia="Times New Roman"/>
              </w:rPr>
            </w:pPr>
            <w:hyperlink r:id="rId6" w:history="1">
              <w:r>
                <w:rPr>
                  <w:rStyle w:val="a3"/>
                  <w:rFonts w:eastAsia="Times New Roman"/>
                  <w:sz w:val="20"/>
                  <w:szCs w:val="20"/>
                </w:rPr>
                <w:t xml:space="preserve">Specimen Common Stock Certificate (incorporated by reference to Exhibit 4.1 of the Registrant’s Registration Statement on Form S-1, as amended (File No. </w:t>
              </w:r>
              <w:r>
                <w:rPr>
                  <w:rStyle w:val="a3"/>
                  <w:rFonts w:eastAsia="Times New Roman"/>
                  <w:sz w:val="20"/>
                  <w:szCs w:val="20"/>
                </w:rPr>
                <w:t>333-238146) filed on May 26, 2020).</w:t>
              </w:r>
            </w:hyperlink>
            <w:hyperlink r:id="rId7" w:history="1">
              <w:r>
                <w:rPr>
                  <w:rStyle w:val="a3"/>
                  <w:rFonts w:eastAsia="Times New Roman"/>
                  <w:sz w:val="20"/>
                  <w:szCs w:val="20"/>
                </w:rPr>
                <w:t xml:space="preserve"> </w:t>
              </w:r>
            </w:hyperlink>
          </w:p>
          <w:p w:rsidR="00000000" w:rsidRDefault="009012B9">
            <w:pPr>
              <w:spacing w:after="100"/>
              <w:divId w:val="1794328632"/>
              <w:rPr>
                <w:rFonts w:eastAsia="Times New Roman"/>
              </w:rPr>
            </w:pPr>
            <w:r>
              <w:rPr>
                <w:rFonts w:eastAsia="Times New Roman"/>
                <w:color w:val="000000"/>
                <w:sz w:val="12"/>
                <w:szCs w:val="12"/>
              </w:rPr>
              <w:t> </w:t>
            </w:r>
          </w:p>
        </w:tc>
      </w:tr>
      <w:tr w:rsidR="00000000">
        <w:trPr>
          <w:divId w:val="700323924"/>
        </w:trPr>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tcMar>
              <w:top w:w="30" w:type="dxa"/>
              <w:left w:w="20" w:type="dxa"/>
              <w:bottom w:w="30" w:type="dxa"/>
              <w:right w:w="20" w:type="dxa"/>
            </w:tcMar>
            <w:hideMark/>
          </w:tcPr>
          <w:p w:rsidR="00000000" w:rsidRDefault="009012B9">
            <w:pPr>
              <w:spacing w:after="100"/>
              <w:divId w:val="758409679"/>
              <w:rPr>
                <w:rFonts w:eastAsia="Times New Roman"/>
              </w:rPr>
            </w:pPr>
            <w:hyperlink r:id="rId8" w:history="1">
              <w:r>
                <w:rPr>
                  <w:rStyle w:val="a3"/>
                  <w:rFonts w:eastAsia="Times New Roman"/>
                  <w:sz w:val="20"/>
                  <w:szCs w:val="20"/>
                </w:rPr>
                <w:t>Certification of Chief Executive Officer required by Rule 13a-14(a) or Rule 15d-14(a) of the Securities Exchange Act of 1934, as adopted pursuant to Section 302 of the Sarbanes-Oxley Act of 2002.</w:t>
              </w:r>
            </w:hyperlink>
          </w:p>
        </w:tc>
      </w:tr>
      <w:tr w:rsidR="00000000">
        <w:trPr>
          <w:divId w:val="700323924"/>
          <w:trHeight w:val="180"/>
        </w:trPr>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r>
      <w:tr w:rsidR="00000000">
        <w:trPr>
          <w:divId w:val="700323924"/>
        </w:trPr>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tcMar>
              <w:top w:w="30" w:type="dxa"/>
              <w:left w:w="20" w:type="dxa"/>
              <w:bottom w:w="30" w:type="dxa"/>
              <w:right w:w="20" w:type="dxa"/>
            </w:tcMar>
            <w:hideMark/>
          </w:tcPr>
          <w:p w:rsidR="00000000" w:rsidRDefault="009012B9">
            <w:pPr>
              <w:spacing w:after="100"/>
              <w:divId w:val="1566648802"/>
              <w:rPr>
                <w:rFonts w:eastAsia="Times New Roman"/>
              </w:rPr>
            </w:pPr>
            <w:hyperlink r:id="rId9" w:history="1">
              <w:r>
                <w:rPr>
                  <w:rStyle w:val="a3"/>
                  <w:rFonts w:eastAsia="Times New Roman"/>
                  <w:sz w:val="20"/>
                  <w:szCs w:val="20"/>
                </w:rPr>
                <w:t>Certification of Chief Financial Officer required by Rule 13a-14(a) or Rule 15d-14(a) of the Securities Exchange Act of 1934, as adopted pursuant to Section 302 of the Sarbanes-Oxley Act of 2002.</w:t>
              </w:r>
            </w:hyperlink>
          </w:p>
        </w:tc>
      </w:tr>
      <w:tr w:rsidR="00000000">
        <w:trPr>
          <w:divId w:val="700323924"/>
          <w:trHeight w:val="180"/>
        </w:trPr>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r>
      <w:tr w:rsidR="00000000">
        <w:trPr>
          <w:divId w:val="700323924"/>
        </w:trPr>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tcMar>
              <w:top w:w="30" w:type="dxa"/>
              <w:left w:w="20" w:type="dxa"/>
              <w:bottom w:w="30" w:type="dxa"/>
              <w:right w:w="20" w:type="dxa"/>
            </w:tcMar>
            <w:hideMark/>
          </w:tcPr>
          <w:p w:rsidR="00000000" w:rsidRDefault="009012B9">
            <w:pPr>
              <w:spacing w:after="100"/>
              <w:divId w:val="1363095490"/>
              <w:rPr>
                <w:rFonts w:eastAsia="Times New Roman"/>
              </w:rPr>
            </w:pPr>
            <w:hyperlink r:id="rId10" w:history="1">
              <w:r>
                <w:rPr>
                  <w:rStyle w:val="a3"/>
                  <w:rFonts w:eastAsia="Times New Roman"/>
                  <w:sz w:val="20"/>
                  <w:szCs w:val="20"/>
                </w:rPr>
                <w:t>Certification of Chief Executive Officer and Chief Financial Officer pursuant to 18 U.S.C. Section 1350, as adopted pursuant to Section 906 of the Sarbanes-Oxley Act of 2002.</w:t>
              </w:r>
            </w:hyperlink>
          </w:p>
        </w:tc>
      </w:tr>
      <w:tr w:rsidR="00000000">
        <w:trPr>
          <w:divId w:val="700323924"/>
          <w:trHeight w:val="180"/>
        </w:trPr>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r>
      <w:tr w:rsidR="00000000">
        <w:trPr>
          <w:divId w:val="700323924"/>
        </w:trPr>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XBRL Instance Document</w:t>
            </w:r>
          </w:p>
        </w:tc>
      </w:tr>
      <w:tr w:rsidR="00000000">
        <w:trPr>
          <w:divId w:val="700323924"/>
          <w:trHeight w:val="180"/>
        </w:trPr>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r>
      <w:tr w:rsidR="00000000">
        <w:trPr>
          <w:divId w:val="700323924"/>
        </w:trPr>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XBRL Taxonomy Extension Schema Document</w:t>
            </w:r>
          </w:p>
        </w:tc>
      </w:tr>
      <w:tr w:rsidR="00000000">
        <w:trPr>
          <w:divId w:val="700323924"/>
          <w:trHeight w:val="180"/>
        </w:trPr>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r>
      <w:tr w:rsidR="00000000">
        <w:trPr>
          <w:divId w:val="700323924"/>
        </w:trPr>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XBRL Taxonomy Calculation Linkbase Document</w:t>
            </w:r>
          </w:p>
        </w:tc>
      </w:tr>
      <w:tr w:rsidR="00000000">
        <w:trPr>
          <w:divId w:val="700323924"/>
          <w:trHeight w:val="180"/>
        </w:trPr>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r>
      <w:tr w:rsidR="00000000">
        <w:trPr>
          <w:divId w:val="700323924"/>
        </w:trPr>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XBRL Taxonomy Extension Definition Document</w:t>
            </w:r>
          </w:p>
        </w:tc>
      </w:tr>
      <w:tr w:rsidR="00000000">
        <w:trPr>
          <w:divId w:val="700323924"/>
          <w:trHeight w:val="180"/>
        </w:trPr>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r>
      <w:tr w:rsidR="00000000">
        <w:trPr>
          <w:divId w:val="700323924"/>
        </w:trPr>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XBRL Taxonomy Label Linkbase Document</w:t>
            </w:r>
          </w:p>
        </w:tc>
      </w:tr>
      <w:tr w:rsidR="00000000">
        <w:trPr>
          <w:divId w:val="700323924"/>
          <w:trHeight w:val="180"/>
        </w:trPr>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r>
      <w:tr w:rsidR="00000000">
        <w:trPr>
          <w:divId w:val="700323924"/>
        </w:trPr>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XBRL Taxonomy Presentation Linkbase Document</w:t>
            </w:r>
          </w:p>
        </w:tc>
      </w:tr>
    </w:tbl>
    <w:p w:rsidR="00000000" w:rsidRDefault="009012B9">
      <w:pPr>
        <w:divId w:val="1667509788"/>
        <w:rPr>
          <w:rFonts w:eastAsia="Times New Roman"/>
        </w:rPr>
      </w:pPr>
      <w:r>
        <w:rPr>
          <w:rFonts w:eastAsia="Times New Roman"/>
          <w:color w:val="000000"/>
          <w:sz w:val="20"/>
          <w:szCs w:val="20"/>
        </w:rPr>
        <w:t>______________________________</w:t>
      </w:r>
    </w:p>
    <w:p w:rsidR="00000000" w:rsidRDefault="009012B9">
      <w:pPr>
        <w:ind w:hanging="1080"/>
        <w:divId w:val="2030252207"/>
        <w:rPr>
          <w:rFonts w:eastAsia="Times New Roman"/>
        </w:rPr>
      </w:pPr>
      <w:r>
        <w:rPr>
          <w:rFonts w:eastAsia="Times New Roman"/>
          <w:color w:val="000000"/>
          <w:sz w:val="20"/>
          <w:szCs w:val="20"/>
        </w:rPr>
        <w:t>*    Filed herewith</w:t>
      </w:r>
    </w:p>
    <w:p w:rsidR="00000000" w:rsidRDefault="009012B9">
      <w:pPr>
        <w:ind w:hanging="1080"/>
        <w:divId w:val="1032683329"/>
        <w:rPr>
          <w:rFonts w:eastAsia="Times New Roman"/>
        </w:rPr>
      </w:pPr>
      <w:r>
        <w:rPr>
          <w:rFonts w:eastAsia="Times New Roman"/>
          <w:color w:val="000000"/>
          <w:sz w:val="20"/>
          <w:szCs w:val="20"/>
        </w:rPr>
        <w:t>**    </w:t>
      </w:r>
      <w:r>
        <w:rPr>
          <w:rFonts w:eastAsia="Times New Roman"/>
          <w:color w:val="000000"/>
          <w:sz w:val="20"/>
          <w:szCs w:val="20"/>
        </w:rPr>
        <w:t xml:space="preserve">The certifications furnished in Exhibit 32.1 hereto are deemed to be furnished with this Quarterly Report on Form 10-Q and will not be deemed to be “filed” for purposes of Section 18 of the Securities Exchange Act of 1934, as amended, except to the extent </w:t>
      </w:r>
      <w:r>
        <w:rPr>
          <w:rFonts w:eastAsia="Times New Roman"/>
          <w:color w:val="000000"/>
          <w:sz w:val="20"/>
          <w:szCs w:val="20"/>
        </w:rPr>
        <w:t>that the Registrant specifically incorporates them by reference</w:t>
      </w:r>
    </w:p>
    <w:p w:rsidR="00000000" w:rsidRDefault="009012B9">
      <w:pPr>
        <w:ind w:hanging="1080"/>
        <w:divId w:val="69811699"/>
        <w:rPr>
          <w:rFonts w:eastAsia="Times New Roman"/>
        </w:rPr>
      </w:pPr>
    </w:p>
    <w:p w:rsidR="00000000" w:rsidRDefault="009012B9">
      <w:pPr>
        <w:jc w:val="center"/>
        <w:divId w:val="695694403"/>
        <w:rPr>
          <w:rFonts w:eastAsia="Times New Roman"/>
        </w:rPr>
      </w:pPr>
      <w:r>
        <w:rPr>
          <w:rFonts w:eastAsia="Times New Roman"/>
          <w:color w:val="000000"/>
          <w:sz w:val="20"/>
          <w:szCs w:val="20"/>
        </w:rPr>
        <w:t>79</w:t>
      </w:r>
    </w:p>
    <w:p w:rsidR="00000000" w:rsidRDefault="009012B9">
      <w:pPr>
        <w:rPr>
          <w:rFonts w:eastAsia="Times New Roman"/>
        </w:rPr>
      </w:pPr>
      <w:r>
        <w:rPr>
          <w:rFonts w:eastAsia="Times New Roman"/>
        </w:rPr>
        <w:pict>
          <v:rect id="_x0000_i1103" style="width:0;height:1.5pt" o:hralign="center" o:hrstd="t" o:hr="t" fillcolor="#a0a0a0" stroked="f"/>
        </w:pict>
      </w:r>
    </w:p>
    <w:p w:rsidR="00000000" w:rsidRDefault="009012B9">
      <w:pPr>
        <w:divId w:val="1082023683"/>
        <w:rPr>
          <w:rFonts w:eastAsia="Times New Roman"/>
        </w:rPr>
      </w:pPr>
    </w:p>
    <w:p w:rsidR="00000000" w:rsidRDefault="009012B9">
      <w:pPr>
        <w:jc w:val="center"/>
        <w:rPr>
          <w:rFonts w:eastAsia="Times New Roman"/>
        </w:rPr>
      </w:pPr>
      <w:r>
        <w:rPr>
          <w:rFonts w:eastAsia="Times New Roman"/>
          <w:b/>
          <w:bCs/>
          <w:color w:val="000000"/>
          <w:sz w:val="20"/>
          <w:szCs w:val="20"/>
        </w:rPr>
        <w:t>Signatures</w:t>
      </w:r>
    </w:p>
    <w:p w:rsidR="00000000" w:rsidRDefault="009012B9">
      <w:pPr>
        <w:ind w:firstLine="540"/>
        <w:divId w:val="1194928919"/>
        <w:rPr>
          <w:rFonts w:eastAsia="Times New Roman"/>
        </w:rPr>
      </w:pPr>
      <w:r>
        <w:rPr>
          <w:rFonts w:eastAsia="Times New Roman"/>
          <w:color w:val="000000"/>
          <w:sz w:val="20"/>
          <w:szCs w:val="20"/>
        </w:rPr>
        <w:t xml:space="preserve">Pursuant to the requirements of the Securities Act of 1934, the Registrant has duly caused this report to be signed on its behalf by the </w:t>
      </w:r>
      <w:r>
        <w:rPr>
          <w:rFonts w:eastAsia="Times New Roman"/>
          <w:color w:val="000000"/>
          <w:sz w:val="20"/>
          <w:szCs w:val="20"/>
        </w:rPr>
        <w:t>undersigned, thereunto duly authorized.</w:t>
      </w:r>
    </w:p>
    <w:p w:rsidR="00000000" w:rsidRDefault="009012B9">
      <w:pPr>
        <w:ind w:firstLine="540"/>
        <w:divId w:val="651518187"/>
        <w:rPr>
          <w:rFonts w:eastAsia="Times New Roman"/>
        </w:rPr>
      </w:pPr>
      <w:r>
        <w:rPr>
          <w:rFonts w:eastAsia="Times New Roman"/>
          <w:color w:val="000000"/>
          <w:sz w:val="20"/>
          <w:szCs w:val="20"/>
        </w:rPr>
        <w:t xml:space="preserve">Date: May 10, 2021 </w:t>
      </w:r>
    </w:p>
    <w:tbl>
      <w:tblPr>
        <w:tblW w:w="4992" w:type="pct"/>
        <w:tblCellMar>
          <w:top w:w="15" w:type="dxa"/>
          <w:left w:w="15" w:type="dxa"/>
          <w:bottom w:w="15" w:type="dxa"/>
          <w:right w:w="15" w:type="dxa"/>
        </w:tblCellMar>
        <w:tblLook w:val="04A0" w:firstRow="1" w:lastRow="0" w:firstColumn="1" w:lastColumn="0" w:noHBand="0" w:noVBand="1"/>
      </w:tblPr>
      <w:tblGrid>
        <w:gridCol w:w="63"/>
        <w:gridCol w:w="3531"/>
        <w:gridCol w:w="36"/>
        <w:gridCol w:w="63"/>
        <w:gridCol w:w="763"/>
        <w:gridCol w:w="36"/>
        <w:gridCol w:w="37"/>
        <w:gridCol w:w="108"/>
        <w:gridCol w:w="36"/>
        <w:gridCol w:w="64"/>
        <w:gridCol w:w="3520"/>
        <w:gridCol w:w="36"/>
      </w:tblGrid>
      <w:tr w:rsidR="00000000">
        <w:trPr>
          <w:divId w:val="894780734"/>
        </w:trPr>
        <w:tc>
          <w:tcPr>
            <w:tcW w:w="50" w:type="pct"/>
            <w:vAlign w:val="center"/>
            <w:hideMark/>
          </w:tcPr>
          <w:p w:rsidR="00000000" w:rsidRDefault="009012B9">
            <w:pPr>
              <w:ind w:firstLine="540"/>
              <w:rPr>
                <w:rFonts w:eastAsia="Times New Roman"/>
              </w:rPr>
            </w:pPr>
          </w:p>
        </w:tc>
        <w:tc>
          <w:tcPr>
            <w:tcW w:w="2141"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472"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77"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c>
          <w:tcPr>
            <w:tcW w:w="50" w:type="pct"/>
            <w:vAlign w:val="center"/>
            <w:hideMark/>
          </w:tcPr>
          <w:p w:rsidR="00000000" w:rsidRDefault="009012B9">
            <w:pPr>
              <w:spacing w:after="100"/>
              <w:rPr>
                <w:rFonts w:eastAsia="Times New Roman"/>
                <w:sz w:val="20"/>
                <w:szCs w:val="20"/>
              </w:rPr>
            </w:pPr>
          </w:p>
        </w:tc>
        <w:tc>
          <w:tcPr>
            <w:tcW w:w="2134" w:type="pct"/>
            <w:vAlign w:val="center"/>
            <w:hideMark/>
          </w:tcPr>
          <w:p w:rsidR="00000000" w:rsidRDefault="009012B9">
            <w:pPr>
              <w:spacing w:after="100"/>
              <w:rPr>
                <w:rFonts w:eastAsia="Times New Roman"/>
                <w:sz w:val="20"/>
                <w:szCs w:val="20"/>
              </w:rPr>
            </w:pPr>
          </w:p>
        </w:tc>
        <w:tc>
          <w:tcPr>
            <w:tcW w:w="5" w:type="pct"/>
            <w:vAlign w:val="center"/>
            <w:hideMark/>
          </w:tcPr>
          <w:p w:rsidR="00000000" w:rsidRDefault="009012B9">
            <w:pPr>
              <w:spacing w:after="100"/>
              <w:rPr>
                <w:rFonts w:eastAsia="Times New Roman"/>
                <w:sz w:val="20"/>
                <w:szCs w:val="20"/>
              </w:rPr>
            </w:pPr>
          </w:p>
        </w:tc>
      </w:tr>
      <w:tr w:rsidR="00000000">
        <w:trPr>
          <w:divId w:val="894780734"/>
        </w:trPr>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6"/>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PLIANT THERAPEUTICS, INC.</w:t>
            </w:r>
          </w:p>
        </w:tc>
      </w:tr>
      <w:tr w:rsidR="00000000">
        <w:trPr>
          <w:divId w:val="894780734"/>
          <w:trHeight w:val="100"/>
        </w:trPr>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r>
      <w:tr w:rsidR="00000000">
        <w:trPr>
          <w:divId w:val="894780734"/>
        </w:trPr>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By:</w:t>
            </w: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/s/ Bernard Coulie </w:t>
            </w:r>
          </w:p>
        </w:tc>
      </w:tr>
      <w:tr w:rsidR="00000000">
        <w:trPr>
          <w:divId w:val="894780734"/>
        </w:trPr>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Borders>
              <w:top w:val="single" w:sz="8" w:space="0" w:color="000000"/>
            </w:tcBorders>
            <w:tcMar>
              <w:top w:w="30" w:type="dxa"/>
              <w:left w:w="245" w:type="dxa"/>
              <w:bottom w:w="30" w:type="dxa"/>
              <w:right w:w="20" w:type="dxa"/>
            </w:tcMar>
            <w:vAlign w:val="bottom"/>
            <w:hideMark/>
          </w:tcPr>
          <w:p w:rsidR="00000000" w:rsidRDefault="009012B9">
            <w:pPr>
              <w:spacing w:after="100"/>
              <w:rPr>
                <w:rFonts w:eastAsia="Times New Roman"/>
              </w:rPr>
            </w:pPr>
            <w:r>
              <w:rPr>
                <w:rFonts w:eastAsia="Times New Roman"/>
                <w:color w:val="000000"/>
                <w:sz w:val="20"/>
                <w:szCs w:val="20"/>
              </w:rPr>
              <w:t>Bernard Coulie, M.D., Ph.D.</w:t>
            </w:r>
          </w:p>
        </w:tc>
      </w:tr>
      <w:tr w:rsidR="00000000">
        <w:trPr>
          <w:divId w:val="894780734"/>
        </w:trPr>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Mar>
              <w:top w:w="30" w:type="dxa"/>
              <w:left w:w="245" w:type="dxa"/>
              <w:bottom w:w="30" w:type="dxa"/>
              <w:right w:w="20" w:type="dxa"/>
            </w:tcMar>
            <w:vAlign w:val="bottom"/>
            <w:hideMark/>
          </w:tcPr>
          <w:p w:rsidR="00000000" w:rsidRDefault="009012B9">
            <w:pPr>
              <w:spacing w:after="100"/>
              <w:rPr>
                <w:rFonts w:eastAsia="Times New Roman"/>
              </w:rPr>
            </w:pPr>
            <w:r>
              <w:rPr>
                <w:rFonts w:eastAsia="Times New Roman"/>
                <w:color w:val="000000"/>
                <w:sz w:val="20"/>
                <w:szCs w:val="20"/>
              </w:rPr>
              <w:t>President and Chief Executive Officer</w:t>
            </w:r>
          </w:p>
        </w:tc>
      </w:tr>
      <w:tr w:rsidR="00000000">
        <w:trPr>
          <w:divId w:val="894780734"/>
          <w:trHeight w:val="280"/>
        </w:trPr>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r>
      <w:tr w:rsidR="00000000">
        <w:trPr>
          <w:divId w:val="894780734"/>
        </w:trPr>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By:</w:t>
            </w: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tcMar>
              <w:top w:w="30" w:type="dxa"/>
              <w:left w:w="20" w:type="dxa"/>
              <w:bottom w:w="30" w:type="dxa"/>
              <w:right w:w="20" w:type="dxa"/>
            </w:tcMar>
            <w:hideMark/>
          </w:tcPr>
          <w:p w:rsidR="00000000" w:rsidRDefault="009012B9">
            <w:pPr>
              <w:spacing w:after="100"/>
              <w:rPr>
                <w:rFonts w:eastAsia="Times New Roman"/>
              </w:rPr>
            </w:pPr>
            <w:r>
              <w:rPr>
                <w:rFonts w:eastAsia="Times New Roman"/>
                <w:color w:val="000000"/>
                <w:sz w:val="20"/>
                <w:szCs w:val="20"/>
              </w:rPr>
              <w:t>/s/ Keith Cummings </w:t>
            </w:r>
          </w:p>
        </w:tc>
      </w:tr>
      <w:tr w:rsidR="00000000">
        <w:trPr>
          <w:divId w:val="894780734"/>
        </w:trPr>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Borders>
              <w:top w:val="single" w:sz="8" w:space="0" w:color="000000"/>
            </w:tcBorders>
            <w:tcMar>
              <w:top w:w="30" w:type="dxa"/>
              <w:left w:w="245" w:type="dxa"/>
              <w:bottom w:w="30" w:type="dxa"/>
              <w:right w:w="20" w:type="dxa"/>
            </w:tcMar>
            <w:vAlign w:val="bottom"/>
            <w:hideMark/>
          </w:tcPr>
          <w:p w:rsidR="00000000" w:rsidRDefault="009012B9">
            <w:pPr>
              <w:spacing w:after="100"/>
              <w:rPr>
                <w:rFonts w:eastAsia="Times New Roman"/>
              </w:rPr>
            </w:pPr>
            <w:r>
              <w:rPr>
                <w:rFonts w:eastAsia="Times New Roman"/>
                <w:color w:val="000000"/>
                <w:sz w:val="20"/>
                <w:szCs w:val="20"/>
              </w:rPr>
              <w:t>Keith Cummings, M.D., M.B.A.</w:t>
            </w:r>
          </w:p>
        </w:tc>
      </w:tr>
      <w:tr w:rsidR="00000000">
        <w:trPr>
          <w:divId w:val="894780734"/>
        </w:trPr>
        <w:tc>
          <w:tcPr>
            <w:tcW w:w="0" w:type="auto"/>
            <w:gridSpan w:val="3"/>
            <w:tcMar>
              <w:top w:w="0" w:type="dxa"/>
              <w:left w:w="20" w:type="dxa"/>
              <w:bottom w:w="0" w:type="dxa"/>
              <w:right w:w="20" w:type="dxa"/>
            </w:tcMar>
            <w:vAlign w:val="center"/>
            <w:hideMark/>
          </w:tcPr>
          <w:p w:rsidR="00000000" w:rsidRDefault="009012B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12B9">
            <w:pPr>
              <w:spacing w:after="100"/>
              <w:rPr>
                <w:rFonts w:eastAsia="Times New Roman"/>
                <w:sz w:val="20"/>
                <w:szCs w:val="20"/>
              </w:rPr>
            </w:pPr>
          </w:p>
        </w:tc>
        <w:tc>
          <w:tcPr>
            <w:tcW w:w="0" w:type="auto"/>
            <w:gridSpan w:val="3"/>
            <w:tcMar>
              <w:top w:w="30" w:type="dxa"/>
              <w:left w:w="260" w:type="dxa"/>
              <w:bottom w:w="30" w:type="dxa"/>
              <w:right w:w="20" w:type="dxa"/>
            </w:tcMar>
            <w:vAlign w:val="center"/>
            <w:hideMark/>
          </w:tcPr>
          <w:p w:rsidR="00000000" w:rsidRDefault="009012B9">
            <w:pPr>
              <w:spacing w:after="100"/>
              <w:rPr>
                <w:rFonts w:eastAsia="Times New Roman"/>
              </w:rPr>
            </w:pPr>
            <w:r>
              <w:rPr>
                <w:rFonts w:eastAsia="Times New Roman"/>
                <w:color w:val="000000"/>
                <w:sz w:val="20"/>
                <w:szCs w:val="20"/>
              </w:rPr>
              <w:t>Chief Financial Officer (Principal Financial Officer)</w:t>
            </w:r>
          </w:p>
        </w:tc>
      </w:tr>
    </w:tbl>
    <w:p w:rsidR="00000000" w:rsidRDefault="009012B9">
      <w:pPr>
        <w:divId w:val="1727488382"/>
        <w:rPr>
          <w:rFonts w:eastAsia="Times New Roman"/>
        </w:rPr>
      </w:pPr>
    </w:p>
    <w:p w:rsidR="009012B9" w:rsidRDefault="009012B9">
      <w:pPr>
        <w:jc w:val="center"/>
        <w:divId w:val="1416439774"/>
        <w:rPr>
          <w:rFonts w:eastAsia="Times New Roman"/>
        </w:rPr>
      </w:pPr>
      <w:r>
        <w:rPr>
          <w:rFonts w:eastAsia="Times New Roman"/>
          <w:color w:val="000000"/>
          <w:sz w:val="20"/>
          <w:szCs w:val="20"/>
        </w:rPr>
        <w:t>80</w:t>
      </w:r>
    </w:p>
    <w:sectPr w:rsidR="009012B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012B9"/>
    <w:rsid w:val="009012B9"/>
  </w:rsids>
  <m:mathPr>
    <m:mathFont m:val="Cambria Math"/>
    <m:brkBin m:val="before"/>
    <m:brkBinSub m:val="--"/>
    <m:smallFrac m:val="0"/>
    <m:dispDef/>
    <m:lMargin m:val="0"/>
    <m:rMargin m:val="0"/>
    <m:defJc m:val="centerGroup"/>
    <m:wrapIndent m:val="1440"/>
    <m:intLim m:val="subSup"/>
    <m:naryLim m:val="undOvr"/>
  </m:mathPr>
  <w:attachedSchema w:val="http://www.xbrl.org/2003/instance"/>
  <w:attachedSchema w:val="http://www.xbrl.org/2013/inlineXBRL"/>
  <w:attachedSchema w:val="http://www.pliantrx.com/20210331"/>
  <w:attachedSchema w:val="http://www.xbrl.org/2003/iso4217"/>
  <w:attachedSchema w:val="http://xbrl.org/2006/xbrldi"/>
  <w:attachedSchema w:val="http://xbrl.sec.gov/dei/2020-01-31"/>
  <w:attachedSchema w:val="http://www.w3.org/1999/xlink"/>
  <w:attachedSchema w:val="http://www.sec.gov/inlineXBRL/transformation/2015-08-31"/>
  <w:attachedSchema w:val="http://fasb.org/srt/2020-01-31"/>
  <w:attachedSchema w:val="http://www.xbrl.org/inlineXBRL/transformation/2015-02-26"/>
  <w:attachedSchema w:val="http://www.xbrl.org/2009/utr"/>
  <w:attachedSchema w:val="http://fasb.org/us-gaap/2020-01-31"/>
  <w:attachedSchema w:val="http://www.xbrl.org/2003/linkbase"/>
  <w:attachedSchema w:val="http://xbrl.sec.gov/stpr/2018-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108">
      <w:marLeft w:val="0"/>
      <w:marRight w:val="0"/>
      <w:marTop w:val="240"/>
      <w:marBottom w:val="0"/>
      <w:divBdr>
        <w:top w:val="none" w:sz="0" w:space="0" w:color="auto"/>
        <w:left w:val="none" w:sz="0" w:space="0" w:color="auto"/>
        <w:bottom w:val="none" w:sz="0" w:space="0" w:color="auto"/>
        <w:right w:val="none" w:sz="0" w:space="0" w:color="auto"/>
      </w:divBdr>
    </w:div>
    <w:div w:id="8945273">
      <w:marLeft w:val="0"/>
      <w:marRight w:val="0"/>
      <w:marTop w:val="0"/>
      <w:marBottom w:val="0"/>
      <w:divBdr>
        <w:top w:val="none" w:sz="0" w:space="0" w:color="auto"/>
        <w:left w:val="none" w:sz="0" w:space="0" w:color="auto"/>
        <w:bottom w:val="none" w:sz="0" w:space="0" w:color="auto"/>
        <w:right w:val="none" w:sz="0" w:space="0" w:color="auto"/>
      </w:divBdr>
    </w:div>
    <w:div w:id="9455729">
      <w:marLeft w:val="0"/>
      <w:marRight w:val="0"/>
      <w:marTop w:val="0"/>
      <w:marBottom w:val="0"/>
      <w:divBdr>
        <w:top w:val="none" w:sz="0" w:space="0" w:color="auto"/>
        <w:left w:val="none" w:sz="0" w:space="0" w:color="auto"/>
        <w:bottom w:val="none" w:sz="0" w:space="0" w:color="auto"/>
        <w:right w:val="none" w:sz="0" w:space="0" w:color="auto"/>
      </w:divBdr>
      <w:divsChild>
        <w:div w:id="1519541438">
          <w:marLeft w:val="0"/>
          <w:marRight w:val="0"/>
          <w:marTop w:val="0"/>
          <w:marBottom w:val="0"/>
          <w:divBdr>
            <w:top w:val="none" w:sz="0" w:space="0" w:color="auto"/>
            <w:left w:val="none" w:sz="0" w:space="0" w:color="auto"/>
            <w:bottom w:val="none" w:sz="0" w:space="0" w:color="auto"/>
            <w:right w:val="none" w:sz="0" w:space="0" w:color="auto"/>
          </w:divBdr>
        </w:div>
      </w:divsChild>
    </w:div>
    <w:div w:id="9836477">
      <w:marLeft w:val="0"/>
      <w:marRight w:val="0"/>
      <w:marTop w:val="200"/>
      <w:marBottom w:val="0"/>
      <w:divBdr>
        <w:top w:val="none" w:sz="0" w:space="0" w:color="auto"/>
        <w:left w:val="none" w:sz="0" w:space="0" w:color="auto"/>
        <w:bottom w:val="none" w:sz="0" w:space="0" w:color="auto"/>
        <w:right w:val="none" w:sz="0" w:space="0" w:color="auto"/>
      </w:divBdr>
    </w:div>
    <w:div w:id="13699222">
      <w:marLeft w:val="0"/>
      <w:marRight w:val="0"/>
      <w:marTop w:val="0"/>
      <w:marBottom w:val="0"/>
      <w:divBdr>
        <w:top w:val="none" w:sz="0" w:space="0" w:color="auto"/>
        <w:left w:val="none" w:sz="0" w:space="0" w:color="auto"/>
        <w:bottom w:val="none" w:sz="0" w:space="0" w:color="auto"/>
        <w:right w:val="none" w:sz="0" w:space="0" w:color="auto"/>
      </w:divBdr>
      <w:divsChild>
        <w:div w:id="760297666">
          <w:marLeft w:val="0"/>
          <w:marRight w:val="0"/>
          <w:marTop w:val="0"/>
          <w:marBottom w:val="0"/>
          <w:divBdr>
            <w:top w:val="none" w:sz="0" w:space="0" w:color="auto"/>
            <w:left w:val="none" w:sz="0" w:space="0" w:color="auto"/>
            <w:bottom w:val="none" w:sz="0" w:space="0" w:color="auto"/>
            <w:right w:val="none" w:sz="0" w:space="0" w:color="auto"/>
          </w:divBdr>
        </w:div>
      </w:divsChild>
    </w:div>
    <w:div w:id="18552973">
      <w:marLeft w:val="0"/>
      <w:marRight w:val="0"/>
      <w:marTop w:val="240"/>
      <w:marBottom w:val="0"/>
      <w:divBdr>
        <w:top w:val="none" w:sz="0" w:space="0" w:color="auto"/>
        <w:left w:val="none" w:sz="0" w:space="0" w:color="auto"/>
        <w:bottom w:val="none" w:sz="0" w:space="0" w:color="auto"/>
        <w:right w:val="none" w:sz="0" w:space="0" w:color="auto"/>
      </w:divBdr>
    </w:div>
    <w:div w:id="20059615">
      <w:marLeft w:val="0"/>
      <w:marRight w:val="0"/>
      <w:marTop w:val="200"/>
      <w:marBottom w:val="0"/>
      <w:divBdr>
        <w:top w:val="none" w:sz="0" w:space="0" w:color="auto"/>
        <w:left w:val="none" w:sz="0" w:space="0" w:color="auto"/>
        <w:bottom w:val="none" w:sz="0" w:space="0" w:color="auto"/>
        <w:right w:val="none" w:sz="0" w:space="0" w:color="auto"/>
      </w:divBdr>
    </w:div>
    <w:div w:id="25451016">
      <w:marLeft w:val="0"/>
      <w:marRight w:val="0"/>
      <w:marTop w:val="240"/>
      <w:marBottom w:val="0"/>
      <w:divBdr>
        <w:top w:val="none" w:sz="0" w:space="0" w:color="auto"/>
        <w:left w:val="none" w:sz="0" w:space="0" w:color="auto"/>
        <w:bottom w:val="none" w:sz="0" w:space="0" w:color="auto"/>
        <w:right w:val="none" w:sz="0" w:space="0" w:color="auto"/>
      </w:divBdr>
    </w:div>
    <w:div w:id="25520644">
      <w:marLeft w:val="0"/>
      <w:marRight w:val="0"/>
      <w:marTop w:val="200"/>
      <w:marBottom w:val="0"/>
      <w:divBdr>
        <w:top w:val="none" w:sz="0" w:space="0" w:color="auto"/>
        <w:left w:val="none" w:sz="0" w:space="0" w:color="auto"/>
        <w:bottom w:val="none" w:sz="0" w:space="0" w:color="auto"/>
        <w:right w:val="none" w:sz="0" w:space="0" w:color="auto"/>
      </w:divBdr>
    </w:div>
    <w:div w:id="28066069">
      <w:marLeft w:val="0"/>
      <w:marRight w:val="0"/>
      <w:marTop w:val="360"/>
      <w:marBottom w:val="0"/>
      <w:divBdr>
        <w:top w:val="none" w:sz="0" w:space="0" w:color="auto"/>
        <w:left w:val="none" w:sz="0" w:space="0" w:color="auto"/>
        <w:bottom w:val="none" w:sz="0" w:space="0" w:color="auto"/>
        <w:right w:val="none" w:sz="0" w:space="0" w:color="auto"/>
      </w:divBdr>
    </w:div>
    <w:div w:id="31392842">
      <w:marLeft w:val="0"/>
      <w:marRight w:val="0"/>
      <w:marTop w:val="200"/>
      <w:marBottom w:val="0"/>
      <w:divBdr>
        <w:top w:val="none" w:sz="0" w:space="0" w:color="auto"/>
        <w:left w:val="none" w:sz="0" w:space="0" w:color="auto"/>
        <w:bottom w:val="none" w:sz="0" w:space="0" w:color="auto"/>
        <w:right w:val="none" w:sz="0" w:space="0" w:color="auto"/>
      </w:divBdr>
    </w:div>
    <w:div w:id="31461652">
      <w:marLeft w:val="0"/>
      <w:marRight w:val="0"/>
      <w:marTop w:val="120"/>
      <w:marBottom w:val="0"/>
      <w:divBdr>
        <w:top w:val="none" w:sz="0" w:space="0" w:color="auto"/>
        <w:left w:val="none" w:sz="0" w:space="0" w:color="auto"/>
        <w:bottom w:val="none" w:sz="0" w:space="0" w:color="auto"/>
        <w:right w:val="none" w:sz="0" w:space="0" w:color="auto"/>
      </w:divBdr>
    </w:div>
    <w:div w:id="37752332">
      <w:marLeft w:val="0"/>
      <w:marRight w:val="0"/>
      <w:marTop w:val="120"/>
      <w:marBottom w:val="0"/>
      <w:divBdr>
        <w:top w:val="none" w:sz="0" w:space="0" w:color="auto"/>
        <w:left w:val="none" w:sz="0" w:space="0" w:color="auto"/>
        <w:bottom w:val="none" w:sz="0" w:space="0" w:color="auto"/>
        <w:right w:val="none" w:sz="0" w:space="0" w:color="auto"/>
      </w:divBdr>
    </w:div>
    <w:div w:id="40525248">
      <w:marLeft w:val="0"/>
      <w:marRight w:val="0"/>
      <w:marTop w:val="0"/>
      <w:marBottom w:val="0"/>
      <w:divBdr>
        <w:top w:val="none" w:sz="0" w:space="0" w:color="auto"/>
        <w:left w:val="none" w:sz="0" w:space="0" w:color="auto"/>
        <w:bottom w:val="none" w:sz="0" w:space="0" w:color="auto"/>
        <w:right w:val="none" w:sz="0" w:space="0" w:color="auto"/>
      </w:divBdr>
      <w:divsChild>
        <w:div w:id="455413841">
          <w:marLeft w:val="0"/>
          <w:marRight w:val="0"/>
          <w:marTop w:val="0"/>
          <w:marBottom w:val="0"/>
          <w:divBdr>
            <w:top w:val="none" w:sz="0" w:space="0" w:color="auto"/>
            <w:left w:val="none" w:sz="0" w:space="0" w:color="auto"/>
            <w:bottom w:val="none" w:sz="0" w:space="0" w:color="auto"/>
            <w:right w:val="none" w:sz="0" w:space="0" w:color="auto"/>
          </w:divBdr>
        </w:div>
      </w:divsChild>
    </w:div>
    <w:div w:id="48114280">
      <w:marLeft w:val="0"/>
      <w:marRight w:val="0"/>
      <w:marTop w:val="200"/>
      <w:marBottom w:val="0"/>
      <w:divBdr>
        <w:top w:val="none" w:sz="0" w:space="0" w:color="auto"/>
        <w:left w:val="none" w:sz="0" w:space="0" w:color="auto"/>
        <w:bottom w:val="none" w:sz="0" w:space="0" w:color="auto"/>
        <w:right w:val="none" w:sz="0" w:space="0" w:color="auto"/>
      </w:divBdr>
    </w:div>
    <w:div w:id="48385909">
      <w:marLeft w:val="0"/>
      <w:marRight w:val="0"/>
      <w:marTop w:val="200"/>
      <w:marBottom w:val="0"/>
      <w:divBdr>
        <w:top w:val="none" w:sz="0" w:space="0" w:color="auto"/>
        <w:left w:val="none" w:sz="0" w:space="0" w:color="auto"/>
        <w:bottom w:val="none" w:sz="0" w:space="0" w:color="auto"/>
        <w:right w:val="none" w:sz="0" w:space="0" w:color="auto"/>
      </w:divBdr>
    </w:div>
    <w:div w:id="49505713">
      <w:marLeft w:val="0"/>
      <w:marRight w:val="0"/>
      <w:marTop w:val="200"/>
      <w:marBottom w:val="0"/>
      <w:divBdr>
        <w:top w:val="none" w:sz="0" w:space="0" w:color="auto"/>
        <w:left w:val="none" w:sz="0" w:space="0" w:color="auto"/>
        <w:bottom w:val="none" w:sz="0" w:space="0" w:color="auto"/>
        <w:right w:val="none" w:sz="0" w:space="0" w:color="auto"/>
      </w:divBdr>
    </w:div>
    <w:div w:id="52125005">
      <w:marLeft w:val="0"/>
      <w:marRight w:val="0"/>
      <w:marTop w:val="0"/>
      <w:marBottom w:val="0"/>
      <w:divBdr>
        <w:top w:val="none" w:sz="0" w:space="0" w:color="auto"/>
        <w:left w:val="none" w:sz="0" w:space="0" w:color="auto"/>
        <w:bottom w:val="none" w:sz="0" w:space="0" w:color="auto"/>
        <w:right w:val="none" w:sz="0" w:space="0" w:color="auto"/>
      </w:divBdr>
      <w:divsChild>
        <w:div w:id="1166554950">
          <w:marLeft w:val="0"/>
          <w:marRight w:val="0"/>
          <w:marTop w:val="0"/>
          <w:marBottom w:val="0"/>
          <w:divBdr>
            <w:top w:val="none" w:sz="0" w:space="0" w:color="auto"/>
            <w:left w:val="none" w:sz="0" w:space="0" w:color="auto"/>
            <w:bottom w:val="none" w:sz="0" w:space="0" w:color="auto"/>
            <w:right w:val="none" w:sz="0" w:space="0" w:color="auto"/>
          </w:divBdr>
        </w:div>
      </w:divsChild>
    </w:div>
    <w:div w:id="52193043">
      <w:marLeft w:val="0"/>
      <w:marRight w:val="0"/>
      <w:marTop w:val="360"/>
      <w:marBottom w:val="0"/>
      <w:divBdr>
        <w:top w:val="none" w:sz="0" w:space="0" w:color="auto"/>
        <w:left w:val="none" w:sz="0" w:space="0" w:color="auto"/>
        <w:bottom w:val="none" w:sz="0" w:space="0" w:color="auto"/>
        <w:right w:val="none" w:sz="0" w:space="0" w:color="auto"/>
      </w:divBdr>
    </w:div>
    <w:div w:id="52587585">
      <w:marLeft w:val="0"/>
      <w:marRight w:val="0"/>
      <w:marTop w:val="200"/>
      <w:marBottom w:val="0"/>
      <w:divBdr>
        <w:top w:val="none" w:sz="0" w:space="0" w:color="auto"/>
        <w:left w:val="none" w:sz="0" w:space="0" w:color="auto"/>
        <w:bottom w:val="none" w:sz="0" w:space="0" w:color="auto"/>
        <w:right w:val="none" w:sz="0" w:space="0" w:color="auto"/>
      </w:divBdr>
    </w:div>
    <w:div w:id="54934350">
      <w:marLeft w:val="0"/>
      <w:marRight w:val="0"/>
      <w:marTop w:val="0"/>
      <w:marBottom w:val="0"/>
      <w:divBdr>
        <w:top w:val="none" w:sz="0" w:space="0" w:color="auto"/>
        <w:left w:val="none" w:sz="0" w:space="0" w:color="auto"/>
        <w:bottom w:val="none" w:sz="0" w:space="0" w:color="auto"/>
        <w:right w:val="none" w:sz="0" w:space="0" w:color="auto"/>
      </w:divBdr>
      <w:divsChild>
        <w:div w:id="537819074">
          <w:marLeft w:val="0"/>
          <w:marRight w:val="0"/>
          <w:marTop w:val="0"/>
          <w:marBottom w:val="0"/>
          <w:divBdr>
            <w:top w:val="none" w:sz="0" w:space="0" w:color="auto"/>
            <w:left w:val="none" w:sz="0" w:space="0" w:color="auto"/>
            <w:bottom w:val="none" w:sz="0" w:space="0" w:color="auto"/>
            <w:right w:val="none" w:sz="0" w:space="0" w:color="auto"/>
          </w:divBdr>
        </w:div>
      </w:divsChild>
    </w:div>
    <w:div w:id="55252470">
      <w:marLeft w:val="0"/>
      <w:marRight w:val="0"/>
      <w:marTop w:val="200"/>
      <w:marBottom w:val="0"/>
      <w:divBdr>
        <w:top w:val="none" w:sz="0" w:space="0" w:color="auto"/>
        <w:left w:val="none" w:sz="0" w:space="0" w:color="auto"/>
        <w:bottom w:val="none" w:sz="0" w:space="0" w:color="auto"/>
        <w:right w:val="none" w:sz="0" w:space="0" w:color="auto"/>
      </w:divBdr>
    </w:div>
    <w:div w:id="56057005">
      <w:marLeft w:val="0"/>
      <w:marRight w:val="0"/>
      <w:marTop w:val="120"/>
      <w:marBottom w:val="0"/>
      <w:divBdr>
        <w:top w:val="none" w:sz="0" w:space="0" w:color="auto"/>
        <w:left w:val="none" w:sz="0" w:space="0" w:color="auto"/>
        <w:bottom w:val="none" w:sz="0" w:space="0" w:color="auto"/>
        <w:right w:val="none" w:sz="0" w:space="0" w:color="auto"/>
      </w:divBdr>
    </w:div>
    <w:div w:id="58286277">
      <w:marLeft w:val="0"/>
      <w:marRight w:val="0"/>
      <w:marTop w:val="200"/>
      <w:marBottom w:val="0"/>
      <w:divBdr>
        <w:top w:val="none" w:sz="0" w:space="0" w:color="auto"/>
        <w:left w:val="none" w:sz="0" w:space="0" w:color="auto"/>
        <w:bottom w:val="none" w:sz="0" w:space="0" w:color="auto"/>
        <w:right w:val="none" w:sz="0" w:space="0" w:color="auto"/>
      </w:divBdr>
    </w:div>
    <w:div w:id="59332617">
      <w:marLeft w:val="0"/>
      <w:marRight w:val="0"/>
      <w:marTop w:val="120"/>
      <w:marBottom w:val="0"/>
      <w:divBdr>
        <w:top w:val="none" w:sz="0" w:space="0" w:color="auto"/>
        <w:left w:val="none" w:sz="0" w:space="0" w:color="auto"/>
        <w:bottom w:val="none" w:sz="0" w:space="0" w:color="auto"/>
        <w:right w:val="none" w:sz="0" w:space="0" w:color="auto"/>
      </w:divBdr>
    </w:div>
    <w:div w:id="59448000">
      <w:marLeft w:val="0"/>
      <w:marRight w:val="0"/>
      <w:marTop w:val="200"/>
      <w:marBottom w:val="0"/>
      <w:divBdr>
        <w:top w:val="none" w:sz="0" w:space="0" w:color="auto"/>
        <w:left w:val="none" w:sz="0" w:space="0" w:color="auto"/>
        <w:bottom w:val="none" w:sz="0" w:space="0" w:color="auto"/>
        <w:right w:val="none" w:sz="0" w:space="0" w:color="auto"/>
      </w:divBdr>
    </w:div>
    <w:div w:id="69811699">
      <w:marLeft w:val="0"/>
      <w:marRight w:val="0"/>
      <w:marTop w:val="0"/>
      <w:marBottom w:val="0"/>
      <w:divBdr>
        <w:top w:val="none" w:sz="0" w:space="0" w:color="auto"/>
        <w:left w:val="none" w:sz="0" w:space="0" w:color="auto"/>
        <w:bottom w:val="none" w:sz="0" w:space="0" w:color="auto"/>
        <w:right w:val="none" w:sz="0" w:space="0" w:color="auto"/>
      </w:divBdr>
    </w:div>
    <w:div w:id="71976383">
      <w:marLeft w:val="0"/>
      <w:marRight w:val="0"/>
      <w:marTop w:val="200"/>
      <w:marBottom w:val="0"/>
      <w:divBdr>
        <w:top w:val="none" w:sz="0" w:space="0" w:color="auto"/>
        <w:left w:val="none" w:sz="0" w:space="0" w:color="auto"/>
        <w:bottom w:val="none" w:sz="0" w:space="0" w:color="auto"/>
        <w:right w:val="none" w:sz="0" w:space="0" w:color="auto"/>
      </w:divBdr>
    </w:div>
    <w:div w:id="73817290">
      <w:marLeft w:val="0"/>
      <w:marRight w:val="0"/>
      <w:marTop w:val="200"/>
      <w:marBottom w:val="0"/>
      <w:divBdr>
        <w:top w:val="none" w:sz="0" w:space="0" w:color="auto"/>
        <w:left w:val="none" w:sz="0" w:space="0" w:color="auto"/>
        <w:bottom w:val="none" w:sz="0" w:space="0" w:color="auto"/>
        <w:right w:val="none" w:sz="0" w:space="0" w:color="auto"/>
      </w:divBdr>
    </w:div>
    <w:div w:id="74132628">
      <w:marLeft w:val="0"/>
      <w:marRight w:val="0"/>
      <w:marTop w:val="200"/>
      <w:marBottom w:val="0"/>
      <w:divBdr>
        <w:top w:val="none" w:sz="0" w:space="0" w:color="auto"/>
        <w:left w:val="none" w:sz="0" w:space="0" w:color="auto"/>
        <w:bottom w:val="none" w:sz="0" w:space="0" w:color="auto"/>
        <w:right w:val="none" w:sz="0" w:space="0" w:color="auto"/>
      </w:divBdr>
    </w:div>
    <w:div w:id="74867504">
      <w:marLeft w:val="0"/>
      <w:marRight w:val="0"/>
      <w:marTop w:val="200"/>
      <w:marBottom w:val="0"/>
      <w:divBdr>
        <w:top w:val="none" w:sz="0" w:space="0" w:color="auto"/>
        <w:left w:val="none" w:sz="0" w:space="0" w:color="auto"/>
        <w:bottom w:val="none" w:sz="0" w:space="0" w:color="auto"/>
        <w:right w:val="none" w:sz="0" w:space="0" w:color="auto"/>
      </w:divBdr>
    </w:div>
    <w:div w:id="75786860">
      <w:marLeft w:val="0"/>
      <w:marRight w:val="0"/>
      <w:marTop w:val="210"/>
      <w:marBottom w:val="0"/>
      <w:divBdr>
        <w:top w:val="none" w:sz="0" w:space="0" w:color="auto"/>
        <w:left w:val="none" w:sz="0" w:space="0" w:color="auto"/>
        <w:bottom w:val="none" w:sz="0" w:space="0" w:color="auto"/>
        <w:right w:val="none" w:sz="0" w:space="0" w:color="auto"/>
      </w:divBdr>
    </w:div>
    <w:div w:id="76677145">
      <w:marLeft w:val="0"/>
      <w:marRight w:val="0"/>
      <w:marTop w:val="0"/>
      <w:marBottom w:val="0"/>
      <w:divBdr>
        <w:top w:val="none" w:sz="0" w:space="0" w:color="auto"/>
        <w:left w:val="none" w:sz="0" w:space="0" w:color="auto"/>
        <w:bottom w:val="none" w:sz="0" w:space="0" w:color="auto"/>
        <w:right w:val="none" w:sz="0" w:space="0" w:color="auto"/>
      </w:divBdr>
      <w:divsChild>
        <w:div w:id="575212118">
          <w:marLeft w:val="0"/>
          <w:marRight w:val="0"/>
          <w:marTop w:val="0"/>
          <w:marBottom w:val="0"/>
          <w:divBdr>
            <w:top w:val="none" w:sz="0" w:space="0" w:color="auto"/>
            <w:left w:val="none" w:sz="0" w:space="0" w:color="auto"/>
            <w:bottom w:val="none" w:sz="0" w:space="0" w:color="auto"/>
            <w:right w:val="none" w:sz="0" w:space="0" w:color="auto"/>
          </w:divBdr>
        </w:div>
      </w:divsChild>
    </w:div>
    <w:div w:id="79063784">
      <w:marLeft w:val="0"/>
      <w:marRight w:val="0"/>
      <w:marTop w:val="120"/>
      <w:marBottom w:val="0"/>
      <w:divBdr>
        <w:top w:val="none" w:sz="0" w:space="0" w:color="auto"/>
        <w:left w:val="none" w:sz="0" w:space="0" w:color="auto"/>
        <w:bottom w:val="none" w:sz="0" w:space="0" w:color="auto"/>
        <w:right w:val="none" w:sz="0" w:space="0" w:color="auto"/>
      </w:divBdr>
    </w:div>
    <w:div w:id="80106451">
      <w:marLeft w:val="0"/>
      <w:marRight w:val="0"/>
      <w:marTop w:val="200"/>
      <w:marBottom w:val="0"/>
      <w:divBdr>
        <w:top w:val="none" w:sz="0" w:space="0" w:color="auto"/>
        <w:left w:val="none" w:sz="0" w:space="0" w:color="auto"/>
        <w:bottom w:val="none" w:sz="0" w:space="0" w:color="auto"/>
        <w:right w:val="none" w:sz="0" w:space="0" w:color="auto"/>
      </w:divBdr>
    </w:div>
    <w:div w:id="80179504">
      <w:marLeft w:val="0"/>
      <w:marRight w:val="0"/>
      <w:marTop w:val="200"/>
      <w:marBottom w:val="0"/>
      <w:divBdr>
        <w:top w:val="none" w:sz="0" w:space="0" w:color="auto"/>
        <w:left w:val="none" w:sz="0" w:space="0" w:color="auto"/>
        <w:bottom w:val="none" w:sz="0" w:space="0" w:color="auto"/>
        <w:right w:val="none" w:sz="0" w:space="0" w:color="auto"/>
      </w:divBdr>
    </w:div>
    <w:div w:id="81801203">
      <w:marLeft w:val="0"/>
      <w:marRight w:val="0"/>
      <w:marTop w:val="200"/>
      <w:marBottom w:val="0"/>
      <w:divBdr>
        <w:top w:val="none" w:sz="0" w:space="0" w:color="auto"/>
        <w:left w:val="none" w:sz="0" w:space="0" w:color="auto"/>
        <w:bottom w:val="none" w:sz="0" w:space="0" w:color="auto"/>
        <w:right w:val="none" w:sz="0" w:space="0" w:color="auto"/>
      </w:divBdr>
    </w:div>
    <w:div w:id="81924933">
      <w:marLeft w:val="0"/>
      <w:marRight w:val="0"/>
      <w:marTop w:val="0"/>
      <w:marBottom w:val="0"/>
      <w:divBdr>
        <w:top w:val="none" w:sz="0" w:space="0" w:color="auto"/>
        <w:left w:val="none" w:sz="0" w:space="0" w:color="auto"/>
        <w:bottom w:val="none" w:sz="0" w:space="0" w:color="auto"/>
        <w:right w:val="none" w:sz="0" w:space="0" w:color="auto"/>
      </w:divBdr>
      <w:divsChild>
        <w:div w:id="1021975300">
          <w:marLeft w:val="0"/>
          <w:marRight w:val="0"/>
          <w:marTop w:val="0"/>
          <w:marBottom w:val="0"/>
          <w:divBdr>
            <w:top w:val="none" w:sz="0" w:space="0" w:color="auto"/>
            <w:left w:val="none" w:sz="0" w:space="0" w:color="auto"/>
            <w:bottom w:val="none" w:sz="0" w:space="0" w:color="auto"/>
            <w:right w:val="none" w:sz="0" w:space="0" w:color="auto"/>
          </w:divBdr>
        </w:div>
      </w:divsChild>
    </w:div>
    <w:div w:id="82384339">
      <w:marLeft w:val="0"/>
      <w:marRight w:val="0"/>
      <w:marTop w:val="0"/>
      <w:marBottom w:val="0"/>
      <w:divBdr>
        <w:top w:val="none" w:sz="0" w:space="0" w:color="auto"/>
        <w:left w:val="none" w:sz="0" w:space="0" w:color="auto"/>
        <w:bottom w:val="none" w:sz="0" w:space="0" w:color="auto"/>
        <w:right w:val="none" w:sz="0" w:space="0" w:color="auto"/>
      </w:divBdr>
      <w:divsChild>
        <w:div w:id="1741053568">
          <w:marLeft w:val="0"/>
          <w:marRight w:val="0"/>
          <w:marTop w:val="0"/>
          <w:marBottom w:val="0"/>
          <w:divBdr>
            <w:top w:val="none" w:sz="0" w:space="0" w:color="auto"/>
            <w:left w:val="none" w:sz="0" w:space="0" w:color="auto"/>
            <w:bottom w:val="none" w:sz="0" w:space="0" w:color="auto"/>
            <w:right w:val="none" w:sz="0" w:space="0" w:color="auto"/>
          </w:divBdr>
        </w:div>
      </w:divsChild>
    </w:div>
    <w:div w:id="84228205">
      <w:marLeft w:val="0"/>
      <w:marRight w:val="0"/>
      <w:marTop w:val="120"/>
      <w:marBottom w:val="0"/>
      <w:divBdr>
        <w:top w:val="none" w:sz="0" w:space="0" w:color="auto"/>
        <w:left w:val="none" w:sz="0" w:space="0" w:color="auto"/>
        <w:bottom w:val="none" w:sz="0" w:space="0" w:color="auto"/>
        <w:right w:val="none" w:sz="0" w:space="0" w:color="auto"/>
      </w:divBdr>
    </w:div>
    <w:div w:id="85659393">
      <w:marLeft w:val="0"/>
      <w:marRight w:val="0"/>
      <w:marTop w:val="0"/>
      <w:marBottom w:val="0"/>
      <w:divBdr>
        <w:top w:val="none" w:sz="0" w:space="0" w:color="auto"/>
        <w:left w:val="none" w:sz="0" w:space="0" w:color="auto"/>
        <w:bottom w:val="none" w:sz="0" w:space="0" w:color="auto"/>
        <w:right w:val="none" w:sz="0" w:space="0" w:color="auto"/>
      </w:divBdr>
      <w:divsChild>
        <w:div w:id="1549878737">
          <w:marLeft w:val="0"/>
          <w:marRight w:val="0"/>
          <w:marTop w:val="0"/>
          <w:marBottom w:val="0"/>
          <w:divBdr>
            <w:top w:val="none" w:sz="0" w:space="0" w:color="auto"/>
            <w:left w:val="none" w:sz="0" w:space="0" w:color="auto"/>
            <w:bottom w:val="none" w:sz="0" w:space="0" w:color="auto"/>
            <w:right w:val="none" w:sz="0" w:space="0" w:color="auto"/>
          </w:divBdr>
        </w:div>
      </w:divsChild>
    </w:div>
    <w:div w:id="94836930">
      <w:marLeft w:val="0"/>
      <w:marRight w:val="0"/>
      <w:marTop w:val="360"/>
      <w:marBottom w:val="0"/>
      <w:divBdr>
        <w:top w:val="none" w:sz="0" w:space="0" w:color="auto"/>
        <w:left w:val="none" w:sz="0" w:space="0" w:color="auto"/>
        <w:bottom w:val="none" w:sz="0" w:space="0" w:color="auto"/>
        <w:right w:val="none" w:sz="0" w:space="0" w:color="auto"/>
      </w:divBdr>
    </w:div>
    <w:div w:id="95909867">
      <w:marLeft w:val="0"/>
      <w:marRight w:val="0"/>
      <w:marTop w:val="200"/>
      <w:marBottom w:val="0"/>
      <w:divBdr>
        <w:top w:val="none" w:sz="0" w:space="0" w:color="auto"/>
        <w:left w:val="none" w:sz="0" w:space="0" w:color="auto"/>
        <w:bottom w:val="none" w:sz="0" w:space="0" w:color="auto"/>
        <w:right w:val="none" w:sz="0" w:space="0" w:color="auto"/>
      </w:divBdr>
    </w:div>
    <w:div w:id="100418047">
      <w:marLeft w:val="0"/>
      <w:marRight w:val="0"/>
      <w:marTop w:val="240"/>
      <w:marBottom w:val="0"/>
      <w:divBdr>
        <w:top w:val="none" w:sz="0" w:space="0" w:color="auto"/>
        <w:left w:val="none" w:sz="0" w:space="0" w:color="auto"/>
        <w:bottom w:val="none" w:sz="0" w:space="0" w:color="auto"/>
        <w:right w:val="none" w:sz="0" w:space="0" w:color="auto"/>
      </w:divBdr>
    </w:div>
    <w:div w:id="101734065">
      <w:marLeft w:val="0"/>
      <w:marRight w:val="0"/>
      <w:marTop w:val="0"/>
      <w:marBottom w:val="0"/>
      <w:divBdr>
        <w:top w:val="none" w:sz="0" w:space="0" w:color="auto"/>
        <w:left w:val="none" w:sz="0" w:space="0" w:color="auto"/>
        <w:bottom w:val="none" w:sz="0" w:space="0" w:color="auto"/>
        <w:right w:val="none" w:sz="0" w:space="0" w:color="auto"/>
      </w:divBdr>
      <w:divsChild>
        <w:div w:id="613633566">
          <w:marLeft w:val="0"/>
          <w:marRight w:val="0"/>
          <w:marTop w:val="0"/>
          <w:marBottom w:val="0"/>
          <w:divBdr>
            <w:top w:val="none" w:sz="0" w:space="0" w:color="auto"/>
            <w:left w:val="none" w:sz="0" w:space="0" w:color="auto"/>
            <w:bottom w:val="none" w:sz="0" w:space="0" w:color="auto"/>
            <w:right w:val="none" w:sz="0" w:space="0" w:color="auto"/>
          </w:divBdr>
        </w:div>
      </w:divsChild>
    </w:div>
    <w:div w:id="105194128">
      <w:marLeft w:val="0"/>
      <w:marRight w:val="0"/>
      <w:marTop w:val="200"/>
      <w:marBottom w:val="0"/>
      <w:divBdr>
        <w:top w:val="none" w:sz="0" w:space="0" w:color="auto"/>
        <w:left w:val="none" w:sz="0" w:space="0" w:color="auto"/>
        <w:bottom w:val="none" w:sz="0" w:space="0" w:color="auto"/>
        <w:right w:val="none" w:sz="0" w:space="0" w:color="auto"/>
      </w:divBdr>
    </w:div>
    <w:div w:id="105467099">
      <w:marLeft w:val="0"/>
      <w:marRight w:val="0"/>
      <w:marTop w:val="0"/>
      <w:marBottom w:val="0"/>
      <w:divBdr>
        <w:top w:val="none" w:sz="0" w:space="0" w:color="auto"/>
        <w:left w:val="none" w:sz="0" w:space="0" w:color="auto"/>
        <w:bottom w:val="none" w:sz="0" w:space="0" w:color="auto"/>
        <w:right w:val="none" w:sz="0" w:space="0" w:color="auto"/>
      </w:divBdr>
      <w:divsChild>
        <w:div w:id="1097092789">
          <w:marLeft w:val="0"/>
          <w:marRight w:val="0"/>
          <w:marTop w:val="0"/>
          <w:marBottom w:val="0"/>
          <w:divBdr>
            <w:top w:val="none" w:sz="0" w:space="0" w:color="auto"/>
            <w:left w:val="none" w:sz="0" w:space="0" w:color="auto"/>
            <w:bottom w:val="none" w:sz="0" w:space="0" w:color="auto"/>
            <w:right w:val="none" w:sz="0" w:space="0" w:color="auto"/>
          </w:divBdr>
        </w:div>
      </w:divsChild>
    </w:div>
    <w:div w:id="106002358">
      <w:marLeft w:val="0"/>
      <w:marRight w:val="0"/>
      <w:marTop w:val="210"/>
      <w:marBottom w:val="0"/>
      <w:divBdr>
        <w:top w:val="none" w:sz="0" w:space="0" w:color="auto"/>
        <w:left w:val="none" w:sz="0" w:space="0" w:color="auto"/>
        <w:bottom w:val="none" w:sz="0" w:space="0" w:color="auto"/>
        <w:right w:val="none" w:sz="0" w:space="0" w:color="auto"/>
      </w:divBdr>
    </w:div>
    <w:div w:id="106312095">
      <w:marLeft w:val="0"/>
      <w:marRight w:val="0"/>
      <w:marTop w:val="200"/>
      <w:marBottom w:val="0"/>
      <w:divBdr>
        <w:top w:val="none" w:sz="0" w:space="0" w:color="auto"/>
        <w:left w:val="none" w:sz="0" w:space="0" w:color="auto"/>
        <w:bottom w:val="none" w:sz="0" w:space="0" w:color="auto"/>
        <w:right w:val="none" w:sz="0" w:space="0" w:color="auto"/>
      </w:divBdr>
    </w:div>
    <w:div w:id="108277232">
      <w:marLeft w:val="0"/>
      <w:marRight w:val="0"/>
      <w:marTop w:val="0"/>
      <w:marBottom w:val="0"/>
      <w:divBdr>
        <w:top w:val="none" w:sz="0" w:space="0" w:color="auto"/>
        <w:left w:val="none" w:sz="0" w:space="0" w:color="auto"/>
        <w:bottom w:val="none" w:sz="0" w:space="0" w:color="auto"/>
        <w:right w:val="none" w:sz="0" w:space="0" w:color="auto"/>
      </w:divBdr>
    </w:div>
    <w:div w:id="111362045">
      <w:marLeft w:val="0"/>
      <w:marRight w:val="0"/>
      <w:marTop w:val="120"/>
      <w:marBottom w:val="0"/>
      <w:divBdr>
        <w:top w:val="none" w:sz="0" w:space="0" w:color="auto"/>
        <w:left w:val="none" w:sz="0" w:space="0" w:color="auto"/>
        <w:bottom w:val="none" w:sz="0" w:space="0" w:color="auto"/>
        <w:right w:val="none" w:sz="0" w:space="0" w:color="auto"/>
      </w:divBdr>
    </w:div>
    <w:div w:id="112096888">
      <w:marLeft w:val="0"/>
      <w:marRight w:val="0"/>
      <w:marTop w:val="200"/>
      <w:marBottom w:val="0"/>
      <w:divBdr>
        <w:top w:val="none" w:sz="0" w:space="0" w:color="auto"/>
        <w:left w:val="none" w:sz="0" w:space="0" w:color="auto"/>
        <w:bottom w:val="none" w:sz="0" w:space="0" w:color="auto"/>
        <w:right w:val="none" w:sz="0" w:space="0" w:color="auto"/>
      </w:divBdr>
    </w:div>
    <w:div w:id="113063823">
      <w:marLeft w:val="0"/>
      <w:marRight w:val="0"/>
      <w:marTop w:val="0"/>
      <w:marBottom w:val="0"/>
      <w:divBdr>
        <w:top w:val="none" w:sz="0" w:space="0" w:color="auto"/>
        <w:left w:val="none" w:sz="0" w:space="0" w:color="auto"/>
        <w:bottom w:val="none" w:sz="0" w:space="0" w:color="auto"/>
        <w:right w:val="none" w:sz="0" w:space="0" w:color="auto"/>
      </w:divBdr>
    </w:div>
    <w:div w:id="113715698">
      <w:marLeft w:val="0"/>
      <w:marRight w:val="0"/>
      <w:marTop w:val="0"/>
      <w:marBottom w:val="0"/>
      <w:divBdr>
        <w:top w:val="none" w:sz="0" w:space="0" w:color="auto"/>
        <w:left w:val="none" w:sz="0" w:space="0" w:color="auto"/>
        <w:bottom w:val="none" w:sz="0" w:space="0" w:color="auto"/>
        <w:right w:val="none" w:sz="0" w:space="0" w:color="auto"/>
      </w:divBdr>
      <w:divsChild>
        <w:div w:id="1084037015">
          <w:marLeft w:val="0"/>
          <w:marRight w:val="0"/>
          <w:marTop w:val="0"/>
          <w:marBottom w:val="0"/>
          <w:divBdr>
            <w:top w:val="none" w:sz="0" w:space="0" w:color="auto"/>
            <w:left w:val="none" w:sz="0" w:space="0" w:color="auto"/>
            <w:bottom w:val="none" w:sz="0" w:space="0" w:color="auto"/>
            <w:right w:val="none" w:sz="0" w:space="0" w:color="auto"/>
          </w:divBdr>
        </w:div>
      </w:divsChild>
    </w:div>
    <w:div w:id="114954543">
      <w:marLeft w:val="0"/>
      <w:marRight w:val="0"/>
      <w:marTop w:val="120"/>
      <w:marBottom w:val="0"/>
      <w:divBdr>
        <w:top w:val="none" w:sz="0" w:space="0" w:color="auto"/>
        <w:left w:val="none" w:sz="0" w:space="0" w:color="auto"/>
        <w:bottom w:val="none" w:sz="0" w:space="0" w:color="auto"/>
        <w:right w:val="none" w:sz="0" w:space="0" w:color="auto"/>
      </w:divBdr>
    </w:div>
    <w:div w:id="115756869">
      <w:marLeft w:val="0"/>
      <w:marRight w:val="0"/>
      <w:marTop w:val="200"/>
      <w:marBottom w:val="0"/>
      <w:divBdr>
        <w:top w:val="none" w:sz="0" w:space="0" w:color="auto"/>
        <w:left w:val="none" w:sz="0" w:space="0" w:color="auto"/>
        <w:bottom w:val="none" w:sz="0" w:space="0" w:color="auto"/>
        <w:right w:val="none" w:sz="0" w:space="0" w:color="auto"/>
      </w:divBdr>
    </w:div>
    <w:div w:id="118572134">
      <w:marLeft w:val="0"/>
      <w:marRight w:val="0"/>
      <w:marTop w:val="0"/>
      <w:marBottom w:val="0"/>
      <w:divBdr>
        <w:top w:val="none" w:sz="0" w:space="0" w:color="auto"/>
        <w:left w:val="none" w:sz="0" w:space="0" w:color="auto"/>
        <w:bottom w:val="none" w:sz="0" w:space="0" w:color="auto"/>
        <w:right w:val="none" w:sz="0" w:space="0" w:color="auto"/>
      </w:divBdr>
      <w:divsChild>
        <w:div w:id="1592464692">
          <w:marLeft w:val="0"/>
          <w:marRight w:val="0"/>
          <w:marTop w:val="0"/>
          <w:marBottom w:val="0"/>
          <w:divBdr>
            <w:top w:val="none" w:sz="0" w:space="0" w:color="auto"/>
            <w:left w:val="none" w:sz="0" w:space="0" w:color="auto"/>
            <w:bottom w:val="none" w:sz="0" w:space="0" w:color="auto"/>
            <w:right w:val="none" w:sz="0" w:space="0" w:color="auto"/>
          </w:divBdr>
        </w:div>
      </w:divsChild>
    </w:div>
    <w:div w:id="120421744">
      <w:marLeft w:val="0"/>
      <w:marRight w:val="0"/>
      <w:marTop w:val="200"/>
      <w:marBottom w:val="0"/>
      <w:divBdr>
        <w:top w:val="none" w:sz="0" w:space="0" w:color="auto"/>
        <w:left w:val="none" w:sz="0" w:space="0" w:color="auto"/>
        <w:bottom w:val="none" w:sz="0" w:space="0" w:color="auto"/>
        <w:right w:val="none" w:sz="0" w:space="0" w:color="auto"/>
      </w:divBdr>
    </w:div>
    <w:div w:id="120920989">
      <w:marLeft w:val="0"/>
      <w:marRight w:val="0"/>
      <w:marTop w:val="240"/>
      <w:marBottom w:val="0"/>
      <w:divBdr>
        <w:top w:val="none" w:sz="0" w:space="0" w:color="auto"/>
        <w:left w:val="none" w:sz="0" w:space="0" w:color="auto"/>
        <w:bottom w:val="none" w:sz="0" w:space="0" w:color="auto"/>
        <w:right w:val="none" w:sz="0" w:space="0" w:color="auto"/>
      </w:divBdr>
    </w:div>
    <w:div w:id="121852347">
      <w:marLeft w:val="0"/>
      <w:marRight w:val="0"/>
      <w:marTop w:val="0"/>
      <w:marBottom w:val="0"/>
      <w:divBdr>
        <w:top w:val="none" w:sz="0" w:space="0" w:color="auto"/>
        <w:left w:val="none" w:sz="0" w:space="0" w:color="auto"/>
        <w:bottom w:val="none" w:sz="0" w:space="0" w:color="auto"/>
        <w:right w:val="none" w:sz="0" w:space="0" w:color="auto"/>
      </w:divBdr>
      <w:divsChild>
        <w:div w:id="2058502485">
          <w:marLeft w:val="0"/>
          <w:marRight w:val="0"/>
          <w:marTop w:val="0"/>
          <w:marBottom w:val="0"/>
          <w:divBdr>
            <w:top w:val="none" w:sz="0" w:space="0" w:color="auto"/>
            <w:left w:val="none" w:sz="0" w:space="0" w:color="auto"/>
            <w:bottom w:val="none" w:sz="0" w:space="0" w:color="auto"/>
            <w:right w:val="none" w:sz="0" w:space="0" w:color="auto"/>
          </w:divBdr>
        </w:div>
      </w:divsChild>
    </w:div>
    <w:div w:id="124127868">
      <w:marLeft w:val="0"/>
      <w:marRight w:val="0"/>
      <w:marTop w:val="0"/>
      <w:marBottom w:val="0"/>
      <w:divBdr>
        <w:top w:val="none" w:sz="0" w:space="0" w:color="auto"/>
        <w:left w:val="none" w:sz="0" w:space="0" w:color="auto"/>
        <w:bottom w:val="none" w:sz="0" w:space="0" w:color="auto"/>
        <w:right w:val="none" w:sz="0" w:space="0" w:color="auto"/>
      </w:divBdr>
      <w:divsChild>
        <w:div w:id="868762008">
          <w:marLeft w:val="0"/>
          <w:marRight w:val="0"/>
          <w:marTop w:val="0"/>
          <w:marBottom w:val="0"/>
          <w:divBdr>
            <w:top w:val="none" w:sz="0" w:space="0" w:color="auto"/>
            <w:left w:val="none" w:sz="0" w:space="0" w:color="auto"/>
            <w:bottom w:val="none" w:sz="0" w:space="0" w:color="auto"/>
            <w:right w:val="none" w:sz="0" w:space="0" w:color="auto"/>
          </w:divBdr>
        </w:div>
      </w:divsChild>
    </w:div>
    <w:div w:id="124933657">
      <w:marLeft w:val="0"/>
      <w:marRight w:val="0"/>
      <w:marTop w:val="200"/>
      <w:marBottom w:val="0"/>
      <w:divBdr>
        <w:top w:val="none" w:sz="0" w:space="0" w:color="auto"/>
        <w:left w:val="none" w:sz="0" w:space="0" w:color="auto"/>
        <w:bottom w:val="none" w:sz="0" w:space="0" w:color="auto"/>
        <w:right w:val="none" w:sz="0" w:space="0" w:color="auto"/>
      </w:divBdr>
    </w:div>
    <w:div w:id="126750369">
      <w:marLeft w:val="0"/>
      <w:marRight w:val="0"/>
      <w:marTop w:val="200"/>
      <w:marBottom w:val="0"/>
      <w:divBdr>
        <w:top w:val="none" w:sz="0" w:space="0" w:color="auto"/>
        <w:left w:val="none" w:sz="0" w:space="0" w:color="auto"/>
        <w:bottom w:val="none" w:sz="0" w:space="0" w:color="auto"/>
        <w:right w:val="none" w:sz="0" w:space="0" w:color="auto"/>
      </w:divBdr>
    </w:div>
    <w:div w:id="129591975">
      <w:marLeft w:val="0"/>
      <w:marRight w:val="0"/>
      <w:marTop w:val="200"/>
      <w:marBottom w:val="0"/>
      <w:divBdr>
        <w:top w:val="none" w:sz="0" w:space="0" w:color="auto"/>
        <w:left w:val="none" w:sz="0" w:space="0" w:color="auto"/>
        <w:bottom w:val="none" w:sz="0" w:space="0" w:color="auto"/>
        <w:right w:val="none" w:sz="0" w:space="0" w:color="auto"/>
      </w:divBdr>
    </w:div>
    <w:div w:id="131362749">
      <w:marLeft w:val="0"/>
      <w:marRight w:val="0"/>
      <w:marTop w:val="0"/>
      <w:marBottom w:val="0"/>
      <w:divBdr>
        <w:top w:val="none" w:sz="0" w:space="0" w:color="auto"/>
        <w:left w:val="none" w:sz="0" w:space="0" w:color="auto"/>
        <w:bottom w:val="none" w:sz="0" w:space="0" w:color="auto"/>
        <w:right w:val="none" w:sz="0" w:space="0" w:color="auto"/>
      </w:divBdr>
      <w:divsChild>
        <w:div w:id="886991666">
          <w:marLeft w:val="0"/>
          <w:marRight w:val="0"/>
          <w:marTop w:val="0"/>
          <w:marBottom w:val="0"/>
          <w:divBdr>
            <w:top w:val="none" w:sz="0" w:space="0" w:color="auto"/>
            <w:left w:val="none" w:sz="0" w:space="0" w:color="auto"/>
            <w:bottom w:val="none" w:sz="0" w:space="0" w:color="auto"/>
            <w:right w:val="none" w:sz="0" w:space="0" w:color="auto"/>
          </w:divBdr>
        </w:div>
      </w:divsChild>
    </w:div>
    <w:div w:id="136069857">
      <w:marLeft w:val="0"/>
      <w:marRight w:val="0"/>
      <w:marTop w:val="0"/>
      <w:marBottom w:val="0"/>
      <w:divBdr>
        <w:top w:val="none" w:sz="0" w:space="0" w:color="auto"/>
        <w:left w:val="none" w:sz="0" w:space="0" w:color="auto"/>
        <w:bottom w:val="none" w:sz="0" w:space="0" w:color="auto"/>
        <w:right w:val="none" w:sz="0" w:space="0" w:color="auto"/>
      </w:divBdr>
    </w:div>
    <w:div w:id="136457018">
      <w:marLeft w:val="0"/>
      <w:marRight w:val="0"/>
      <w:marTop w:val="120"/>
      <w:marBottom w:val="0"/>
      <w:divBdr>
        <w:top w:val="none" w:sz="0" w:space="0" w:color="auto"/>
        <w:left w:val="none" w:sz="0" w:space="0" w:color="auto"/>
        <w:bottom w:val="none" w:sz="0" w:space="0" w:color="auto"/>
        <w:right w:val="none" w:sz="0" w:space="0" w:color="auto"/>
      </w:divBdr>
    </w:div>
    <w:div w:id="137453941">
      <w:marLeft w:val="0"/>
      <w:marRight w:val="0"/>
      <w:marTop w:val="210"/>
      <w:marBottom w:val="0"/>
      <w:divBdr>
        <w:top w:val="none" w:sz="0" w:space="0" w:color="auto"/>
        <w:left w:val="none" w:sz="0" w:space="0" w:color="auto"/>
        <w:bottom w:val="none" w:sz="0" w:space="0" w:color="auto"/>
        <w:right w:val="none" w:sz="0" w:space="0" w:color="auto"/>
      </w:divBdr>
    </w:div>
    <w:div w:id="137841760">
      <w:marLeft w:val="0"/>
      <w:marRight w:val="0"/>
      <w:marTop w:val="0"/>
      <w:marBottom w:val="0"/>
      <w:divBdr>
        <w:top w:val="none" w:sz="0" w:space="0" w:color="auto"/>
        <w:left w:val="none" w:sz="0" w:space="0" w:color="auto"/>
        <w:bottom w:val="none" w:sz="0" w:space="0" w:color="auto"/>
        <w:right w:val="none" w:sz="0" w:space="0" w:color="auto"/>
      </w:divBdr>
      <w:divsChild>
        <w:div w:id="1052730926">
          <w:marLeft w:val="0"/>
          <w:marRight w:val="0"/>
          <w:marTop w:val="0"/>
          <w:marBottom w:val="0"/>
          <w:divBdr>
            <w:top w:val="none" w:sz="0" w:space="0" w:color="auto"/>
            <w:left w:val="none" w:sz="0" w:space="0" w:color="auto"/>
            <w:bottom w:val="none" w:sz="0" w:space="0" w:color="auto"/>
            <w:right w:val="none" w:sz="0" w:space="0" w:color="auto"/>
          </w:divBdr>
        </w:div>
      </w:divsChild>
    </w:div>
    <w:div w:id="138497694">
      <w:marLeft w:val="0"/>
      <w:marRight w:val="0"/>
      <w:marTop w:val="0"/>
      <w:marBottom w:val="0"/>
      <w:divBdr>
        <w:top w:val="none" w:sz="0" w:space="0" w:color="auto"/>
        <w:left w:val="none" w:sz="0" w:space="0" w:color="auto"/>
        <w:bottom w:val="none" w:sz="0" w:space="0" w:color="auto"/>
        <w:right w:val="none" w:sz="0" w:space="0" w:color="auto"/>
      </w:divBdr>
      <w:divsChild>
        <w:div w:id="1383747580">
          <w:marLeft w:val="0"/>
          <w:marRight w:val="0"/>
          <w:marTop w:val="0"/>
          <w:marBottom w:val="0"/>
          <w:divBdr>
            <w:top w:val="none" w:sz="0" w:space="0" w:color="auto"/>
            <w:left w:val="none" w:sz="0" w:space="0" w:color="auto"/>
            <w:bottom w:val="none" w:sz="0" w:space="0" w:color="auto"/>
            <w:right w:val="none" w:sz="0" w:space="0" w:color="auto"/>
          </w:divBdr>
        </w:div>
      </w:divsChild>
    </w:div>
    <w:div w:id="139657878">
      <w:marLeft w:val="0"/>
      <w:marRight w:val="0"/>
      <w:marTop w:val="240"/>
      <w:marBottom w:val="0"/>
      <w:divBdr>
        <w:top w:val="none" w:sz="0" w:space="0" w:color="auto"/>
        <w:left w:val="none" w:sz="0" w:space="0" w:color="auto"/>
        <w:bottom w:val="none" w:sz="0" w:space="0" w:color="auto"/>
        <w:right w:val="none" w:sz="0" w:space="0" w:color="auto"/>
      </w:divBdr>
    </w:div>
    <w:div w:id="140082000">
      <w:marLeft w:val="0"/>
      <w:marRight w:val="0"/>
      <w:marTop w:val="200"/>
      <w:marBottom w:val="0"/>
      <w:divBdr>
        <w:top w:val="none" w:sz="0" w:space="0" w:color="auto"/>
        <w:left w:val="none" w:sz="0" w:space="0" w:color="auto"/>
        <w:bottom w:val="none" w:sz="0" w:space="0" w:color="auto"/>
        <w:right w:val="none" w:sz="0" w:space="0" w:color="auto"/>
      </w:divBdr>
    </w:div>
    <w:div w:id="140586339">
      <w:marLeft w:val="0"/>
      <w:marRight w:val="0"/>
      <w:marTop w:val="120"/>
      <w:marBottom w:val="0"/>
      <w:divBdr>
        <w:top w:val="none" w:sz="0" w:space="0" w:color="auto"/>
        <w:left w:val="none" w:sz="0" w:space="0" w:color="auto"/>
        <w:bottom w:val="none" w:sz="0" w:space="0" w:color="auto"/>
        <w:right w:val="none" w:sz="0" w:space="0" w:color="auto"/>
      </w:divBdr>
    </w:div>
    <w:div w:id="141822651">
      <w:marLeft w:val="0"/>
      <w:marRight w:val="0"/>
      <w:marTop w:val="200"/>
      <w:marBottom w:val="0"/>
      <w:divBdr>
        <w:top w:val="none" w:sz="0" w:space="0" w:color="auto"/>
        <w:left w:val="none" w:sz="0" w:space="0" w:color="auto"/>
        <w:bottom w:val="none" w:sz="0" w:space="0" w:color="auto"/>
        <w:right w:val="none" w:sz="0" w:space="0" w:color="auto"/>
      </w:divBdr>
    </w:div>
    <w:div w:id="143352668">
      <w:marLeft w:val="0"/>
      <w:marRight w:val="0"/>
      <w:marTop w:val="240"/>
      <w:marBottom w:val="0"/>
      <w:divBdr>
        <w:top w:val="none" w:sz="0" w:space="0" w:color="auto"/>
        <w:left w:val="none" w:sz="0" w:space="0" w:color="auto"/>
        <w:bottom w:val="none" w:sz="0" w:space="0" w:color="auto"/>
        <w:right w:val="none" w:sz="0" w:space="0" w:color="auto"/>
      </w:divBdr>
    </w:div>
    <w:div w:id="151143810">
      <w:marLeft w:val="0"/>
      <w:marRight w:val="0"/>
      <w:marTop w:val="0"/>
      <w:marBottom w:val="0"/>
      <w:divBdr>
        <w:top w:val="none" w:sz="0" w:space="0" w:color="auto"/>
        <w:left w:val="none" w:sz="0" w:space="0" w:color="auto"/>
        <w:bottom w:val="none" w:sz="0" w:space="0" w:color="auto"/>
        <w:right w:val="none" w:sz="0" w:space="0" w:color="auto"/>
      </w:divBdr>
    </w:div>
    <w:div w:id="154880822">
      <w:marLeft w:val="0"/>
      <w:marRight w:val="0"/>
      <w:marTop w:val="200"/>
      <w:marBottom w:val="0"/>
      <w:divBdr>
        <w:top w:val="none" w:sz="0" w:space="0" w:color="auto"/>
        <w:left w:val="none" w:sz="0" w:space="0" w:color="auto"/>
        <w:bottom w:val="none" w:sz="0" w:space="0" w:color="auto"/>
        <w:right w:val="none" w:sz="0" w:space="0" w:color="auto"/>
      </w:divBdr>
    </w:div>
    <w:div w:id="155997362">
      <w:marLeft w:val="0"/>
      <w:marRight w:val="0"/>
      <w:marTop w:val="200"/>
      <w:marBottom w:val="0"/>
      <w:divBdr>
        <w:top w:val="none" w:sz="0" w:space="0" w:color="auto"/>
        <w:left w:val="none" w:sz="0" w:space="0" w:color="auto"/>
        <w:bottom w:val="none" w:sz="0" w:space="0" w:color="auto"/>
        <w:right w:val="none" w:sz="0" w:space="0" w:color="auto"/>
      </w:divBdr>
    </w:div>
    <w:div w:id="156846900">
      <w:marLeft w:val="0"/>
      <w:marRight w:val="0"/>
      <w:marTop w:val="200"/>
      <w:marBottom w:val="0"/>
      <w:divBdr>
        <w:top w:val="none" w:sz="0" w:space="0" w:color="auto"/>
        <w:left w:val="none" w:sz="0" w:space="0" w:color="auto"/>
        <w:bottom w:val="none" w:sz="0" w:space="0" w:color="auto"/>
        <w:right w:val="none" w:sz="0" w:space="0" w:color="auto"/>
      </w:divBdr>
    </w:div>
    <w:div w:id="161238896">
      <w:marLeft w:val="0"/>
      <w:marRight w:val="0"/>
      <w:marTop w:val="200"/>
      <w:marBottom w:val="0"/>
      <w:divBdr>
        <w:top w:val="none" w:sz="0" w:space="0" w:color="auto"/>
        <w:left w:val="none" w:sz="0" w:space="0" w:color="auto"/>
        <w:bottom w:val="none" w:sz="0" w:space="0" w:color="auto"/>
        <w:right w:val="none" w:sz="0" w:space="0" w:color="auto"/>
      </w:divBdr>
    </w:div>
    <w:div w:id="162354614">
      <w:marLeft w:val="0"/>
      <w:marRight w:val="0"/>
      <w:marTop w:val="200"/>
      <w:marBottom w:val="0"/>
      <w:divBdr>
        <w:top w:val="none" w:sz="0" w:space="0" w:color="auto"/>
        <w:left w:val="none" w:sz="0" w:space="0" w:color="auto"/>
        <w:bottom w:val="none" w:sz="0" w:space="0" w:color="auto"/>
        <w:right w:val="none" w:sz="0" w:space="0" w:color="auto"/>
      </w:divBdr>
    </w:div>
    <w:div w:id="163712220">
      <w:marLeft w:val="0"/>
      <w:marRight w:val="0"/>
      <w:marTop w:val="360"/>
      <w:marBottom w:val="0"/>
      <w:divBdr>
        <w:top w:val="none" w:sz="0" w:space="0" w:color="auto"/>
        <w:left w:val="none" w:sz="0" w:space="0" w:color="auto"/>
        <w:bottom w:val="none" w:sz="0" w:space="0" w:color="auto"/>
        <w:right w:val="none" w:sz="0" w:space="0" w:color="auto"/>
      </w:divBdr>
    </w:div>
    <w:div w:id="163789637">
      <w:marLeft w:val="0"/>
      <w:marRight w:val="0"/>
      <w:marTop w:val="360"/>
      <w:marBottom w:val="0"/>
      <w:divBdr>
        <w:top w:val="none" w:sz="0" w:space="0" w:color="auto"/>
        <w:left w:val="none" w:sz="0" w:space="0" w:color="auto"/>
        <w:bottom w:val="none" w:sz="0" w:space="0" w:color="auto"/>
        <w:right w:val="none" w:sz="0" w:space="0" w:color="auto"/>
      </w:divBdr>
    </w:div>
    <w:div w:id="164514558">
      <w:marLeft w:val="0"/>
      <w:marRight w:val="0"/>
      <w:marTop w:val="240"/>
      <w:marBottom w:val="0"/>
      <w:divBdr>
        <w:top w:val="none" w:sz="0" w:space="0" w:color="auto"/>
        <w:left w:val="none" w:sz="0" w:space="0" w:color="auto"/>
        <w:bottom w:val="none" w:sz="0" w:space="0" w:color="auto"/>
        <w:right w:val="none" w:sz="0" w:space="0" w:color="auto"/>
      </w:divBdr>
    </w:div>
    <w:div w:id="164521933">
      <w:marLeft w:val="0"/>
      <w:marRight w:val="0"/>
      <w:marTop w:val="0"/>
      <w:marBottom w:val="0"/>
      <w:divBdr>
        <w:top w:val="none" w:sz="0" w:space="0" w:color="auto"/>
        <w:left w:val="none" w:sz="0" w:space="0" w:color="auto"/>
        <w:bottom w:val="none" w:sz="0" w:space="0" w:color="auto"/>
        <w:right w:val="none" w:sz="0" w:space="0" w:color="auto"/>
      </w:divBdr>
      <w:divsChild>
        <w:div w:id="359820412">
          <w:marLeft w:val="0"/>
          <w:marRight w:val="0"/>
          <w:marTop w:val="0"/>
          <w:marBottom w:val="0"/>
          <w:divBdr>
            <w:top w:val="none" w:sz="0" w:space="0" w:color="auto"/>
            <w:left w:val="none" w:sz="0" w:space="0" w:color="auto"/>
            <w:bottom w:val="none" w:sz="0" w:space="0" w:color="auto"/>
            <w:right w:val="none" w:sz="0" w:space="0" w:color="auto"/>
          </w:divBdr>
        </w:div>
      </w:divsChild>
    </w:div>
    <w:div w:id="168258095">
      <w:marLeft w:val="0"/>
      <w:marRight w:val="0"/>
      <w:marTop w:val="0"/>
      <w:marBottom w:val="0"/>
      <w:divBdr>
        <w:top w:val="none" w:sz="0" w:space="0" w:color="auto"/>
        <w:left w:val="none" w:sz="0" w:space="0" w:color="auto"/>
        <w:bottom w:val="none" w:sz="0" w:space="0" w:color="auto"/>
        <w:right w:val="none" w:sz="0" w:space="0" w:color="auto"/>
      </w:divBdr>
      <w:divsChild>
        <w:div w:id="1053113568">
          <w:marLeft w:val="0"/>
          <w:marRight w:val="0"/>
          <w:marTop w:val="0"/>
          <w:marBottom w:val="0"/>
          <w:divBdr>
            <w:top w:val="none" w:sz="0" w:space="0" w:color="auto"/>
            <w:left w:val="none" w:sz="0" w:space="0" w:color="auto"/>
            <w:bottom w:val="none" w:sz="0" w:space="0" w:color="auto"/>
            <w:right w:val="none" w:sz="0" w:space="0" w:color="auto"/>
          </w:divBdr>
        </w:div>
      </w:divsChild>
    </w:div>
    <w:div w:id="169684679">
      <w:marLeft w:val="0"/>
      <w:marRight w:val="0"/>
      <w:marTop w:val="200"/>
      <w:marBottom w:val="0"/>
      <w:divBdr>
        <w:top w:val="none" w:sz="0" w:space="0" w:color="auto"/>
        <w:left w:val="none" w:sz="0" w:space="0" w:color="auto"/>
        <w:bottom w:val="none" w:sz="0" w:space="0" w:color="auto"/>
        <w:right w:val="none" w:sz="0" w:space="0" w:color="auto"/>
      </w:divBdr>
    </w:div>
    <w:div w:id="174274845">
      <w:marLeft w:val="0"/>
      <w:marRight w:val="0"/>
      <w:marTop w:val="200"/>
      <w:marBottom w:val="0"/>
      <w:divBdr>
        <w:top w:val="none" w:sz="0" w:space="0" w:color="auto"/>
        <w:left w:val="none" w:sz="0" w:space="0" w:color="auto"/>
        <w:bottom w:val="none" w:sz="0" w:space="0" w:color="auto"/>
        <w:right w:val="none" w:sz="0" w:space="0" w:color="auto"/>
      </w:divBdr>
    </w:div>
    <w:div w:id="176502656">
      <w:marLeft w:val="0"/>
      <w:marRight w:val="0"/>
      <w:marTop w:val="200"/>
      <w:marBottom w:val="0"/>
      <w:divBdr>
        <w:top w:val="none" w:sz="0" w:space="0" w:color="auto"/>
        <w:left w:val="none" w:sz="0" w:space="0" w:color="auto"/>
        <w:bottom w:val="none" w:sz="0" w:space="0" w:color="auto"/>
        <w:right w:val="none" w:sz="0" w:space="0" w:color="auto"/>
      </w:divBdr>
    </w:div>
    <w:div w:id="179003915">
      <w:marLeft w:val="0"/>
      <w:marRight w:val="0"/>
      <w:marTop w:val="120"/>
      <w:marBottom w:val="0"/>
      <w:divBdr>
        <w:top w:val="none" w:sz="0" w:space="0" w:color="auto"/>
        <w:left w:val="none" w:sz="0" w:space="0" w:color="auto"/>
        <w:bottom w:val="none" w:sz="0" w:space="0" w:color="auto"/>
        <w:right w:val="none" w:sz="0" w:space="0" w:color="auto"/>
      </w:divBdr>
    </w:div>
    <w:div w:id="182280139">
      <w:marLeft w:val="0"/>
      <w:marRight w:val="0"/>
      <w:marTop w:val="0"/>
      <w:marBottom w:val="0"/>
      <w:divBdr>
        <w:top w:val="none" w:sz="0" w:space="0" w:color="auto"/>
        <w:left w:val="none" w:sz="0" w:space="0" w:color="auto"/>
        <w:bottom w:val="none" w:sz="0" w:space="0" w:color="auto"/>
        <w:right w:val="none" w:sz="0" w:space="0" w:color="auto"/>
      </w:divBdr>
      <w:divsChild>
        <w:div w:id="888877206">
          <w:marLeft w:val="0"/>
          <w:marRight w:val="0"/>
          <w:marTop w:val="0"/>
          <w:marBottom w:val="0"/>
          <w:divBdr>
            <w:top w:val="none" w:sz="0" w:space="0" w:color="auto"/>
            <w:left w:val="none" w:sz="0" w:space="0" w:color="auto"/>
            <w:bottom w:val="none" w:sz="0" w:space="0" w:color="auto"/>
            <w:right w:val="none" w:sz="0" w:space="0" w:color="auto"/>
          </w:divBdr>
        </w:div>
      </w:divsChild>
    </w:div>
    <w:div w:id="185680459">
      <w:marLeft w:val="0"/>
      <w:marRight w:val="0"/>
      <w:marTop w:val="120"/>
      <w:marBottom w:val="0"/>
      <w:divBdr>
        <w:top w:val="none" w:sz="0" w:space="0" w:color="auto"/>
        <w:left w:val="none" w:sz="0" w:space="0" w:color="auto"/>
        <w:bottom w:val="none" w:sz="0" w:space="0" w:color="auto"/>
        <w:right w:val="none" w:sz="0" w:space="0" w:color="auto"/>
      </w:divBdr>
    </w:div>
    <w:div w:id="190075819">
      <w:marLeft w:val="0"/>
      <w:marRight w:val="0"/>
      <w:marTop w:val="0"/>
      <w:marBottom w:val="0"/>
      <w:divBdr>
        <w:top w:val="none" w:sz="0" w:space="0" w:color="auto"/>
        <w:left w:val="none" w:sz="0" w:space="0" w:color="auto"/>
        <w:bottom w:val="none" w:sz="0" w:space="0" w:color="auto"/>
        <w:right w:val="none" w:sz="0" w:space="0" w:color="auto"/>
      </w:divBdr>
      <w:divsChild>
        <w:div w:id="1555848172">
          <w:marLeft w:val="0"/>
          <w:marRight w:val="0"/>
          <w:marTop w:val="0"/>
          <w:marBottom w:val="0"/>
          <w:divBdr>
            <w:top w:val="none" w:sz="0" w:space="0" w:color="auto"/>
            <w:left w:val="none" w:sz="0" w:space="0" w:color="auto"/>
            <w:bottom w:val="none" w:sz="0" w:space="0" w:color="auto"/>
            <w:right w:val="none" w:sz="0" w:space="0" w:color="auto"/>
          </w:divBdr>
        </w:div>
      </w:divsChild>
    </w:div>
    <w:div w:id="192352892">
      <w:marLeft w:val="0"/>
      <w:marRight w:val="0"/>
      <w:marTop w:val="0"/>
      <w:marBottom w:val="0"/>
      <w:divBdr>
        <w:top w:val="none" w:sz="0" w:space="0" w:color="auto"/>
        <w:left w:val="none" w:sz="0" w:space="0" w:color="auto"/>
        <w:bottom w:val="none" w:sz="0" w:space="0" w:color="auto"/>
        <w:right w:val="none" w:sz="0" w:space="0" w:color="auto"/>
      </w:divBdr>
      <w:divsChild>
        <w:div w:id="1623076744">
          <w:marLeft w:val="0"/>
          <w:marRight w:val="0"/>
          <w:marTop w:val="0"/>
          <w:marBottom w:val="0"/>
          <w:divBdr>
            <w:top w:val="none" w:sz="0" w:space="0" w:color="auto"/>
            <w:left w:val="none" w:sz="0" w:space="0" w:color="auto"/>
            <w:bottom w:val="none" w:sz="0" w:space="0" w:color="auto"/>
            <w:right w:val="none" w:sz="0" w:space="0" w:color="auto"/>
          </w:divBdr>
        </w:div>
      </w:divsChild>
    </w:div>
    <w:div w:id="195317458">
      <w:marLeft w:val="0"/>
      <w:marRight w:val="0"/>
      <w:marTop w:val="120"/>
      <w:marBottom w:val="0"/>
      <w:divBdr>
        <w:top w:val="none" w:sz="0" w:space="0" w:color="auto"/>
        <w:left w:val="none" w:sz="0" w:space="0" w:color="auto"/>
        <w:bottom w:val="none" w:sz="0" w:space="0" w:color="auto"/>
        <w:right w:val="none" w:sz="0" w:space="0" w:color="auto"/>
      </w:divBdr>
    </w:div>
    <w:div w:id="195504264">
      <w:marLeft w:val="0"/>
      <w:marRight w:val="0"/>
      <w:marTop w:val="240"/>
      <w:marBottom w:val="0"/>
      <w:divBdr>
        <w:top w:val="none" w:sz="0" w:space="0" w:color="auto"/>
        <w:left w:val="none" w:sz="0" w:space="0" w:color="auto"/>
        <w:bottom w:val="none" w:sz="0" w:space="0" w:color="auto"/>
        <w:right w:val="none" w:sz="0" w:space="0" w:color="auto"/>
      </w:divBdr>
    </w:div>
    <w:div w:id="195626038">
      <w:marLeft w:val="0"/>
      <w:marRight w:val="0"/>
      <w:marTop w:val="200"/>
      <w:marBottom w:val="0"/>
      <w:divBdr>
        <w:top w:val="none" w:sz="0" w:space="0" w:color="auto"/>
        <w:left w:val="none" w:sz="0" w:space="0" w:color="auto"/>
        <w:bottom w:val="none" w:sz="0" w:space="0" w:color="auto"/>
        <w:right w:val="none" w:sz="0" w:space="0" w:color="auto"/>
      </w:divBdr>
    </w:div>
    <w:div w:id="204145179">
      <w:marLeft w:val="0"/>
      <w:marRight w:val="0"/>
      <w:marTop w:val="200"/>
      <w:marBottom w:val="0"/>
      <w:divBdr>
        <w:top w:val="none" w:sz="0" w:space="0" w:color="auto"/>
        <w:left w:val="none" w:sz="0" w:space="0" w:color="auto"/>
        <w:bottom w:val="none" w:sz="0" w:space="0" w:color="auto"/>
        <w:right w:val="none" w:sz="0" w:space="0" w:color="auto"/>
      </w:divBdr>
    </w:div>
    <w:div w:id="207180805">
      <w:marLeft w:val="0"/>
      <w:marRight w:val="0"/>
      <w:marTop w:val="120"/>
      <w:marBottom w:val="0"/>
      <w:divBdr>
        <w:top w:val="none" w:sz="0" w:space="0" w:color="auto"/>
        <w:left w:val="none" w:sz="0" w:space="0" w:color="auto"/>
        <w:bottom w:val="none" w:sz="0" w:space="0" w:color="auto"/>
        <w:right w:val="none" w:sz="0" w:space="0" w:color="auto"/>
      </w:divBdr>
    </w:div>
    <w:div w:id="209612515">
      <w:marLeft w:val="0"/>
      <w:marRight w:val="0"/>
      <w:marTop w:val="210"/>
      <w:marBottom w:val="0"/>
      <w:divBdr>
        <w:top w:val="none" w:sz="0" w:space="0" w:color="auto"/>
        <w:left w:val="none" w:sz="0" w:space="0" w:color="auto"/>
        <w:bottom w:val="none" w:sz="0" w:space="0" w:color="auto"/>
        <w:right w:val="none" w:sz="0" w:space="0" w:color="auto"/>
      </w:divBdr>
    </w:div>
    <w:div w:id="213586005">
      <w:marLeft w:val="0"/>
      <w:marRight w:val="0"/>
      <w:marTop w:val="200"/>
      <w:marBottom w:val="0"/>
      <w:divBdr>
        <w:top w:val="none" w:sz="0" w:space="0" w:color="auto"/>
        <w:left w:val="none" w:sz="0" w:space="0" w:color="auto"/>
        <w:bottom w:val="none" w:sz="0" w:space="0" w:color="auto"/>
        <w:right w:val="none" w:sz="0" w:space="0" w:color="auto"/>
      </w:divBdr>
    </w:div>
    <w:div w:id="216820707">
      <w:marLeft w:val="0"/>
      <w:marRight w:val="0"/>
      <w:marTop w:val="200"/>
      <w:marBottom w:val="0"/>
      <w:divBdr>
        <w:top w:val="none" w:sz="0" w:space="0" w:color="auto"/>
        <w:left w:val="none" w:sz="0" w:space="0" w:color="auto"/>
        <w:bottom w:val="none" w:sz="0" w:space="0" w:color="auto"/>
        <w:right w:val="none" w:sz="0" w:space="0" w:color="auto"/>
      </w:divBdr>
    </w:div>
    <w:div w:id="217864751">
      <w:marLeft w:val="0"/>
      <w:marRight w:val="0"/>
      <w:marTop w:val="210"/>
      <w:marBottom w:val="0"/>
      <w:divBdr>
        <w:top w:val="none" w:sz="0" w:space="0" w:color="auto"/>
        <w:left w:val="none" w:sz="0" w:space="0" w:color="auto"/>
        <w:bottom w:val="none" w:sz="0" w:space="0" w:color="auto"/>
        <w:right w:val="none" w:sz="0" w:space="0" w:color="auto"/>
      </w:divBdr>
    </w:div>
    <w:div w:id="221258455">
      <w:marLeft w:val="0"/>
      <w:marRight w:val="0"/>
      <w:marTop w:val="200"/>
      <w:marBottom w:val="0"/>
      <w:divBdr>
        <w:top w:val="none" w:sz="0" w:space="0" w:color="auto"/>
        <w:left w:val="none" w:sz="0" w:space="0" w:color="auto"/>
        <w:bottom w:val="none" w:sz="0" w:space="0" w:color="auto"/>
        <w:right w:val="none" w:sz="0" w:space="0" w:color="auto"/>
      </w:divBdr>
    </w:div>
    <w:div w:id="223684278">
      <w:marLeft w:val="0"/>
      <w:marRight w:val="0"/>
      <w:marTop w:val="200"/>
      <w:marBottom w:val="0"/>
      <w:divBdr>
        <w:top w:val="none" w:sz="0" w:space="0" w:color="auto"/>
        <w:left w:val="none" w:sz="0" w:space="0" w:color="auto"/>
        <w:bottom w:val="none" w:sz="0" w:space="0" w:color="auto"/>
        <w:right w:val="none" w:sz="0" w:space="0" w:color="auto"/>
      </w:divBdr>
    </w:div>
    <w:div w:id="226689952">
      <w:marLeft w:val="0"/>
      <w:marRight w:val="0"/>
      <w:marTop w:val="200"/>
      <w:marBottom w:val="0"/>
      <w:divBdr>
        <w:top w:val="none" w:sz="0" w:space="0" w:color="auto"/>
        <w:left w:val="none" w:sz="0" w:space="0" w:color="auto"/>
        <w:bottom w:val="none" w:sz="0" w:space="0" w:color="auto"/>
        <w:right w:val="none" w:sz="0" w:space="0" w:color="auto"/>
      </w:divBdr>
    </w:div>
    <w:div w:id="228425411">
      <w:marLeft w:val="0"/>
      <w:marRight w:val="0"/>
      <w:marTop w:val="0"/>
      <w:marBottom w:val="0"/>
      <w:divBdr>
        <w:top w:val="none" w:sz="0" w:space="0" w:color="auto"/>
        <w:left w:val="none" w:sz="0" w:space="0" w:color="auto"/>
        <w:bottom w:val="none" w:sz="0" w:space="0" w:color="auto"/>
        <w:right w:val="none" w:sz="0" w:space="0" w:color="auto"/>
      </w:divBdr>
      <w:divsChild>
        <w:div w:id="719791040">
          <w:marLeft w:val="0"/>
          <w:marRight w:val="0"/>
          <w:marTop w:val="0"/>
          <w:marBottom w:val="0"/>
          <w:divBdr>
            <w:top w:val="none" w:sz="0" w:space="0" w:color="auto"/>
            <w:left w:val="none" w:sz="0" w:space="0" w:color="auto"/>
            <w:bottom w:val="none" w:sz="0" w:space="0" w:color="auto"/>
            <w:right w:val="none" w:sz="0" w:space="0" w:color="auto"/>
          </w:divBdr>
        </w:div>
      </w:divsChild>
    </w:div>
    <w:div w:id="229510853">
      <w:marLeft w:val="0"/>
      <w:marRight w:val="0"/>
      <w:marTop w:val="210"/>
      <w:marBottom w:val="0"/>
      <w:divBdr>
        <w:top w:val="none" w:sz="0" w:space="0" w:color="auto"/>
        <w:left w:val="none" w:sz="0" w:space="0" w:color="auto"/>
        <w:bottom w:val="none" w:sz="0" w:space="0" w:color="auto"/>
        <w:right w:val="none" w:sz="0" w:space="0" w:color="auto"/>
      </w:divBdr>
    </w:div>
    <w:div w:id="231427893">
      <w:marLeft w:val="0"/>
      <w:marRight w:val="0"/>
      <w:marTop w:val="360"/>
      <w:marBottom w:val="0"/>
      <w:divBdr>
        <w:top w:val="none" w:sz="0" w:space="0" w:color="auto"/>
        <w:left w:val="none" w:sz="0" w:space="0" w:color="auto"/>
        <w:bottom w:val="none" w:sz="0" w:space="0" w:color="auto"/>
        <w:right w:val="none" w:sz="0" w:space="0" w:color="auto"/>
      </w:divBdr>
    </w:div>
    <w:div w:id="233047625">
      <w:marLeft w:val="0"/>
      <w:marRight w:val="0"/>
      <w:marTop w:val="200"/>
      <w:marBottom w:val="0"/>
      <w:divBdr>
        <w:top w:val="none" w:sz="0" w:space="0" w:color="auto"/>
        <w:left w:val="none" w:sz="0" w:space="0" w:color="auto"/>
        <w:bottom w:val="none" w:sz="0" w:space="0" w:color="auto"/>
        <w:right w:val="none" w:sz="0" w:space="0" w:color="auto"/>
      </w:divBdr>
    </w:div>
    <w:div w:id="235432720">
      <w:marLeft w:val="0"/>
      <w:marRight w:val="0"/>
      <w:marTop w:val="200"/>
      <w:marBottom w:val="0"/>
      <w:divBdr>
        <w:top w:val="none" w:sz="0" w:space="0" w:color="auto"/>
        <w:left w:val="none" w:sz="0" w:space="0" w:color="auto"/>
        <w:bottom w:val="none" w:sz="0" w:space="0" w:color="auto"/>
        <w:right w:val="none" w:sz="0" w:space="0" w:color="auto"/>
      </w:divBdr>
    </w:div>
    <w:div w:id="242616833">
      <w:marLeft w:val="0"/>
      <w:marRight w:val="0"/>
      <w:marTop w:val="240"/>
      <w:marBottom w:val="0"/>
      <w:divBdr>
        <w:top w:val="none" w:sz="0" w:space="0" w:color="auto"/>
        <w:left w:val="none" w:sz="0" w:space="0" w:color="auto"/>
        <w:bottom w:val="none" w:sz="0" w:space="0" w:color="auto"/>
        <w:right w:val="none" w:sz="0" w:space="0" w:color="auto"/>
      </w:divBdr>
    </w:div>
    <w:div w:id="242686315">
      <w:marLeft w:val="0"/>
      <w:marRight w:val="0"/>
      <w:marTop w:val="200"/>
      <w:marBottom w:val="0"/>
      <w:divBdr>
        <w:top w:val="none" w:sz="0" w:space="0" w:color="auto"/>
        <w:left w:val="none" w:sz="0" w:space="0" w:color="auto"/>
        <w:bottom w:val="none" w:sz="0" w:space="0" w:color="auto"/>
        <w:right w:val="none" w:sz="0" w:space="0" w:color="auto"/>
      </w:divBdr>
    </w:div>
    <w:div w:id="244875047">
      <w:marLeft w:val="0"/>
      <w:marRight w:val="0"/>
      <w:marTop w:val="100"/>
      <w:marBottom w:val="0"/>
      <w:divBdr>
        <w:top w:val="none" w:sz="0" w:space="0" w:color="auto"/>
        <w:left w:val="none" w:sz="0" w:space="0" w:color="auto"/>
        <w:bottom w:val="none" w:sz="0" w:space="0" w:color="auto"/>
        <w:right w:val="none" w:sz="0" w:space="0" w:color="auto"/>
      </w:divBdr>
    </w:div>
    <w:div w:id="245387894">
      <w:marLeft w:val="0"/>
      <w:marRight w:val="0"/>
      <w:marTop w:val="240"/>
      <w:marBottom w:val="0"/>
      <w:divBdr>
        <w:top w:val="none" w:sz="0" w:space="0" w:color="auto"/>
        <w:left w:val="none" w:sz="0" w:space="0" w:color="auto"/>
        <w:bottom w:val="none" w:sz="0" w:space="0" w:color="auto"/>
        <w:right w:val="none" w:sz="0" w:space="0" w:color="auto"/>
      </w:divBdr>
    </w:div>
    <w:div w:id="245461431">
      <w:marLeft w:val="0"/>
      <w:marRight w:val="0"/>
      <w:marTop w:val="200"/>
      <w:marBottom w:val="0"/>
      <w:divBdr>
        <w:top w:val="none" w:sz="0" w:space="0" w:color="auto"/>
        <w:left w:val="none" w:sz="0" w:space="0" w:color="auto"/>
        <w:bottom w:val="none" w:sz="0" w:space="0" w:color="auto"/>
        <w:right w:val="none" w:sz="0" w:space="0" w:color="auto"/>
      </w:divBdr>
    </w:div>
    <w:div w:id="246577252">
      <w:marLeft w:val="0"/>
      <w:marRight w:val="0"/>
      <w:marTop w:val="120"/>
      <w:marBottom w:val="0"/>
      <w:divBdr>
        <w:top w:val="none" w:sz="0" w:space="0" w:color="auto"/>
        <w:left w:val="none" w:sz="0" w:space="0" w:color="auto"/>
        <w:bottom w:val="none" w:sz="0" w:space="0" w:color="auto"/>
        <w:right w:val="none" w:sz="0" w:space="0" w:color="auto"/>
      </w:divBdr>
    </w:div>
    <w:div w:id="248855737">
      <w:marLeft w:val="0"/>
      <w:marRight w:val="0"/>
      <w:marTop w:val="200"/>
      <w:marBottom w:val="0"/>
      <w:divBdr>
        <w:top w:val="none" w:sz="0" w:space="0" w:color="auto"/>
        <w:left w:val="none" w:sz="0" w:space="0" w:color="auto"/>
        <w:bottom w:val="none" w:sz="0" w:space="0" w:color="auto"/>
        <w:right w:val="none" w:sz="0" w:space="0" w:color="auto"/>
      </w:divBdr>
    </w:div>
    <w:div w:id="253439528">
      <w:marLeft w:val="0"/>
      <w:marRight w:val="0"/>
      <w:marTop w:val="240"/>
      <w:marBottom w:val="0"/>
      <w:divBdr>
        <w:top w:val="none" w:sz="0" w:space="0" w:color="auto"/>
        <w:left w:val="none" w:sz="0" w:space="0" w:color="auto"/>
        <w:bottom w:val="none" w:sz="0" w:space="0" w:color="auto"/>
        <w:right w:val="none" w:sz="0" w:space="0" w:color="auto"/>
      </w:divBdr>
    </w:div>
    <w:div w:id="253511406">
      <w:marLeft w:val="0"/>
      <w:marRight w:val="0"/>
      <w:marTop w:val="0"/>
      <w:marBottom w:val="0"/>
      <w:divBdr>
        <w:top w:val="none" w:sz="0" w:space="0" w:color="auto"/>
        <w:left w:val="none" w:sz="0" w:space="0" w:color="auto"/>
        <w:bottom w:val="none" w:sz="0" w:space="0" w:color="auto"/>
        <w:right w:val="none" w:sz="0" w:space="0" w:color="auto"/>
      </w:divBdr>
    </w:div>
    <w:div w:id="256862730">
      <w:marLeft w:val="0"/>
      <w:marRight w:val="0"/>
      <w:marTop w:val="200"/>
      <w:marBottom w:val="0"/>
      <w:divBdr>
        <w:top w:val="none" w:sz="0" w:space="0" w:color="auto"/>
        <w:left w:val="none" w:sz="0" w:space="0" w:color="auto"/>
        <w:bottom w:val="none" w:sz="0" w:space="0" w:color="auto"/>
        <w:right w:val="none" w:sz="0" w:space="0" w:color="auto"/>
      </w:divBdr>
    </w:div>
    <w:div w:id="259025167">
      <w:marLeft w:val="0"/>
      <w:marRight w:val="0"/>
      <w:marTop w:val="240"/>
      <w:marBottom w:val="0"/>
      <w:divBdr>
        <w:top w:val="none" w:sz="0" w:space="0" w:color="auto"/>
        <w:left w:val="none" w:sz="0" w:space="0" w:color="auto"/>
        <w:bottom w:val="none" w:sz="0" w:space="0" w:color="auto"/>
        <w:right w:val="none" w:sz="0" w:space="0" w:color="auto"/>
      </w:divBdr>
    </w:div>
    <w:div w:id="259485157">
      <w:marLeft w:val="0"/>
      <w:marRight w:val="0"/>
      <w:marTop w:val="100"/>
      <w:marBottom w:val="0"/>
      <w:divBdr>
        <w:top w:val="none" w:sz="0" w:space="0" w:color="auto"/>
        <w:left w:val="none" w:sz="0" w:space="0" w:color="auto"/>
        <w:bottom w:val="none" w:sz="0" w:space="0" w:color="auto"/>
        <w:right w:val="none" w:sz="0" w:space="0" w:color="auto"/>
      </w:divBdr>
    </w:div>
    <w:div w:id="261112681">
      <w:marLeft w:val="0"/>
      <w:marRight w:val="0"/>
      <w:marTop w:val="120"/>
      <w:marBottom w:val="0"/>
      <w:divBdr>
        <w:top w:val="none" w:sz="0" w:space="0" w:color="auto"/>
        <w:left w:val="none" w:sz="0" w:space="0" w:color="auto"/>
        <w:bottom w:val="none" w:sz="0" w:space="0" w:color="auto"/>
        <w:right w:val="none" w:sz="0" w:space="0" w:color="auto"/>
      </w:divBdr>
    </w:div>
    <w:div w:id="261768407">
      <w:marLeft w:val="0"/>
      <w:marRight w:val="0"/>
      <w:marTop w:val="210"/>
      <w:marBottom w:val="0"/>
      <w:divBdr>
        <w:top w:val="none" w:sz="0" w:space="0" w:color="auto"/>
        <w:left w:val="none" w:sz="0" w:space="0" w:color="auto"/>
        <w:bottom w:val="none" w:sz="0" w:space="0" w:color="auto"/>
        <w:right w:val="none" w:sz="0" w:space="0" w:color="auto"/>
      </w:divBdr>
    </w:div>
    <w:div w:id="263922204">
      <w:marLeft w:val="0"/>
      <w:marRight w:val="0"/>
      <w:marTop w:val="0"/>
      <w:marBottom w:val="0"/>
      <w:divBdr>
        <w:top w:val="none" w:sz="0" w:space="0" w:color="auto"/>
        <w:left w:val="none" w:sz="0" w:space="0" w:color="auto"/>
        <w:bottom w:val="none" w:sz="0" w:space="0" w:color="auto"/>
        <w:right w:val="none" w:sz="0" w:space="0" w:color="auto"/>
      </w:divBdr>
    </w:div>
    <w:div w:id="264657876">
      <w:marLeft w:val="0"/>
      <w:marRight w:val="0"/>
      <w:marTop w:val="240"/>
      <w:marBottom w:val="0"/>
      <w:divBdr>
        <w:top w:val="none" w:sz="0" w:space="0" w:color="auto"/>
        <w:left w:val="none" w:sz="0" w:space="0" w:color="auto"/>
        <w:bottom w:val="none" w:sz="0" w:space="0" w:color="auto"/>
        <w:right w:val="none" w:sz="0" w:space="0" w:color="auto"/>
      </w:divBdr>
    </w:div>
    <w:div w:id="267322080">
      <w:marLeft w:val="0"/>
      <w:marRight w:val="0"/>
      <w:marTop w:val="0"/>
      <w:marBottom w:val="0"/>
      <w:divBdr>
        <w:top w:val="none" w:sz="0" w:space="0" w:color="auto"/>
        <w:left w:val="none" w:sz="0" w:space="0" w:color="auto"/>
        <w:bottom w:val="none" w:sz="0" w:space="0" w:color="auto"/>
        <w:right w:val="none" w:sz="0" w:space="0" w:color="auto"/>
      </w:divBdr>
      <w:divsChild>
        <w:div w:id="1729910961">
          <w:marLeft w:val="0"/>
          <w:marRight w:val="0"/>
          <w:marTop w:val="0"/>
          <w:marBottom w:val="0"/>
          <w:divBdr>
            <w:top w:val="none" w:sz="0" w:space="0" w:color="auto"/>
            <w:left w:val="none" w:sz="0" w:space="0" w:color="auto"/>
            <w:bottom w:val="none" w:sz="0" w:space="0" w:color="auto"/>
            <w:right w:val="none" w:sz="0" w:space="0" w:color="auto"/>
          </w:divBdr>
        </w:div>
      </w:divsChild>
    </w:div>
    <w:div w:id="270355106">
      <w:marLeft w:val="0"/>
      <w:marRight w:val="0"/>
      <w:marTop w:val="0"/>
      <w:marBottom w:val="0"/>
      <w:divBdr>
        <w:top w:val="none" w:sz="0" w:space="0" w:color="auto"/>
        <w:left w:val="none" w:sz="0" w:space="0" w:color="auto"/>
        <w:bottom w:val="none" w:sz="0" w:space="0" w:color="auto"/>
        <w:right w:val="none" w:sz="0" w:space="0" w:color="auto"/>
      </w:divBdr>
    </w:div>
    <w:div w:id="271518839">
      <w:marLeft w:val="0"/>
      <w:marRight w:val="0"/>
      <w:marTop w:val="200"/>
      <w:marBottom w:val="0"/>
      <w:divBdr>
        <w:top w:val="none" w:sz="0" w:space="0" w:color="auto"/>
        <w:left w:val="none" w:sz="0" w:space="0" w:color="auto"/>
        <w:bottom w:val="none" w:sz="0" w:space="0" w:color="auto"/>
        <w:right w:val="none" w:sz="0" w:space="0" w:color="auto"/>
      </w:divBdr>
    </w:div>
    <w:div w:id="276528368">
      <w:marLeft w:val="0"/>
      <w:marRight w:val="0"/>
      <w:marTop w:val="200"/>
      <w:marBottom w:val="0"/>
      <w:divBdr>
        <w:top w:val="none" w:sz="0" w:space="0" w:color="auto"/>
        <w:left w:val="none" w:sz="0" w:space="0" w:color="auto"/>
        <w:bottom w:val="none" w:sz="0" w:space="0" w:color="auto"/>
        <w:right w:val="none" w:sz="0" w:space="0" w:color="auto"/>
      </w:divBdr>
    </w:div>
    <w:div w:id="277686031">
      <w:marLeft w:val="0"/>
      <w:marRight w:val="0"/>
      <w:marTop w:val="200"/>
      <w:marBottom w:val="0"/>
      <w:divBdr>
        <w:top w:val="none" w:sz="0" w:space="0" w:color="auto"/>
        <w:left w:val="none" w:sz="0" w:space="0" w:color="auto"/>
        <w:bottom w:val="none" w:sz="0" w:space="0" w:color="auto"/>
        <w:right w:val="none" w:sz="0" w:space="0" w:color="auto"/>
      </w:divBdr>
    </w:div>
    <w:div w:id="277838508">
      <w:marLeft w:val="0"/>
      <w:marRight w:val="0"/>
      <w:marTop w:val="200"/>
      <w:marBottom w:val="0"/>
      <w:divBdr>
        <w:top w:val="none" w:sz="0" w:space="0" w:color="auto"/>
        <w:left w:val="none" w:sz="0" w:space="0" w:color="auto"/>
        <w:bottom w:val="none" w:sz="0" w:space="0" w:color="auto"/>
        <w:right w:val="none" w:sz="0" w:space="0" w:color="auto"/>
      </w:divBdr>
    </w:div>
    <w:div w:id="280042304">
      <w:marLeft w:val="0"/>
      <w:marRight w:val="0"/>
      <w:marTop w:val="200"/>
      <w:marBottom w:val="0"/>
      <w:divBdr>
        <w:top w:val="none" w:sz="0" w:space="0" w:color="auto"/>
        <w:left w:val="none" w:sz="0" w:space="0" w:color="auto"/>
        <w:bottom w:val="none" w:sz="0" w:space="0" w:color="auto"/>
        <w:right w:val="none" w:sz="0" w:space="0" w:color="auto"/>
      </w:divBdr>
    </w:div>
    <w:div w:id="287009342">
      <w:marLeft w:val="0"/>
      <w:marRight w:val="0"/>
      <w:marTop w:val="200"/>
      <w:marBottom w:val="0"/>
      <w:divBdr>
        <w:top w:val="none" w:sz="0" w:space="0" w:color="auto"/>
        <w:left w:val="none" w:sz="0" w:space="0" w:color="auto"/>
        <w:bottom w:val="none" w:sz="0" w:space="0" w:color="auto"/>
        <w:right w:val="none" w:sz="0" w:space="0" w:color="auto"/>
      </w:divBdr>
    </w:div>
    <w:div w:id="289552310">
      <w:marLeft w:val="0"/>
      <w:marRight w:val="0"/>
      <w:marTop w:val="200"/>
      <w:marBottom w:val="0"/>
      <w:divBdr>
        <w:top w:val="none" w:sz="0" w:space="0" w:color="auto"/>
        <w:left w:val="none" w:sz="0" w:space="0" w:color="auto"/>
        <w:bottom w:val="none" w:sz="0" w:space="0" w:color="auto"/>
        <w:right w:val="none" w:sz="0" w:space="0" w:color="auto"/>
      </w:divBdr>
    </w:div>
    <w:div w:id="292179959">
      <w:marLeft w:val="0"/>
      <w:marRight w:val="0"/>
      <w:marTop w:val="200"/>
      <w:marBottom w:val="0"/>
      <w:divBdr>
        <w:top w:val="none" w:sz="0" w:space="0" w:color="auto"/>
        <w:left w:val="none" w:sz="0" w:space="0" w:color="auto"/>
        <w:bottom w:val="none" w:sz="0" w:space="0" w:color="auto"/>
        <w:right w:val="none" w:sz="0" w:space="0" w:color="auto"/>
      </w:divBdr>
    </w:div>
    <w:div w:id="301815306">
      <w:marLeft w:val="0"/>
      <w:marRight w:val="0"/>
      <w:marTop w:val="0"/>
      <w:marBottom w:val="0"/>
      <w:divBdr>
        <w:top w:val="none" w:sz="0" w:space="0" w:color="auto"/>
        <w:left w:val="none" w:sz="0" w:space="0" w:color="auto"/>
        <w:bottom w:val="none" w:sz="0" w:space="0" w:color="auto"/>
        <w:right w:val="none" w:sz="0" w:space="0" w:color="auto"/>
      </w:divBdr>
      <w:divsChild>
        <w:div w:id="1674454850">
          <w:marLeft w:val="0"/>
          <w:marRight w:val="0"/>
          <w:marTop w:val="0"/>
          <w:marBottom w:val="0"/>
          <w:divBdr>
            <w:top w:val="none" w:sz="0" w:space="0" w:color="auto"/>
            <w:left w:val="none" w:sz="0" w:space="0" w:color="auto"/>
            <w:bottom w:val="none" w:sz="0" w:space="0" w:color="auto"/>
            <w:right w:val="none" w:sz="0" w:space="0" w:color="auto"/>
          </w:divBdr>
        </w:div>
      </w:divsChild>
    </w:div>
    <w:div w:id="302932928">
      <w:marLeft w:val="0"/>
      <w:marRight w:val="0"/>
      <w:marTop w:val="0"/>
      <w:marBottom w:val="0"/>
      <w:divBdr>
        <w:top w:val="none" w:sz="0" w:space="0" w:color="auto"/>
        <w:left w:val="none" w:sz="0" w:space="0" w:color="auto"/>
        <w:bottom w:val="none" w:sz="0" w:space="0" w:color="auto"/>
        <w:right w:val="none" w:sz="0" w:space="0" w:color="auto"/>
      </w:divBdr>
      <w:divsChild>
        <w:div w:id="680475249">
          <w:marLeft w:val="0"/>
          <w:marRight w:val="0"/>
          <w:marTop w:val="0"/>
          <w:marBottom w:val="0"/>
          <w:divBdr>
            <w:top w:val="none" w:sz="0" w:space="0" w:color="auto"/>
            <w:left w:val="none" w:sz="0" w:space="0" w:color="auto"/>
            <w:bottom w:val="none" w:sz="0" w:space="0" w:color="auto"/>
            <w:right w:val="none" w:sz="0" w:space="0" w:color="auto"/>
          </w:divBdr>
        </w:div>
      </w:divsChild>
    </w:div>
    <w:div w:id="304161634">
      <w:marLeft w:val="0"/>
      <w:marRight w:val="0"/>
      <w:marTop w:val="0"/>
      <w:marBottom w:val="0"/>
      <w:divBdr>
        <w:top w:val="none" w:sz="0" w:space="0" w:color="auto"/>
        <w:left w:val="none" w:sz="0" w:space="0" w:color="auto"/>
        <w:bottom w:val="none" w:sz="0" w:space="0" w:color="auto"/>
        <w:right w:val="none" w:sz="0" w:space="0" w:color="auto"/>
      </w:divBdr>
      <w:divsChild>
        <w:div w:id="1361518007">
          <w:marLeft w:val="0"/>
          <w:marRight w:val="0"/>
          <w:marTop w:val="0"/>
          <w:marBottom w:val="0"/>
          <w:divBdr>
            <w:top w:val="none" w:sz="0" w:space="0" w:color="auto"/>
            <w:left w:val="none" w:sz="0" w:space="0" w:color="auto"/>
            <w:bottom w:val="none" w:sz="0" w:space="0" w:color="auto"/>
            <w:right w:val="none" w:sz="0" w:space="0" w:color="auto"/>
          </w:divBdr>
        </w:div>
      </w:divsChild>
    </w:div>
    <w:div w:id="307707089">
      <w:marLeft w:val="0"/>
      <w:marRight w:val="0"/>
      <w:marTop w:val="200"/>
      <w:marBottom w:val="0"/>
      <w:divBdr>
        <w:top w:val="none" w:sz="0" w:space="0" w:color="auto"/>
        <w:left w:val="none" w:sz="0" w:space="0" w:color="auto"/>
        <w:bottom w:val="none" w:sz="0" w:space="0" w:color="auto"/>
        <w:right w:val="none" w:sz="0" w:space="0" w:color="auto"/>
      </w:divBdr>
    </w:div>
    <w:div w:id="308176519">
      <w:marLeft w:val="0"/>
      <w:marRight w:val="0"/>
      <w:marTop w:val="0"/>
      <w:marBottom w:val="0"/>
      <w:divBdr>
        <w:top w:val="none" w:sz="0" w:space="0" w:color="auto"/>
        <w:left w:val="none" w:sz="0" w:space="0" w:color="auto"/>
        <w:bottom w:val="none" w:sz="0" w:space="0" w:color="auto"/>
        <w:right w:val="none" w:sz="0" w:space="0" w:color="auto"/>
      </w:divBdr>
      <w:divsChild>
        <w:div w:id="948731776">
          <w:marLeft w:val="0"/>
          <w:marRight w:val="0"/>
          <w:marTop w:val="0"/>
          <w:marBottom w:val="0"/>
          <w:divBdr>
            <w:top w:val="none" w:sz="0" w:space="0" w:color="auto"/>
            <w:left w:val="none" w:sz="0" w:space="0" w:color="auto"/>
            <w:bottom w:val="none" w:sz="0" w:space="0" w:color="auto"/>
            <w:right w:val="none" w:sz="0" w:space="0" w:color="auto"/>
          </w:divBdr>
        </w:div>
      </w:divsChild>
    </w:div>
    <w:div w:id="309020613">
      <w:marLeft w:val="0"/>
      <w:marRight w:val="0"/>
      <w:marTop w:val="200"/>
      <w:marBottom w:val="0"/>
      <w:divBdr>
        <w:top w:val="none" w:sz="0" w:space="0" w:color="auto"/>
        <w:left w:val="none" w:sz="0" w:space="0" w:color="auto"/>
        <w:bottom w:val="none" w:sz="0" w:space="0" w:color="auto"/>
        <w:right w:val="none" w:sz="0" w:space="0" w:color="auto"/>
      </w:divBdr>
    </w:div>
    <w:div w:id="310134210">
      <w:marLeft w:val="0"/>
      <w:marRight w:val="0"/>
      <w:marTop w:val="0"/>
      <w:marBottom w:val="0"/>
      <w:divBdr>
        <w:top w:val="none" w:sz="0" w:space="0" w:color="auto"/>
        <w:left w:val="none" w:sz="0" w:space="0" w:color="auto"/>
        <w:bottom w:val="none" w:sz="0" w:space="0" w:color="auto"/>
        <w:right w:val="none" w:sz="0" w:space="0" w:color="auto"/>
      </w:divBdr>
      <w:divsChild>
        <w:div w:id="528294858">
          <w:marLeft w:val="0"/>
          <w:marRight w:val="0"/>
          <w:marTop w:val="0"/>
          <w:marBottom w:val="0"/>
          <w:divBdr>
            <w:top w:val="none" w:sz="0" w:space="0" w:color="auto"/>
            <w:left w:val="none" w:sz="0" w:space="0" w:color="auto"/>
            <w:bottom w:val="none" w:sz="0" w:space="0" w:color="auto"/>
            <w:right w:val="none" w:sz="0" w:space="0" w:color="auto"/>
          </w:divBdr>
        </w:div>
      </w:divsChild>
    </w:div>
    <w:div w:id="312418684">
      <w:marLeft w:val="0"/>
      <w:marRight w:val="0"/>
      <w:marTop w:val="0"/>
      <w:marBottom w:val="0"/>
      <w:divBdr>
        <w:top w:val="none" w:sz="0" w:space="0" w:color="auto"/>
        <w:left w:val="none" w:sz="0" w:space="0" w:color="auto"/>
        <w:bottom w:val="none" w:sz="0" w:space="0" w:color="auto"/>
        <w:right w:val="none" w:sz="0" w:space="0" w:color="auto"/>
      </w:divBdr>
      <w:divsChild>
        <w:div w:id="435177020">
          <w:marLeft w:val="0"/>
          <w:marRight w:val="0"/>
          <w:marTop w:val="0"/>
          <w:marBottom w:val="0"/>
          <w:divBdr>
            <w:top w:val="none" w:sz="0" w:space="0" w:color="auto"/>
            <w:left w:val="none" w:sz="0" w:space="0" w:color="auto"/>
            <w:bottom w:val="none" w:sz="0" w:space="0" w:color="auto"/>
            <w:right w:val="none" w:sz="0" w:space="0" w:color="auto"/>
          </w:divBdr>
        </w:div>
      </w:divsChild>
    </w:div>
    <w:div w:id="313029338">
      <w:marLeft w:val="0"/>
      <w:marRight w:val="0"/>
      <w:marTop w:val="0"/>
      <w:marBottom w:val="0"/>
      <w:divBdr>
        <w:top w:val="none" w:sz="0" w:space="0" w:color="auto"/>
        <w:left w:val="none" w:sz="0" w:space="0" w:color="auto"/>
        <w:bottom w:val="none" w:sz="0" w:space="0" w:color="auto"/>
        <w:right w:val="none" w:sz="0" w:space="0" w:color="auto"/>
      </w:divBdr>
      <w:divsChild>
        <w:div w:id="1878853119">
          <w:marLeft w:val="0"/>
          <w:marRight w:val="0"/>
          <w:marTop w:val="0"/>
          <w:marBottom w:val="0"/>
          <w:divBdr>
            <w:top w:val="none" w:sz="0" w:space="0" w:color="auto"/>
            <w:left w:val="none" w:sz="0" w:space="0" w:color="auto"/>
            <w:bottom w:val="none" w:sz="0" w:space="0" w:color="auto"/>
            <w:right w:val="none" w:sz="0" w:space="0" w:color="auto"/>
          </w:divBdr>
        </w:div>
      </w:divsChild>
    </w:div>
    <w:div w:id="313872157">
      <w:marLeft w:val="0"/>
      <w:marRight w:val="0"/>
      <w:marTop w:val="0"/>
      <w:marBottom w:val="0"/>
      <w:divBdr>
        <w:top w:val="none" w:sz="0" w:space="0" w:color="auto"/>
        <w:left w:val="none" w:sz="0" w:space="0" w:color="auto"/>
        <w:bottom w:val="none" w:sz="0" w:space="0" w:color="auto"/>
        <w:right w:val="none" w:sz="0" w:space="0" w:color="auto"/>
      </w:divBdr>
      <w:divsChild>
        <w:div w:id="488600511">
          <w:marLeft w:val="0"/>
          <w:marRight w:val="0"/>
          <w:marTop w:val="0"/>
          <w:marBottom w:val="0"/>
          <w:divBdr>
            <w:top w:val="none" w:sz="0" w:space="0" w:color="auto"/>
            <w:left w:val="none" w:sz="0" w:space="0" w:color="auto"/>
            <w:bottom w:val="none" w:sz="0" w:space="0" w:color="auto"/>
            <w:right w:val="none" w:sz="0" w:space="0" w:color="auto"/>
          </w:divBdr>
        </w:div>
      </w:divsChild>
    </w:div>
    <w:div w:id="313876844">
      <w:marLeft w:val="0"/>
      <w:marRight w:val="0"/>
      <w:marTop w:val="200"/>
      <w:marBottom w:val="0"/>
      <w:divBdr>
        <w:top w:val="none" w:sz="0" w:space="0" w:color="auto"/>
        <w:left w:val="none" w:sz="0" w:space="0" w:color="auto"/>
        <w:bottom w:val="none" w:sz="0" w:space="0" w:color="auto"/>
        <w:right w:val="none" w:sz="0" w:space="0" w:color="auto"/>
      </w:divBdr>
    </w:div>
    <w:div w:id="314995313">
      <w:marLeft w:val="0"/>
      <w:marRight w:val="0"/>
      <w:marTop w:val="0"/>
      <w:marBottom w:val="0"/>
      <w:divBdr>
        <w:top w:val="none" w:sz="0" w:space="0" w:color="auto"/>
        <w:left w:val="none" w:sz="0" w:space="0" w:color="auto"/>
        <w:bottom w:val="none" w:sz="0" w:space="0" w:color="auto"/>
        <w:right w:val="none" w:sz="0" w:space="0" w:color="auto"/>
      </w:divBdr>
      <w:divsChild>
        <w:div w:id="831721600">
          <w:marLeft w:val="0"/>
          <w:marRight w:val="0"/>
          <w:marTop w:val="0"/>
          <w:marBottom w:val="0"/>
          <w:divBdr>
            <w:top w:val="none" w:sz="0" w:space="0" w:color="auto"/>
            <w:left w:val="none" w:sz="0" w:space="0" w:color="auto"/>
            <w:bottom w:val="none" w:sz="0" w:space="0" w:color="auto"/>
            <w:right w:val="none" w:sz="0" w:space="0" w:color="auto"/>
          </w:divBdr>
        </w:div>
      </w:divsChild>
    </w:div>
    <w:div w:id="315228494">
      <w:marLeft w:val="0"/>
      <w:marRight w:val="0"/>
      <w:marTop w:val="0"/>
      <w:marBottom w:val="0"/>
      <w:divBdr>
        <w:top w:val="none" w:sz="0" w:space="0" w:color="auto"/>
        <w:left w:val="none" w:sz="0" w:space="0" w:color="auto"/>
        <w:bottom w:val="none" w:sz="0" w:space="0" w:color="auto"/>
        <w:right w:val="none" w:sz="0" w:space="0" w:color="auto"/>
      </w:divBdr>
      <w:divsChild>
        <w:div w:id="1032071608">
          <w:marLeft w:val="0"/>
          <w:marRight w:val="0"/>
          <w:marTop w:val="0"/>
          <w:marBottom w:val="0"/>
          <w:divBdr>
            <w:top w:val="none" w:sz="0" w:space="0" w:color="auto"/>
            <w:left w:val="none" w:sz="0" w:space="0" w:color="auto"/>
            <w:bottom w:val="none" w:sz="0" w:space="0" w:color="auto"/>
            <w:right w:val="none" w:sz="0" w:space="0" w:color="auto"/>
          </w:divBdr>
        </w:div>
      </w:divsChild>
    </w:div>
    <w:div w:id="318584738">
      <w:marLeft w:val="0"/>
      <w:marRight w:val="0"/>
      <w:marTop w:val="200"/>
      <w:marBottom w:val="0"/>
      <w:divBdr>
        <w:top w:val="none" w:sz="0" w:space="0" w:color="auto"/>
        <w:left w:val="none" w:sz="0" w:space="0" w:color="auto"/>
        <w:bottom w:val="none" w:sz="0" w:space="0" w:color="auto"/>
        <w:right w:val="none" w:sz="0" w:space="0" w:color="auto"/>
      </w:divBdr>
    </w:div>
    <w:div w:id="319425107">
      <w:marLeft w:val="0"/>
      <w:marRight w:val="0"/>
      <w:marTop w:val="200"/>
      <w:marBottom w:val="0"/>
      <w:divBdr>
        <w:top w:val="none" w:sz="0" w:space="0" w:color="auto"/>
        <w:left w:val="none" w:sz="0" w:space="0" w:color="auto"/>
        <w:bottom w:val="none" w:sz="0" w:space="0" w:color="auto"/>
        <w:right w:val="none" w:sz="0" w:space="0" w:color="auto"/>
      </w:divBdr>
    </w:div>
    <w:div w:id="320961573">
      <w:marLeft w:val="0"/>
      <w:marRight w:val="0"/>
      <w:marTop w:val="200"/>
      <w:marBottom w:val="0"/>
      <w:divBdr>
        <w:top w:val="none" w:sz="0" w:space="0" w:color="auto"/>
        <w:left w:val="none" w:sz="0" w:space="0" w:color="auto"/>
        <w:bottom w:val="none" w:sz="0" w:space="0" w:color="auto"/>
        <w:right w:val="none" w:sz="0" w:space="0" w:color="auto"/>
      </w:divBdr>
    </w:div>
    <w:div w:id="323895749">
      <w:marLeft w:val="0"/>
      <w:marRight w:val="0"/>
      <w:marTop w:val="0"/>
      <w:marBottom w:val="0"/>
      <w:divBdr>
        <w:top w:val="none" w:sz="0" w:space="0" w:color="auto"/>
        <w:left w:val="none" w:sz="0" w:space="0" w:color="auto"/>
        <w:bottom w:val="none" w:sz="0" w:space="0" w:color="auto"/>
        <w:right w:val="none" w:sz="0" w:space="0" w:color="auto"/>
      </w:divBdr>
      <w:divsChild>
        <w:div w:id="1719087481">
          <w:marLeft w:val="0"/>
          <w:marRight w:val="0"/>
          <w:marTop w:val="0"/>
          <w:marBottom w:val="0"/>
          <w:divBdr>
            <w:top w:val="none" w:sz="0" w:space="0" w:color="auto"/>
            <w:left w:val="none" w:sz="0" w:space="0" w:color="auto"/>
            <w:bottom w:val="none" w:sz="0" w:space="0" w:color="auto"/>
            <w:right w:val="none" w:sz="0" w:space="0" w:color="auto"/>
          </w:divBdr>
        </w:div>
      </w:divsChild>
    </w:div>
    <w:div w:id="324206660">
      <w:marLeft w:val="0"/>
      <w:marRight w:val="0"/>
      <w:marTop w:val="120"/>
      <w:marBottom w:val="0"/>
      <w:divBdr>
        <w:top w:val="none" w:sz="0" w:space="0" w:color="auto"/>
        <w:left w:val="none" w:sz="0" w:space="0" w:color="auto"/>
        <w:bottom w:val="none" w:sz="0" w:space="0" w:color="auto"/>
        <w:right w:val="none" w:sz="0" w:space="0" w:color="auto"/>
      </w:divBdr>
    </w:div>
    <w:div w:id="326835353">
      <w:marLeft w:val="0"/>
      <w:marRight w:val="0"/>
      <w:marTop w:val="200"/>
      <w:marBottom w:val="0"/>
      <w:divBdr>
        <w:top w:val="none" w:sz="0" w:space="0" w:color="auto"/>
        <w:left w:val="none" w:sz="0" w:space="0" w:color="auto"/>
        <w:bottom w:val="none" w:sz="0" w:space="0" w:color="auto"/>
        <w:right w:val="none" w:sz="0" w:space="0" w:color="auto"/>
      </w:divBdr>
    </w:div>
    <w:div w:id="327903871">
      <w:marLeft w:val="0"/>
      <w:marRight w:val="0"/>
      <w:marTop w:val="0"/>
      <w:marBottom w:val="0"/>
      <w:divBdr>
        <w:top w:val="none" w:sz="0" w:space="0" w:color="auto"/>
        <w:left w:val="none" w:sz="0" w:space="0" w:color="auto"/>
        <w:bottom w:val="none" w:sz="0" w:space="0" w:color="auto"/>
        <w:right w:val="none" w:sz="0" w:space="0" w:color="auto"/>
      </w:divBdr>
      <w:divsChild>
        <w:div w:id="521669076">
          <w:marLeft w:val="0"/>
          <w:marRight w:val="0"/>
          <w:marTop w:val="0"/>
          <w:marBottom w:val="0"/>
          <w:divBdr>
            <w:top w:val="none" w:sz="0" w:space="0" w:color="auto"/>
            <w:left w:val="none" w:sz="0" w:space="0" w:color="auto"/>
            <w:bottom w:val="none" w:sz="0" w:space="0" w:color="auto"/>
            <w:right w:val="none" w:sz="0" w:space="0" w:color="auto"/>
          </w:divBdr>
        </w:div>
      </w:divsChild>
    </w:div>
    <w:div w:id="331184614">
      <w:marLeft w:val="0"/>
      <w:marRight w:val="0"/>
      <w:marTop w:val="100"/>
      <w:marBottom w:val="0"/>
      <w:divBdr>
        <w:top w:val="none" w:sz="0" w:space="0" w:color="auto"/>
        <w:left w:val="none" w:sz="0" w:space="0" w:color="auto"/>
        <w:bottom w:val="none" w:sz="0" w:space="0" w:color="auto"/>
        <w:right w:val="none" w:sz="0" w:space="0" w:color="auto"/>
      </w:divBdr>
      <w:divsChild>
        <w:div w:id="2017997933">
          <w:marLeft w:val="0"/>
          <w:marRight w:val="0"/>
          <w:marTop w:val="0"/>
          <w:marBottom w:val="0"/>
          <w:divBdr>
            <w:top w:val="none" w:sz="0" w:space="0" w:color="auto"/>
            <w:left w:val="none" w:sz="0" w:space="0" w:color="auto"/>
            <w:bottom w:val="none" w:sz="0" w:space="0" w:color="auto"/>
            <w:right w:val="none" w:sz="0" w:space="0" w:color="auto"/>
          </w:divBdr>
        </w:div>
      </w:divsChild>
    </w:div>
    <w:div w:id="335429083">
      <w:marLeft w:val="0"/>
      <w:marRight w:val="0"/>
      <w:marTop w:val="200"/>
      <w:marBottom w:val="0"/>
      <w:divBdr>
        <w:top w:val="none" w:sz="0" w:space="0" w:color="auto"/>
        <w:left w:val="none" w:sz="0" w:space="0" w:color="auto"/>
        <w:bottom w:val="none" w:sz="0" w:space="0" w:color="auto"/>
        <w:right w:val="none" w:sz="0" w:space="0" w:color="auto"/>
      </w:divBdr>
    </w:div>
    <w:div w:id="340401731">
      <w:marLeft w:val="0"/>
      <w:marRight w:val="0"/>
      <w:marTop w:val="200"/>
      <w:marBottom w:val="0"/>
      <w:divBdr>
        <w:top w:val="none" w:sz="0" w:space="0" w:color="auto"/>
        <w:left w:val="none" w:sz="0" w:space="0" w:color="auto"/>
        <w:bottom w:val="none" w:sz="0" w:space="0" w:color="auto"/>
        <w:right w:val="none" w:sz="0" w:space="0" w:color="auto"/>
      </w:divBdr>
    </w:div>
    <w:div w:id="343097933">
      <w:marLeft w:val="0"/>
      <w:marRight w:val="0"/>
      <w:marTop w:val="100"/>
      <w:marBottom w:val="0"/>
      <w:divBdr>
        <w:top w:val="none" w:sz="0" w:space="0" w:color="auto"/>
        <w:left w:val="none" w:sz="0" w:space="0" w:color="auto"/>
        <w:bottom w:val="none" w:sz="0" w:space="0" w:color="auto"/>
        <w:right w:val="none" w:sz="0" w:space="0" w:color="auto"/>
      </w:divBdr>
    </w:div>
    <w:div w:id="343361663">
      <w:marLeft w:val="0"/>
      <w:marRight w:val="0"/>
      <w:marTop w:val="200"/>
      <w:marBottom w:val="0"/>
      <w:divBdr>
        <w:top w:val="none" w:sz="0" w:space="0" w:color="auto"/>
        <w:left w:val="none" w:sz="0" w:space="0" w:color="auto"/>
        <w:bottom w:val="none" w:sz="0" w:space="0" w:color="auto"/>
        <w:right w:val="none" w:sz="0" w:space="0" w:color="auto"/>
      </w:divBdr>
    </w:div>
    <w:div w:id="343631153">
      <w:marLeft w:val="0"/>
      <w:marRight w:val="0"/>
      <w:marTop w:val="0"/>
      <w:marBottom w:val="0"/>
      <w:divBdr>
        <w:top w:val="none" w:sz="0" w:space="0" w:color="auto"/>
        <w:left w:val="none" w:sz="0" w:space="0" w:color="auto"/>
        <w:bottom w:val="none" w:sz="0" w:space="0" w:color="auto"/>
        <w:right w:val="none" w:sz="0" w:space="0" w:color="auto"/>
      </w:divBdr>
      <w:divsChild>
        <w:div w:id="346714998">
          <w:marLeft w:val="0"/>
          <w:marRight w:val="0"/>
          <w:marTop w:val="0"/>
          <w:marBottom w:val="0"/>
          <w:divBdr>
            <w:top w:val="none" w:sz="0" w:space="0" w:color="auto"/>
            <w:left w:val="none" w:sz="0" w:space="0" w:color="auto"/>
            <w:bottom w:val="none" w:sz="0" w:space="0" w:color="auto"/>
            <w:right w:val="none" w:sz="0" w:space="0" w:color="auto"/>
          </w:divBdr>
        </w:div>
      </w:divsChild>
    </w:div>
    <w:div w:id="347485428">
      <w:marLeft w:val="0"/>
      <w:marRight w:val="0"/>
      <w:marTop w:val="120"/>
      <w:marBottom w:val="0"/>
      <w:divBdr>
        <w:top w:val="none" w:sz="0" w:space="0" w:color="auto"/>
        <w:left w:val="none" w:sz="0" w:space="0" w:color="auto"/>
        <w:bottom w:val="none" w:sz="0" w:space="0" w:color="auto"/>
        <w:right w:val="none" w:sz="0" w:space="0" w:color="auto"/>
      </w:divBdr>
    </w:div>
    <w:div w:id="348457707">
      <w:marLeft w:val="0"/>
      <w:marRight w:val="0"/>
      <w:marTop w:val="120"/>
      <w:marBottom w:val="0"/>
      <w:divBdr>
        <w:top w:val="none" w:sz="0" w:space="0" w:color="auto"/>
        <w:left w:val="none" w:sz="0" w:space="0" w:color="auto"/>
        <w:bottom w:val="none" w:sz="0" w:space="0" w:color="auto"/>
        <w:right w:val="none" w:sz="0" w:space="0" w:color="auto"/>
      </w:divBdr>
    </w:div>
    <w:div w:id="348527283">
      <w:marLeft w:val="0"/>
      <w:marRight w:val="0"/>
      <w:marTop w:val="200"/>
      <w:marBottom w:val="0"/>
      <w:divBdr>
        <w:top w:val="none" w:sz="0" w:space="0" w:color="auto"/>
        <w:left w:val="none" w:sz="0" w:space="0" w:color="auto"/>
        <w:bottom w:val="none" w:sz="0" w:space="0" w:color="auto"/>
        <w:right w:val="none" w:sz="0" w:space="0" w:color="auto"/>
      </w:divBdr>
    </w:div>
    <w:div w:id="350568054">
      <w:marLeft w:val="0"/>
      <w:marRight w:val="0"/>
      <w:marTop w:val="200"/>
      <w:marBottom w:val="0"/>
      <w:divBdr>
        <w:top w:val="none" w:sz="0" w:space="0" w:color="auto"/>
        <w:left w:val="none" w:sz="0" w:space="0" w:color="auto"/>
        <w:bottom w:val="none" w:sz="0" w:space="0" w:color="auto"/>
        <w:right w:val="none" w:sz="0" w:space="0" w:color="auto"/>
      </w:divBdr>
    </w:div>
    <w:div w:id="350575313">
      <w:marLeft w:val="0"/>
      <w:marRight w:val="0"/>
      <w:marTop w:val="200"/>
      <w:marBottom w:val="0"/>
      <w:divBdr>
        <w:top w:val="none" w:sz="0" w:space="0" w:color="auto"/>
        <w:left w:val="none" w:sz="0" w:space="0" w:color="auto"/>
        <w:bottom w:val="none" w:sz="0" w:space="0" w:color="auto"/>
        <w:right w:val="none" w:sz="0" w:space="0" w:color="auto"/>
      </w:divBdr>
    </w:div>
    <w:div w:id="350885648">
      <w:marLeft w:val="0"/>
      <w:marRight w:val="0"/>
      <w:marTop w:val="120"/>
      <w:marBottom w:val="0"/>
      <w:divBdr>
        <w:top w:val="none" w:sz="0" w:space="0" w:color="auto"/>
        <w:left w:val="none" w:sz="0" w:space="0" w:color="auto"/>
        <w:bottom w:val="none" w:sz="0" w:space="0" w:color="auto"/>
        <w:right w:val="none" w:sz="0" w:space="0" w:color="auto"/>
      </w:divBdr>
    </w:div>
    <w:div w:id="353532144">
      <w:marLeft w:val="0"/>
      <w:marRight w:val="0"/>
      <w:marTop w:val="200"/>
      <w:marBottom w:val="0"/>
      <w:divBdr>
        <w:top w:val="none" w:sz="0" w:space="0" w:color="auto"/>
        <w:left w:val="none" w:sz="0" w:space="0" w:color="auto"/>
        <w:bottom w:val="none" w:sz="0" w:space="0" w:color="auto"/>
        <w:right w:val="none" w:sz="0" w:space="0" w:color="auto"/>
      </w:divBdr>
    </w:div>
    <w:div w:id="354038292">
      <w:marLeft w:val="0"/>
      <w:marRight w:val="0"/>
      <w:marTop w:val="120"/>
      <w:marBottom w:val="0"/>
      <w:divBdr>
        <w:top w:val="none" w:sz="0" w:space="0" w:color="auto"/>
        <w:left w:val="none" w:sz="0" w:space="0" w:color="auto"/>
        <w:bottom w:val="none" w:sz="0" w:space="0" w:color="auto"/>
        <w:right w:val="none" w:sz="0" w:space="0" w:color="auto"/>
      </w:divBdr>
    </w:div>
    <w:div w:id="358510237">
      <w:marLeft w:val="0"/>
      <w:marRight w:val="0"/>
      <w:marTop w:val="360"/>
      <w:marBottom w:val="0"/>
      <w:divBdr>
        <w:top w:val="none" w:sz="0" w:space="0" w:color="auto"/>
        <w:left w:val="none" w:sz="0" w:space="0" w:color="auto"/>
        <w:bottom w:val="none" w:sz="0" w:space="0" w:color="auto"/>
        <w:right w:val="none" w:sz="0" w:space="0" w:color="auto"/>
      </w:divBdr>
    </w:div>
    <w:div w:id="360595393">
      <w:marLeft w:val="0"/>
      <w:marRight w:val="0"/>
      <w:marTop w:val="360"/>
      <w:marBottom w:val="0"/>
      <w:divBdr>
        <w:top w:val="none" w:sz="0" w:space="0" w:color="auto"/>
        <w:left w:val="none" w:sz="0" w:space="0" w:color="auto"/>
        <w:bottom w:val="none" w:sz="0" w:space="0" w:color="auto"/>
        <w:right w:val="none" w:sz="0" w:space="0" w:color="auto"/>
      </w:divBdr>
    </w:div>
    <w:div w:id="361052871">
      <w:marLeft w:val="0"/>
      <w:marRight w:val="0"/>
      <w:marTop w:val="360"/>
      <w:marBottom w:val="0"/>
      <w:divBdr>
        <w:top w:val="none" w:sz="0" w:space="0" w:color="auto"/>
        <w:left w:val="none" w:sz="0" w:space="0" w:color="auto"/>
        <w:bottom w:val="none" w:sz="0" w:space="0" w:color="auto"/>
        <w:right w:val="none" w:sz="0" w:space="0" w:color="auto"/>
      </w:divBdr>
    </w:div>
    <w:div w:id="370108064">
      <w:marLeft w:val="0"/>
      <w:marRight w:val="0"/>
      <w:marTop w:val="0"/>
      <w:marBottom w:val="0"/>
      <w:divBdr>
        <w:top w:val="none" w:sz="0" w:space="0" w:color="auto"/>
        <w:left w:val="none" w:sz="0" w:space="0" w:color="auto"/>
        <w:bottom w:val="none" w:sz="0" w:space="0" w:color="auto"/>
        <w:right w:val="none" w:sz="0" w:space="0" w:color="auto"/>
      </w:divBdr>
      <w:divsChild>
        <w:div w:id="426391696">
          <w:marLeft w:val="0"/>
          <w:marRight w:val="0"/>
          <w:marTop w:val="0"/>
          <w:marBottom w:val="0"/>
          <w:divBdr>
            <w:top w:val="none" w:sz="0" w:space="0" w:color="auto"/>
            <w:left w:val="none" w:sz="0" w:space="0" w:color="auto"/>
            <w:bottom w:val="none" w:sz="0" w:space="0" w:color="auto"/>
            <w:right w:val="none" w:sz="0" w:space="0" w:color="auto"/>
          </w:divBdr>
        </w:div>
      </w:divsChild>
    </w:div>
    <w:div w:id="370300910">
      <w:marLeft w:val="0"/>
      <w:marRight w:val="0"/>
      <w:marTop w:val="120"/>
      <w:marBottom w:val="0"/>
      <w:divBdr>
        <w:top w:val="none" w:sz="0" w:space="0" w:color="auto"/>
        <w:left w:val="none" w:sz="0" w:space="0" w:color="auto"/>
        <w:bottom w:val="none" w:sz="0" w:space="0" w:color="auto"/>
        <w:right w:val="none" w:sz="0" w:space="0" w:color="auto"/>
      </w:divBdr>
    </w:div>
    <w:div w:id="373845778">
      <w:marLeft w:val="0"/>
      <w:marRight w:val="0"/>
      <w:marTop w:val="100"/>
      <w:marBottom w:val="0"/>
      <w:divBdr>
        <w:top w:val="none" w:sz="0" w:space="0" w:color="auto"/>
        <w:left w:val="none" w:sz="0" w:space="0" w:color="auto"/>
        <w:bottom w:val="none" w:sz="0" w:space="0" w:color="auto"/>
        <w:right w:val="none" w:sz="0" w:space="0" w:color="auto"/>
      </w:divBdr>
    </w:div>
    <w:div w:id="376975413">
      <w:marLeft w:val="0"/>
      <w:marRight w:val="0"/>
      <w:marTop w:val="200"/>
      <w:marBottom w:val="0"/>
      <w:divBdr>
        <w:top w:val="none" w:sz="0" w:space="0" w:color="auto"/>
        <w:left w:val="none" w:sz="0" w:space="0" w:color="auto"/>
        <w:bottom w:val="none" w:sz="0" w:space="0" w:color="auto"/>
        <w:right w:val="none" w:sz="0" w:space="0" w:color="auto"/>
      </w:divBdr>
    </w:div>
    <w:div w:id="377435683">
      <w:marLeft w:val="0"/>
      <w:marRight w:val="0"/>
      <w:marTop w:val="200"/>
      <w:marBottom w:val="0"/>
      <w:divBdr>
        <w:top w:val="none" w:sz="0" w:space="0" w:color="auto"/>
        <w:left w:val="none" w:sz="0" w:space="0" w:color="auto"/>
        <w:bottom w:val="none" w:sz="0" w:space="0" w:color="auto"/>
        <w:right w:val="none" w:sz="0" w:space="0" w:color="auto"/>
      </w:divBdr>
    </w:div>
    <w:div w:id="378363610">
      <w:marLeft w:val="0"/>
      <w:marRight w:val="0"/>
      <w:marTop w:val="200"/>
      <w:marBottom w:val="0"/>
      <w:divBdr>
        <w:top w:val="none" w:sz="0" w:space="0" w:color="auto"/>
        <w:left w:val="none" w:sz="0" w:space="0" w:color="auto"/>
        <w:bottom w:val="none" w:sz="0" w:space="0" w:color="auto"/>
        <w:right w:val="none" w:sz="0" w:space="0" w:color="auto"/>
      </w:divBdr>
    </w:div>
    <w:div w:id="387921883">
      <w:marLeft w:val="0"/>
      <w:marRight w:val="0"/>
      <w:marTop w:val="0"/>
      <w:marBottom w:val="0"/>
      <w:divBdr>
        <w:top w:val="none" w:sz="0" w:space="0" w:color="auto"/>
        <w:left w:val="none" w:sz="0" w:space="0" w:color="auto"/>
        <w:bottom w:val="none" w:sz="0" w:space="0" w:color="auto"/>
        <w:right w:val="none" w:sz="0" w:space="0" w:color="auto"/>
      </w:divBdr>
      <w:divsChild>
        <w:div w:id="1401178044">
          <w:marLeft w:val="0"/>
          <w:marRight w:val="0"/>
          <w:marTop w:val="0"/>
          <w:marBottom w:val="0"/>
          <w:divBdr>
            <w:top w:val="none" w:sz="0" w:space="0" w:color="auto"/>
            <w:left w:val="none" w:sz="0" w:space="0" w:color="auto"/>
            <w:bottom w:val="none" w:sz="0" w:space="0" w:color="auto"/>
            <w:right w:val="none" w:sz="0" w:space="0" w:color="auto"/>
          </w:divBdr>
        </w:div>
      </w:divsChild>
    </w:div>
    <w:div w:id="389887090">
      <w:marLeft w:val="0"/>
      <w:marRight w:val="0"/>
      <w:marTop w:val="200"/>
      <w:marBottom w:val="0"/>
      <w:divBdr>
        <w:top w:val="none" w:sz="0" w:space="0" w:color="auto"/>
        <w:left w:val="none" w:sz="0" w:space="0" w:color="auto"/>
        <w:bottom w:val="none" w:sz="0" w:space="0" w:color="auto"/>
        <w:right w:val="none" w:sz="0" w:space="0" w:color="auto"/>
      </w:divBdr>
    </w:div>
    <w:div w:id="394592992">
      <w:marLeft w:val="0"/>
      <w:marRight w:val="0"/>
      <w:marTop w:val="200"/>
      <w:marBottom w:val="0"/>
      <w:divBdr>
        <w:top w:val="none" w:sz="0" w:space="0" w:color="auto"/>
        <w:left w:val="none" w:sz="0" w:space="0" w:color="auto"/>
        <w:bottom w:val="none" w:sz="0" w:space="0" w:color="auto"/>
        <w:right w:val="none" w:sz="0" w:space="0" w:color="auto"/>
      </w:divBdr>
    </w:div>
    <w:div w:id="395320417">
      <w:marLeft w:val="0"/>
      <w:marRight w:val="0"/>
      <w:marTop w:val="0"/>
      <w:marBottom w:val="0"/>
      <w:divBdr>
        <w:top w:val="none" w:sz="0" w:space="0" w:color="auto"/>
        <w:left w:val="none" w:sz="0" w:space="0" w:color="auto"/>
        <w:bottom w:val="none" w:sz="0" w:space="0" w:color="auto"/>
        <w:right w:val="none" w:sz="0" w:space="0" w:color="auto"/>
      </w:divBdr>
    </w:div>
    <w:div w:id="395786840">
      <w:marLeft w:val="0"/>
      <w:marRight w:val="0"/>
      <w:marTop w:val="210"/>
      <w:marBottom w:val="0"/>
      <w:divBdr>
        <w:top w:val="none" w:sz="0" w:space="0" w:color="auto"/>
        <w:left w:val="none" w:sz="0" w:space="0" w:color="auto"/>
        <w:bottom w:val="none" w:sz="0" w:space="0" w:color="auto"/>
        <w:right w:val="none" w:sz="0" w:space="0" w:color="auto"/>
      </w:divBdr>
    </w:div>
    <w:div w:id="399061460">
      <w:marLeft w:val="0"/>
      <w:marRight w:val="0"/>
      <w:marTop w:val="120"/>
      <w:marBottom w:val="0"/>
      <w:divBdr>
        <w:top w:val="none" w:sz="0" w:space="0" w:color="auto"/>
        <w:left w:val="none" w:sz="0" w:space="0" w:color="auto"/>
        <w:bottom w:val="none" w:sz="0" w:space="0" w:color="auto"/>
        <w:right w:val="none" w:sz="0" w:space="0" w:color="auto"/>
      </w:divBdr>
    </w:div>
    <w:div w:id="400173297">
      <w:marLeft w:val="0"/>
      <w:marRight w:val="0"/>
      <w:marTop w:val="200"/>
      <w:marBottom w:val="0"/>
      <w:divBdr>
        <w:top w:val="none" w:sz="0" w:space="0" w:color="auto"/>
        <w:left w:val="none" w:sz="0" w:space="0" w:color="auto"/>
        <w:bottom w:val="none" w:sz="0" w:space="0" w:color="auto"/>
        <w:right w:val="none" w:sz="0" w:space="0" w:color="auto"/>
      </w:divBdr>
    </w:div>
    <w:div w:id="402333403">
      <w:marLeft w:val="0"/>
      <w:marRight w:val="0"/>
      <w:marTop w:val="200"/>
      <w:marBottom w:val="0"/>
      <w:divBdr>
        <w:top w:val="none" w:sz="0" w:space="0" w:color="auto"/>
        <w:left w:val="none" w:sz="0" w:space="0" w:color="auto"/>
        <w:bottom w:val="none" w:sz="0" w:space="0" w:color="auto"/>
        <w:right w:val="none" w:sz="0" w:space="0" w:color="auto"/>
      </w:divBdr>
    </w:div>
    <w:div w:id="402333893">
      <w:marLeft w:val="0"/>
      <w:marRight w:val="0"/>
      <w:marTop w:val="200"/>
      <w:marBottom w:val="0"/>
      <w:divBdr>
        <w:top w:val="none" w:sz="0" w:space="0" w:color="auto"/>
        <w:left w:val="none" w:sz="0" w:space="0" w:color="auto"/>
        <w:bottom w:val="none" w:sz="0" w:space="0" w:color="auto"/>
        <w:right w:val="none" w:sz="0" w:space="0" w:color="auto"/>
      </w:divBdr>
    </w:div>
    <w:div w:id="403528337">
      <w:marLeft w:val="0"/>
      <w:marRight w:val="0"/>
      <w:marTop w:val="200"/>
      <w:marBottom w:val="0"/>
      <w:divBdr>
        <w:top w:val="none" w:sz="0" w:space="0" w:color="auto"/>
        <w:left w:val="none" w:sz="0" w:space="0" w:color="auto"/>
        <w:bottom w:val="none" w:sz="0" w:space="0" w:color="auto"/>
        <w:right w:val="none" w:sz="0" w:space="0" w:color="auto"/>
      </w:divBdr>
    </w:div>
    <w:div w:id="405492726">
      <w:marLeft w:val="0"/>
      <w:marRight w:val="0"/>
      <w:marTop w:val="0"/>
      <w:marBottom w:val="0"/>
      <w:divBdr>
        <w:top w:val="none" w:sz="0" w:space="0" w:color="auto"/>
        <w:left w:val="none" w:sz="0" w:space="0" w:color="auto"/>
        <w:bottom w:val="none" w:sz="0" w:space="0" w:color="auto"/>
        <w:right w:val="none" w:sz="0" w:space="0" w:color="auto"/>
      </w:divBdr>
      <w:divsChild>
        <w:div w:id="1330251070">
          <w:marLeft w:val="0"/>
          <w:marRight w:val="0"/>
          <w:marTop w:val="0"/>
          <w:marBottom w:val="0"/>
          <w:divBdr>
            <w:top w:val="none" w:sz="0" w:space="0" w:color="auto"/>
            <w:left w:val="none" w:sz="0" w:space="0" w:color="auto"/>
            <w:bottom w:val="none" w:sz="0" w:space="0" w:color="auto"/>
            <w:right w:val="none" w:sz="0" w:space="0" w:color="auto"/>
          </w:divBdr>
        </w:div>
      </w:divsChild>
    </w:div>
    <w:div w:id="405761707">
      <w:marLeft w:val="0"/>
      <w:marRight w:val="0"/>
      <w:marTop w:val="200"/>
      <w:marBottom w:val="0"/>
      <w:divBdr>
        <w:top w:val="none" w:sz="0" w:space="0" w:color="auto"/>
        <w:left w:val="none" w:sz="0" w:space="0" w:color="auto"/>
        <w:bottom w:val="none" w:sz="0" w:space="0" w:color="auto"/>
        <w:right w:val="none" w:sz="0" w:space="0" w:color="auto"/>
      </w:divBdr>
    </w:div>
    <w:div w:id="409500472">
      <w:marLeft w:val="0"/>
      <w:marRight w:val="0"/>
      <w:marTop w:val="0"/>
      <w:marBottom w:val="0"/>
      <w:divBdr>
        <w:top w:val="none" w:sz="0" w:space="0" w:color="auto"/>
        <w:left w:val="none" w:sz="0" w:space="0" w:color="auto"/>
        <w:bottom w:val="none" w:sz="0" w:space="0" w:color="auto"/>
        <w:right w:val="none" w:sz="0" w:space="0" w:color="auto"/>
      </w:divBdr>
    </w:div>
    <w:div w:id="410856007">
      <w:marLeft w:val="0"/>
      <w:marRight w:val="0"/>
      <w:marTop w:val="200"/>
      <w:marBottom w:val="0"/>
      <w:divBdr>
        <w:top w:val="none" w:sz="0" w:space="0" w:color="auto"/>
        <w:left w:val="none" w:sz="0" w:space="0" w:color="auto"/>
        <w:bottom w:val="none" w:sz="0" w:space="0" w:color="auto"/>
        <w:right w:val="none" w:sz="0" w:space="0" w:color="auto"/>
      </w:divBdr>
    </w:div>
    <w:div w:id="411512313">
      <w:marLeft w:val="0"/>
      <w:marRight w:val="0"/>
      <w:marTop w:val="0"/>
      <w:marBottom w:val="0"/>
      <w:divBdr>
        <w:top w:val="none" w:sz="0" w:space="0" w:color="auto"/>
        <w:left w:val="none" w:sz="0" w:space="0" w:color="auto"/>
        <w:bottom w:val="none" w:sz="0" w:space="0" w:color="auto"/>
        <w:right w:val="none" w:sz="0" w:space="0" w:color="auto"/>
      </w:divBdr>
      <w:divsChild>
        <w:div w:id="820194921">
          <w:marLeft w:val="0"/>
          <w:marRight w:val="0"/>
          <w:marTop w:val="0"/>
          <w:marBottom w:val="0"/>
          <w:divBdr>
            <w:top w:val="none" w:sz="0" w:space="0" w:color="auto"/>
            <w:left w:val="none" w:sz="0" w:space="0" w:color="auto"/>
            <w:bottom w:val="none" w:sz="0" w:space="0" w:color="auto"/>
            <w:right w:val="none" w:sz="0" w:space="0" w:color="auto"/>
          </w:divBdr>
        </w:div>
      </w:divsChild>
    </w:div>
    <w:div w:id="413357637">
      <w:marLeft w:val="0"/>
      <w:marRight w:val="0"/>
      <w:marTop w:val="200"/>
      <w:marBottom w:val="0"/>
      <w:divBdr>
        <w:top w:val="none" w:sz="0" w:space="0" w:color="auto"/>
        <w:left w:val="none" w:sz="0" w:space="0" w:color="auto"/>
        <w:bottom w:val="none" w:sz="0" w:space="0" w:color="auto"/>
        <w:right w:val="none" w:sz="0" w:space="0" w:color="auto"/>
      </w:divBdr>
    </w:div>
    <w:div w:id="414280834">
      <w:marLeft w:val="0"/>
      <w:marRight w:val="0"/>
      <w:marTop w:val="200"/>
      <w:marBottom w:val="0"/>
      <w:divBdr>
        <w:top w:val="none" w:sz="0" w:space="0" w:color="auto"/>
        <w:left w:val="none" w:sz="0" w:space="0" w:color="auto"/>
        <w:bottom w:val="none" w:sz="0" w:space="0" w:color="auto"/>
        <w:right w:val="none" w:sz="0" w:space="0" w:color="auto"/>
      </w:divBdr>
    </w:div>
    <w:div w:id="416050598">
      <w:marLeft w:val="0"/>
      <w:marRight w:val="0"/>
      <w:marTop w:val="100"/>
      <w:marBottom w:val="0"/>
      <w:divBdr>
        <w:top w:val="none" w:sz="0" w:space="0" w:color="auto"/>
        <w:left w:val="none" w:sz="0" w:space="0" w:color="auto"/>
        <w:bottom w:val="none" w:sz="0" w:space="0" w:color="auto"/>
        <w:right w:val="none" w:sz="0" w:space="0" w:color="auto"/>
      </w:divBdr>
    </w:div>
    <w:div w:id="418715349">
      <w:marLeft w:val="0"/>
      <w:marRight w:val="0"/>
      <w:marTop w:val="240"/>
      <w:marBottom w:val="0"/>
      <w:divBdr>
        <w:top w:val="none" w:sz="0" w:space="0" w:color="auto"/>
        <w:left w:val="none" w:sz="0" w:space="0" w:color="auto"/>
        <w:bottom w:val="none" w:sz="0" w:space="0" w:color="auto"/>
        <w:right w:val="none" w:sz="0" w:space="0" w:color="auto"/>
      </w:divBdr>
    </w:div>
    <w:div w:id="419566216">
      <w:marLeft w:val="0"/>
      <w:marRight w:val="0"/>
      <w:marTop w:val="200"/>
      <w:marBottom w:val="0"/>
      <w:divBdr>
        <w:top w:val="none" w:sz="0" w:space="0" w:color="auto"/>
        <w:left w:val="none" w:sz="0" w:space="0" w:color="auto"/>
        <w:bottom w:val="none" w:sz="0" w:space="0" w:color="auto"/>
        <w:right w:val="none" w:sz="0" w:space="0" w:color="auto"/>
      </w:divBdr>
    </w:div>
    <w:div w:id="421144660">
      <w:marLeft w:val="0"/>
      <w:marRight w:val="0"/>
      <w:marTop w:val="100"/>
      <w:marBottom w:val="0"/>
      <w:divBdr>
        <w:top w:val="none" w:sz="0" w:space="0" w:color="auto"/>
        <w:left w:val="none" w:sz="0" w:space="0" w:color="auto"/>
        <w:bottom w:val="none" w:sz="0" w:space="0" w:color="auto"/>
        <w:right w:val="none" w:sz="0" w:space="0" w:color="auto"/>
      </w:divBdr>
    </w:div>
    <w:div w:id="425540734">
      <w:marLeft w:val="0"/>
      <w:marRight w:val="0"/>
      <w:marTop w:val="200"/>
      <w:marBottom w:val="0"/>
      <w:divBdr>
        <w:top w:val="none" w:sz="0" w:space="0" w:color="auto"/>
        <w:left w:val="none" w:sz="0" w:space="0" w:color="auto"/>
        <w:bottom w:val="none" w:sz="0" w:space="0" w:color="auto"/>
        <w:right w:val="none" w:sz="0" w:space="0" w:color="auto"/>
      </w:divBdr>
    </w:div>
    <w:div w:id="425928354">
      <w:marLeft w:val="0"/>
      <w:marRight w:val="0"/>
      <w:marTop w:val="120"/>
      <w:marBottom w:val="0"/>
      <w:divBdr>
        <w:top w:val="none" w:sz="0" w:space="0" w:color="auto"/>
        <w:left w:val="none" w:sz="0" w:space="0" w:color="auto"/>
        <w:bottom w:val="none" w:sz="0" w:space="0" w:color="auto"/>
        <w:right w:val="none" w:sz="0" w:space="0" w:color="auto"/>
      </w:divBdr>
    </w:div>
    <w:div w:id="428088004">
      <w:marLeft w:val="0"/>
      <w:marRight w:val="0"/>
      <w:marTop w:val="240"/>
      <w:marBottom w:val="0"/>
      <w:divBdr>
        <w:top w:val="none" w:sz="0" w:space="0" w:color="auto"/>
        <w:left w:val="none" w:sz="0" w:space="0" w:color="auto"/>
        <w:bottom w:val="none" w:sz="0" w:space="0" w:color="auto"/>
        <w:right w:val="none" w:sz="0" w:space="0" w:color="auto"/>
      </w:divBdr>
    </w:div>
    <w:div w:id="428164795">
      <w:marLeft w:val="0"/>
      <w:marRight w:val="0"/>
      <w:marTop w:val="0"/>
      <w:marBottom w:val="0"/>
      <w:divBdr>
        <w:top w:val="none" w:sz="0" w:space="0" w:color="auto"/>
        <w:left w:val="none" w:sz="0" w:space="0" w:color="auto"/>
        <w:bottom w:val="none" w:sz="0" w:space="0" w:color="auto"/>
        <w:right w:val="none" w:sz="0" w:space="0" w:color="auto"/>
      </w:divBdr>
    </w:div>
    <w:div w:id="434979512">
      <w:marLeft w:val="0"/>
      <w:marRight w:val="0"/>
      <w:marTop w:val="0"/>
      <w:marBottom w:val="0"/>
      <w:divBdr>
        <w:top w:val="none" w:sz="0" w:space="0" w:color="auto"/>
        <w:left w:val="none" w:sz="0" w:space="0" w:color="auto"/>
        <w:bottom w:val="none" w:sz="0" w:space="0" w:color="auto"/>
        <w:right w:val="none" w:sz="0" w:space="0" w:color="auto"/>
      </w:divBdr>
    </w:div>
    <w:div w:id="435948681">
      <w:marLeft w:val="0"/>
      <w:marRight w:val="0"/>
      <w:marTop w:val="0"/>
      <w:marBottom w:val="0"/>
      <w:divBdr>
        <w:top w:val="none" w:sz="0" w:space="0" w:color="auto"/>
        <w:left w:val="none" w:sz="0" w:space="0" w:color="auto"/>
        <w:bottom w:val="none" w:sz="0" w:space="0" w:color="auto"/>
        <w:right w:val="none" w:sz="0" w:space="0" w:color="auto"/>
      </w:divBdr>
      <w:divsChild>
        <w:div w:id="1223058209">
          <w:marLeft w:val="0"/>
          <w:marRight w:val="0"/>
          <w:marTop w:val="0"/>
          <w:marBottom w:val="0"/>
          <w:divBdr>
            <w:top w:val="none" w:sz="0" w:space="0" w:color="auto"/>
            <w:left w:val="none" w:sz="0" w:space="0" w:color="auto"/>
            <w:bottom w:val="none" w:sz="0" w:space="0" w:color="auto"/>
            <w:right w:val="none" w:sz="0" w:space="0" w:color="auto"/>
          </w:divBdr>
        </w:div>
      </w:divsChild>
    </w:div>
    <w:div w:id="436219852">
      <w:marLeft w:val="0"/>
      <w:marRight w:val="0"/>
      <w:marTop w:val="200"/>
      <w:marBottom w:val="0"/>
      <w:divBdr>
        <w:top w:val="none" w:sz="0" w:space="0" w:color="auto"/>
        <w:left w:val="none" w:sz="0" w:space="0" w:color="auto"/>
        <w:bottom w:val="none" w:sz="0" w:space="0" w:color="auto"/>
        <w:right w:val="none" w:sz="0" w:space="0" w:color="auto"/>
      </w:divBdr>
    </w:div>
    <w:div w:id="437868490">
      <w:marLeft w:val="0"/>
      <w:marRight w:val="0"/>
      <w:marTop w:val="200"/>
      <w:marBottom w:val="0"/>
      <w:divBdr>
        <w:top w:val="none" w:sz="0" w:space="0" w:color="auto"/>
        <w:left w:val="none" w:sz="0" w:space="0" w:color="auto"/>
        <w:bottom w:val="none" w:sz="0" w:space="0" w:color="auto"/>
        <w:right w:val="none" w:sz="0" w:space="0" w:color="auto"/>
      </w:divBdr>
    </w:div>
    <w:div w:id="438843057">
      <w:marLeft w:val="0"/>
      <w:marRight w:val="0"/>
      <w:marTop w:val="200"/>
      <w:marBottom w:val="0"/>
      <w:divBdr>
        <w:top w:val="none" w:sz="0" w:space="0" w:color="auto"/>
        <w:left w:val="none" w:sz="0" w:space="0" w:color="auto"/>
        <w:bottom w:val="none" w:sz="0" w:space="0" w:color="auto"/>
        <w:right w:val="none" w:sz="0" w:space="0" w:color="auto"/>
      </w:divBdr>
    </w:div>
    <w:div w:id="440077518">
      <w:marLeft w:val="0"/>
      <w:marRight w:val="0"/>
      <w:marTop w:val="200"/>
      <w:marBottom w:val="0"/>
      <w:divBdr>
        <w:top w:val="none" w:sz="0" w:space="0" w:color="auto"/>
        <w:left w:val="none" w:sz="0" w:space="0" w:color="auto"/>
        <w:bottom w:val="none" w:sz="0" w:space="0" w:color="auto"/>
        <w:right w:val="none" w:sz="0" w:space="0" w:color="auto"/>
      </w:divBdr>
    </w:div>
    <w:div w:id="440532996">
      <w:marLeft w:val="0"/>
      <w:marRight w:val="0"/>
      <w:marTop w:val="200"/>
      <w:marBottom w:val="0"/>
      <w:divBdr>
        <w:top w:val="none" w:sz="0" w:space="0" w:color="auto"/>
        <w:left w:val="none" w:sz="0" w:space="0" w:color="auto"/>
        <w:bottom w:val="none" w:sz="0" w:space="0" w:color="auto"/>
        <w:right w:val="none" w:sz="0" w:space="0" w:color="auto"/>
      </w:divBdr>
    </w:div>
    <w:div w:id="441648726">
      <w:marLeft w:val="0"/>
      <w:marRight w:val="0"/>
      <w:marTop w:val="120"/>
      <w:marBottom w:val="0"/>
      <w:divBdr>
        <w:top w:val="none" w:sz="0" w:space="0" w:color="auto"/>
        <w:left w:val="none" w:sz="0" w:space="0" w:color="auto"/>
        <w:bottom w:val="none" w:sz="0" w:space="0" w:color="auto"/>
        <w:right w:val="none" w:sz="0" w:space="0" w:color="auto"/>
      </w:divBdr>
    </w:div>
    <w:div w:id="443770465">
      <w:marLeft w:val="0"/>
      <w:marRight w:val="0"/>
      <w:marTop w:val="120"/>
      <w:marBottom w:val="0"/>
      <w:divBdr>
        <w:top w:val="none" w:sz="0" w:space="0" w:color="auto"/>
        <w:left w:val="none" w:sz="0" w:space="0" w:color="auto"/>
        <w:bottom w:val="none" w:sz="0" w:space="0" w:color="auto"/>
        <w:right w:val="none" w:sz="0" w:space="0" w:color="auto"/>
      </w:divBdr>
    </w:div>
    <w:div w:id="446000699">
      <w:marLeft w:val="0"/>
      <w:marRight w:val="0"/>
      <w:marTop w:val="200"/>
      <w:marBottom w:val="0"/>
      <w:divBdr>
        <w:top w:val="none" w:sz="0" w:space="0" w:color="auto"/>
        <w:left w:val="none" w:sz="0" w:space="0" w:color="auto"/>
        <w:bottom w:val="none" w:sz="0" w:space="0" w:color="auto"/>
        <w:right w:val="none" w:sz="0" w:space="0" w:color="auto"/>
      </w:divBdr>
    </w:div>
    <w:div w:id="448277329">
      <w:marLeft w:val="0"/>
      <w:marRight w:val="0"/>
      <w:marTop w:val="360"/>
      <w:marBottom w:val="0"/>
      <w:divBdr>
        <w:top w:val="none" w:sz="0" w:space="0" w:color="auto"/>
        <w:left w:val="none" w:sz="0" w:space="0" w:color="auto"/>
        <w:bottom w:val="none" w:sz="0" w:space="0" w:color="auto"/>
        <w:right w:val="none" w:sz="0" w:space="0" w:color="auto"/>
      </w:divBdr>
    </w:div>
    <w:div w:id="451562211">
      <w:marLeft w:val="0"/>
      <w:marRight w:val="0"/>
      <w:marTop w:val="120"/>
      <w:marBottom w:val="0"/>
      <w:divBdr>
        <w:top w:val="none" w:sz="0" w:space="0" w:color="auto"/>
        <w:left w:val="none" w:sz="0" w:space="0" w:color="auto"/>
        <w:bottom w:val="none" w:sz="0" w:space="0" w:color="auto"/>
        <w:right w:val="none" w:sz="0" w:space="0" w:color="auto"/>
      </w:divBdr>
    </w:div>
    <w:div w:id="451822260">
      <w:marLeft w:val="0"/>
      <w:marRight w:val="0"/>
      <w:marTop w:val="200"/>
      <w:marBottom w:val="0"/>
      <w:divBdr>
        <w:top w:val="none" w:sz="0" w:space="0" w:color="auto"/>
        <w:left w:val="none" w:sz="0" w:space="0" w:color="auto"/>
        <w:bottom w:val="none" w:sz="0" w:space="0" w:color="auto"/>
        <w:right w:val="none" w:sz="0" w:space="0" w:color="auto"/>
      </w:divBdr>
    </w:div>
    <w:div w:id="453064884">
      <w:marLeft w:val="0"/>
      <w:marRight w:val="0"/>
      <w:marTop w:val="200"/>
      <w:marBottom w:val="0"/>
      <w:divBdr>
        <w:top w:val="none" w:sz="0" w:space="0" w:color="auto"/>
        <w:left w:val="none" w:sz="0" w:space="0" w:color="auto"/>
        <w:bottom w:val="none" w:sz="0" w:space="0" w:color="auto"/>
        <w:right w:val="none" w:sz="0" w:space="0" w:color="auto"/>
      </w:divBdr>
    </w:div>
    <w:div w:id="459761640">
      <w:marLeft w:val="0"/>
      <w:marRight w:val="0"/>
      <w:marTop w:val="160"/>
      <w:marBottom w:val="0"/>
      <w:divBdr>
        <w:top w:val="none" w:sz="0" w:space="0" w:color="auto"/>
        <w:left w:val="none" w:sz="0" w:space="0" w:color="auto"/>
        <w:bottom w:val="none" w:sz="0" w:space="0" w:color="auto"/>
        <w:right w:val="none" w:sz="0" w:space="0" w:color="auto"/>
      </w:divBdr>
    </w:div>
    <w:div w:id="464666005">
      <w:marLeft w:val="0"/>
      <w:marRight w:val="0"/>
      <w:marTop w:val="200"/>
      <w:marBottom w:val="0"/>
      <w:divBdr>
        <w:top w:val="none" w:sz="0" w:space="0" w:color="auto"/>
        <w:left w:val="none" w:sz="0" w:space="0" w:color="auto"/>
        <w:bottom w:val="none" w:sz="0" w:space="0" w:color="auto"/>
        <w:right w:val="none" w:sz="0" w:space="0" w:color="auto"/>
      </w:divBdr>
    </w:div>
    <w:div w:id="465591748">
      <w:marLeft w:val="0"/>
      <w:marRight w:val="0"/>
      <w:marTop w:val="120"/>
      <w:marBottom w:val="0"/>
      <w:divBdr>
        <w:top w:val="none" w:sz="0" w:space="0" w:color="auto"/>
        <w:left w:val="none" w:sz="0" w:space="0" w:color="auto"/>
        <w:bottom w:val="none" w:sz="0" w:space="0" w:color="auto"/>
        <w:right w:val="none" w:sz="0" w:space="0" w:color="auto"/>
      </w:divBdr>
    </w:div>
    <w:div w:id="467162770">
      <w:marLeft w:val="0"/>
      <w:marRight w:val="0"/>
      <w:marTop w:val="200"/>
      <w:marBottom w:val="0"/>
      <w:divBdr>
        <w:top w:val="none" w:sz="0" w:space="0" w:color="auto"/>
        <w:left w:val="none" w:sz="0" w:space="0" w:color="auto"/>
        <w:bottom w:val="none" w:sz="0" w:space="0" w:color="auto"/>
        <w:right w:val="none" w:sz="0" w:space="0" w:color="auto"/>
      </w:divBdr>
    </w:div>
    <w:div w:id="472138144">
      <w:marLeft w:val="0"/>
      <w:marRight w:val="0"/>
      <w:marTop w:val="200"/>
      <w:marBottom w:val="0"/>
      <w:divBdr>
        <w:top w:val="none" w:sz="0" w:space="0" w:color="auto"/>
        <w:left w:val="none" w:sz="0" w:space="0" w:color="auto"/>
        <w:bottom w:val="none" w:sz="0" w:space="0" w:color="auto"/>
        <w:right w:val="none" w:sz="0" w:space="0" w:color="auto"/>
      </w:divBdr>
    </w:div>
    <w:div w:id="472260966">
      <w:marLeft w:val="0"/>
      <w:marRight w:val="0"/>
      <w:marTop w:val="360"/>
      <w:marBottom w:val="0"/>
      <w:divBdr>
        <w:top w:val="none" w:sz="0" w:space="0" w:color="auto"/>
        <w:left w:val="none" w:sz="0" w:space="0" w:color="auto"/>
        <w:bottom w:val="none" w:sz="0" w:space="0" w:color="auto"/>
        <w:right w:val="none" w:sz="0" w:space="0" w:color="auto"/>
      </w:divBdr>
    </w:div>
    <w:div w:id="472792308">
      <w:marLeft w:val="0"/>
      <w:marRight w:val="0"/>
      <w:marTop w:val="200"/>
      <w:marBottom w:val="0"/>
      <w:divBdr>
        <w:top w:val="none" w:sz="0" w:space="0" w:color="auto"/>
        <w:left w:val="none" w:sz="0" w:space="0" w:color="auto"/>
        <w:bottom w:val="none" w:sz="0" w:space="0" w:color="auto"/>
        <w:right w:val="none" w:sz="0" w:space="0" w:color="auto"/>
      </w:divBdr>
    </w:div>
    <w:div w:id="474491609">
      <w:marLeft w:val="0"/>
      <w:marRight w:val="0"/>
      <w:marTop w:val="240"/>
      <w:marBottom w:val="0"/>
      <w:divBdr>
        <w:top w:val="none" w:sz="0" w:space="0" w:color="auto"/>
        <w:left w:val="none" w:sz="0" w:space="0" w:color="auto"/>
        <w:bottom w:val="none" w:sz="0" w:space="0" w:color="auto"/>
        <w:right w:val="none" w:sz="0" w:space="0" w:color="auto"/>
      </w:divBdr>
    </w:div>
    <w:div w:id="475683589">
      <w:marLeft w:val="0"/>
      <w:marRight w:val="0"/>
      <w:marTop w:val="0"/>
      <w:marBottom w:val="0"/>
      <w:divBdr>
        <w:top w:val="none" w:sz="0" w:space="0" w:color="auto"/>
        <w:left w:val="none" w:sz="0" w:space="0" w:color="auto"/>
        <w:bottom w:val="none" w:sz="0" w:space="0" w:color="auto"/>
        <w:right w:val="none" w:sz="0" w:space="0" w:color="auto"/>
      </w:divBdr>
      <w:divsChild>
        <w:div w:id="181744798">
          <w:marLeft w:val="0"/>
          <w:marRight w:val="0"/>
          <w:marTop w:val="0"/>
          <w:marBottom w:val="0"/>
          <w:divBdr>
            <w:top w:val="none" w:sz="0" w:space="0" w:color="auto"/>
            <w:left w:val="none" w:sz="0" w:space="0" w:color="auto"/>
            <w:bottom w:val="none" w:sz="0" w:space="0" w:color="auto"/>
            <w:right w:val="none" w:sz="0" w:space="0" w:color="auto"/>
          </w:divBdr>
        </w:div>
      </w:divsChild>
    </w:div>
    <w:div w:id="477721472">
      <w:marLeft w:val="0"/>
      <w:marRight w:val="0"/>
      <w:marTop w:val="200"/>
      <w:marBottom w:val="0"/>
      <w:divBdr>
        <w:top w:val="none" w:sz="0" w:space="0" w:color="auto"/>
        <w:left w:val="none" w:sz="0" w:space="0" w:color="auto"/>
        <w:bottom w:val="none" w:sz="0" w:space="0" w:color="auto"/>
        <w:right w:val="none" w:sz="0" w:space="0" w:color="auto"/>
      </w:divBdr>
    </w:div>
    <w:div w:id="480198466">
      <w:marLeft w:val="0"/>
      <w:marRight w:val="0"/>
      <w:marTop w:val="200"/>
      <w:marBottom w:val="0"/>
      <w:divBdr>
        <w:top w:val="none" w:sz="0" w:space="0" w:color="auto"/>
        <w:left w:val="none" w:sz="0" w:space="0" w:color="auto"/>
        <w:bottom w:val="none" w:sz="0" w:space="0" w:color="auto"/>
        <w:right w:val="none" w:sz="0" w:space="0" w:color="auto"/>
      </w:divBdr>
    </w:div>
    <w:div w:id="481698787">
      <w:marLeft w:val="0"/>
      <w:marRight w:val="0"/>
      <w:marTop w:val="200"/>
      <w:marBottom w:val="0"/>
      <w:divBdr>
        <w:top w:val="none" w:sz="0" w:space="0" w:color="auto"/>
        <w:left w:val="none" w:sz="0" w:space="0" w:color="auto"/>
        <w:bottom w:val="none" w:sz="0" w:space="0" w:color="auto"/>
        <w:right w:val="none" w:sz="0" w:space="0" w:color="auto"/>
      </w:divBdr>
    </w:div>
    <w:div w:id="482893765">
      <w:marLeft w:val="0"/>
      <w:marRight w:val="0"/>
      <w:marTop w:val="240"/>
      <w:marBottom w:val="0"/>
      <w:divBdr>
        <w:top w:val="none" w:sz="0" w:space="0" w:color="auto"/>
        <w:left w:val="none" w:sz="0" w:space="0" w:color="auto"/>
        <w:bottom w:val="none" w:sz="0" w:space="0" w:color="auto"/>
        <w:right w:val="none" w:sz="0" w:space="0" w:color="auto"/>
      </w:divBdr>
    </w:div>
    <w:div w:id="483742718">
      <w:marLeft w:val="0"/>
      <w:marRight w:val="0"/>
      <w:marTop w:val="200"/>
      <w:marBottom w:val="0"/>
      <w:divBdr>
        <w:top w:val="none" w:sz="0" w:space="0" w:color="auto"/>
        <w:left w:val="none" w:sz="0" w:space="0" w:color="auto"/>
        <w:bottom w:val="none" w:sz="0" w:space="0" w:color="auto"/>
        <w:right w:val="none" w:sz="0" w:space="0" w:color="auto"/>
      </w:divBdr>
    </w:div>
    <w:div w:id="484316888">
      <w:marLeft w:val="0"/>
      <w:marRight w:val="0"/>
      <w:marTop w:val="200"/>
      <w:marBottom w:val="0"/>
      <w:divBdr>
        <w:top w:val="none" w:sz="0" w:space="0" w:color="auto"/>
        <w:left w:val="none" w:sz="0" w:space="0" w:color="auto"/>
        <w:bottom w:val="none" w:sz="0" w:space="0" w:color="auto"/>
        <w:right w:val="none" w:sz="0" w:space="0" w:color="auto"/>
      </w:divBdr>
    </w:div>
    <w:div w:id="489449663">
      <w:marLeft w:val="0"/>
      <w:marRight w:val="0"/>
      <w:marTop w:val="200"/>
      <w:marBottom w:val="0"/>
      <w:divBdr>
        <w:top w:val="none" w:sz="0" w:space="0" w:color="auto"/>
        <w:left w:val="none" w:sz="0" w:space="0" w:color="auto"/>
        <w:bottom w:val="none" w:sz="0" w:space="0" w:color="auto"/>
        <w:right w:val="none" w:sz="0" w:space="0" w:color="auto"/>
      </w:divBdr>
    </w:div>
    <w:div w:id="490604985">
      <w:marLeft w:val="0"/>
      <w:marRight w:val="0"/>
      <w:marTop w:val="200"/>
      <w:marBottom w:val="0"/>
      <w:divBdr>
        <w:top w:val="none" w:sz="0" w:space="0" w:color="auto"/>
        <w:left w:val="none" w:sz="0" w:space="0" w:color="auto"/>
        <w:bottom w:val="none" w:sz="0" w:space="0" w:color="auto"/>
        <w:right w:val="none" w:sz="0" w:space="0" w:color="auto"/>
      </w:divBdr>
    </w:div>
    <w:div w:id="491337033">
      <w:marLeft w:val="0"/>
      <w:marRight w:val="0"/>
      <w:marTop w:val="0"/>
      <w:marBottom w:val="0"/>
      <w:divBdr>
        <w:top w:val="none" w:sz="0" w:space="0" w:color="auto"/>
        <w:left w:val="none" w:sz="0" w:space="0" w:color="auto"/>
        <w:bottom w:val="none" w:sz="0" w:space="0" w:color="auto"/>
        <w:right w:val="none" w:sz="0" w:space="0" w:color="auto"/>
      </w:divBdr>
      <w:divsChild>
        <w:div w:id="742872888">
          <w:marLeft w:val="0"/>
          <w:marRight w:val="0"/>
          <w:marTop w:val="0"/>
          <w:marBottom w:val="0"/>
          <w:divBdr>
            <w:top w:val="none" w:sz="0" w:space="0" w:color="auto"/>
            <w:left w:val="none" w:sz="0" w:space="0" w:color="auto"/>
            <w:bottom w:val="none" w:sz="0" w:space="0" w:color="auto"/>
            <w:right w:val="none" w:sz="0" w:space="0" w:color="auto"/>
          </w:divBdr>
        </w:div>
      </w:divsChild>
    </w:div>
    <w:div w:id="492725405">
      <w:marLeft w:val="0"/>
      <w:marRight w:val="0"/>
      <w:marTop w:val="100"/>
      <w:marBottom w:val="0"/>
      <w:divBdr>
        <w:top w:val="none" w:sz="0" w:space="0" w:color="auto"/>
        <w:left w:val="none" w:sz="0" w:space="0" w:color="auto"/>
        <w:bottom w:val="none" w:sz="0" w:space="0" w:color="auto"/>
        <w:right w:val="none" w:sz="0" w:space="0" w:color="auto"/>
      </w:divBdr>
      <w:divsChild>
        <w:div w:id="441220181">
          <w:marLeft w:val="0"/>
          <w:marRight w:val="0"/>
          <w:marTop w:val="120"/>
          <w:marBottom w:val="0"/>
          <w:divBdr>
            <w:top w:val="none" w:sz="0" w:space="0" w:color="auto"/>
            <w:left w:val="none" w:sz="0" w:space="0" w:color="auto"/>
            <w:bottom w:val="none" w:sz="0" w:space="0" w:color="auto"/>
            <w:right w:val="none" w:sz="0" w:space="0" w:color="auto"/>
          </w:divBdr>
        </w:div>
      </w:divsChild>
    </w:div>
    <w:div w:id="493684114">
      <w:marLeft w:val="0"/>
      <w:marRight w:val="0"/>
      <w:marTop w:val="120"/>
      <w:marBottom w:val="0"/>
      <w:divBdr>
        <w:top w:val="none" w:sz="0" w:space="0" w:color="auto"/>
        <w:left w:val="none" w:sz="0" w:space="0" w:color="auto"/>
        <w:bottom w:val="none" w:sz="0" w:space="0" w:color="auto"/>
        <w:right w:val="none" w:sz="0" w:space="0" w:color="auto"/>
      </w:divBdr>
    </w:div>
    <w:div w:id="496195576">
      <w:marLeft w:val="0"/>
      <w:marRight w:val="0"/>
      <w:marTop w:val="0"/>
      <w:marBottom w:val="0"/>
      <w:divBdr>
        <w:top w:val="none" w:sz="0" w:space="0" w:color="auto"/>
        <w:left w:val="none" w:sz="0" w:space="0" w:color="auto"/>
        <w:bottom w:val="none" w:sz="0" w:space="0" w:color="auto"/>
        <w:right w:val="none" w:sz="0" w:space="0" w:color="auto"/>
      </w:divBdr>
      <w:divsChild>
        <w:div w:id="67575280">
          <w:marLeft w:val="0"/>
          <w:marRight w:val="0"/>
          <w:marTop w:val="0"/>
          <w:marBottom w:val="0"/>
          <w:divBdr>
            <w:top w:val="none" w:sz="0" w:space="0" w:color="auto"/>
            <w:left w:val="none" w:sz="0" w:space="0" w:color="auto"/>
            <w:bottom w:val="none" w:sz="0" w:space="0" w:color="auto"/>
            <w:right w:val="none" w:sz="0" w:space="0" w:color="auto"/>
          </w:divBdr>
        </w:div>
      </w:divsChild>
    </w:div>
    <w:div w:id="496381657">
      <w:marLeft w:val="0"/>
      <w:marRight w:val="0"/>
      <w:marTop w:val="240"/>
      <w:marBottom w:val="0"/>
      <w:divBdr>
        <w:top w:val="none" w:sz="0" w:space="0" w:color="auto"/>
        <w:left w:val="none" w:sz="0" w:space="0" w:color="auto"/>
        <w:bottom w:val="none" w:sz="0" w:space="0" w:color="auto"/>
        <w:right w:val="none" w:sz="0" w:space="0" w:color="auto"/>
      </w:divBdr>
    </w:div>
    <w:div w:id="497162034">
      <w:marLeft w:val="0"/>
      <w:marRight w:val="0"/>
      <w:marTop w:val="0"/>
      <w:marBottom w:val="0"/>
      <w:divBdr>
        <w:top w:val="none" w:sz="0" w:space="0" w:color="auto"/>
        <w:left w:val="none" w:sz="0" w:space="0" w:color="auto"/>
        <w:bottom w:val="none" w:sz="0" w:space="0" w:color="auto"/>
        <w:right w:val="none" w:sz="0" w:space="0" w:color="auto"/>
      </w:divBdr>
    </w:div>
    <w:div w:id="499350504">
      <w:marLeft w:val="0"/>
      <w:marRight w:val="0"/>
      <w:marTop w:val="0"/>
      <w:marBottom w:val="0"/>
      <w:divBdr>
        <w:top w:val="none" w:sz="0" w:space="0" w:color="auto"/>
        <w:left w:val="none" w:sz="0" w:space="0" w:color="auto"/>
        <w:bottom w:val="none" w:sz="0" w:space="0" w:color="auto"/>
        <w:right w:val="none" w:sz="0" w:space="0" w:color="auto"/>
      </w:divBdr>
      <w:divsChild>
        <w:div w:id="1646659125">
          <w:marLeft w:val="0"/>
          <w:marRight w:val="0"/>
          <w:marTop w:val="0"/>
          <w:marBottom w:val="0"/>
          <w:divBdr>
            <w:top w:val="none" w:sz="0" w:space="0" w:color="auto"/>
            <w:left w:val="none" w:sz="0" w:space="0" w:color="auto"/>
            <w:bottom w:val="none" w:sz="0" w:space="0" w:color="auto"/>
            <w:right w:val="none" w:sz="0" w:space="0" w:color="auto"/>
          </w:divBdr>
        </w:div>
      </w:divsChild>
    </w:div>
    <w:div w:id="499470571">
      <w:marLeft w:val="0"/>
      <w:marRight w:val="0"/>
      <w:marTop w:val="200"/>
      <w:marBottom w:val="0"/>
      <w:divBdr>
        <w:top w:val="none" w:sz="0" w:space="0" w:color="auto"/>
        <w:left w:val="none" w:sz="0" w:space="0" w:color="auto"/>
        <w:bottom w:val="none" w:sz="0" w:space="0" w:color="auto"/>
        <w:right w:val="none" w:sz="0" w:space="0" w:color="auto"/>
      </w:divBdr>
    </w:div>
    <w:div w:id="507137839">
      <w:marLeft w:val="0"/>
      <w:marRight w:val="0"/>
      <w:marTop w:val="200"/>
      <w:marBottom w:val="0"/>
      <w:divBdr>
        <w:top w:val="none" w:sz="0" w:space="0" w:color="auto"/>
        <w:left w:val="none" w:sz="0" w:space="0" w:color="auto"/>
        <w:bottom w:val="none" w:sz="0" w:space="0" w:color="auto"/>
        <w:right w:val="none" w:sz="0" w:space="0" w:color="auto"/>
      </w:divBdr>
    </w:div>
    <w:div w:id="507258363">
      <w:marLeft w:val="0"/>
      <w:marRight w:val="0"/>
      <w:marTop w:val="200"/>
      <w:marBottom w:val="0"/>
      <w:divBdr>
        <w:top w:val="none" w:sz="0" w:space="0" w:color="auto"/>
        <w:left w:val="none" w:sz="0" w:space="0" w:color="auto"/>
        <w:bottom w:val="none" w:sz="0" w:space="0" w:color="auto"/>
        <w:right w:val="none" w:sz="0" w:space="0" w:color="auto"/>
      </w:divBdr>
    </w:div>
    <w:div w:id="507796171">
      <w:marLeft w:val="0"/>
      <w:marRight w:val="0"/>
      <w:marTop w:val="120"/>
      <w:marBottom w:val="0"/>
      <w:divBdr>
        <w:top w:val="none" w:sz="0" w:space="0" w:color="auto"/>
        <w:left w:val="none" w:sz="0" w:space="0" w:color="auto"/>
        <w:bottom w:val="none" w:sz="0" w:space="0" w:color="auto"/>
        <w:right w:val="none" w:sz="0" w:space="0" w:color="auto"/>
      </w:divBdr>
    </w:div>
    <w:div w:id="515965452">
      <w:marLeft w:val="0"/>
      <w:marRight w:val="0"/>
      <w:marTop w:val="0"/>
      <w:marBottom w:val="0"/>
      <w:divBdr>
        <w:top w:val="none" w:sz="0" w:space="0" w:color="auto"/>
        <w:left w:val="none" w:sz="0" w:space="0" w:color="auto"/>
        <w:bottom w:val="none" w:sz="0" w:space="0" w:color="auto"/>
        <w:right w:val="none" w:sz="0" w:space="0" w:color="auto"/>
      </w:divBdr>
      <w:divsChild>
        <w:div w:id="1807432846">
          <w:marLeft w:val="0"/>
          <w:marRight w:val="0"/>
          <w:marTop w:val="0"/>
          <w:marBottom w:val="0"/>
          <w:divBdr>
            <w:top w:val="none" w:sz="0" w:space="0" w:color="auto"/>
            <w:left w:val="none" w:sz="0" w:space="0" w:color="auto"/>
            <w:bottom w:val="none" w:sz="0" w:space="0" w:color="auto"/>
            <w:right w:val="none" w:sz="0" w:space="0" w:color="auto"/>
          </w:divBdr>
        </w:div>
      </w:divsChild>
    </w:div>
    <w:div w:id="520896805">
      <w:marLeft w:val="0"/>
      <w:marRight w:val="0"/>
      <w:marTop w:val="200"/>
      <w:marBottom w:val="0"/>
      <w:divBdr>
        <w:top w:val="none" w:sz="0" w:space="0" w:color="auto"/>
        <w:left w:val="none" w:sz="0" w:space="0" w:color="auto"/>
        <w:bottom w:val="none" w:sz="0" w:space="0" w:color="auto"/>
        <w:right w:val="none" w:sz="0" w:space="0" w:color="auto"/>
      </w:divBdr>
    </w:div>
    <w:div w:id="522598861">
      <w:marLeft w:val="0"/>
      <w:marRight w:val="0"/>
      <w:marTop w:val="200"/>
      <w:marBottom w:val="0"/>
      <w:divBdr>
        <w:top w:val="none" w:sz="0" w:space="0" w:color="auto"/>
        <w:left w:val="none" w:sz="0" w:space="0" w:color="auto"/>
        <w:bottom w:val="none" w:sz="0" w:space="0" w:color="auto"/>
        <w:right w:val="none" w:sz="0" w:space="0" w:color="auto"/>
      </w:divBdr>
    </w:div>
    <w:div w:id="525678098">
      <w:marLeft w:val="0"/>
      <w:marRight w:val="0"/>
      <w:marTop w:val="360"/>
      <w:marBottom w:val="0"/>
      <w:divBdr>
        <w:top w:val="none" w:sz="0" w:space="0" w:color="auto"/>
        <w:left w:val="none" w:sz="0" w:space="0" w:color="auto"/>
        <w:bottom w:val="none" w:sz="0" w:space="0" w:color="auto"/>
        <w:right w:val="none" w:sz="0" w:space="0" w:color="auto"/>
      </w:divBdr>
    </w:div>
    <w:div w:id="527915182">
      <w:marLeft w:val="0"/>
      <w:marRight w:val="0"/>
      <w:marTop w:val="0"/>
      <w:marBottom w:val="0"/>
      <w:divBdr>
        <w:top w:val="none" w:sz="0" w:space="0" w:color="auto"/>
        <w:left w:val="none" w:sz="0" w:space="0" w:color="auto"/>
        <w:bottom w:val="none" w:sz="0" w:space="0" w:color="auto"/>
        <w:right w:val="none" w:sz="0" w:space="0" w:color="auto"/>
      </w:divBdr>
      <w:divsChild>
        <w:div w:id="832795100">
          <w:marLeft w:val="0"/>
          <w:marRight w:val="0"/>
          <w:marTop w:val="0"/>
          <w:marBottom w:val="0"/>
          <w:divBdr>
            <w:top w:val="none" w:sz="0" w:space="0" w:color="auto"/>
            <w:left w:val="none" w:sz="0" w:space="0" w:color="auto"/>
            <w:bottom w:val="none" w:sz="0" w:space="0" w:color="auto"/>
            <w:right w:val="none" w:sz="0" w:space="0" w:color="auto"/>
          </w:divBdr>
        </w:div>
      </w:divsChild>
    </w:div>
    <w:div w:id="531193497">
      <w:marLeft w:val="0"/>
      <w:marRight w:val="0"/>
      <w:marTop w:val="210"/>
      <w:marBottom w:val="0"/>
      <w:divBdr>
        <w:top w:val="none" w:sz="0" w:space="0" w:color="auto"/>
        <w:left w:val="none" w:sz="0" w:space="0" w:color="auto"/>
        <w:bottom w:val="none" w:sz="0" w:space="0" w:color="auto"/>
        <w:right w:val="none" w:sz="0" w:space="0" w:color="auto"/>
      </w:divBdr>
    </w:div>
    <w:div w:id="531381695">
      <w:marLeft w:val="0"/>
      <w:marRight w:val="0"/>
      <w:marTop w:val="120"/>
      <w:marBottom w:val="0"/>
      <w:divBdr>
        <w:top w:val="none" w:sz="0" w:space="0" w:color="auto"/>
        <w:left w:val="none" w:sz="0" w:space="0" w:color="auto"/>
        <w:bottom w:val="none" w:sz="0" w:space="0" w:color="auto"/>
        <w:right w:val="none" w:sz="0" w:space="0" w:color="auto"/>
      </w:divBdr>
    </w:div>
    <w:div w:id="533806638">
      <w:marLeft w:val="0"/>
      <w:marRight w:val="0"/>
      <w:marTop w:val="200"/>
      <w:marBottom w:val="0"/>
      <w:divBdr>
        <w:top w:val="none" w:sz="0" w:space="0" w:color="auto"/>
        <w:left w:val="none" w:sz="0" w:space="0" w:color="auto"/>
        <w:bottom w:val="none" w:sz="0" w:space="0" w:color="auto"/>
        <w:right w:val="none" w:sz="0" w:space="0" w:color="auto"/>
      </w:divBdr>
    </w:div>
    <w:div w:id="534852893">
      <w:marLeft w:val="0"/>
      <w:marRight w:val="0"/>
      <w:marTop w:val="200"/>
      <w:marBottom w:val="0"/>
      <w:divBdr>
        <w:top w:val="none" w:sz="0" w:space="0" w:color="auto"/>
        <w:left w:val="none" w:sz="0" w:space="0" w:color="auto"/>
        <w:bottom w:val="none" w:sz="0" w:space="0" w:color="auto"/>
        <w:right w:val="none" w:sz="0" w:space="0" w:color="auto"/>
      </w:divBdr>
    </w:div>
    <w:div w:id="535580809">
      <w:marLeft w:val="0"/>
      <w:marRight w:val="0"/>
      <w:marTop w:val="200"/>
      <w:marBottom w:val="0"/>
      <w:divBdr>
        <w:top w:val="none" w:sz="0" w:space="0" w:color="auto"/>
        <w:left w:val="none" w:sz="0" w:space="0" w:color="auto"/>
        <w:bottom w:val="none" w:sz="0" w:space="0" w:color="auto"/>
        <w:right w:val="none" w:sz="0" w:space="0" w:color="auto"/>
      </w:divBdr>
    </w:div>
    <w:div w:id="540167436">
      <w:marLeft w:val="0"/>
      <w:marRight w:val="0"/>
      <w:marTop w:val="200"/>
      <w:marBottom w:val="0"/>
      <w:divBdr>
        <w:top w:val="none" w:sz="0" w:space="0" w:color="auto"/>
        <w:left w:val="none" w:sz="0" w:space="0" w:color="auto"/>
        <w:bottom w:val="none" w:sz="0" w:space="0" w:color="auto"/>
        <w:right w:val="none" w:sz="0" w:space="0" w:color="auto"/>
      </w:divBdr>
    </w:div>
    <w:div w:id="541015989">
      <w:marLeft w:val="0"/>
      <w:marRight w:val="0"/>
      <w:marTop w:val="200"/>
      <w:marBottom w:val="0"/>
      <w:divBdr>
        <w:top w:val="none" w:sz="0" w:space="0" w:color="auto"/>
        <w:left w:val="none" w:sz="0" w:space="0" w:color="auto"/>
        <w:bottom w:val="none" w:sz="0" w:space="0" w:color="auto"/>
        <w:right w:val="none" w:sz="0" w:space="0" w:color="auto"/>
      </w:divBdr>
    </w:div>
    <w:div w:id="542255855">
      <w:marLeft w:val="0"/>
      <w:marRight w:val="0"/>
      <w:marTop w:val="200"/>
      <w:marBottom w:val="0"/>
      <w:divBdr>
        <w:top w:val="none" w:sz="0" w:space="0" w:color="auto"/>
        <w:left w:val="none" w:sz="0" w:space="0" w:color="auto"/>
        <w:bottom w:val="none" w:sz="0" w:space="0" w:color="auto"/>
        <w:right w:val="none" w:sz="0" w:space="0" w:color="auto"/>
      </w:divBdr>
    </w:div>
    <w:div w:id="543254366">
      <w:marLeft w:val="0"/>
      <w:marRight w:val="0"/>
      <w:marTop w:val="120"/>
      <w:marBottom w:val="0"/>
      <w:divBdr>
        <w:top w:val="none" w:sz="0" w:space="0" w:color="auto"/>
        <w:left w:val="none" w:sz="0" w:space="0" w:color="auto"/>
        <w:bottom w:val="none" w:sz="0" w:space="0" w:color="auto"/>
        <w:right w:val="none" w:sz="0" w:space="0" w:color="auto"/>
      </w:divBdr>
    </w:div>
    <w:div w:id="544101909">
      <w:marLeft w:val="0"/>
      <w:marRight w:val="0"/>
      <w:marTop w:val="200"/>
      <w:marBottom w:val="0"/>
      <w:divBdr>
        <w:top w:val="none" w:sz="0" w:space="0" w:color="auto"/>
        <w:left w:val="none" w:sz="0" w:space="0" w:color="auto"/>
        <w:bottom w:val="none" w:sz="0" w:space="0" w:color="auto"/>
        <w:right w:val="none" w:sz="0" w:space="0" w:color="auto"/>
      </w:divBdr>
    </w:div>
    <w:div w:id="544676479">
      <w:marLeft w:val="0"/>
      <w:marRight w:val="0"/>
      <w:marTop w:val="0"/>
      <w:marBottom w:val="0"/>
      <w:divBdr>
        <w:top w:val="none" w:sz="0" w:space="0" w:color="auto"/>
        <w:left w:val="none" w:sz="0" w:space="0" w:color="auto"/>
        <w:bottom w:val="none" w:sz="0" w:space="0" w:color="auto"/>
        <w:right w:val="none" w:sz="0" w:space="0" w:color="auto"/>
      </w:divBdr>
      <w:divsChild>
        <w:div w:id="933127369">
          <w:marLeft w:val="0"/>
          <w:marRight w:val="0"/>
          <w:marTop w:val="0"/>
          <w:marBottom w:val="0"/>
          <w:divBdr>
            <w:top w:val="none" w:sz="0" w:space="0" w:color="auto"/>
            <w:left w:val="none" w:sz="0" w:space="0" w:color="auto"/>
            <w:bottom w:val="none" w:sz="0" w:space="0" w:color="auto"/>
            <w:right w:val="none" w:sz="0" w:space="0" w:color="auto"/>
          </w:divBdr>
        </w:div>
      </w:divsChild>
    </w:div>
    <w:div w:id="545869689">
      <w:marLeft w:val="0"/>
      <w:marRight w:val="0"/>
      <w:marTop w:val="200"/>
      <w:marBottom w:val="0"/>
      <w:divBdr>
        <w:top w:val="none" w:sz="0" w:space="0" w:color="auto"/>
        <w:left w:val="none" w:sz="0" w:space="0" w:color="auto"/>
        <w:bottom w:val="none" w:sz="0" w:space="0" w:color="auto"/>
        <w:right w:val="none" w:sz="0" w:space="0" w:color="auto"/>
      </w:divBdr>
    </w:div>
    <w:div w:id="548496188">
      <w:marLeft w:val="0"/>
      <w:marRight w:val="0"/>
      <w:marTop w:val="0"/>
      <w:marBottom w:val="0"/>
      <w:divBdr>
        <w:top w:val="none" w:sz="0" w:space="0" w:color="auto"/>
        <w:left w:val="none" w:sz="0" w:space="0" w:color="auto"/>
        <w:bottom w:val="none" w:sz="0" w:space="0" w:color="auto"/>
        <w:right w:val="none" w:sz="0" w:space="0" w:color="auto"/>
      </w:divBdr>
      <w:divsChild>
        <w:div w:id="1025866524">
          <w:marLeft w:val="0"/>
          <w:marRight w:val="0"/>
          <w:marTop w:val="0"/>
          <w:marBottom w:val="0"/>
          <w:divBdr>
            <w:top w:val="none" w:sz="0" w:space="0" w:color="auto"/>
            <w:left w:val="none" w:sz="0" w:space="0" w:color="auto"/>
            <w:bottom w:val="none" w:sz="0" w:space="0" w:color="auto"/>
            <w:right w:val="none" w:sz="0" w:space="0" w:color="auto"/>
          </w:divBdr>
        </w:div>
      </w:divsChild>
    </w:div>
    <w:div w:id="552623045">
      <w:marLeft w:val="0"/>
      <w:marRight w:val="0"/>
      <w:marTop w:val="200"/>
      <w:marBottom w:val="0"/>
      <w:divBdr>
        <w:top w:val="none" w:sz="0" w:space="0" w:color="auto"/>
        <w:left w:val="none" w:sz="0" w:space="0" w:color="auto"/>
        <w:bottom w:val="none" w:sz="0" w:space="0" w:color="auto"/>
        <w:right w:val="none" w:sz="0" w:space="0" w:color="auto"/>
      </w:divBdr>
    </w:div>
    <w:div w:id="561864566">
      <w:marLeft w:val="0"/>
      <w:marRight w:val="0"/>
      <w:marTop w:val="200"/>
      <w:marBottom w:val="0"/>
      <w:divBdr>
        <w:top w:val="none" w:sz="0" w:space="0" w:color="auto"/>
        <w:left w:val="none" w:sz="0" w:space="0" w:color="auto"/>
        <w:bottom w:val="none" w:sz="0" w:space="0" w:color="auto"/>
        <w:right w:val="none" w:sz="0" w:space="0" w:color="auto"/>
      </w:divBdr>
    </w:div>
    <w:div w:id="564337535">
      <w:marLeft w:val="0"/>
      <w:marRight w:val="0"/>
      <w:marTop w:val="360"/>
      <w:marBottom w:val="0"/>
      <w:divBdr>
        <w:top w:val="none" w:sz="0" w:space="0" w:color="auto"/>
        <w:left w:val="none" w:sz="0" w:space="0" w:color="auto"/>
        <w:bottom w:val="none" w:sz="0" w:space="0" w:color="auto"/>
        <w:right w:val="none" w:sz="0" w:space="0" w:color="auto"/>
      </w:divBdr>
    </w:div>
    <w:div w:id="565802403">
      <w:marLeft w:val="0"/>
      <w:marRight w:val="0"/>
      <w:marTop w:val="360"/>
      <w:marBottom w:val="0"/>
      <w:divBdr>
        <w:top w:val="none" w:sz="0" w:space="0" w:color="auto"/>
        <w:left w:val="none" w:sz="0" w:space="0" w:color="auto"/>
        <w:bottom w:val="none" w:sz="0" w:space="0" w:color="auto"/>
        <w:right w:val="none" w:sz="0" w:space="0" w:color="auto"/>
      </w:divBdr>
    </w:div>
    <w:div w:id="568417624">
      <w:marLeft w:val="0"/>
      <w:marRight w:val="0"/>
      <w:marTop w:val="200"/>
      <w:marBottom w:val="0"/>
      <w:divBdr>
        <w:top w:val="none" w:sz="0" w:space="0" w:color="auto"/>
        <w:left w:val="none" w:sz="0" w:space="0" w:color="auto"/>
        <w:bottom w:val="none" w:sz="0" w:space="0" w:color="auto"/>
        <w:right w:val="none" w:sz="0" w:space="0" w:color="auto"/>
      </w:divBdr>
    </w:div>
    <w:div w:id="569466423">
      <w:marLeft w:val="0"/>
      <w:marRight w:val="0"/>
      <w:marTop w:val="0"/>
      <w:marBottom w:val="0"/>
      <w:divBdr>
        <w:top w:val="none" w:sz="0" w:space="0" w:color="auto"/>
        <w:left w:val="none" w:sz="0" w:space="0" w:color="auto"/>
        <w:bottom w:val="none" w:sz="0" w:space="0" w:color="auto"/>
        <w:right w:val="none" w:sz="0" w:space="0" w:color="auto"/>
      </w:divBdr>
    </w:div>
    <w:div w:id="569468251">
      <w:marLeft w:val="0"/>
      <w:marRight w:val="0"/>
      <w:marTop w:val="200"/>
      <w:marBottom w:val="0"/>
      <w:divBdr>
        <w:top w:val="none" w:sz="0" w:space="0" w:color="auto"/>
        <w:left w:val="none" w:sz="0" w:space="0" w:color="auto"/>
        <w:bottom w:val="none" w:sz="0" w:space="0" w:color="auto"/>
        <w:right w:val="none" w:sz="0" w:space="0" w:color="auto"/>
      </w:divBdr>
    </w:div>
    <w:div w:id="569921482">
      <w:marLeft w:val="0"/>
      <w:marRight w:val="0"/>
      <w:marTop w:val="200"/>
      <w:marBottom w:val="0"/>
      <w:divBdr>
        <w:top w:val="none" w:sz="0" w:space="0" w:color="auto"/>
        <w:left w:val="none" w:sz="0" w:space="0" w:color="auto"/>
        <w:bottom w:val="none" w:sz="0" w:space="0" w:color="auto"/>
        <w:right w:val="none" w:sz="0" w:space="0" w:color="auto"/>
      </w:divBdr>
    </w:div>
    <w:div w:id="570119811">
      <w:marLeft w:val="0"/>
      <w:marRight w:val="0"/>
      <w:marTop w:val="200"/>
      <w:marBottom w:val="0"/>
      <w:divBdr>
        <w:top w:val="none" w:sz="0" w:space="0" w:color="auto"/>
        <w:left w:val="none" w:sz="0" w:space="0" w:color="auto"/>
        <w:bottom w:val="none" w:sz="0" w:space="0" w:color="auto"/>
        <w:right w:val="none" w:sz="0" w:space="0" w:color="auto"/>
      </w:divBdr>
    </w:div>
    <w:div w:id="570235585">
      <w:marLeft w:val="0"/>
      <w:marRight w:val="0"/>
      <w:marTop w:val="210"/>
      <w:marBottom w:val="0"/>
      <w:divBdr>
        <w:top w:val="none" w:sz="0" w:space="0" w:color="auto"/>
        <w:left w:val="none" w:sz="0" w:space="0" w:color="auto"/>
        <w:bottom w:val="none" w:sz="0" w:space="0" w:color="auto"/>
        <w:right w:val="none" w:sz="0" w:space="0" w:color="auto"/>
      </w:divBdr>
    </w:div>
    <w:div w:id="572541958">
      <w:marLeft w:val="0"/>
      <w:marRight w:val="0"/>
      <w:marTop w:val="200"/>
      <w:marBottom w:val="0"/>
      <w:divBdr>
        <w:top w:val="none" w:sz="0" w:space="0" w:color="auto"/>
        <w:left w:val="none" w:sz="0" w:space="0" w:color="auto"/>
        <w:bottom w:val="none" w:sz="0" w:space="0" w:color="auto"/>
        <w:right w:val="none" w:sz="0" w:space="0" w:color="auto"/>
      </w:divBdr>
    </w:div>
    <w:div w:id="579483303">
      <w:marLeft w:val="0"/>
      <w:marRight w:val="0"/>
      <w:marTop w:val="200"/>
      <w:marBottom w:val="0"/>
      <w:divBdr>
        <w:top w:val="none" w:sz="0" w:space="0" w:color="auto"/>
        <w:left w:val="none" w:sz="0" w:space="0" w:color="auto"/>
        <w:bottom w:val="none" w:sz="0" w:space="0" w:color="auto"/>
        <w:right w:val="none" w:sz="0" w:space="0" w:color="auto"/>
      </w:divBdr>
    </w:div>
    <w:div w:id="580066770">
      <w:marLeft w:val="0"/>
      <w:marRight w:val="0"/>
      <w:marTop w:val="0"/>
      <w:marBottom w:val="0"/>
      <w:divBdr>
        <w:top w:val="none" w:sz="0" w:space="0" w:color="auto"/>
        <w:left w:val="none" w:sz="0" w:space="0" w:color="auto"/>
        <w:bottom w:val="none" w:sz="0" w:space="0" w:color="auto"/>
        <w:right w:val="none" w:sz="0" w:space="0" w:color="auto"/>
      </w:divBdr>
      <w:divsChild>
        <w:div w:id="485632167">
          <w:marLeft w:val="0"/>
          <w:marRight w:val="0"/>
          <w:marTop w:val="0"/>
          <w:marBottom w:val="0"/>
          <w:divBdr>
            <w:top w:val="none" w:sz="0" w:space="0" w:color="auto"/>
            <w:left w:val="none" w:sz="0" w:space="0" w:color="auto"/>
            <w:bottom w:val="none" w:sz="0" w:space="0" w:color="auto"/>
            <w:right w:val="none" w:sz="0" w:space="0" w:color="auto"/>
          </w:divBdr>
        </w:div>
      </w:divsChild>
    </w:div>
    <w:div w:id="580262984">
      <w:marLeft w:val="0"/>
      <w:marRight w:val="0"/>
      <w:marTop w:val="0"/>
      <w:marBottom w:val="0"/>
      <w:divBdr>
        <w:top w:val="none" w:sz="0" w:space="0" w:color="auto"/>
        <w:left w:val="none" w:sz="0" w:space="0" w:color="auto"/>
        <w:bottom w:val="none" w:sz="0" w:space="0" w:color="auto"/>
        <w:right w:val="none" w:sz="0" w:space="0" w:color="auto"/>
      </w:divBdr>
      <w:divsChild>
        <w:div w:id="1910726203">
          <w:marLeft w:val="0"/>
          <w:marRight w:val="0"/>
          <w:marTop w:val="0"/>
          <w:marBottom w:val="0"/>
          <w:divBdr>
            <w:top w:val="none" w:sz="0" w:space="0" w:color="auto"/>
            <w:left w:val="none" w:sz="0" w:space="0" w:color="auto"/>
            <w:bottom w:val="none" w:sz="0" w:space="0" w:color="auto"/>
            <w:right w:val="none" w:sz="0" w:space="0" w:color="auto"/>
          </w:divBdr>
        </w:div>
      </w:divsChild>
    </w:div>
    <w:div w:id="589856676">
      <w:marLeft w:val="0"/>
      <w:marRight w:val="0"/>
      <w:marTop w:val="200"/>
      <w:marBottom w:val="0"/>
      <w:divBdr>
        <w:top w:val="none" w:sz="0" w:space="0" w:color="auto"/>
        <w:left w:val="none" w:sz="0" w:space="0" w:color="auto"/>
        <w:bottom w:val="none" w:sz="0" w:space="0" w:color="auto"/>
        <w:right w:val="none" w:sz="0" w:space="0" w:color="auto"/>
      </w:divBdr>
    </w:div>
    <w:div w:id="590046667">
      <w:marLeft w:val="0"/>
      <w:marRight w:val="0"/>
      <w:marTop w:val="200"/>
      <w:marBottom w:val="0"/>
      <w:divBdr>
        <w:top w:val="none" w:sz="0" w:space="0" w:color="auto"/>
        <w:left w:val="none" w:sz="0" w:space="0" w:color="auto"/>
        <w:bottom w:val="none" w:sz="0" w:space="0" w:color="auto"/>
        <w:right w:val="none" w:sz="0" w:space="0" w:color="auto"/>
      </w:divBdr>
    </w:div>
    <w:div w:id="590704102">
      <w:marLeft w:val="0"/>
      <w:marRight w:val="0"/>
      <w:marTop w:val="240"/>
      <w:marBottom w:val="0"/>
      <w:divBdr>
        <w:top w:val="none" w:sz="0" w:space="0" w:color="auto"/>
        <w:left w:val="none" w:sz="0" w:space="0" w:color="auto"/>
        <w:bottom w:val="none" w:sz="0" w:space="0" w:color="auto"/>
        <w:right w:val="none" w:sz="0" w:space="0" w:color="auto"/>
      </w:divBdr>
    </w:div>
    <w:div w:id="590967920">
      <w:marLeft w:val="0"/>
      <w:marRight w:val="0"/>
      <w:marTop w:val="200"/>
      <w:marBottom w:val="0"/>
      <w:divBdr>
        <w:top w:val="none" w:sz="0" w:space="0" w:color="auto"/>
        <w:left w:val="none" w:sz="0" w:space="0" w:color="auto"/>
        <w:bottom w:val="none" w:sz="0" w:space="0" w:color="auto"/>
        <w:right w:val="none" w:sz="0" w:space="0" w:color="auto"/>
      </w:divBdr>
    </w:div>
    <w:div w:id="595940282">
      <w:marLeft w:val="0"/>
      <w:marRight w:val="0"/>
      <w:marTop w:val="200"/>
      <w:marBottom w:val="0"/>
      <w:divBdr>
        <w:top w:val="none" w:sz="0" w:space="0" w:color="auto"/>
        <w:left w:val="none" w:sz="0" w:space="0" w:color="auto"/>
        <w:bottom w:val="none" w:sz="0" w:space="0" w:color="auto"/>
        <w:right w:val="none" w:sz="0" w:space="0" w:color="auto"/>
      </w:divBdr>
    </w:div>
    <w:div w:id="595944734">
      <w:marLeft w:val="0"/>
      <w:marRight w:val="0"/>
      <w:marTop w:val="120"/>
      <w:marBottom w:val="0"/>
      <w:divBdr>
        <w:top w:val="none" w:sz="0" w:space="0" w:color="auto"/>
        <w:left w:val="none" w:sz="0" w:space="0" w:color="auto"/>
        <w:bottom w:val="none" w:sz="0" w:space="0" w:color="auto"/>
        <w:right w:val="none" w:sz="0" w:space="0" w:color="auto"/>
      </w:divBdr>
    </w:div>
    <w:div w:id="595989327">
      <w:marLeft w:val="0"/>
      <w:marRight w:val="0"/>
      <w:marTop w:val="200"/>
      <w:marBottom w:val="0"/>
      <w:divBdr>
        <w:top w:val="none" w:sz="0" w:space="0" w:color="auto"/>
        <w:left w:val="none" w:sz="0" w:space="0" w:color="auto"/>
        <w:bottom w:val="none" w:sz="0" w:space="0" w:color="auto"/>
        <w:right w:val="none" w:sz="0" w:space="0" w:color="auto"/>
      </w:divBdr>
    </w:div>
    <w:div w:id="598102730">
      <w:marLeft w:val="0"/>
      <w:marRight w:val="0"/>
      <w:marTop w:val="360"/>
      <w:marBottom w:val="0"/>
      <w:divBdr>
        <w:top w:val="none" w:sz="0" w:space="0" w:color="auto"/>
        <w:left w:val="none" w:sz="0" w:space="0" w:color="auto"/>
        <w:bottom w:val="none" w:sz="0" w:space="0" w:color="auto"/>
        <w:right w:val="none" w:sz="0" w:space="0" w:color="auto"/>
      </w:divBdr>
    </w:div>
    <w:div w:id="605043474">
      <w:marLeft w:val="0"/>
      <w:marRight w:val="0"/>
      <w:marTop w:val="200"/>
      <w:marBottom w:val="0"/>
      <w:divBdr>
        <w:top w:val="none" w:sz="0" w:space="0" w:color="auto"/>
        <w:left w:val="none" w:sz="0" w:space="0" w:color="auto"/>
        <w:bottom w:val="none" w:sz="0" w:space="0" w:color="auto"/>
        <w:right w:val="none" w:sz="0" w:space="0" w:color="auto"/>
      </w:divBdr>
    </w:div>
    <w:div w:id="606693145">
      <w:marLeft w:val="0"/>
      <w:marRight w:val="0"/>
      <w:marTop w:val="200"/>
      <w:marBottom w:val="0"/>
      <w:divBdr>
        <w:top w:val="none" w:sz="0" w:space="0" w:color="auto"/>
        <w:left w:val="none" w:sz="0" w:space="0" w:color="auto"/>
        <w:bottom w:val="none" w:sz="0" w:space="0" w:color="auto"/>
        <w:right w:val="none" w:sz="0" w:space="0" w:color="auto"/>
      </w:divBdr>
    </w:div>
    <w:div w:id="607853408">
      <w:marLeft w:val="0"/>
      <w:marRight w:val="0"/>
      <w:marTop w:val="200"/>
      <w:marBottom w:val="0"/>
      <w:divBdr>
        <w:top w:val="none" w:sz="0" w:space="0" w:color="auto"/>
        <w:left w:val="none" w:sz="0" w:space="0" w:color="auto"/>
        <w:bottom w:val="none" w:sz="0" w:space="0" w:color="auto"/>
        <w:right w:val="none" w:sz="0" w:space="0" w:color="auto"/>
      </w:divBdr>
    </w:div>
    <w:div w:id="615908393">
      <w:marLeft w:val="0"/>
      <w:marRight w:val="0"/>
      <w:marTop w:val="220"/>
      <w:marBottom w:val="0"/>
      <w:divBdr>
        <w:top w:val="none" w:sz="0" w:space="0" w:color="auto"/>
        <w:left w:val="none" w:sz="0" w:space="0" w:color="auto"/>
        <w:bottom w:val="none" w:sz="0" w:space="0" w:color="auto"/>
        <w:right w:val="none" w:sz="0" w:space="0" w:color="auto"/>
      </w:divBdr>
    </w:div>
    <w:div w:id="617641429">
      <w:marLeft w:val="0"/>
      <w:marRight w:val="0"/>
      <w:marTop w:val="200"/>
      <w:marBottom w:val="0"/>
      <w:divBdr>
        <w:top w:val="none" w:sz="0" w:space="0" w:color="auto"/>
        <w:left w:val="none" w:sz="0" w:space="0" w:color="auto"/>
        <w:bottom w:val="none" w:sz="0" w:space="0" w:color="auto"/>
        <w:right w:val="none" w:sz="0" w:space="0" w:color="auto"/>
      </w:divBdr>
    </w:div>
    <w:div w:id="618339374">
      <w:marLeft w:val="0"/>
      <w:marRight w:val="0"/>
      <w:marTop w:val="200"/>
      <w:marBottom w:val="0"/>
      <w:divBdr>
        <w:top w:val="none" w:sz="0" w:space="0" w:color="auto"/>
        <w:left w:val="none" w:sz="0" w:space="0" w:color="auto"/>
        <w:bottom w:val="none" w:sz="0" w:space="0" w:color="auto"/>
        <w:right w:val="none" w:sz="0" w:space="0" w:color="auto"/>
      </w:divBdr>
    </w:div>
    <w:div w:id="619458213">
      <w:marLeft w:val="0"/>
      <w:marRight w:val="0"/>
      <w:marTop w:val="210"/>
      <w:marBottom w:val="0"/>
      <w:divBdr>
        <w:top w:val="none" w:sz="0" w:space="0" w:color="auto"/>
        <w:left w:val="none" w:sz="0" w:space="0" w:color="auto"/>
        <w:bottom w:val="none" w:sz="0" w:space="0" w:color="auto"/>
        <w:right w:val="none" w:sz="0" w:space="0" w:color="auto"/>
      </w:divBdr>
    </w:div>
    <w:div w:id="620957350">
      <w:marLeft w:val="0"/>
      <w:marRight w:val="0"/>
      <w:marTop w:val="240"/>
      <w:marBottom w:val="0"/>
      <w:divBdr>
        <w:top w:val="none" w:sz="0" w:space="0" w:color="auto"/>
        <w:left w:val="none" w:sz="0" w:space="0" w:color="auto"/>
        <w:bottom w:val="none" w:sz="0" w:space="0" w:color="auto"/>
        <w:right w:val="none" w:sz="0" w:space="0" w:color="auto"/>
      </w:divBdr>
    </w:div>
    <w:div w:id="623466083">
      <w:marLeft w:val="0"/>
      <w:marRight w:val="0"/>
      <w:marTop w:val="200"/>
      <w:marBottom w:val="0"/>
      <w:divBdr>
        <w:top w:val="none" w:sz="0" w:space="0" w:color="auto"/>
        <w:left w:val="none" w:sz="0" w:space="0" w:color="auto"/>
        <w:bottom w:val="none" w:sz="0" w:space="0" w:color="auto"/>
        <w:right w:val="none" w:sz="0" w:space="0" w:color="auto"/>
      </w:divBdr>
    </w:div>
    <w:div w:id="626349973">
      <w:marLeft w:val="0"/>
      <w:marRight w:val="0"/>
      <w:marTop w:val="200"/>
      <w:marBottom w:val="0"/>
      <w:divBdr>
        <w:top w:val="none" w:sz="0" w:space="0" w:color="auto"/>
        <w:left w:val="none" w:sz="0" w:space="0" w:color="auto"/>
        <w:bottom w:val="none" w:sz="0" w:space="0" w:color="auto"/>
        <w:right w:val="none" w:sz="0" w:space="0" w:color="auto"/>
      </w:divBdr>
    </w:div>
    <w:div w:id="627204264">
      <w:marLeft w:val="0"/>
      <w:marRight w:val="0"/>
      <w:marTop w:val="0"/>
      <w:marBottom w:val="0"/>
      <w:divBdr>
        <w:top w:val="none" w:sz="0" w:space="0" w:color="auto"/>
        <w:left w:val="none" w:sz="0" w:space="0" w:color="auto"/>
        <w:bottom w:val="none" w:sz="0" w:space="0" w:color="auto"/>
        <w:right w:val="none" w:sz="0" w:space="0" w:color="auto"/>
      </w:divBdr>
      <w:divsChild>
        <w:div w:id="1622178612">
          <w:marLeft w:val="0"/>
          <w:marRight w:val="0"/>
          <w:marTop w:val="0"/>
          <w:marBottom w:val="0"/>
          <w:divBdr>
            <w:top w:val="none" w:sz="0" w:space="0" w:color="auto"/>
            <w:left w:val="none" w:sz="0" w:space="0" w:color="auto"/>
            <w:bottom w:val="none" w:sz="0" w:space="0" w:color="auto"/>
            <w:right w:val="none" w:sz="0" w:space="0" w:color="auto"/>
          </w:divBdr>
        </w:div>
      </w:divsChild>
    </w:div>
    <w:div w:id="628631153">
      <w:marLeft w:val="0"/>
      <w:marRight w:val="0"/>
      <w:marTop w:val="360"/>
      <w:marBottom w:val="0"/>
      <w:divBdr>
        <w:top w:val="none" w:sz="0" w:space="0" w:color="auto"/>
        <w:left w:val="none" w:sz="0" w:space="0" w:color="auto"/>
        <w:bottom w:val="none" w:sz="0" w:space="0" w:color="auto"/>
        <w:right w:val="none" w:sz="0" w:space="0" w:color="auto"/>
      </w:divBdr>
    </w:div>
    <w:div w:id="633371055">
      <w:marLeft w:val="0"/>
      <w:marRight w:val="0"/>
      <w:marTop w:val="100"/>
      <w:marBottom w:val="0"/>
      <w:divBdr>
        <w:top w:val="none" w:sz="0" w:space="0" w:color="auto"/>
        <w:left w:val="none" w:sz="0" w:space="0" w:color="auto"/>
        <w:bottom w:val="none" w:sz="0" w:space="0" w:color="auto"/>
        <w:right w:val="none" w:sz="0" w:space="0" w:color="auto"/>
      </w:divBdr>
      <w:divsChild>
        <w:div w:id="1069186782">
          <w:marLeft w:val="0"/>
          <w:marRight w:val="0"/>
          <w:marTop w:val="0"/>
          <w:marBottom w:val="0"/>
          <w:divBdr>
            <w:top w:val="none" w:sz="0" w:space="0" w:color="auto"/>
            <w:left w:val="none" w:sz="0" w:space="0" w:color="auto"/>
            <w:bottom w:val="none" w:sz="0" w:space="0" w:color="auto"/>
            <w:right w:val="none" w:sz="0" w:space="0" w:color="auto"/>
          </w:divBdr>
        </w:div>
      </w:divsChild>
    </w:div>
    <w:div w:id="636030527">
      <w:marLeft w:val="0"/>
      <w:marRight w:val="0"/>
      <w:marTop w:val="200"/>
      <w:marBottom w:val="0"/>
      <w:divBdr>
        <w:top w:val="none" w:sz="0" w:space="0" w:color="auto"/>
        <w:left w:val="none" w:sz="0" w:space="0" w:color="auto"/>
        <w:bottom w:val="none" w:sz="0" w:space="0" w:color="auto"/>
        <w:right w:val="none" w:sz="0" w:space="0" w:color="auto"/>
      </w:divBdr>
    </w:div>
    <w:div w:id="636254459">
      <w:marLeft w:val="0"/>
      <w:marRight w:val="0"/>
      <w:marTop w:val="200"/>
      <w:marBottom w:val="0"/>
      <w:divBdr>
        <w:top w:val="none" w:sz="0" w:space="0" w:color="auto"/>
        <w:left w:val="none" w:sz="0" w:space="0" w:color="auto"/>
        <w:bottom w:val="none" w:sz="0" w:space="0" w:color="auto"/>
        <w:right w:val="none" w:sz="0" w:space="0" w:color="auto"/>
      </w:divBdr>
    </w:div>
    <w:div w:id="637759420">
      <w:marLeft w:val="0"/>
      <w:marRight w:val="0"/>
      <w:marTop w:val="100"/>
      <w:marBottom w:val="0"/>
      <w:divBdr>
        <w:top w:val="none" w:sz="0" w:space="0" w:color="auto"/>
        <w:left w:val="none" w:sz="0" w:space="0" w:color="auto"/>
        <w:bottom w:val="none" w:sz="0" w:space="0" w:color="auto"/>
        <w:right w:val="none" w:sz="0" w:space="0" w:color="auto"/>
      </w:divBdr>
    </w:div>
    <w:div w:id="639190868">
      <w:marLeft w:val="0"/>
      <w:marRight w:val="0"/>
      <w:marTop w:val="200"/>
      <w:marBottom w:val="0"/>
      <w:divBdr>
        <w:top w:val="none" w:sz="0" w:space="0" w:color="auto"/>
        <w:left w:val="none" w:sz="0" w:space="0" w:color="auto"/>
        <w:bottom w:val="none" w:sz="0" w:space="0" w:color="auto"/>
        <w:right w:val="none" w:sz="0" w:space="0" w:color="auto"/>
      </w:divBdr>
    </w:div>
    <w:div w:id="639648946">
      <w:marLeft w:val="0"/>
      <w:marRight w:val="0"/>
      <w:marTop w:val="240"/>
      <w:marBottom w:val="0"/>
      <w:divBdr>
        <w:top w:val="none" w:sz="0" w:space="0" w:color="auto"/>
        <w:left w:val="none" w:sz="0" w:space="0" w:color="auto"/>
        <w:bottom w:val="none" w:sz="0" w:space="0" w:color="auto"/>
        <w:right w:val="none" w:sz="0" w:space="0" w:color="auto"/>
      </w:divBdr>
    </w:div>
    <w:div w:id="640960368">
      <w:marLeft w:val="0"/>
      <w:marRight w:val="0"/>
      <w:marTop w:val="200"/>
      <w:marBottom w:val="0"/>
      <w:divBdr>
        <w:top w:val="none" w:sz="0" w:space="0" w:color="auto"/>
        <w:left w:val="none" w:sz="0" w:space="0" w:color="auto"/>
        <w:bottom w:val="none" w:sz="0" w:space="0" w:color="auto"/>
        <w:right w:val="none" w:sz="0" w:space="0" w:color="auto"/>
      </w:divBdr>
    </w:div>
    <w:div w:id="642852539">
      <w:marLeft w:val="0"/>
      <w:marRight w:val="0"/>
      <w:marTop w:val="120"/>
      <w:marBottom w:val="0"/>
      <w:divBdr>
        <w:top w:val="none" w:sz="0" w:space="0" w:color="auto"/>
        <w:left w:val="none" w:sz="0" w:space="0" w:color="auto"/>
        <w:bottom w:val="none" w:sz="0" w:space="0" w:color="auto"/>
        <w:right w:val="none" w:sz="0" w:space="0" w:color="auto"/>
      </w:divBdr>
    </w:div>
    <w:div w:id="646008890">
      <w:marLeft w:val="0"/>
      <w:marRight w:val="0"/>
      <w:marTop w:val="200"/>
      <w:marBottom w:val="0"/>
      <w:divBdr>
        <w:top w:val="none" w:sz="0" w:space="0" w:color="auto"/>
        <w:left w:val="none" w:sz="0" w:space="0" w:color="auto"/>
        <w:bottom w:val="none" w:sz="0" w:space="0" w:color="auto"/>
        <w:right w:val="none" w:sz="0" w:space="0" w:color="auto"/>
      </w:divBdr>
    </w:div>
    <w:div w:id="650789602">
      <w:marLeft w:val="0"/>
      <w:marRight w:val="0"/>
      <w:marTop w:val="120"/>
      <w:marBottom w:val="0"/>
      <w:divBdr>
        <w:top w:val="none" w:sz="0" w:space="0" w:color="auto"/>
        <w:left w:val="none" w:sz="0" w:space="0" w:color="auto"/>
        <w:bottom w:val="none" w:sz="0" w:space="0" w:color="auto"/>
        <w:right w:val="none" w:sz="0" w:space="0" w:color="auto"/>
      </w:divBdr>
    </w:div>
    <w:div w:id="651518187">
      <w:marLeft w:val="0"/>
      <w:marRight w:val="0"/>
      <w:marTop w:val="240"/>
      <w:marBottom w:val="0"/>
      <w:divBdr>
        <w:top w:val="none" w:sz="0" w:space="0" w:color="auto"/>
        <w:left w:val="none" w:sz="0" w:space="0" w:color="auto"/>
        <w:bottom w:val="none" w:sz="0" w:space="0" w:color="auto"/>
        <w:right w:val="none" w:sz="0" w:space="0" w:color="auto"/>
      </w:divBdr>
    </w:div>
    <w:div w:id="652177565">
      <w:marLeft w:val="0"/>
      <w:marRight w:val="0"/>
      <w:marTop w:val="360"/>
      <w:marBottom w:val="0"/>
      <w:divBdr>
        <w:top w:val="none" w:sz="0" w:space="0" w:color="auto"/>
        <w:left w:val="none" w:sz="0" w:space="0" w:color="auto"/>
        <w:bottom w:val="none" w:sz="0" w:space="0" w:color="auto"/>
        <w:right w:val="none" w:sz="0" w:space="0" w:color="auto"/>
      </w:divBdr>
    </w:div>
    <w:div w:id="658309791">
      <w:marLeft w:val="0"/>
      <w:marRight w:val="0"/>
      <w:marTop w:val="100"/>
      <w:marBottom w:val="0"/>
      <w:divBdr>
        <w:top w:val="none" w:sz="0" w:space="0" w:color="auto"/>
        <w:left w:val="none" w:sz="0" w:space="0" w:color="auto"/>
        <w:bottom w:val="none" w:sz="0" w:space="0" w:color="auto"/>
        <w:right w:val="none" w:sz="0" w:space="0" w:color="auto"/>
      </w:divBdr>
    </w:div>
    <w:div w:id="658577511">
      <w:marLeft w:val="0"/>
      <w:marRight w:val="0"/>
      <w:marTop w:val="200"/>
      <w:marBottom w:val="0"/>
      <w:divBdr>
        <w:top w:val="none" w:sz="0" w:space="0" w:color="auto"/>
        <w:left w:val="none" w:sz="0" w:space="0" w:color="auto"/>
        <w:bottom w:val="none" w:sz="0" w:space="0" w:color="auto"/>
        <w:right w:val="none" w:sz="0" w:space="0" w:color="auto"/>
      </w:divBdr>
    </w:div>
    <w:div w:id="662313596">
      <w:marLeft w:val="0"/>
      <w:marRight w:val="0"/>
      <w:marTop w:val="120"/>
      <w:marBottom w:val="0"/>
      <w:divBdr>
        <w:top w:val="none" w:sz="0" w:space="0" w:color="auto"/>
        <w:left w:val="none" w:sz="0" w:space="0" w:color="auto"/>
        <w:bottom w:val="none" w:sz="0" w:space="0" w:color="auto"/>
        <w:right w:val="none" w:sz="0" w:space="0" w:color="auto"/>
      </w:divBdr>
    </w:div>
    <w:div w:id="665790685">
      <w:marLeft w:val="0"/>
      <w:marRight w:val="0"/>
      <w:marTop w:val="0"/>
      <w:marBottom w:val="0"/>
      <w:divBdr>
        <w:top w:val="none" w:sz="0" w:space="0" w:color="auto"/>
        <w:left w:val="none" w:sz="0" w:space="0" w:color="auto"/>
        <w:bottom w:val="none" w:sz="0" w:space="0" w:color="auto"/>
        <w:right w:val="none" w:sz="0" w:space="0" w:color="auto"/>
      </w:divBdr>
    </w:div>
    <w:div w:id="670983236">
      <w:marLeft w:val="0"/>
      <w:marRight w:val="0"/>
      <w:marTop w:val="200"/>
      <w:marBottom w:val="0"/>
      <w:divBdr>
        <w:top w:val="none" w:sz="0" w:space="0" w:color="auto"/>
        <w:left w:val="none" w:sz="0" w:space="0" w:color="auto"/>
        <w:bottom w:val="none" w:sz="0" w:space="0" w:color="auto"/>
        <w:right w:val="none" w:sz="0" w:space="0" w:color="auto"/>
      </w:divBdr>
    </w:div>
    <w:div w:id="671106082">
      <w:marLeft w:val="0"/>
      <w:marRight w:val="0"/>
      <w:marTop w:val="200"/>
      <w:marBottom w:val="0"/>
      <w:divBdr>
        <w:top w:val="none" w:sz="0" w:space="0" w:color="auto"/>
        <w:left w:val="none" w:sz="0" w:space="0" w:color="auto"/>
        <w:bottom w:val="none" w:sz="0" w:space="0" w:color="auto"/>
        <w:right w:val="none" w:sz="0" w:space="0" w:color="auto"/>
      </w:divBdr>
    </w:div>
    <w:div w:id="674041950">
      <w:marLeft w:val="0"/>
      <w:marRight w:val="0"/>
      <w:marTop w:val="120"/>
      <w:marBottom w:val="0"/>
      <w:divBdr>
        <w:top w:val="none" w:sz="0" w:space="0" w:color="auto"/>
        <w:left w:val="none" w:sz="0" w:space="0" w:color="auto"/>
        <w:bottom w:val="none" w:sz="0" w:space="0" w:color="auto"/>
        <w:right w:val="none" w:sz="0" w:space="0" w:color="auto"/>
      </w:divBdr>
    </w:div>
    <w:div w:id="674115949">
      <w:marLeft w:val="0"/>
      <w:marRight w:val="0"/>
      <w:marTop w:val="120"/>
      <w:marBottom w:val="0"/>
      <w:divBdr>
        <w:top w:val="none" w:sz="0" w:space="0" w:color="auto"/>
        <w:left w:val="none" w:sz="0" w:space="0" w:color="auto"/>
        <w:bottom w:val="none" w:sz="0" w:space="0" w:color="auto"/>
        <w:right w:val="none" w:sz="0" w:space="0" w:color="auto"/>
      </w:divBdr>
    </w:div>
    <w:div w:id="676612113">
      <w:marLeft w:val="0"/>
      <w:marRight w:val="0"/>
      <w:marTop w:val="210"/>
      <w:marBottom w:val="0"/>
      <w:divBdr>
        <w:top w:val="none" w:sz="0" w:space="0" w:color="auto"/>
        <w:left w:val="none" w:sz="0" w:space="0" w:color="auto"/>
        <w:bottom w:val="none" w:sz="0" w:space="0" w:color="auto"/>
        <w:right w:val="none" w:sz="0" w:space="0" w:color="auto"/>
      </w:divBdr>
    </w:div>
    <w:div w:id="677318113">
      <w:marLeft w:val="0"/>
      <w:marRight w:val="0"/>
      <w:marTop w:val="360"/>
      <w:marBottom w:val="0"/>
      <w:divBdr>
        <w:top w:val="none" w:sz="0" w:space="0" w:color="auto"/>
        <w:left w:val="none" w:sz="0" w:space="0" w:color="auto"/>
        <w:bottom w:val="none" w:sz="0" w:space="0" w:color="auto"/>
        <w:right w:val="none" w:sz="0" w:space="0" w:color="auto"/>
      </w:divBdr>
    </w:div>
    <w:div w:id="679818212">
      <w:marLeft w:val="0"/>
      <w:marRight w:val="0"/>
      <w:marTop w:val="0"/>
      <w:marBottom w:val="0"/>
      <w:divBdr>
        <w:top w:val="none" w:sz="0" w:space="0" w:color="auto"/>
        <w:left w:val="none" w:sz="0" w:space="0" w:color="auto"/>
        <w:bottom w:val="none" w:sz="0" w:space="0" w:color="auto"/>
        <w:right w:val="none" w:sz="0" w:space="0" w:color="auto"/>
      </w:divBdr>
      <w:divsChild>
        <w:div w:id="1082023683">
          <w:marLeft w:val="0"/>
          <w:marRight w:val="0"/>
          <w:marTop w:val="0"/>
          <w:marBottom w:val="0"/>
          <w:divBdr>
            <w:top w:val="none" w:sz="0" w:space="0" w:color="auto"/>
            <w:left w:val="none" w:sz="0" w:space="0" w:color="auto"/>
            <w:bottom w:val="none" w:sz="0" w:space="0" w:color="auto"/>
            <w:right w:val="none" w:sz="0" w:space="0" w:color="auto"/>
          </w:divBdr>
        </w:div>
      </w:divsChild>
    </w:div>
    <w:div w:id="680281762">
      <w:marLeft w:val="0"/>
      <w:marRight w:val="0"/>
      <w:marTop w:val="200"/>
      <w:marBottom w:val="0"/>
      <w:divBdr>
        <w:top w:val="none" w:sz="0" w:space="0" w:color="auto"/>
        <w:left w:val="none" w:sz="0" w:space="0" w:color="auto"/>
        <w:bottom w:val="none" w:sz="0" w:space="0" w:color="auto"/>
        <w:right w:val="none" w:sz="0" w:space="0" w:color="auto"/>
      </w:divBdr>
    </w:div>
    <w:div w:id="683558000">
      <w:marLeft w:val="0"/>
      <w:marRight w:val="0"/>
      <w:marTop w:val="360"/>
      <w:marBottom w:val="0"/>
      <w:divBdr>
        <w:top w:val="none" w:sz="0" w:space="0" w:color="auto"/>
        <w:left w:val="none" w:sz="0" w:space="0" w:color="auto"/>
        <w:bottom w:val="none" w:sz="0" w:space="0" w:color="auto"/>
        <w:right w:val="none" w:sz="0" w:space="0" w:color="auto"/>
      </w:divBdr>
    </w:div>
    <w:div w:id="684130709">
      <w:marLeft w:val="0"/>
      <w:marRight w:val="0"/>
      <w:marTop w:val="200"/>
      <w:marBottom w:val="0"/>
      <w:divBdr>
        <w:top w:val="none" w:sz="0" w:space="0" w:color="auto"/>
        <w:left w:val="none" w:sz="0" w:space="0" w:color="auto"/>
        <w:bottom w:val="none" w:sz="0" w:space="0" w:color="auto"/>
        <w:right w:val="none" w:sz="0" w:space="0" w:color="auto"/>
      </w:divBdr>
    </w:div>
    <w:div w:id="684599125">
      <w:marLeft w:val="0"/>
      <w:marRight w:val="0"/>
      <w:marTop w:val="0"/>
      <w:marBottom w:val="0"/>
      <w:divBdr>
        <w:top w:val="none" w:sz="0" w:space="0" w:color="auto"/>
        <w:left w:val="none" w:sz="0" w:space="0" w:color="auto"/>
        <w:bottom w:val="none" w:sz="0" w:space="0" w:color="auto"/>
        <w:right w:val="none" w:sz="0" w:space="0" w:color="auto"/>
      </w:divBdr>
      <w:divsChild>
        <w:div w:id="740449821">
          <w:marLeft w:val="0"/>
          <w:marRight w:val="0"/>
          <w:marTop w:val="0"/>
          <w:marBottom w:val="0"/>
          <w:divBdr>
            <w:top w:val="none" w:sz="0" w:space="0" w:color="auto"/>
            <w:left w:val="none" w:sz="0" w:space="0" w:color="auto"/>
            <w:bottom w:val="none" w:sz="0" w:space="0" w:color="auto"/>
            <w:right w:val="none" w:sz="0" w:space="0" w:color="auto"/>
          </w:divBdr>
        </w:div>
      </w:divsChild>
    </w:div>
    <w:div w:id="693962933">
      <w:marLeft w:val="0"/>
      <w:marRight w:val="0"/>
      <w:marTop w:val="120"/>
      <w:marBottom w:val="0"/>
      <w:divBdr>
        <w:top w:val="none" w:sz="0" w:space="0" w:color="auto"/>
        <w:left w:val="none" w:sz="0" w:space="0" w:color="auto"/>
        <w:bottom w:val="none" w:sz="0" w:space="0" w:color="auto"/>
        <w:right w:val="none" w:sz="0" w:space="0" w:color="auto"/>
      </w:divBdr>
    </w:div>
    <w:div w:id="696194422">
      <w:marLeft w:val="0"/>
      <w:marRight w:val="0"/>
      <w:marTop w:val="200"/>
      <w:marBottom w:val="0"/>
      <w:divBdr>
        <w:top w:val="none" w:sz="0" w:space="0" w:color="auto"/>
        <w:left w:val="none" w:sz="0" w:space="0" w:color="auto"/>
        <w:bottom w:val="none" w:sz="0" w:space="0" w:color="auto"/>
        <w:right w:val="none" w:sz="0" w:space="0" w:color="auto"/>
      </w:divBdr>
    </w:div>
    <w:div w:id="700014382">
      <w:marLeft w:val="0"/>
      <w:marRight w:val="0"/>
      <w:marTop w:val="0"/>
      <w:marBottom w:val="0"/>
      <w:divBdr>
        <w:top w:val="none" w:sz="0" w:space="0" w:color="auto"/>
        <w:left w:val="none" w:sz="0" w:space="0" w:color="auto"/>
        <w:bottom w:val="none" w:sz="0" w:space="0" w:color="auto"/>
        <w:right w:val="none" w:sz="0" w:space="0" w:color="auto"/>
      </w:divBdr>
      <w:divsChild>
        <w:div w:id="1760251500">
          <w:marLeft w:val="0"/>
          <w:marRight w:val="0"/>
          <w:marTop w:val="0"/>
          <w:marBottom w:val="0"/>
          <w:divBdr>
            <w:top w:val="none" w:sz="0" w:space="0" w:color="auto"/>
            <w:left w:val="none" w:sz="0" w:space="0" w:color="auto"/>
            <w:bottom w:val="none" w:sz="0" w:space="0" w:color="auto"/>
            <w:right w:val="none" w:sz="0" w:space="0" w:color="auto"/>
          </w:divBdr>
        </w:div>
      </w:divsChild>
    </w:div>
    <w:div w:id="700323924">
      <w:marLeft w:val="0"/>
      <w:marRight w:val="0"/>
      <w:marTop w:val="100"/>
      <w:marBottom w:val="0"/>
      <w:divBdr>
        <w:top w:val="none" w:sz="0" w:space="0" w:color="auto"/>
        <w:left w:val="none" w:sz="0" w:space="0" w:color="auto"/>
        <w:bottom w:val="none" w:sz="0" w:space="0" w:color="auto"/>
        <w:right w:val="none" w:sz="0" w:space="0" w:color="auto"/>
      </w:divBdr>
      <w:divsChild>
        <w:div w:id="1593733686">
          <w:marLeft w:val="0"/>
          <w:marRight w:val="0"/>
          <w:marTop w:val="0"/>
          <w:marBottom w:val="0"/>
          <w:divBdr>
            <w:top w:val="none" w:sz="0" w:space="0" w:color="auto"/>
            <w:left w:val="none" w:sz="0" w:space="0" w:color="auto"/>
            <w:bottom w:val="none" w:sz="0" w:space="0" w:color="auto"/>
            <w:right w:val="none" w:sz="0" w:space="0" w:color="auto"/>
          </w:divBdr>
        </w:div>
        <w:div w:id="928197864">
          <w:marLeft w:val="0"/>
          <w:marRight w:val="0"/>
          <w:marTop w:val="0"/>
          <w:marBottom w:val="0"/>
          <w:divBdr>
            <w:top w:val="none" w:sz="0" w:space="0" w:color="auto"/>
            <w:left w:val="none" w:sz="0" w:space="0" w:color="auto"/>
            <w:bottom w:val="none" w:sz="0" w:space="0" w:color="auto"/>
            <w:right w:val="none" w:sz="0" w:space="0" w:color="auto"/>
          </w:divBdr>
        </w:div>
        <w:div w:id="1567372331">
          <w:marLeft w:val="0"/>
          <w:marRight w:val="0"/>
          <w:marTop w:val="0"/>
          <w:marBottom w:val="0"/>
          <w:divBdr>
            <w:top w:val="none" w:sz="0" w:space="0" w:color="auto"/>
            <w:left w:val="none" w:sz="0" w:space="0" w:color="auto"/>
            <w:bottom w:val="none" w:sz="0" w:space="0" w:color="auto"/>
            <w:right w:val="none" w:sz="0" w:space="0" w:color="auto"/>
          </w:divBdr>
        </w:div>
        <w:div w:id="1794328632">
          <w:marLeft w:val="0"/>
          <w:marRight w:val="0"/>
          <w:marTop w:val="0"/>
          <w:marBottom w:val="0"/>
          <w:divBdr>
            <w:top w:val="none" w:sz="0" w:space="0" w:color="auto"/>
            <w:left w:val="none" w:sz="0" w:space="0" w:color="auto"/>
            <w:bottom w:val="none" w:sz="0" w:space="0" w:color="auto"/>
            <w:right w:val="none" w:sz="0" w:space="0" w:color="auto"/>
          </w:divBdr>
        </w:div>
        <w:div w:id="758409679">
          <w:marLeft w:val="0"/>
          <w:marRight w:val="0"/>
          <w:marTop w:val="0"/>
          <w:marBottom w:val="0"/>
          <w:divBdr>
            <w:top w:val="none" w:sz="0" w:space="0" w:color="auto"/>
            <w:left w:val="none" w:sz="0" w:space="0" w:color="auto"/>
            <w:bottom w:val="none" w:sz="0" w:space="0" w:color="auto"/>
            <w:right w:val="none" w:sz="0" w:space="0" w:color="auto"/>
          </w:divBdr>
        </w:div>
        <w:div w:id="1566648802">
          <w:marLeft w:val="0"/>
          <w:marRight w:val="0"/>
          <w:marTop w:val="0"/>
          <w:marBottom w:val="0"/>
          <w:divBdr>
            <w:top w:val="none" w:sz="0" w:space="0" w:color="auto"/>
            <w:left w:val="none" w:sz="0" w:space="0" w:color="auto"/>
            <w:bottom w:val="none" w:sz="0" w:space="0" w:color="auto"/>
            <w:right w:val="none" w:sz="0" w:space="0" w:color="auto"/>
          </w:divBdr>
        </w:div>
        <w:div w:id="1363095490">
          <w:marLeft w:val="0"/>
          <w:marRight w:val="0"/>
          <w:marTop w:val="0"/>
          <w:marBottom w:val="0"/>
          <w:divBdr>
            <w:top w:val="none" w:sz="0" w:space="0" w:color="auto"/>
            <w:left w:val="none" w:sz="0" w:space="0" w:color="auto"/>
            <w:bottom w:val="none" w:sz="0" w:space="0" w:color="auto"/>
            <w:right w:val="none" w:sz="0" w:space="0" w:color="auto"/>
          </w:divBdr>
        </w:div>
      </w:divsChild>
    </w:div>
    <w:div w:id="701707589">
      <w:marLeft w:val="0"/>
      <w:marRight w:val="0"/>
      <w:marTop w:val="200"/>
      <w:marBottom w:val="0"/>
      <w:divBdr>
        <w:top w:val="none" w:sz="0" w:space="0" w:color="auto"/>
        <w:left w:val="none" w:sz="0" w:space="0" w:color="auto"/>
        <w:bottom w:val="none" w:sz="0" w:space="0" w:color="auto"/>
        <w:right w:val="none" w:sz="0" w:space="0" w:color="auto"/>
      </w:divBdr>
    </w:div>
    <w:div w:id="706494893">
      <w:marLeft w:val="0"/>
      <w:marRight w:val="0"/>
      <w:marTop w:val="210"/>
      <w:marBottom w:val="0"/>
      <w:divBdr>
        <w:top w:val="none" w:sz="0" w:space="0" w:color="auto"/>
        <w:left w:val="none" w:sz="0" w:space="0" w:color="auto"/>
        <w:bottom w:val="none" w:sz="0" w:space="0" w:color="auto"/>
        <w:right w:val="none" w:sz="0" w:space="0" w:color="auto"/>
      </w:divBdr>
    </w:div>
    <w:div w:id="707218431">
      <w:marLeft w:val="0"/>
      <w:marRight w:val="0"/>
      <w:marTop w:val="120"/>
      <w:marBottom w:val="0"/>
      <w:divBdr>
        <w:top w:val="none" w:sz="0" w:space="0" w:color="auto"/>
        <w:left w:val="none" w:sz="0" w:space="0" w:color="auto"/>
        <w:bottom w:val="none" w:sz="0" w:space="0" w:color="auto"/>
        <w:right w:val="none" w:sz="0" w:space="0" w:color="auto"/>
      </w:divBdr>
    </w:div>
    <w:div w:id="709957060">
      <w:marLeft w:val="0"/>
      <w:marRight w:val="0"/>
      <w:marTop w:val="0"/>
      <w:marBottom w:val="0"/>
      <w:divBdr>
        <w:top w:val="none" w:sz="0" w:space="0" w:color="auto"/>
        <w:left w:val="none" w:sz="0" w:space="0" w:color="auto"/>
        <w:bottom w:val="none" w:sz="0" w:space="0" w:color="auto"/>
        <w:right w:val="none" w:sz="0" w:space="0" w:color="auto"/>
      </w:divBdr>
      <w:divsChild>
        <w:div w:id="2034841535">
          <w:marLeft w:val="0"/>
          <w:marRight w:val="0"/>
          <w:marTop w:val="0"/>
          <w:marBottom w:val="0"/>
          <w:divBdr>
            <w:top w:val="none" w:sz="0" w:space="0" w:color="auto"/>
            <w:left w:val="none" w:sz="0" w:space="0" w:color="auto"/>
            <w:bottom w:val="none" w:sz="0" w:space="0" w:color="auto"/>
            <w:right w:val="none" w:sz="0" w:space="0" w:color="auto"/>
          </w:divBdr>
        </w:div>
      </w:divsChild>
    </w:div>
    <w:div w:id="710886080">
      <w:marLeft w:val="0"/>
      <w:marRight w:val="0"/>
      <w:marTop w:val="210"/>
      <w:marBottom w:val="0"/>
      <w:divBdr>
        <w:top w:val="none" w:sz="0" w:space="0" w:color="auto"/>
        <w:left w:val="none" w:sz="0" w:space="0" w:color="auto"/>
        <w:bottom w:val="none" w:sz="0" w:space="0" w:color="auto"/>
        <w:right w:val="none" w:sz="0" w:space="0" w:color="auto"/>
      </w:divBdr>
    </w:div>
    <w:div w:id="712073987">
      <w:marLeft w:val="0"/>
      <w:marRight w:val="0"/>
      <w:marTop w:val="360"/>
      <w:marBottom w:val="0"/>
      <w:divBdr>
        <w:top w:val="none" w:sz="0" w:space="0" w:color="auto"/>
        <w:left w:val="none" w:sz="0" w:space="0" w:color="auto"/>
        <w:bottom w:val="none" w:sz="0" w:space="0" w:color="auto"/>
        <w:right w:val="none" w:sz="0" w:space="0" w:color="auto"/>
      </w:divBdr>
    </w:div>
    <w:div w:id="712731667">
      <w:marLeft w:val="0"/>
      <w:marRight w:val="0"/>
      <w:marTop w:val="200"/>
      <w:marBottom w:val="0"/>
      <w:divBdr>
        <w:top w:val="none" w:sz="0" w:space="0" w:color="auto"/>
        <w:left w:val="none" w:sz="0" w:space="0" w:color="auto"/>
        <w:bottom w:val="none" w:sz="0" w:space="0" w:color="auto"/>
        <w:right w:val="none" w:sz="0" w:space="0" w:color="auto"/>
      </w:divBdr>
    </w:div>
    <w:div w:id="714895123">
      <w:marLeft w:val="0"/>
      <w:marRight w:val="0"/>
      <w:marTop w:val="120"/>
      <w:marBottom w:val="0"/>
      <w:divBdr>
        <w:top w:val="none" w:sz="0" w:space="0" w:color="auto"/>
        <w:left w:val="none" w:sz="0" w:space="0" w:color="auto"/>
        <w:bottom w:val="none" w:sz="0" w:space="0" w:color="auto"/>
        <w:right w:val="none" w:sz="0" w:space="0" w:color="auto"/>
      </w:divBdr>
    </w:div>
    <w:div w:id="715080821">
      <w:marLeft w:val="0"/>
      <w:marRight w:val="0"/>
      <w:marTop w:val="120"/>
      <w:marBottom w:val="0"/>
      <w:divBdr>
        <w:top w:val="none" w:sz="0" w:space="0" w:color="auto"/>
        <w:left w:val="none" w:sz="0" w:space="0" w:color="auto"/>
        <w:bottom w:val="none" w:sz="0" w:space="0" w:color="auto"/>
        <w:right w:val="none" w:sz="0" w:space="0" w:color="auto"/>
      </w:divBdr>
    </w:div>
    <w:div w:id="717508517">
      <w:marLeft w:val="0"/>
      <w:marRight w:val="0"/>
      <w:marTop w:val="0"/>
      <w:marBottom w:val="0"/>
      <w:divBdr>
        <w:top w:val="none" w:sz="0" w:space="0" w:color="auto"/>
        <w:left w:val="none" w:sz="0" w:space="0" w:color="auto"/>
        <w:bottom w:val="none" w:sz="0" w:space="0" w:color="auto"/>
        <w:right w:val="none" w:sz="0" w:space="0" w:color="auto"/>
      </w:divBdr>
      <w:divsChild>
        <w:div w:id="639308969">
          <w:marLeft w:val="0"/>
          <w:marRight w:val="0"/>
          <w:marTop w:val="0"/>
          <w:marBottom w:val="0"/>
          <w:divBdr>
            <w:top w:val="none" w:sz="0" w:space="0" w:color="auto"/>
            <w:left w:val="none" w:sz="0" w:space="0" w:color="auto"/>
            <w:bottom w:val="none" w:sz="0" w:space="0" w:color="auto"/>
            <w:right w:val="none" w:sz="0" w:space="0" w:color="auto"/>
          </w:divBdr>
        </w:div>
      </w:divsChild>
    </w:div>
    <w:div w:id="721094912">
      <w:marLeft w:val="0"/>
      <w:marRight w:val="0"/>
      <w:marTop w:val="240"/>
      <w:marBottom w:val="0"/>
      <w:divBdr>
        <w:top w:val="none" w:sz="0" w:space="0" w:color="auto"/>
        <w:left w:val="none" w:sz="0" w:space="0" w:color="auto"/>
        <w:bottom w:val="none" w:sz="0" w:space="0" w:color="auto"/>
        <w:right w:val="none" w:sz="0" w:space="0" w:color="auto"/>
      </w:divBdr>
    </w:div>
    <w:div w:id="721638800">
      <w:marLeft w:val="0"/>
      <w:marRight w:val="0"/>
      <w:marTop w:val="0"/>
      <w:marBottom w:val="0"/>
      <w:divBdr>
        <w:top w:val="none" w:sz="0" w:space="0" w:color="auto"/>
        <w:left w:val="none" w:sz="0" w:space="0" w:color="auto"/>
        <w:bottom w:val="none" w:sz="0" w:space="0" w:color="auto"/>
        <w:right w:val="none" w:sz="0" w:space="0" w:color="auto"/>
      </w:divBdr>
      <w:divsChild>
        <w:div w:id="1787892515">
          <w:marLeft w:val="0"/>
          <w:marRight w:val="0"/>
          <w:marTop w:val="0"/>
          <w:marBottom w:val="0"/>
          <w:divBdr>
            <w:top w:val="none" w:sz="0" w:space="0" w:color="auto"/>
            <w:left w:val="none" w:sz="0" w:space="0" w:color="auto"/>
            <w:bottom w:val="none" w:sz="0" w:space="0" w:color="auto"/>
            <w:right w:val="none" w:sz="0" w:space="0" w:color="auto"/>
          </w:divBdr>
        </w:div>
      </w:divsChild>
    </w:div>
    <w:div w:id="721641133">
      <w:marLeft w:val="0"/>
      <w:marRight w:val="0"/>
      <w:marTop w:val="200"/>
      <w:marBottom w:val="0"/>
      <w:divBdr>
        <w:top w:val="none" w:sz="0" w:space="0" w:color="auto"/>
        <w:left w:val="none" w:sz="0" w:space="0" w:color="auto"/>
        <w:bottom w:val="none" w:sz="0" w:space="0" w:color="auto"/>
        <w:right w:val="none" w:sz="0" w:space="0" w:color="auto"/>
      </w:divBdr>
    </w:div>
    <w:div w:id="722750047">
      <w:marLeft w:val="0"/>
      <w:marRight w:val="0"/>
      <w:marTop w:val="100"/>
      <w:marBottom w:val="0"/>
      <w:divBdr>
        <w:top w:val="none" w:sz="0" w:space="0" w:color="auto"/>
        <w:left w:val="none" w:sz="0" w:space="0" w:color="auto"/>
        <w:bottom w:val="none" w:sz="0" w:space="0" w:color="auto"/>
        <w:right w:val="none" w:sz="0" w:space="0" w:color="auto"/>
      </w:divBdr>
      <w:divsChild>
        <w:div w:id="97453519">
          <w:marLeft w:val="0"/>
          <w:marRight w:val="0"/>
          <w:marTop w:val="0"/>
          <w:marBottom w:val="0"/>
          <w:divBdr>
            <w:top w:val="none" w:sz="0" w:space="0" w:color="auto"/>
            <w:left w:val="none" w:sz="0" w:space="0" w:color="auto"/>
            <w:bottom w:val="none" w:sz="0" w:space="0" w:color="auto"/>
            <w:right w:val="none" w:sz="0" w:space="0" w:color="auto"/>
          </w:divBdr>
        </w:div>
        <w:div w:id="1703283458">
          <w:marLeft w:val="0"/>
          <w:marRight w:val="0"/>
          <w:marTop w:val="0"/>
          <w:marBottom w:val="0"/>
          <w:divBdr>
            <w:top w:val="none" w:sz="0" w:space="0" w:color="auto"/>
            <w:left w:val="none" w:sz="0" w:space="0" w:color="auto"/>
            <w:bottom w:val="none" w:sz="0" w:space="0" w:color="auto"/>
            <w:right w:val="none" w:sz="0" w:space="0" w:color="auto"/>
          </w:divBdr>
        </w:div>
        <w:div w:id="1176460962">
          <w:marLeft w:val="0"/>
          <w:marRight w:val="0"/>
          <w:marTop w:val="0"/>
          <w:marBottom w:val="0"/>
          <w:divBdr>
            <w:top w:val="none" w:sz="0" w:space="0" w:color="auto"/>
            <w:left w:val="none" w:sz="0" w:space="0" w:color="auto"/>
            <w:bottom w:val="none" w:sz="0" w:space="0" w:color="auto"/>
            <w:right w:val="none" w:sz="0" w:space="0" w:color="auto"/>
          </w:divBdr>
        </w:div>
      </w:divsChild>
    </w:div>
    <w:div w:id="726806804">
      <w:marLeft w:val="0"/>
      <w:marRight w:val="0"/>
      <w:marTop w:val="200"/>
      <w:marBottom w:val="0"/>
      <w:divBdr>
        <w:top w:val="none" w:sz="0" w:space="0" w:color="auto"/>
        <w:left w:val="none" w:sz="0" w:space="0" w:color="auto"/>
        <w:bottom w:val="none" w:sz="0" w:space="0" w:color="auto"/>
        <w:right w:val="none" w:sz="0" w:space="0" w:color="auto"/>
      </w:divBdr>
    </w:div>
    <w:div w:id="727873722">
      <w:marLeft w:val="0"/>
      <w:marRight w:val="0"/>
      <w:marTop w:val="200"/>
      <w:marBottom w:val="0"/>
      <w:divBdr>
        <w:top w:val="none" w:sz="0" w:space="0" w:color="auto"/>
        <w:left w:val="none" w:sz="0" w:space="0" w:color="auto"/>
        <w:bottom w:val="none" w:sz="0" w:space="0" w:color="auto"/>
        <w:right w:val="none" w:sz="0" w:space="0" w:color="auto"/>
      </w:divBdr>
    </w:div>
    <w:div w:id="730231260">
      <w:marLeft w:val="0"/>
      <w:marRight w:val="0"/>
      <w:marTop w:val="200"/>
      <w:marBottom w:val="0"/>
      <w:divBdr>
        <w:top w:val="none" w:sz="0" w:space="0" w:color="auto"/>
        <w:left w:val="none" w:sz="0" w:space="0" w:color="auto"/>
        <w:bottom w:val="none" w:sz="0" w:space="0" w:color="auto"/>
        <w:right w:val="none" w:sz="0" w:space="0" w:color="auto"/>
      </w:divBdr>
    </w:div>
    <w:div w:id="730690261">
      <w:marLeft w:val="0"/>
      <w:marRight w:val="0"/>
      <w:marTop w:val="200"/>
      <w:marBottom w:val="0"/>
      <w:divBdr>
        <w:top w:val="none" w:sz="0" w:space="0" w:color="auto"/>
        <w:left w:val="none" w:sz="0" w:space="0" w:color="auto"/>
        <w:bottom w:val="none" w:sz="0" w:space="0" w:color="auto"/>
        <w:right w:val="none" w:sz="0" w:space="0" w:color="auto"/>
      </w:divBdr>
    </w:div>
    <w:div w:id="733821750">
      <w:marLeft w:val="0"/>
      <w:marRight w:val="0"/>
      <w:marTop w:val="200"/>
      <w:marBottom w:val="0"/>
      <w:divBdr>
        <w:top w:val="none" w:sz="0" w:space="0" w:color="auto"/>
        <w:left w:val="none" w:sz="0" w:space="0" w:color="auto"/>
        <w:bottom w:val="none" w:sz="0" w:space="0" w:color="auto"/>
        <w:right w:val="none" w:sz="0" w:space="0" w:color="auto"/>
      </w:divBdr>
    </w:div>
    <w:div w:id="734662202">
      <w:marLeft w:val="0"/>
      <w:marRight w:val="0"/>
      <w:marTop w:val="200"/>
      <w:marBottom w:val="0"/>
      <w:divBdr>
        <w:top w:val="none" w:sz="0" w:space="0" w:color="auto"/>
        <w:left w:val="none" w:sz="0" w:space="0" w:color="auto"/>
        <w:bottom w:val="none" w:sz="0" w:space="0" w:color="auto"/>
        <w:right w:val="none" w:sz="0" w:space="0" w:color="auto"/>
      </w:divBdr>
    </w:div>
    <w:div w:id="737828581">
      <w:marLeft w:val="0"/>
      <w:marRight w:val="0"/>
      <w:marTop w:val="0"/>
      <w:marBottom w:val="0"/>
      <w:divBdr>
        <w:top w:val="none" w:sz="0" w:space="0" w:color="auto"/>
        <w:left w:val="none" w:sz="0" w:space="0" w:color="auto"/>
        <w:bottom w:val="none" w:sz="0" w:space="0" w:color="auto"/>
        <w:right w:val="none" w:sz="0" w:space="0" w:color="auto"/>
      </w:divBdr>
    </w:div>
    <w:div w:id="738213753">
      <w:marLeft w:val="0"/>
      <w:marRight w:val="0"/>
      <w:marTop w:val="0"/>
      <w:marBottom w:val="0"/>
      <w:divBdr>
        <w:top w:val="none" w:sz="0" w:space="0" w:color="auto"/>
        <w:left w:val="none" w:sz="0" w:space="0" w:color="auto"/>
        <w:bottom w:val="none" w:sz="0" w:space="0" w:color="auto"/>
        <w:right w:val="none" w:sz="0" w:space="0" w:color="auto"/>
      </w:divBdr>
      <w:divsChild>
        <w:div w:id="87239541">
          <w:marLeft w:val="0"/>
          <w:marRight w:val="0"/>
          <w:marTop w:val="0"/>
          <w:marBottom w:val="0"/>
          <w:divBdr>
            <w:top w:val="none" w:sz="0" w:space="0" w:color="auto"/>
            <w:left w:val="none" w:sz="0" w:space="0" w:color="auto"/>
            <w:bottom w:val="none" w:sz="0" w:space="0" w:color="auto"/>
            <w:right w:val="none" w:sz="0" w:space="0" w:color="auto"/>
          </w:divBdr>
        </w:div>
      </w:divsChild>
    </w:div>
    <w:div w:id="738402389">
      <w:marLeft w:val="0"/>
      <w:marRight w:val="0"/>
      <w:marTop w:val="200"/>
      <w:marBottom w:val="0"/>
      <w:divBdr>
        <w:top w:val="none" w:sz="0" w:space="0" w:color="auto"/>
        <w:left w:val="none" w:sz="0" w:space="0" w:color="auto"/>
        <w:bottom w:val="none" w:sz="0" w:space="0" w:color="auto"/>
        <w:right w:val="none" w:sz="0" w:space="0" w:color="auto"/>
      </w:divBdr>
    </w:div>
    <w:div w:id="740256113">
      <w:marLeft w:val="0"/>
      <w:marRight w:val="0"/>
      <w:marTop w:val="0"/>
      <w:marBottom w:val="0"/>
      <w:divBdr>
        <w:top w:val="none" w:sz="0" w:space="0" w:color="auto"/>
        <w:left w:val="none" w:sz="0" w:space="0" w:color="auto"/>
        <w:bottom w:val="none" w:sz="0" w:space="0" w:color="auto"/>
        <w:right w:val="none" w:sz="0" w:space="0" w:color="auto"/>
      </w:divBdr>
    </w:div>
    <w:div w:id="741025080">
      <w:marLeft w:val="0"/>
      <w:marRight w:val="0"/>
      <w:marTop w:val="240"/>
      <w:marBottom w:val="0"/>
      <w:divBdr>
        <w:top w:val="none" w:sz="0" w:space="0" w:color="auto"/>
        <w:left w:val="none" w:sz="0" w:space="0" w:color="auto"/>
        <w:bottom w:val="none" w:sz="0" w:space="0" w:color="auto"/>
        <w:right w:val="none" w:sz="0" w:space="0" w:color="auto"/>
      </w:divBdr>
    </w:div>
    <w:div w:id="741833145">
      <w:marLeft w:val="0"/>
      <w:marRight w:val="0"/>
      <w:marTop w:val="0"/>
      <w:marBottom w:val="0"/>
      <w:divBdr>
        <w:top w:val="none" w:sz="0" w:space="0" w:color="auto"/>
        <w:left w:val="none" w:sz="0" w:space="0" w:color="auto"/>
        <w:bottom w:val="none" w:sz="0" w:space="0" w:color="auto"/>
        <w:right w:val="none" w:sz="0" w:space="0" w:color="auto"/>
      </w:divBdr>
      <w:divsChild>
        <w:div w:id="1323047959">
          <w:marLeft w:val="0"/>
          <w:marRight w:val="0"/>
          <w:marTop w:val="0"/>
          <w:marBottom w:val="0"/>
          <w:divBdr>
            <w:top w:val="none" w:sz="0" w:space="0" w:color="auto"/>
            <w:left w:val="none" w:sz="0" w:space="0" w:color="auto"/>
            <w:bottom w:val="none" w:sz="0" w:space="0" w:color="auto"/>
            <w:right w:val="none" w:sz="0" w:space="0" w:color="auto"/>
          </w:divBdr>
        </w:div>
      </w:divsChild>
    </w:div>
    <w:div w:id="741877088">
      <w:marLeft w:val="0"/>
      <w:marRight w:val="0"/>
      <w:marTop w:val="200"/>
      <w:marBottom w:val="0"/>
      <w:divBdr>
        <w:top w:val="none" w:sz="0" w:space="0" w:color="auto"/>
        <w:left w:val="none" w:sz="0" w:space="0" w:color="auto"/>
        <w:bottom w:val="none" w:sz="0" w:space="0" w:color="auto"/>
        <w:right w:val="none" w:sz="0" w:space="0" w:color="auto"/>
      </w:divBdr>
    </w:div>
    <w:div w:id="743919900">
      <w:marLeft w:val="0"/>
      <w:marRight w:val="0"/>
      <w:marTop w:val="0"/>
      <w:marBottom w:val="0"/>
      <w:divBdr>
        <w:top w:val="none" w:sz="0" w:space="0" w:color="auto"/>
        <w:left w:val="none" w:sz="0" w:space="0" w:color="auto"/>
        <w:bottom w:val="none" w:sz="0" w:space="0" w:color="auto"/>
        <w:right w:val="none" w:sz="0" w:space="0" w:color="auto"/>
      </w:divBdr>
    </w:div>
    <w:div w:id="744957540">
      <w:marLeft w:val="0"/>
      <w:marRight w:val="0"/>
      <w:marTop w:val="120"/>
      <w:marBottom w:val="0"/>
      <w:divBdr>
        <w:top w:val="none" w:sz="0" w:space="0" w:color="auto"/>
        <w:left w:val="none" w:sz="0" w:space="0" w:color="auto"/>
        <w:bottom w:val="none" w:sz="0" w:space="0" w:color="auto"/>
        <w:right w:val="none" w:sz="0" w:space="0" w:color="auto"/>
      </w:divBdr>
    </w:div>
    <w:div w:id="746462536">
      <w:marLeft w:val="0"/>
      <w:marRight w:val="0"/>
      <w:marTop w:val="200"/>
      <w:marBottom w:val="0"/>
      <w:divBdr>
        <w:top w:val="none" w:sz="0" w:space="0" w:color="auto"/>
        <w:left w:val="none" w:sz="0" w:space="0" w:color="auto"/>
        <w:bottom w:val="none" w:sz="0" w:space="0" w:color="auto"/>
        <w:right w:val="none" w:sz="0" w:space="0" w:color="auto"/>
      </w:divBdr>
    </w:div>
    <w:div w:id="748817624">
      <w:marLeft w:val="0"/>
      <w:marRight w:val="0"/>
      <w:marTop w:val="0"/>
      <w:marBottom w:val="0"/>
      <w:divBdr>
        <w:top w:val="none" w:sz="0" w:space="0" w:color="auto"/>
        <w:left w:val="none" w:sz="0" w:space="0" w:color="auto"/>
        <w:bottom w:val="none" w:sz="0" w:space="0" w:color="auto"/>
        <w:right w:val="none" w:sz="0" w:space="0" w:color="auto"/>
      </w:divBdr>
      <w:divsChild>
        <w:div w:id="1229533115">
          <w:marLeft w:val="0"/>
          <w:marRight w:val="0"/>
          <w:marTop w:val="0"/>
          <w:marBottom w:val="0"/>
          <w:divBdr>
            <w:top w:val="none" w:sz="0" w:space="0" w:color="auto"/>
            <w:left w:val="none" w:sz="0" w:space="0" w:color="auto"/>
            <w:bottom w:val="none" w:sz="0" w:space="0" w:color="auto"/>
            <w:right w:val="none" w:sz="0" w:space="0" w:color="auto"/>
          </w:divBdr>
        </w:div>
      </w:divsChild>
    </w:div>
    <w:div w:id="748963237">
      <w:marLeft w:val="0"/>
      <w:marRight w:val="0"/>
      <w:marTop w:val="200"/>
      <w:marBottom w:val="0"/>
      <w:divBdr>
        <w:top w:val="none" w:sz="0" w:space="0" w:color="auto"/>
        <w:left w:val="none" w:sz="0" w:space="0" w:color="auto"/>
        <w:bottom w:val="none" w:sz="0" w:space="0" w:color="auto"/>
        <w:right w:val="none" w:sz="0" w:space="0" w:color="auto"/>
      </w:divBdr>
    </w:div>
    <w:div w:id="755327864">
      <w:marLeft w:val="0"/>
      <w:marRight w:val="0"/>
      <w:marTop w:val="200"/>
      <w:marBottom w:val="0"/>
      <w:divBdr>
        <w:top w:val="none" w:sz="0" w:space="0" w:color="auto"/>
        <w:left w:val="none" w:sz="0" w:space="0" w:color="auto"/>
        <w:bottom w:val="none" w:sz="0" w:space="0" w:color="auto"/>
        <w:right w:val="none" w:sz="0" w:space="0" w:color="auto"/>
      </w:divBdr>
    </w:div>
    <w:div w:id="756441661">
      <w:marLeft w:val="0"/>
      <w:marRight w:val="0"/>
      <w:marTop w:val="100"/>
      <w:marBottom w:val="0"/>
      <w:divBdr>
        <w:top w:val="none" w:sz="0" w:space="0" w:color="auto"/>
        <w:left w:val="none" w:sz="0" w:space="0" w:color="auto"/>
        <w:bottom w:val="none" w:sz="0" w:space="0" w:color="auto"/>
        <w:right w:val="none" w:sz="0" w:space="0" w:color="auto"/>
      </w:divBdr>
      <w:divsChild>
        <w:div w:id="958729313">
          <w:marLeft w:val="0"/>
          <w:marRight w:val="0"/>
          <w:marTop w:val="120"/>
          <w:marBottom w:val="0"/>
          <w:divBdr>
            <w:top w:val="none" w:sz="0" w:space="0" w:color="auto"/>
            <w:left w:val="none" w:sz="0" w:space="0" w:color="auto"/>
            <w:bottom w:val="none" w:sz="0" w:space="0" w:color="auto"/>
            <w:right w:val="none" w:sz="0" w:space="0" w:color="auto"/>
          </w:divBdr>
        </w:div>
        <w:div w:id="1961715289">
          <w:marLeft w:val="0"/>
          <w:marRight w:val="0"/>
          <w:marTop w:val="120"/>
          <w:marBottom w:val="0"/>
          <w:divBdr>
            <w:top w:val="none" w:sz="0" w:space="0" w:color="auto"/>
            <w:left w:val="none" w:sz="0" w:space="0" w:color="auto"/>
            <w:bottom w:val="none" w:sz="0" w:space="0" w:color="auto"/>
            <w:right w:val="none" w:sz="0" w:space="0" w:color="auto"/>
          </w:divBdr>
        </w:div>
        <w:div w:id="439839521">
          <w:marLeft w:val="0"/>
          <w:marRight w:val="0"/>
          <w:marTop w:val="120"/>
          <w:marBottom w:val="0"/>
          <w:divBdr>
            <w:top w:val="none" w:sz="0" w:space="0" w:color="auto"/>
            <w:left w:val="none" w:sz="0" w:space="0" w:color="auto"/>
            <w:bottom w:val="none" w:sz="0" w:space="0" w:color="auto"/>
            <w:right w:val="none" w:sz="0" w:space="0" w:color="auto"/>
          </w:divBdr>
        </w:div>
        <w:div w:id="184371009">
          <w:marLeft w:val="0"/>
          <w:marRight w:val="0"/>
          <w:marTop w:val="120"/>
          <w:marBottom w:val="0"/>
          <w:divBdr>
            <w:top w:val="none" w:sz="0" w:space="0" w:color="auto"/>
            <w:left w:val="none" w:sz="0" w:space="0" w:color="auto"/>
            <w:bottom w:val="none" w:sz="0" w:space="0" w:color="auto"/>
            <w:right w:val="none" w:sz="0" w:space="0" w:color="auto"/>
          </w:divBdr>
        </w:div>
        <w:div w:id="823161488">
          <w:marLeft w:val="0"/>
          <w:marRight w:val="0"/>
          <w:marTop w:val="120"/>
          <w:marBottom w:val="0"/>
          <w:divBdr>
            <w:top w:val="none" w:sz="0" w:space="0" w:color="auto"/>
            <w:left w:val="none" w:sz="0" w:space="0" w:color="auto"/>
            <w:bottom w:val="none" w:sz="0" w:space="0" w:color="auto"/>
            <w:right w:val="none" w:sz="0" w:space="0" w:color="auto"/>
          </w:divBdr>
        </w:div>
      </w:divsChild>
    </w:div>
    <w:div w:id="756941354">
      <w:marLeft w:val="0"/>
      <w:marRight w:val="0"/>
      <w:marTop w:val="120"/>
      <w:marBottom w:val="0"/>
      <w:divBdr>
        <w:top w:val="none" w:sz="0" w:space="0" w:color="auto"/>
        <w:left w:val="none" w:sz="0" w:space="0" w:color="auto"/>
        <w:bottom w:val="none" w:sz="0" w:space="0" w:color="auto"/>
        <w:right w:val="none" w:sz="0" w:space="0" w:color="auto"/>
      </w:divBdr>
    </w:div>
    <w:div w:id="761268785">
      <w:marLeft w:val="0"/>
      <w:marRight w:val="0"/>
      <w:marTop w:val="200"/>
      <w:marBottom w:val="0"/>
      <w:divBdr>
        <w:top w:val="none" w:sz="0" w:space="0" w:color="auto"/>
        <w:left w:val="none" w:sz="0" w:space="0" w:color="auto"/>
        <w:bottom w:val="none" w:sz="0" w:space="0" w:color="auto"/>
        <w:right w:val="none" w:sz="0" w:space="0" w:color="auto"/>
      </w:divBdr>
    </w:div>
    <w:div w:id="761488146">
      <w:marLeft w:val="0"/>
      <w:marRight w:val="0"/>
      <w:marTop w:val="0"/>
      <w:marBottom w:val="0"/>
      <w:divBdr>
        <w:top w:val="none" w:sz="0" w:space="0" w:color="auto"/>
        <w:left w:val="none" w:sz="0" w:space="0" w:color="auto"/>
        <w:bottom w:val="none" w:sz="0" w:space="0" w:color="auto"/>
        <w:right w:val="none" w:sz="0" w:space="0" w:color="auto"/>
      </w:divBdr>
    </w:div>
    <w:div w:id="761803152">
      <w:marLeft w:val="0"/>
      <w:marRight w:val="0"/>
      <w:marTop w:val="210"/>
      <w:marBottom w:val="0"/>
      <w:divBdr>
        <w:top w:val="none" w:sz="0" w:space="0" w:color="auto"/>
        <w:left w:val="none" w:sz="0" w:space="0" w:color="auto"/>
        <w:bottom w:val="none" w:sz="0" w:space="0" w:color="auto"/>
        <w:right w:val="none" w:sz="0" w:space="0" w:color="auto"/>
      </w:divBdr>
    </w:div>
    <w:div w:id="764110200">
      <w:marLeft w:val="0"/>
      <w:marRight w:val="0"/>
      <w:marTop w:val="200"/>
      <w:marBottom w:val="0"/>
      <w:divBdr>
        <w:top w:val="none" w:sz="0" w:space="0" w:color="auto"/>
        <w:left w:val="none" w:sz="0" w:space="0" w:color="auto"/>
        <w:bottom w:val="none" w:sz="0" w:space="0" w:color="auto"/>
        <w:right w:val="none" w:sz="0" w:space="0" w:color="auto"/>
      </w:divBdr>
    </w:div>
    <w:div w:id="764150705">
      <w:marLeft w:val="0"/>
      <w:marRight w:val="0"/>
      <w:marTop w:val="200"/>
      <w:marBottom w:val="0"/>
      <w:divBdr>
        <w:top w:val="none" w:sz="0" w:space="0" w:color="auto"/>
        <w:left w:val="none" w:sz="0" w:space="0" w:color="auto"/>
        <w:bottom w:val="none" w:sz="0" w:space="0" w:color="auto"/>
        <w:right w:val="none" w:sz="0" w:space="0" w:color="auto"/>
      </w:divBdr>
    </w:div>
    <w:div w:id="766652578">
      <w:marLeft w:val="0"/>
      <w:marRight w:val="0"/>
      <w:marTop w:val="120"/>
      <w:marBottom w:val="0"/>
      <w:divBdr>
        <w:top w:val="none" w:sz="0" w:space="0" w:color="auto"/>
        <w:left w:val="none" w:sz="0" w:space="0" w:color="auto"/>
        <w:bottom w:val="none" w:sz="0" w:space="0" w:color="auto"/>
        <w:right w:val="none" w:sz="0" w:space="0" w:color="auto"/>
      </w:divBdr>
    </w:div>
    <w:div w:id="767429146">
      <w:marLeft w:val="0"/>
      <w:marRight w:val="0"/>
      <w:marTop w:val="200"/>
      <w:marBottom w:val="0"/>
      <w:divBdr>
        <w:top w:val="none" w:sz="0" w:space="0" w:color="auto"/>
        <w:left w:val="none" w:sz="0" w:space="0" w:color="auto"/>
        <w:bottom w:val="none" w:sz="0" w:space="0" w:color="auto"/>
        <w:right w:val="none" w:sz="0" w:space="0" w:color="auto"/>
      </w:divBdr>
    </w:div>
    <w:div w:id="768156961">
      <w:marLeft w:val="0"/>
      <w:marRight w:val="0"/>
      <w:marTop w:val="200"/>
      <w:marBottom w:val="0"/>
      <w:divBdr>
        <w:top w:val="none" w:sz="0" w:space="0" w:color="auto"/>
        <w:left w:val="none" w:sz="0" w:space="0" w:color="auto"/>
        <w:bottom w:val="none" w:sz="0" w:space="0" w:color="auto"/>
        <w:right w:val="none" w:sz="0" w:space="0" w:color="auto"/>
      </w:divBdr>
    </w:div>
    <w:div w:id="768232412">
      <w:marLeft w:val="0"/>
      <w:marRight w:val="0"/>
      <w:marTop w:val="200"/>
      <w:marBottom w:val="0"/>
      <w:divBdr>
        <w:top w:val="none" w:sz="0" w:space="0" w:color="auto"/>
        <w:left w:val="none" w:sz="0" w:space="0" w:color="auto"/>
        <w:bottom w:val="none" w:sz="0" w:space="0" w:color="auto"/>
        <w:right w:val="none" w:sz="0" w:space="0" w:color="auto"/>
      </w:divBdr>
    </w:div>
    <w:div w:id="776363807">
      <w:marLeft w:val="0"/>
      <w:marRight w:val="0"/>
      <w:marTop w:val="200"/>
      <w:marBottom w:val="0"/>
      <w:divBdr>
        <w:top w:val="none" w:sz="0" w:space="0" w:color="auto"/>
        <w:left w:val="none" w:sz="0" w:space="0" w:color="auto"/>
        <w:bottom w:val="none" w:sz="0" w:space="0" w:color="auto"/>
        <w:right w:val="none" w:sz="0" w:space="0" w:color="auto"/>
      </w:divBdr>
    </w:div>
    <w:div w:id="776364209">
      <w:marLeft w:val="0"/>
      <w:marRight w:val="0"/>
      <w:marTop w:val="210"/>
      <w:marBottom w:val="0"/>
      <w:divBdr>
        <w:top w:val="none" w:sz="0" w:space="0" w:color="auto"/>
        <w:left w:val="none" w:sz="0" w:space="0" w:color="auto"/>
        <w:bottom w:val="none" w:sz="0" w:space="0" w:color="auto"/>
        <w:right w:val="none" w:sz="0" w:space="0" w:color="auto"/>
      </w:divBdr>
    </w:div>
    <w:div w:id="777218499">
      <w:marLeft w:val="0"/>
      <w:marRight w:val="0"/>
      <w:marTop w:val="0"/>
      <w:marBottom w:val="0"/>
      <w:divBdr>
        <w:top w:val="none" w:sz="0" w:space="0" w:color="auto"/>
        <w:left w:val="none" w:sz="0" w:space="0" w:color="auto"/>
        <w:bottom w:val="none" w:sz="0" w:space="0" w:color="auto"/>
        <w:right w:val="none" w:sz="0" w:space="0" w:color="auto"/>
      </w:divBdr>
      <w:divsChild>
        <w:div w:id="553271302">
          <w:marLeft w:val="0"/>
          <w:marRight w:val="0"/>
          <w:marTop w:val="0"/>
          <w:marBottom w:val="0"/>
          <w:divBdr>
            <w:top w:val="none" w:sz="0" w:space="0" w:color="auto"/>
            <w:left w:val="none" w:sz="0" w:space="0" w:color="auto"/>
            <w:bottom w:val="none" w:sz="0" w:space="0" w:color="auto"/>
            <w:right w:val="none" w:sz="0" w:space="0" w:color="auto"/>
          </w:divBdr>
        </w:div>
      </w:divsChild>
    </w:div>
    <w:div w:id="778259278">
      <w:marLeft w:val="0"/>
      <w:marRight w:val="0"/>
      <w:marTop w:val="240"/>
      <w:marBottom w:val="0"/>
      <w:divBdr>
        <w:top w:val="none" w:sz="0" w:space="0" w:color="auto"/>
        <w:left w:val="none" w:sz="0" w:space="0" w:color="auto"/>
        <w:bottom w:val="none" w:sz="0" w:space="0" w:color="auto"/>
        <w:right w:val="none" w:sz="0" w:space="0" w:color="auto"/>
      </w:divBdr>
    </w:div>
    <w:div w:id="780536359">
      <w:marLeft w:val="0"/>
      <w:marRight w:val="0"/>
      <w:marTop w:val="210"/>
      <w:marBottom w:val="0"/>
      <w:divBdr>
        <w:top w:val="none" w:sz="0" w:space="0" w:color="auto"/>
        <w:left w:val="none" w:sz="0" w:space="0" w:color="auto"/>
        <w:bottom w:val="none" w:sz="0" w:space="0" w:color="auto"/>
        <w:right w:val="none" w:sz="0" w:space="0" w:color="auto"/>
      </w:divBdr>
    </w:div>
    <w:div w:id="782840986">
      <w:marLeft w:val="0"/>
      <w:marRight w:val="0"/>
      <w:marTop w:val="200"/>
      <w:marBottom w:val="0"/>
      <w:divBdr>
        <w:top w:val="none" w:sz="0" w:space="0" w:color="auto"/>
        <w:left w:val="none" w:sz="0" w:space="0" w:color="auto"/>
        <w:bottom w:val="none" w:sz="0" w:space="0" w:color="auto"/>
        <w:right w:val="none" w:sz="0" w:space="0" w:color="auto"/>
      </w:divBdr>
    </w:div>
    <w:div w:id="784808837">
      <w:marLeft w:val="0"/>
      <w:marRight w:val="0"/>
      <w:marTop w:val="210"/>
      <w:marBottom w:val="0"/>
      <w:divBdr>
        <w:top w:val="none" w:sz="0" w:space="0" w:color="auto"/>
        <w:left w:val="none" w:sz="0" w:space="0" w:color="auto"/>
        <w:bottom w:val="none" w:sz="0" w:space="0" w:color="auto"/>
        <w:right w:val="none" w:sz="0" w:space="0" w:color="auto"/>
      </w:divBdr>
    </w:div>
    <w:div w:id="792213448">
      <w:marLeft w:val="0"/>
      <w:marRight w:val="0"/>
      <w:marTop w:val="0"/>
      <w:marBottom w:val="0"/>
      <w:divBdr>
        <w:top w:val="none" w:sz="0" w:space="0" w:color="auto"/>
        <w:left w:val="none" w:sz="0" w:space="0" w:color="auto"/>
        <w:bottom w:val="none" w:sz="0" w:space="0" w:color="auto"/>
        <w:right w:val="none" w:sz="0" w:space="0" w:color="auto"/>
      </w:divBdr>
      <w:divsChild>
        <w:div w:id="1706978780">
          <w:marLeft w:val="0"/>
          <w:marRight w:val="0"/>
          <w:marTop w:val="0"/>
          <w:marBottom w:val="0"/>
          <w:divBdr>
            <w:top w:val="none" w:sz="0" w:space="0" w:color="auto"/>
            <w:left w:val="none" w:sz="0" w:space="0" w:color="auto"/>
            <w:bottom w:val="none" w:sz="0" w:space="0" w:color="auto"/>
            <w:right w:val="none" w:sz="0" w:space="0" w:color="auto"/>
          </w:divBdr>
        </w:div>
      </w:divsChild>
    </w:div>
    <w:div w:id="793862896">
      <w:marLeft w:val="0"/>
      <w:marRight w:val="0"/>
      <w:marTop w:val="200"/>
      <w:marBottom w:val="0"/>
      <w:divBdr>
        <w:top w:val="none" w:sz="0" w:space="0" w:color="auto"/>
        <w:left w:val="none" w:sz="0" w:space="0" w:color="auto"/>
        <w:bottom w:val="none" w:sz="0" w:space="0" w:color="auto"/>
        <w:right w:val="none" w:sz="0" w:space="0" w:color="auto"/>
      </w:divBdr>
    </w:div>
    <w:div w:id="797573129">
      <w:marLeft w:val="0"/>
      <w:marRight w:val="0"/>
      <w:marTop w:val="0"/>
      <w:marBottom w:val="0"/>
      <w:divBdr>
        <w:top w:val="none" w:sz="0" w:space="0" w:color="auto"/>
        <w:left w:val="none" w:sz="0" w:space="0" w:color="auto"/>
        <w:bottom w:val="none" w:sz="0" w:space="0" w:color="auto"/>
        <w:right w:val="none" w:sz="0" w:space="0" w:color="auto"/>
      </w:divBdr>
      <w:divsChild>
        <w:div w:id="1318069362">
          <w:marLeft w:val="0"/>
          <w:marRight w:val="0"/>
          <w:marTop w:val="0"/>
          <w:marBottom w:val="0"/>
          <w:divBdr>
            <w:top w:val="none" w:sz="0" w:space="0" w:color="auto"/>
            <w:left w:val="none" w:sz="0" w:space="0" w:color="auto"/>
            <w:bottom w:val="none" w:sz="0" w:space="0" w:color="auto"/>
            <w:right w:val="none" w:sz="0" w:space="0" w:color="auto"/>
          </w:divBdr>
        </w:div>
      </w:divsChild>
    </w:div>
    <w:div w:id="799958004">
      <w:marLeft w:val="0"/>
      <w:marRight w:val="0"/>
      <w:marTop w:val="0"/>
      <w:marBottom w:val="0"/>
      <w:divBdr>
        <w:top w:val="none" w:sz="0" w:space="0" w:color="auto"/>
        <w:left w:val="none" w:sz="0" w:space="0" w:color="auto"/>
        <w:bottom w:val="none" w:sz="0" w:space="0" w:color="auto"/>
        <w:right w:val="none" w:sz="0" w:space="0" w:color="auto"/>
      </w:divBdr>
    </w:div>
    <w:div w:id="804737758">
      <w:marLeft w:val="0"/>
      <w:marRight w:val="0"/>
      <w:marTop w:val="200"/>
      <w:marBottom w:val="0"/>
      <w:divBdr>
        <w:top w:val="none" w:sz="0" w:space="0" w:color="auto"/>
        <w:left w:val="none" w:sz="0" w:space="0" w:color="auto"/>
        <w:bottom w:val="none" w:sz="0" w:space="0" w:color="auto"/>
        <w:right w:val="none" w:sz="0" w:space="0" w:color="auto"/>
      </w:divBdr>
    </w:div>
    <w:div w:id="806750023">
      <w:marLeft w:val="0"/>
      <w:marRight w:val="0"/>
      <w:marTop w:val="200"/>
      <w:marBottom w:val="0"/>
      <w:divBdr>
        <w:top w:val="none" w:sz="0" w:space="0" w:color="auto"/>
        <w:left w:val="none" w:sz="0" w:space="0" w:color="auto"/>
        <w:bottom w:val="none" w:sz="0" w:space="0" w:color="auto"/>
        <w:right w:val="none" w:sz="0" w:space="0" w:color="auto"/>
      </w:divBdr>
    </w:div>
    <w:div w:id="807236495">
      <w:marLeft w:val="0"/>
      <w:marRight w:val="0"/>
      <w:marTop w:val="210"/>
      <w:marBottom w:val="0"/>
      <w:divBdr>
        <w:top w:val="none" w:sz="0" w:space="0" w:color="auto"/>
        <w:left w:val="none" w:sz="0" w:space="0" w:color="auto"/>
        <w:bottom w:val="none" w:sz="0" w:space="0" w:color="auto"/>
        <w:right w:val="none" w:sz="0" w:space="0" w:color="auto"/>
      </w:divBdr>
    </w:div>
    <w:div w:id="809369711">
      <w:marLeft w:val="0"/>
      <w:marRight w:val="0"/>
      <w:marTop w:val="0"/>
      <w:marBottom w:val="0"/>
      <w:divBdr>
        <w:top w:val="none" w:sz="0" w:space="0" w:color="auto"/>
        <w:left w:val="none" w:sz="0" w:space="0" w:color="auto"/>
        <w:bottom w:val="none" w:sz="0" w:space="0" w:color="auto"/>
        <w:right w:val="none" w:sz="0" w:space="0" w:color="auto"/>
      </w:divBdr>
    </w:div>
    <w:div w:id="819419697">
      <w:marLeft w:val="0"/>
      <w:marRight w:val="0"/>
      <w:marTop w:val="200"/>
      <w:marBottom w:val="0"/>
      <w:divBdr>
        <w:top w:val="none" w:sz="0" w:space="0" w:color="auto"/>
        <w:left w:val="none" w:sz="0" w:space="0" w:color="auto"/>
        <w:bottom w:val="none" w:sz="0" w:space="0" w:color="auto"/>
        <w:right w:val="none" w:sz="0" w:space="0" w:color="auto"/>
      </w:divBdr>
    </w:div>
    <w:div w:id="826752384">
      <w:marLeft w:val="0"/>
      <w:marRight w:val="0"/>
      <w:marTop w:val="200"/>
      <w:marBottom w:val="0"/>
      <w:divBdr>
        <w:top w:val="none" w:sz="0" w:space="0" w:color="auto"/>
        <w:left w:val="none" w:sz="0" w:space="0" w:color="auto"/>
        <w:bottom w:val="none" w:sz="0" w:space="0" w:color="auto"/>
        <w:right w:val="none" w:sz="0" w:space="0" w:color="auto"/>
      </w:divBdr>
    </w:div>
    <w:div w:id="831409766">
      <w:marLeft w:val="0"/>
      <w:marRight w:val="0"/>
      <w:marTop w:val="120"/>
      <w:marBottom w:val="0"/>
      <w:divBdr>
        <w:top w:val="none" w:sz="0" w:space="0" w:color="auto"/>
        <w:left w:val="none" w:sz="0" w:space="0" w:color="auto"/>
        <w:bottom w:val="none" w:sz="0" w:space="0" w:color="auto"/>
        <w:right w:val="none" w:sz="0" w:space="0" w:color="auto"/>
      </w:divBdr>
    </w:div>
    <w:div w:id="834957813">
      <w:marLeft w:val="0"/>
      <w:marRight w:val="0"/>
      <w:marTop w:val="200"/>
      <w:marBottom w:val="0"/>
      <w:divBdr>
        <w:top w:val="none" w:sz="0" w:space="0" w:color="auto"/>
        <w:left w:val="none" w:sz="0" w:space="0" w:color="auto"/>
        <w:bottom w:val="none" w:sz="0" w:space="0" w:color="auto"/>
        <w:right w:val="none" w:sz="0" w:space="0" w:color="auto"/>
      </w:divBdr>
    </w:div>
    <w:div w:id="835536389">
      <w:marLeft w:val="0"/>
      <w:marRight w:val="0"/>
      <w:marTop w:val="200"/>
      <w:marBottom w:val="0"/>
      <w:divBdr>
        <w:top w:val="none" w:sz="0" w:space="0" w:color="auto"/>
        <w:left w:val="none" w:sz="0" w:space="0" w:color="auto"/>
        <w:bottom w:val="none" w:sz="0" w:space="0" w:color="auto"/>
        <w:right w:val="none" w:sz="0" w:space="0" w:color="auto"/>
      </w:divBdr>
    </w:div>
    <w:div w:id="838620655">
      <w:marLeft w:val="0"/>
      <w:marRight w:val="0"/>
      <w:marTop w:val="360"/>
      <w:marBottom w:val="0"/>
      <w:divBdr>
        <w:top w:val="none" w:sz="0" w:space="0" w:color="auto"/>
        <w:left w:val="none" w:sz="0" w:space="0" w:color="auto"/>
        <w:bottom w:val="none" w:sz="0" w:space="0" w:color="auto"/>
        <w:right w:val="none" w:sz="0" w:space="0" w:color="auto"/>
      </w:divBdr>
    </w:div>
    <w:div w:id="842551933">
      <w:marLeft w:val="0"/>
      <w:marRight w:val="0"/>
      <w:marTop w:val="240"/>
      <w:marBottom w:val="0"/>
      <w:divBdr>
        <w:top w:val="none" w:sz="0" w:space="0" w:color="auto"/>
        <w:left w:val="none" w:sz="0" w:space="0" w:color="auto"/>
        <w:bottom w:val="none" w:sz="0" w:space="0" w:color="auto"/>
        <w:right w:val="none" w:sz="0" w:space="0" w:color="auto"/>
      </w:divBdr>
    </w:div>
    <w:div w:id="842621103">
      <w:marLeft w:val="0"/>
      <w:marRight w:val="0"/>
      <w:marTop w:val="210"/>
      <w:marBottom w:val="0"/>
      <w:divBdr>
        <w:top w:val="none" w:sz="0" w:space="0" w:color="auto"/>
        <w:left w:val="none" w:sz="0" w:space="0" w:color="auto"/>
        <w:bottom w:val="none" w:sz="0" w:space="0" w:color="auto"/>
        <w:right w:val="none" w:sz="0" w:space="0" w:color="auto"/>
      </w:divBdr>
    </w:div>
    <w:div w:id="843128117">
      <w:marLeft w:val="0"/>
      <w:marRight w:val="0"/>
      <w:marTop w:val="200"/>
      <w:marBottom w:val="0"/>
      <w:divBdr>
        <w:top w:val="none" w:sz="0" w:space="0" w:color="auto"/>
        <w:left w:val="none" w:sz="0" w:space="0" w:color="auto"/>
        <w:bottom w:val="none" w:sz="0" w:space="0" w:color="auto"/>
        <w:right w:val="none" w:sz="0" w:space="0" w:color="auto"/>
      </w:divBdr>
    </w:div>
    <w:div w:id="846599650">
      <w:marLeft w:val="0"/>
      <w:marRight w:val="0"/>
      <w:marTop w:val="200"/>
      <w:marBottom w:val="0"/>
      <w:divBdr>
        <w:top w:val="none" w:sz="0" w:space="0" w:color="auto"/>
        <w:left w:val="none" w:sz="0" w:space="0" w:color="auto"/>
        <w:bottom w:val="none" w:sz="0" w:space="0" w:color="auto"/>
        <w:right w:val="none" w:sz="0" w:space="0" w:color="auto"/>
      </w:divBdr>
    </w:div>
    <w:div w:id="847065340">
      <w:marLeft w:val="0"/>
      <w:marRight w:val="0"/>
      <w:marTop w:val="200"/>
      <w:marBottom w:val="0"/>
      <w:divBdr>
        <w:top w:val="none" w:sz="0" w:space="0" w:color="auto"/>
        <w:left w:val="none" w:sz="0" w:space="0" w:color="auto"/>
        <w:bottom w:val="none" w:sz="0" w:space="0" w:color="auto"/>
        <w:right w:val="none" w:sz="0" w:space="0" w:color="auto"/>
      </w:divBdr>
    </w:div>
    <w:div w:id="849025713">
      <w:marLeft w:val="0"/>
      <w:marRight w:val="0"/>
      <w:marTop w:val="200"/>
      <w:marBottom w:val="0"/>
      <w:divBdr>
        <w:top w:val="none" w:sz="0" w:space="0" w:color="auto"/>
        <w:left w:val="none" w:sz="0" w:space="0" w:color="auto"/>
        <w:bottom w:val="none" w:sz="0" w:space="0" w:color="auto"/>
        <w:right w:val="none" w:sz="0" w:space="0" w:color="auto"/>
      </w:divBdr>
    </w:div>
    <w:div w:id="849371298">
      <w:marLeft w:val="0"/>
      <w:marRight w:val="0"/>
      <w:marTop w:val="200"/>
      <w:marBottom w:val="0"/>
      <w:divBdr>
        <w:top w:val="none" w:sz="0" w:space="0" w:color="auto"/>
        <w:left w:val="none" w:sz="0" w:space="0" w:color="auto"/>
        <w:bottom w:val="none" w:sz="0" w:space="0" w:color="auto"/>
        <w:right w:val="none" w:sz="0" w:space="0" w:color="auto"/>
      </w:divBdr>
    </w:div>
    <w:div w:id="851261301">
      <w:marLeft w:val="0"/>
      <w:marRight w:val="0"/>
      <w:marTop w:val="0"/>
      <w:marBottom w:val="0"/>
      <w:divBdr>
        <w:top w:val="none" w:sz="0" w:space="0" w:color="auto"/>
        <w:left w:val="none" w:sz="0" w:space="0" w:color="auto"/>
        <w:bottom w:val="none" w:sz="0" w:space="0" w:color="auto"/>
        <w:right w:val="none" w:sz="0" w:space="0" w:color="auto"/>
      </w:divBdr>
    </w:div>
    <w:div w:id="851991526">
      <w:marLeft w:val="0"/>
      <w:marRight w:val="0"/>
      <w:marTop w:val="120"/>
      <w:marBottom w:val="0"/>
      <w:divBdr>
        <w:top w:val="none" w:sz="0" w:space="0" w:color="auto"/>
        <w:left w:val="none" w:sz="0" w:space="0" w:color="auto"/>
        <w:bottom w:val="none" w:sz="0" w:space="0" w:color="auto"/>
        <w:right w:val="none" w:sz="0" w:space="0" w:color="auto"/>
      </w:divBdr>
    </w:div>
    <w:div w:id="855735151">
      <w:marLeft w:val="0"/>
      <w:marRight w:val="0"/>
      <w:marTop w:val="200"/>
      <w:marBottom w:val="0"/>
      <w:divBdr>
        <w:top w:val="none" w:sz="0" w:space="0" w:color="auto"/>
        <w:left w:val="none" w:sz="0" w:space="0" w:color="auto"/>
        <w:bottom w:val="none" w:sz="0" w:space="0" w:color="auto"/>
        <w:right w:val="none" w:sz="0" w:space="0" w:color="auto"/>
      </w:divBdr>
    </w:div>
    <w:div w:id="856895090">
      <w:marLeft w:val="0"/>
      <w:marRight w:val="0"/>
      <w:marTop w:val="240"/>
      <w:marBottom w:val="0"/>
      <w:divBdr>
        <w:top w:val="none" w:sz="0" w:space="0" w:color="auto"/>
        <w:left w:val="none" w:sz="0" w:space="0" w:color="auto"/>
        <w:bottom w:val="none" w:sz="0" w:space="0" w:color="auto"/>
        <w:right w:val="none" w:sz="0" w:space="0" w:color="auto"/>
      </w:divBdr>
    </w:div>
    <w:div w:id="857080118">
      <w:marLeft w:val="0"/>
      <w:marRight w:val="0"/>
      <w:marTop w:val="200"/>
      <w:marBottom w:val="0"/>
      <w:divBdr>
        <w:top w:val="none" w:sz="0" w:space="0" w:color="auto"/>
        <w:left w:val="none" w:sz="0" w:space="0" w:color="auto"/>
        <w:bottom w:val="none" w:sz="0" w:space="0" w:color="auto"/>
        <w:right w:val="none" w:sz="0" w:space="0" w:color="auto"/>
      </w:divBdr>
    </w:div>
    <w:div w:id="858350184">
      <w:marLeft w:val="0"/>
      <w:marRight w:val="0"/>
      <w:marTop w:val="240"/>
      <w:marBottom w:val="0"/>
      <w:divBdr>
        <w:top w:val="none" w:sz="0" w:space="0" w:color="auto"/>
        <w:left w:val="none" w:sz="0" w:space="0" w:color="auto"/>
        <w:bottom w:val="none" w:sz="0" w:space="0" w:color="auto"/>
        <w:right w:val="none" w:sz="0" w:space="0" w:color="auto"/>
      </w:divBdr>
    </w:div>
    <w:div w:id="858851790">
      <w:marLeft w:val="0"/>
      <w:marRight w:val="0"/>
      <w:marTop w:val="200"/>
      <w:marBottom w:val="0"/>
      <w:divBdr>
        <w:top w:val="none" w:sz="0" w:space="0" w:color="auto"/>
        <w:left w:val="none" w:sz="0" w:space="0" w:color="auto"/>
        <w:bottom w:val="none" w:sz="0" w:space="0" w:color="auto"/>
        <w:right w:val="none" w:sz="0" w:space="0" w:color="auto"/>
      </w:divBdr>
    </w:div>
    <w:div w:id="862671989">
      <w:marLeft w:val="0"/>
      <w:marRight w:val="0"/>
      <w:marTop w:val="200"/>
      <w:marBottom w:val="0"/>
      <w:divBdr>
        <w:top w:val="none" w:sz="0" w:space="0" w:color="auto"/>
        <w:left w:val="none" w:sz="0" w:space="0" w:color="auto"/>
        <w:bottom w:val="none" w:sz="0" w:space="0" w:color="auto"/>
        <w:right w:val="none" w:sz="0" w:space="0" w:color="auto"/>
      </w:divBdr>
    </w:div>
    <w:div w:id="863716683">
      <w:marLeft w:val="0"/>
      <w:marRight w:val="0"/>
      <w:marTop w:val="200"/>
      <w:marBottom w:val="0"/>
      <w:divBdr>
        <w:top w:val="none" w:sz="0" w:space="0" w:color="auto"/>
        <w:left w:val="none" w:sz="0" w:space="0" w:color="auto"/>
        <w:bottom w:val="none" w:sz="0" w:space="0" w:color="auto"/>
        <w:right w:val="none" w:sz="0" w:space="0" w:color="auto"/>
      </w:divBdr>
    </w:div>
    <w:div w:id="867569106">
      <w:marLeft w:val="0"/>
      <w:marRight w:val="0"/>
      <w:marTop w:val="0"/>
      <w:marBottom w:val="0"/>
      <w:divBdr>
        <w:top w:val="none" w:sz="0" w:space="0" w:color="auto"/>
        <w:left w:val="none" w:sz="0" w:space="0" w:color="auto"/>
        <w:bottom w:val="none" w:sz="0" w:space="0" w:color="auto"/>
        <w:right w:val="none" w:sz="0" w:space="0" w:color="auto"/>
      </w:divBdr>
    </w:div>
    <w:div w:id="868103159">
      <w:marLeft w:val="0"/>
      <w:marRight w:val="0"/>
      <w:marTop w:val="200"/>
      <w:marBottom w:val="0"/>
      <w:divBdr>
        <w:top w:val="none" w:sz="0" w:space="0" w:color="auto"/>
        <w:left w:val="none" w:sz="0" w:space="0" w:color="auto"/>
        <w:bottom w:val="none" w:sz="0" w:space="0" w:color="auto"/>
        <w:right w:val="none" w:sz="0" w:space="0" w:color="auto"/>
      </w:divBdr>
    </w:div>
    <w:div w:id="871066944">
      <w:marLeft w:val="0"/>
      <w:marRight w:val="0"/>
      <w:marTop w:val="360"/>
      <w:marBottom w:val="0"/>
      <w:divBdr>
        <w:top w:val="none" w:sz="0" w:space="0" w:color="auto"/>
        <w:left w:val="none" w:sz="0" w:space="0" w:color="auto"/>
        <w:bottom w:val="none" w:sz="0" w:space="0" w:color="auto"/>
        <w:right w:val="none" w:sz="0" w:space="0" w:color="auto"/>
      </w:divBdr>
    </w:div>
    <w:div w:id="873155564">
      <w:marLeft w:val="0"/>
      <w:marRight w:val="0"/>
      <w:marTop w:val="0"/>
      <w:marBottom w:val="0"/>
      <w:divBdr>
        <w:top w:val="none" w:sz="0" w:space="0" w:color="auto"/>
        <w:left w:val="none" w:sz="0" w:space="0" w:color="auto"/>
        <w:bottom w:val="none" w:sz="0" w:space="0" w:color="auto"/>
        <w:right w:val="none" w:sz="0" w:space="0" w:color="auto"/>
      </w:divBdr>
      <w:divsChild>
        <w:div w:id="622422245">
          <w:marLeft w:val="0"/>
          <w:marRight w:val="0"/>
          <w:marTop w:val="0"/>
          <w:marBottom w:val="0"/>
          <w:divBdr>
            <w:top w:val="none" w:sz="0" w:space="0" w:color="auto"/>
            <w:left w:val="none" w:sz="0" w:space="0" w:color="auto"/>
            <w:bottom w:val="none" w:sz="0" w:space="0" w:color="auto"/>
            <w:right w:val="none" w:sz="0" w:space="0" w:color="auto"/>
          </w:divBdr>
        </w:div>
      </w:divsChild>
    </w:div>
    <w:div w:id="873621387">
      <w:marLeft w:val="0"/>
      <w:marRight w:val="0"/>
      <w:marTop w:val="200"/>
      <w:marBottom w:val="0"/>
      <w:divBdr>
        <w:top w:val="none" w:sz="0" w:space="0" w:color="auto"/>
        <w:left w:val="none" w:sz="0" w:space="0" w:color="auto"/>
        <w:bottom w:val="none" w:sz="0" w:space="0" w:color="auto"/>
        <w:right w:val="none" w:sz="0" w:space="0" w:color="auto"/>
      </w:divBdr>
    </w:div>
    <w:div w:id="875891154">
      <w:marLeft w:val="0"/>
      <w:marRight w:val="0"/>
      <w:marTop w:val="120"/>
      <w:marBottom w:val="0"/>
      <w:divBdr>
        <w:top w:val="none" w:sz="0" w:space="0" w:color="auto"/>
        <w:left w:val="none" w:sz="0" w:space="0" w:color="auto"/>
        <w:bottom w:val="none" w:sz="0" w:space="0" w:color="auto"/>
        <w:right w:val="none" w:sz="0" w:space="0" w:color="auto"/>
      </w:divBdr>
    </w:div>
    <w:div w:id="876507915">
      <w:marLeft w:val="0"/>
      <w:marRight w:val="0"/>
      <w:marTop w:val="200"/>
      <w:marBottom w:val="0"/>
      <w:divBdr>
        <w:top w:val="none" w:sz="0" w:space="0" w:color="auto"/>
        <w:left w:val="none" w:sz="0" w:space="0" w:color="auto"/>
        <w:bottom w:val="none" w:sz="0" w:space="0" w:color="auto"/>
        <w:right w:val="none" w:sz="0" w:space="0" w:color="auto"/>
      </w:divBdr>
    </w:div>
    <w:div w:id="879633849">
      <w:marLeft w:val="0"/>
      <w:marRight w:val="0"/>
      <w:marTop w:val="200"/>
      <w:marBottom w:val="0"/>
      <w:divBdr>
        <w:top w:val="none" w:sz="0" w:space="0" w:color="auto"/>
        <w:left w:val="none" w:sz="0" w:space="0" w:color="auto"/>
        <w:bottom w:val="none" w:sz="0" w:space="0" w:color="auto"/>
        <w:right w:val="none" w:sz="0" w:space="0" w:color="auto"/>
      </w:divBdr>
    </w:div>
    <w:div w:id="884684068">
      <w:marLeft w:val="0"/>
      <w:marRight w:val="0"/>
      <w:marTop w:val="120"/>
      <w:marBottom w:val="0"/>
      <w:divBdr>
        <w:top w:val="none" w:sz="0" w:space="0" w:color="auto"/>
        <w:left w:val="none" w:sz="0" w:space="0" w:color="auto"/>
        <w:bottom w:val="none" w:sz="0" w:space="0" w:color="auto"/>
        <w:right w:val="none" w:sz="0" w:space="0" w:color="auto"/>
      </w:divBdr>
    </w:div>
    <w:div w:id="886188106">
      <w:marLeft w:val="0"/>
      <w:marRight w:val="0"/>
      <w:marTop w:val="200"/>
      <w:marBottom w:val="0"/>
      <w:divBdr>
        <w:top w:val="none" w:sz="0" w:space="0" w:color="auto"/>
        <w:left w:val="none" w:sz="0" w:space="0" w:color="auto"/>
        <w:bottom w:val="none" w:sz="0" w:space="0" w:color="auto"/>
        <w:right w:val="none" w:sz="0" w:space="0" w:color="auto"/>
      </w:divBdr>
    </w:div>
    <w:div w:id="888765347">
      <w:marLeft w:val="0"/>
      <w:marRight w:val="0"/>
      <w:marTop w:val="120"/>
      <w:marBottom w:val="0"/>
      <w:divBdr>
        <w:top w:val="none" w:sz="0" w:space="0" w:color="auto"/>
        <w:left w:val="none" w:sz="0" w:space="0" w:color="auto"/>
        <w:bottom w:val="none" w:sz="0" w:space="0" w:color="auto"/>
        <w:right w:val="none" w:sz="0" w:space="0" w:color="auto"/>
      </w:divBdr>
    </w:div>
    <w:div w:id="890456733">
      <w:marLeft w:val="0"/>
      <w:marRight w:val="0"/>
      <w:marTop w:val="120"/>
      <w:marBottom w:val="0"/>
      <w:divBdr>
        <w:top w:val="none" w:sz="0" w:space="0" w:color="auto"/>
        <w:left w:val="none" w:sz="0" w:space="0" w:color="auto"/>
        <w:bottom w:val="none" w:sz="0" w:space="0" w:color="auto"/>
        <w:right w:val="none" w:sz="0" w:space="0" w:color="auto"/>
      </w:divBdr>
    </w:div>
    <w:div w:id="891624836">
      <w:marLeft w:val="0"/>
      <w:marRight w:val="0"/>
      <w:marTop w:val="360"/>
      <w:marBottom w:val="0"/>
      <w:divBdr>
        <w:top w:val="none" w:sz="0" w:space="0" w:color="auto"/>
        <w:left w:val="none" w:sz="0" w:space="0" w:color="auto"/>
        <w:bottom w:val="none" w:sz="0" w:space="0" w:color="auto"/>
        <w:right w:val="none" w:sz="0" w:space="0" w:color="auto"/>
      </w:divBdr>
    </w:div>
    <w:div w:id="892620331">
      <w:marLeft w:val="0"/>
      <w:marRight w:val="0"/>
      <w:marTop w:val="360"/>
      <w:marBottom w:val="0"/>
      <w:divBdr>
        <w:top w:val="none" w:sz="0" w:space="0" w:color="auto"/>
        <w:left w:val="none" w:sz="0" w:space="0" w:color="auto"/>
        <w:bottom w:val="none" w:sz="0" w:space="0" w:color="auto"/>
        <w:right w:val="none" w:sz="0" w:space="0" w:color="auto"/>
      </w:divBdr>
    </w:div>
    <w:div w:id="893738269">
      <w:marLeft w:val="0"/>
      <w:marRight w:val="0"/>
      <w:marTop w:val="210"/>
      <w:marBottom w:val="0"/>
      <w:divBdr>
        <w:top w:val="none" w:sz="0" w:space="0" w:color="auto"/>
        <w:left w:val="none" w:sz="0" w:space="0" w:color="auto"/>
        <w:bottom w:val="none" w:sz="0" w:space="0" w:color="auto"/>
        <w:right w:val="none" w:sz="0" w:space="0" w:color="auto"/>
      </w:divBdr>
    </w:div>
    <w:div w:id="894780734">
      <w:marLeft w:val="0"/>
      <w:marRight w:val="0"/>
      <w:marTop w:val="100"/>
      <w:marBottom w:val="0"/>
      <w:divBdr>
        <w:top w:val="none" w:sz="0" w:space="0" w:color="auto"/>
        <w:left w:val="none" w:sz="0" w:space="0" w:color="auto"/>
        <w:bottom w:val="none" w:sz="0" w:space="0" w:color="auto"/>
        <w:right w:val="none" w:sz="0" w:space="0" w:color="auto"/>
      </w:divBdr>
    </w:div>
    <w:div w:id="898826881">
      <w:marLeft w:val="0"/>
      <w:marRight w:val="0"/>
      <w:marTop w:val="120"/>
      <w:marBottom w:val="0"/>
      <w:divBdr>
        <w:top w:val="none" w:sz="0" w:space="0" w:color="auto"/>
        <w:left w:val="none" w:sz="0" w:space="0" w:color="auto"/>
        <w:bottom w:val="none" w:sz="0" w:space="0" w:color="auto"/>
        <w:right w:val="none" w:sz="0" w:space="0" w:color="auto"/>
      </w:divBdr>
    </w:div>
    <w:div w:id="901795852">
      <w:marLeft w:val="0"/>
      <w:marRight w:val="0"/>
      <w:marTop w:val="200"/>
      <w:marBottom w:val="0"/>
      <w:divBdr>
        <w:top w:val="none" w:sz="0" w:space="0" w:color="auto"/>
        <w:left w:val="none" w:sz="0" w:space="0" w:color="auto"/>
        <w:bottom w:val="none" w:sz="0" w:space="0" w:color="auto"/>
        <w:right w:val="none" w:sz="0" w:space="0" w:color="auto"/>
      </w:divBdr>
    </w:div>
    <w:div w:id="904074884">
      <w:marLeft w:val="0"/>
      <w:marRight w:val="0"/>
      <w:marTop w:val="200"/>
      <w:marBottom w:val="0"/>
      <w:divBdr>
        <w:top w:val="none" w:sz="0" w:space="0" w:color="auto"/>
        <w:left w:val="none" w:sz="0" w:space="0" w:color="auto"/>
        <w:bottom w:val="none" w:sz="0" w:space="0" w:color="auto"/>
        <w:right w:val="none" w:sz="0" w:space="0" w:color="auto"/>
      </w:divBdr>
    </w:div>
    <w:div w:id="908424403">
      <w:marLeft w:val="0"/>
      <w:marRight w:val="0"/>
      <w:marTop w:val="200"/>
      <w:marBottom w:val="0"/>
      <w:divBdr>
        <w:top w:val="none" w:sz="0" w:space="0" w:color="auto"/>
        <w:left w:val="none" w:sz="0" w:space="0" w:color="auto"/>
        <w:bottom w:val="none" w:sz="0" w:space="0" w:color="auto"/>
        <w:right w:val="none" w:sz="0" w:space="0" w:color="auto"/>
      </w:divBdr>
    </w:div>
    <w:div w:id="909315312">
      <w:marLeft w:val="0"/>
      <w:marRight w:val="0"/>
      <w:marTop w:val="0"/>
      <w:marBottom w:val="0"/>
      <w:divBdr>
        <w:top w:val="none" w:sz="0" w:space="0" w:color="auto"/>
        <w:left w:val="none" w:sz="0" w:space="0" w:color="auto"/>
        <w:bottom w:val="none" w:sz="0" w:space="0" w:color="auto"/>
        <w:right w:val="none" w:sz="0" w:space="0" w:color="auto"/>
      </w:divBdr>
      <w:divsChild>
        <w:div w:id="728382620">
          <w:marLeft w:val="0"/>
          <w:marRight w:val="0"/>
          <w:marTop w:val="0"/>
          <w:marBottom w:val="0"/>
          <w:divBdr>
            <w:top w:val="none" w:sz="0" w:space="0" w:color="auto"/>
            <w:left w:val="none" w:sz="0" w:space="0" w:color="auto"/>
            <w:bottom w:val="none" w:sz="0" w:space="0" w:color="auto"/>
            <w:right w:val="none" w:sz="0" w:space="0" w:color="auto"/>
          </w:divBdr>
        </w:div>
      </w:divsChild>
    </w:div>
    <w:div w:id="911164686">
      <w:marLeft w:val="0"/>
      <w:marRight w:val="0"/>
      <w:marTop w:val="120"/>
      <w:marBottom w:val="0"/>
      <w:divBdr>
        <w:top w:val="none" w:sz="0" w:space="0" w:color="auto"/>
        <w:left w:val="none" w:sz="0" w:space="0" w:color="auto"/>
        <w:bottom w:val="none" w:sz="0" w:space="0" w:color="auto"/>
        <w:right w:val="none" w:sz="0" w:space="0" w:color="auto"/>
      </w:divBdr>
    </w:div>
    <w:div w:id="912351600">
      <w:marLeft w:val="0"/>
      <w:marRight w:val="0"/>
      <w:marTop w:val="200"/>
      <w:marBottom w:val="0"/>
      <w:divBdr>
        <w:top w:val="none" w:sz="0" w:space="0" w:color="auto"/>
        <w:left w:val="none" w:sz="0" w:space="0" w:color="auto"/>
        <w:bottom w:val="none" w:sz="0" w:space="0" w:color="auto"/>
        <w:right w:val="none" w:sz="0" w:space="0" w:color="auto"/>
      </w:divBdr>
    </w:div>
    <w:div w:id="915432467">
      <w:marLeft w:val="0"/>
      <w:marRight w:val="0"/>
      <w:marTop w:val="360"/>
      <w:marBottom w:val="0"/>
      <w:divBdr>
        <w:top w:val="none" w:sz="0" w:space="0" w:color="auto"/>
        <w:left w:val="none" w:sz="0" w:space="0" w:color="auto"/>
        <w:bottom w:val="none" w:sz="0" w:space="0" w:color="auto"/>
        <w:right w:val="none" w:sz="0" w:space="0" w:color="auto"/>
      </w:divBdr>
    </w:div>
    <w:div w:id="915475621">
      <w:marLeft w:val="0"/>
      <w:marRight w:val="0"/>
      <w:marTop w:val="200"/>
      <w:marBottom w:val="0"/>
      <w:divBdr>
        <w:top w:val="none" w:sz="0" w:space="0" w:color="auto"/>
        <w:left w:val="none" w:sz="0" w:space="0" w:color="auto"/>
        <w:bottom w:val="none" w:sz="0" w:space="0" w:color="auto"/>
        <w:right w:val="none" w:sz="0" w:space="0" w:color="auto"/>
      </w:divBdr>
    </w:div>
    <w:div w:id="915627513">
      <w:marLeft w:val="0"/>
      <w:marRight w:val="0"/>
      <w:marTop w:val="200"/>
      <w:marBottom w:val="0"/>
      <w:divBdr>
        <w:top w:val="none" w:sz="0" w:space="0" w:color="auto"/>
        <w:left w:val="none" w:sz="0" w:space="0" w:color="auto"/>
        <w:bottom w:val="none" w:sz="0" w:space="0" w:color="auto"/>
        <w:right w:val="none" w:sz="0" w:space="0" w:color="auto"/>
      </w:divBdr>
    </w:div>
    <w:div w:id="920336809">
      <w:marLeft w:val="0"/>
      <w:marRight w:val="0"/>
      <w:marTop w:val="200"/>
      <w:marBottom w:val="0"/>
      <w:divBdr>
        <w:top w:val="none" w:sz="0" w:space="0" w:color="auto"/>
        <w:left w:val="none" w:sz="0" w:space="0" w:color="auto"/>
        <w:bottom w:val="none" w:sz="0" w:space="0" w:color="auto"/>
        <w:right w:val="none" w:sz="0" w:space="0" w:color="auto"/>
      </w:divBdr>
    </w:div>
    <w:div w:id="920943773">
      <w:marLeft w:val="0"/>
      <w:marRight w:val="0"/>
      <w:marTop w:val="240"/>
      <w:marBottom w:val="0"/>
      <w:divBdr>
        <w:top w:val="none" w:sz="0" w:space="0" w:color="auto"/>
        <w:left w:val="none" w:sz="0" w:space="0" w:color="auto"/>
        <w:bottom w:val="none" w:sz="0" w:space="0" w:color="auto"/>
        <w:right w:val="none" w:sz="0" w:space="0" w:color="auto"/>
      </w:divBdr>
    </w:div>
    <w:div w:id="921764844">
      <w:marLeft w:val="0"/>
      <w:marRight w:val="0"/>
      <w:marTop w:val="200"/>
      <w:marBottom w:val="0"/>
      <w:divBdr>
        <w:top w:val="none" w:sz="0" w:space="0" w:color="auto"/>
        <w:left w:val="none" w:sz="0" w:space="0" w:color="auto"/>
        <w:bottom w:val="none" w:sz="0" w:space="0" w:color="auto"/>
        <w:right w:val="none" w:sz="0" w:space="0" w:color="auto"/>
      </w:divBdr>
    </w:div>
    <w:div w:id="921833920">
      <w:marLeft w:val="0"/>
      <w:marRight w:val="0"/>
      <w:marTop w:val="200"/>
      <w:marBottom w:val="0"/>
      <w:divBdr>
        <w:top w:val="none" w:sz="0" w:space="0" w:color="auto"/>
        <w:left w:val="none" w:sz="0" w:space="0" w:color="auto"/>
        <w:bottom w:val="none" w:sz="0" w:space="0" w:color="auto"/>
        <w:right w:val="none" w:sz="0" w:space="0" w:color="auto"/>
      </w:divBdr>
    </w:div>
    <w:div w:id="922101981">
      <w:marLeft w:val="0"/>
      <w:marRight w:val="0"/>
      <w:marTop w:val="200"/>
      <w:marBottom w:val="0"/>
      <w:divBdr>
        <w:top w:val="none" w:sz="0" w:space="0" w:color="auto"/>
        <w:left w:val="none" w:sz="0" w:space="0" w:color="auto"/>
        <w:bottom w:val="none" w:sz="0" w:space="0" w:color="auto"/>
        <w:right w:val="none" w:sz="0" w:space="0" w:color="auto"/>
      </w:divBdr>
    </w:div>
    <w:div w:id="926426230">
      <w:marLeft w:val="0"/>
      <w:marRight w:val="0"/>
      <w:marTop w:val="210"/>
      <w:marBottom w:val="0"/>
      <w:divBdr>
        <w:top w:val="none" w:sz="0" w:space="0" w:color="auto"/>
        <w:left w:val="none" w:sz="0" w:space="0" w:color="auto"/>
        <w:bottom w:val="none" w:sz="0" w:space="0" w:color="auto"/>
        <w:right w:val="none" w:sz="0" w:space="0" w:color="auto"/>
      </w:divBdr>
    </w:div>
    <w:div w:id="934246643">
      <w:marLeft w:val="0"/>
      <w:marRight w:val="0"/>
      <w:marTop w:val="200"/>
      <w:marBottom w:val="0"/>
      <w:divBdr>
        <w:top w:val="none" w:sz="0" w:space="0" w:color="auto"/>
        <w:left w:val="none" w:sz="0" w:space="0" w:color="auto"/>
        <w:bottom w:val="none" w:sz="0" w:space="0" w:color="auto"/>
        <w:right w:val="none" w:sz="0" w:space="0" w:color="auto"/>
      </w:divBdr>
    </w:div>
    <w:div w:id="935359379">
      <w:marLeft w:val="0"/>
      <w:marRight w:val="0"/>
      <w:marTop w:val="200"/>
      <w:marBottom w:val="0"/>
      <w:divBdr>
        <w:top w:val="none" w:sz="0" w:space="0" w:color="auto"/>
        <w:left w:val="none" w:sz="0" w:space="0" w:color="auto"/>
        <w:bottom w:val="none" w:sz="0" w:space="0" w:color="auto"/>
        <w:right w:val="none" w:sz="0" w:space="0" w:color="auto"/>
      </w:divBdr>
    </w:div>
    <w:div w:id="936329997">
      <w:marLeft w:val="0"/>
      <w:marRight w:val="0"/>
      <w:marTop w:val="0"/>
      <w:marBottom w:val="0"/>
      <w:divBdr>
        <w:top w:val="none" w:sz="0" w:space="0" w:color="auto"/>
        <w:left w:val="none" w:sz="0" w:space="0" w:color="auto"/>
        <w:bottom w:val="none" w:sz="0" w:space="0" w:color="auto"/>
        <w:right w:val="none" w:sz="0" w:space="0" w:color="auto"/>
      </w:divBdr>
      <w:divsChild>
        <w:div w:id="1240825676">
          <w:marLeft w:val="0"/>
          <w:marRight w:val="0"/>
          <w:marTop w:val="0"/>
          <w:marBottom w:val="0"/>
          <w:divBdr>
            <w:top w:val="none" w:sz="0" w:space="0" w:color="auto"/>
            <w:left w:val="none" w:sz="0" w:space="0" w:color="auto"/>
            <w:bottom w:val="none" w:sz="0" w:space="0" w:color="auto"/>
            <w:right w:val="none" w:sz="0" w:space="0" w:color="auto"/>
          </w:divBdr>
        </w:div>
      </w:divsChild>
    </w:div>
    <w:div w:id="937249331">
      <w:marLeft w:val="0"/>
      <w:marRight w:val="0"/>
      <w:marTop w:val="120"/>
      <w:marBottom w:val="0"/>
      <w:divBdr>
        <w:top w:val="none" w:sz="0" w:space="0" w:color="auto"/>
        <w:left w:val="none" w:sz="0" w:space="0" w:color="auto"/>
        <w:bottom w:val="none" w:sz="0" w:space="0" w:color="auto"/>
        <w:right w:val="none" w:sz="0" w:space="0" w:color="auto"/>
      </w:divBdr>
    </w:div>
    <w:div w:id="938024142">
      <w:marLeft w:val="0"/>
      <w:marRight w:val="0"/>
      <w:marTop w:val="200"/>
      <w:marBottom w:val="0"/>
      <w:divBdr>
        <w:top w:val="none" w:sz="0" w:space="0" w:color="auto"/>
        <w:left w:val="none" w:sz="0" w:space="0" w:color="auto"/>
        <w:bottom w:val="none" w:sz="0" w:space="0" w:color="auto"/>
        <w:right w:val="none" w:sz="0" w:space="0" w:color="auto"/>
      </w:divBdr>
    </w:div>
    <w:div w:id="938176892">
      <w:marLeft w:val="0"/>
      <w:marRight w:val="0"/>
      <w:marTop w:val="360"/>
      <w:marBottom w:val="0"/>
      <w:divBdr>
        <w:top w:val="none" w:sz="0" w:space="0" w:color="auto"/>
        <w:left w:val="none" w:sz="0" w:space="0" w:color="auto"/>
        <w:bottom w:val="none" w:sz="0" w:space="0" w:color="auto"/>
        <w:right w:val="none" w:sz="0" w:space="0" w:color="auto"/>
      </w:divBdr>
    </w:div>
    <w:div w:id="942692624">
      <w:marLeft w:val="0"/>
      <w:marRight w:val="0"/>
      <w:marTop w:val="210"/>
      <w:marBottom w:val="0"/>
      <w:divBdr>
        <w:top w:val="none" w:sz="0" w:space="0" w:color="auto"/>
        <w:left w:val="none" w:sz="0" w:space="0" w:color="auto"/>
        <w:bottom w:val="none" w:sz="0" w:space="0" w:color="auto"/>
        <w:right w:val="none" w:sz="0" w:space="0" w:color="auto"/>
      </w:divBdr>
    </w:div>
    <w:div w:id="944845741">
      <w:marLeft w:val="0"/>
      <w:marRight w:val="0"/>
      <w:marTop w:val="200"/>
      <w:marBottom w:val="0"/>
      <w:divBdr>
        <w:top w:val="none" w:sz="0" w:space="0" w:color="auto"/>
        <w:left w:val="none" w:sz="0" w:space="0" w:color="auto"/>
        <w:bottom w:val="none" w:sz="0" w:space="0" w:color="auto"/>
        <w:right w:val="none" w:sz="0" w:space="0" w:color="auto"/>
      </w:divBdr>
    </w:div>
    <w:div w:id="947851530">
      <w:marLeft w:val="0"/>
      <w:marRight w:val="0"/>
      <w:marTop w:val="120"/>
      <w:marBottom w:val="0"/>
      <w:divBdr>
        <w:top w:val="none" w:sz="0" w:space="0" w:color="auto"/>
        <w:left w:val="none" w:sz="0" w:space="0" w:color="auto"/>
        <w:bottom w:val="none" w:sz="0" w:space="0" w:color="auto"/>
        <w:right w:val="none" w:sz="0" w:space="0" w:color="auto"/>
      </w:divBdr>
    </w:div>
    <w:div w:id="949362090">
      <w:marLeft w:val="0"/>
      <w:marRight w:val="0"/>
      <w:marTop w:val="0"/>
      <w:marBottom w:val="0"/>
      <w:divBdr>
        <w:top w:val="none" w:sz="0" w:space="0" w:color="auto"/>
        <w:left w:val="none" w:sz="0" w:space="0" w:color="auto"/>
        <w:bottom w:val="none" w:sz="0" w:space="0" w:color="auto"/>
        <w:right w:val="none" w:sz="0" w:space="0" w:color="auto"/>
      </w:divBdr>
    </w:div>
    <w:div w:id="950089216">
      <w:marLeft w:val="0"/>
      <w:marRight w:val="0"/>
      <w:marTop w:val="200"/>
      <w:marBottom w:val="0"/>
      <w:divBdr>
        <w:top w:val="none" w:sz="0" w:space="0" w:color="auto"/>
        <w:left w:val="none" w:sz="0" w:space="0" w:color="auto"/>
        <w:bottom w:val="none" w:sz="0" w:space="0" w:color="auto"/>
        <w:right w:val="none" w:sz="0" w:space="0" w:color="auto"/>
      </w:divBdr>
    </w:div>
    <w:div w:id="951209978">
      <w:marLeft w:val="0"/>
      <w:marRight w:val="0"/>
      <w:marTop w:val="120"/>
      <w:marBottom w:val="0"/>
      <w:divBdr>
        <w:top w:val="none" w:sz="0" w:space="0" w:color="auto"/>
        <w:left w:val="none" w:sz="0" w:space="0" w:color="auto"/>
        <w:bottom w:val="none" w:sz="0" w:space="0" w:color="auto"/>
        <w:right w:val="none" w:sz="0" w:space="0" w:color="auto"/>
      </w:divBdr>
    </w:div>
    <w:div w:id="951668566">
      <w:marLeft w:val="0"/>
      <w:marRight w:val="0"/>
      <w:marTop w:val="240"/>
      <w:marBottom w:val="0"/>
      <w:divBdr>
        <w:top w:val="none" w:sz="0" w:space="0" w:color="auto"/>
        <w:left w:val="none" w:sz="0" w:space="0" w:color="auto"/>
        <w:bottom w:val="none" w:sz="0" w:space="0" w:color="auto"/>
        <w:right w:val="none" w:sz="0" w:space="0" w:color="auto"/>
      </w:divBdr>
    </w:div>
    <w:div w:id="952632875">
      <w:marLeft w:val="0"/>
      <w:marRight w:val="0"/>
      <w:marTop w:val="200"/>
      <w:marBottom w:val="0"/>
      <w:divBdr>
        <w:top w:val="none" w:sz="0" w:space="0" w:color="auto"/>
        <w:left w:val="none" w:sz="0" w:space="0" w:color="auto"/>
        <w:bottom w:val="none" w:sz="0" w:space="0" w:color="auto"/>
        <w:right w:val="none" w:sz="0" w:space="0" w:color="auto"/>
      </w:divBdr>
    </w:div>
    <w:div w:id="953750778">
      <w:marLeft w:val="0"/>
      <w:marRight w:val="0"/>
      <w:marTop w:val="200"/>
      <w:marBottom w:val="0"/>
      <w:divBdr>
        <w:top w:val="none" w:sz="0" w:space="0" w:color="auto"/>
        <w:left w:val="none" w:sz="0" w:space="0" w:color="auto"/>
        <w:bottom w:val="none" w:sz="0" w:space="0" w:color="auto"/>
        <w:right w:val="none" w:sz="0" w:space="0" w:color="auto"/>
      </w:divBdr>
    </w:div>
    <w:div w:id="954217025">
      <w:marLeft w:val="0"/>
      <w:marRight w:val="0"/>
      <w:marTop w:val="120"/>
      <w:marBottom w:val="0"/>
      <w:divBdr>
        <w:top w:val="none" w:sz="0" w:space="0" w:color="auto"/>
        <w:left w:val="none" w:sz="0" w:space="0" w:color="auto"/>
        <w:bottom w:val="none" w:sz="0" w:space="0" w:color="auto"/>
        <w:right w:val="none" w:sz="0" w:space="0" w:color="auto"/>
      </w:divBdr>
    </w:div>
    <w:div w:id="955212533">
      <w:marLeft w:val="0"/>
      <w:marRight w:val="0"/>
      <w:marTop w:val="200"/>
      <w:marBottom w:val="0"/>
      <w:divBdr>
        <w:top w:val="none" w:sz="0" w:space="0" w:color="auto"/>
        <w:left w:val="none" w:sz="0" w:space="0" w:color="auto"/>
        <w:bottom w:val="none" w:sz="0" w:space="0" w:color="auto"/>
        <w:right w:val="none" w:sz="0" w:space="0" w:color="auto"/>
      </w:divBdr>
    </w:div>
    <w:div w:id="955596142">
      <w:marLeft w:val="0"/>
      <w:marRight w:val="0"/>
      <w:marTop w:val="200"/>
      <w:marBottom w:val="0"/>
      <w:divBdr>
        <w:top w:val="none" w:sz="0" w:space="0" w:color="auto"/>
        <w:left w:val="none" w:sz="0" w:space="0" w:color="auto"/>
        <w:bottom w:val="none" w:sz="0" w:space="0" w:color="auto"/>
        <w:right w:val="none" w:sz="0" w:space="0" w:color="auto"/>
      </w:divBdr>
    </w:div>
    <w:div w:id="959841132">
      <w:marLeft w:val="0"/>
      <w:marRight w:val="0"/>
      <w:marTop w:val="120"/>
      <w:marBottom w:val="0"/>
      <w:divBdr>
        <w:top w:val="none" w:sz="0" w:space="0" w:color="auto"/>
        <w:left w:val="none" w:sz="0" w:space="0" w:color="auto"/>
        <w:bottom w:val="none" w:sz="0" w:space="0" w:color="auto"/>
        <w:right w:val="none" w:sz="0" w:space="0" w:color="auto"/>
      </w:divBdr>
    </w:div>
    <w:div w:id="961574067">
      <w:marLeft w:val="0"/>
      <w:marRight w:val="0"/>
      <w:marTop w:val="200"/>
      <w:marBottom w:val="0"/>
      <w:divBdr>
        <w:top w:val="none" w:sz="0" w:space="0" w:color="auto"/>
        <w:left w:val="none" w:sz="0" w:space="0" w:color="auto"/>
        <w:bottom w:val="none" w:sz="0" w:space="0" w:color="auto"/>
        <w:right w:val="none" w:sz="0" w:space="0" w:color="auto"/>
      </w:divBdr>
    </w:div>
    <w:div w:id="968557287">
      <w:marLeft w:val="0"/>
      <w:marRight w:val="0"/>
      <w:marTop w:val="200"/>
      <w:marBottom w:val="0"/>
      <w:divBdr>
        <w:top w:val="none" w:sz="0" w:space="0" w:color="auto"/>
        <w:left w:val="none" w:sz="0" w:space="0" w:color="auto"/>
        <w:bottom w:val="none" w:sz="0" w:space="0" w:color="auto"/>
        <w:right w:val="none" w:sz="0" w:space="0" w:color="auto"/>
      </w:divBdr>
    </w:div>
    <w:div w:id="971178075">
      <w:marLeft w:val="0"/>
      <w:marRight w:val="0"/>
      <w:marTop w:val="0"/>
      <w:marBottom w:val="0"/>
      <w:divBdr>
        <w:top w:val="none" w:sz="0" w:space="0" w:color="auto"/>
        <w:left w:val="none" w:sz="0" w:space="0" w:color="auto"/>
        <w:bottom w:val="none" w:sz="0" w:space="0" w:color="auto"/>
        <w:right w:val="none" w:sz="0" w:space="0" w:color="auto"/>
      </w:divBdr>
    </w:div>
    <w:div w:id="971640690">
      <w:marLeft w:val="0"/>
      <w:marRight w:val="0"/>
      <w:marTop w:val="120"/>
      <w:marBottom w:val="0"/>
      <w:divBdr>
        <w:top w:val="none" w:sz="0" w:space="0" w:color="auto"/>
        <w:left w:val="none" w:sz="0" w:space="0" w:color="auto"/>
        <w:bottom w:val="none" w:sz="0" w:space="0" w:color="auto"/>
        <w:right w:val="none" w:sz="0" w:space="0" w:color="auto"/>
      </w:divBdr>
    </w:div>
    <w:div w:id="973173367">
      <w:marLeft w:val="0"/>
      <w:marRight w:val="0"/>
      <w:marTop w:val="200"/>
      <w:marBottom w:val="0"/>
      <w:divBdr>
        <w:top w:val="none" w:sz="0" w:space="0" w:color="auto"/>
        <w:left w:val="none" w:sz="0" w:space="0" w:color="auto"/>
        <w:bottom w:val="none" w:sz="0" w:space="0" w:color="auto"/>
        <w:right w:val="none" w:sz="0" w:space="0" w:color="auto"/>
      </w:divBdr>
    </w:div>
    <w:div w:id="973364270">
      <w:marLeft w:val="0"/>
      <w:marRight w:val="0"/>
      <w:marTop w:val="0"/>
      <w:marBottom w:val="0"/>
      <w:divBdr>
        <w:top w:val="none" w:sz="0" w:space="0" w:color="auto"/>
        <w:left w:val="none" w:sz="0" w:space="0" w:color="auto"/>
        <w:bottom w:val="none" w:sz="0" w:space="0" w:color="auto"/>
        <w:right w:val="none" w:sz="0" w:space="0" w:color="auto"/>
      </w:divBdr>
      <w:divsChild>
        <w:div w:id="1633364192">
          <w:marLeft w:val="0"/>
          <w:marRight w:val="0"/>
          <w:marTop w:val="0"/>
          <w:marBottom w:val="0"/>
          <w:divBdr>
            <w:top w:val="none" w:sz="0" w:space="0" w:color="auto"/>
            <w:left w:val="none" w:sz="0" w:space="0" w:color="auto"/>
            <w:bottom w:val="none" w:sz="0" w:space="0" w:color="auto"/>
            <w:right w:val="none" w:sz="0" w:space="0" w:color="auto"/>
          </w:divBdr>
        </w:div>
      </w:divsChild>
    </w:div>
    <w:div w:id="974679725">
      <w:marLeft w:val="0"/>
      <w:marRight w:val="0"/>
      <w:marTop w:val="210"/>
      <w:marBottom w:val="0"/>
      <w:divBdr>
        <w:top w:val="none" w:sz="0" w:space="0" w:color="auto"/>
        <w:left w:val="none" w:sz="0" w:space="0" w:color="auto"/>
        <w:bottom w:val="none" w:sz="0" w:space="0" w:color="auto"/>
        <w:right w:val="none" w:sz="0" w:space="0" w:color="auto"/>
      </w:divBdr>
    </w:div>
    <w:div w:id="976449388">
      <w:marLeft w:val="0"/>
      <w:marRight w:val="0"/>
      <w:marTop w:val="240"/>
      <w:marBottom w:val="0"/>
      <w:divBdr>
        <w:top w:val="none" w:sz="0" w:space="0" w:color="auto"/>
        <w:left w:val="none" w:sz="0" w:space="0" w:color="auto"/>
        <w:bottom w:val="none" w:sz="0" w:space="0" w:color="auto"/>
        <w:right w:val="none" w:sz="0" w:space="0" w:color="auto"/>
      </w:divBdr>
    </w:div>
    <w:div w:id="976452943">
      <w:marLeft w:val="0"/>
      <w:marRight w:val="0"/>
      <w:marTop w:val="200"/>
      <w:marBottom w:val="0"/>
      <w:divBdr>
        <w:top w:val="none" w:sz="0" w:space="0" w:color="auto"/>
        <w:left w:val="none" w:sz="0" w:space="0" w:color="auto"/>
        <w:bottom w:val="none" w:sz="0" w:space="0" w:color="auto"/>
        <w:right w:val="none" w:sz="0" w:space="0" w:color="auto"/>
      </w:divBdr>
    </w:div>
    <w:div w:id="977800448">
      <w:marLeft w:val="0"/>
      <w:marRight w:val="0"/>
      <w:marTop w:val="0"/>
      <w:marBottom w:val="0"/>
      <w:divBdr>
        <w:top w:val="none" w:sz="0" w:space="0" w:color="auto"/>
        <w:left w:val="none" w:sz="0" w:space="0" w:color="auto"/>
        <w:bottom w:val="none" w:sz="0" w:space="0" w:color="auto"/>
        <w:right w:val="none" w:sz="0" w:space="0" w:color="auto"/>
      </w:divBdr>
    </w:div>
    <w:div w:id="979531354">
      <w:marLeft w:val="0"/>
      <w:marRight w:val="0"/>
      <w:marTop w:val="240"/>
      <w:marBottom w:val="0"/>
      <w:divBdr>
        <w:top w:val="none" w:sz="0" w:space="0" w:color="auto"/>
        <w:left w:val="none" w:sz="0" w:space="0" w:color="auto"/>
        <w:bottom w:val="none" w:sz="0" w:space="0" w:color="auto"/>
        <w:right w:val="none" w:sz="0" w:space="0" w:color="auto"/>
      </w:divBdr>
    </w:div>
    <w:div w:id="980844290">
      <w:marLeft w:val="0"/>
      <w:marRight w:val="0"/>
      <w:marTop w:val="0"/>
      <w:marBottom w:val="0"/>
      <w:divBdr>
        <w:top w:val="none" w:sz="0" w:space="0" w:color="auto"/>
        <w:left w:val="none" w:sz="0" w:space="0" w:color="auto"/>
        <w:bottom w:val="none" w:sz="0" w:space="0" w:color="auto"/>
        <w:right w:val="none" w:sz="0" w:space="0" w:color="auto"/>
      </w:divBdr>
      <w:divsChild>
        <w:div w:id="267585731">
          <w:marLeft w:val="0"/>
          <w:marRight w:val="0"/>
          <w:marTop w:val="0"/>
          <w:marBottom w:val="0"/>
          <w:divBdr>
            <w:top w:val="none" w:sz="0" w:space="0" w:color="auto"/>
            <w:left w:val="none" w:sz="0" w:space="0" w:color="auto"/>
            <w:bottom w:val="none" w:sz="0" w:space="0" w:color="auto"/>
            <w:right w:val="none" w:sz="0" w:space="0" w:color="auto"/>
          </w:divBdr>
        </w:div>
      </w:divsChild>
    </w:div>
    <w:div w:id="980886441">
      <w:marLeft w:val="0"/>
      <w:marRight w:val="0"/>
      <w:marTop w:val="200"/>
      <w:marBottom w:val="0"/>
      <w:divBdr>
        <w:top w:val="none" w:sz="0" w:space="0" w:color="auto"/>
        <w:left w:val="none" w:sz="0" w:space="0" w:color="auto"/>
        <w:bottom w:val="none" w:sz="0" w:space="0" w:color="auto"/>
        <w:right w:val="none" w:sz="0" w:space="0" w:color="auto"/>
      </w:divBdr>
    </w:div>
    <w:div w:id="981499370">
      <w:marLeft w:val="0"/>
      <w:marRight w:val="0"/>
      <w:marTop w:val="200"/>
      <w:marBottom w:val="0"/>
      <w:divBdr>
        <w:top w:val="none" w:sz="0" w:space="0" w:color="auto"/>
        <w:left w:val="none" w:sz="0" w:space="0" w:color="auto"/>
        <w:bottom w:val="none" w:sz="0" w:space="0" w:color="auto"/>
        <w:right w:val="none" w:sz="0" w:space="0" w:color="auto"/>
      </w:divBdr>
    </w:div>
    <w:div w:id="981811290">
      <w:marLeft w:val="0"/>
      <w:marRight w:val="0"/>
      <w:marTop w:val="0"/>
      <w:marBottom w:val="0"/>
      <w:divBdr>
        <w:top w:val="none" w:sz="0" w:space="0" w:color="auto"/>
        <w:left w:val="none" w:sz="0" w:space="0" w:color="auto"/>
        <w:bottom w:val="none" w:sz="0" w:space="0" w:color="auto"/>
        <w:right w:val="none" w:sz="0" w:space="0" w:color="auto"/>
      </w:divBdr>
    </w:div>
    <w:div w:id="982080002">
      <w:marLeft w:val="0"/>
      <w:marRight w:val="0"/>
      <w:marTop w:val="200"/>
      <w:marBottom w:val="0"/>
      <w:divBdr>
        <w:top w:val="none" w:sz="0" w:space="0" w:color="auto"/>
        <w:left w:val="none" w:sz="0" w:space="0" w:color="auto"/>
        <w:bottom w:val="none" w:sz="0" w:space="0" w:color="auto"/>
        <w:right w:val="none" w:sz="0" w:space="0" w:color="auto"/>
      </w:divBdr>
    </w:div>
    <w:div w:id="982779313">
      <w:marLeft w:val="0"/>
      <w:marRight w:val="0"/>
      <w:marTop w:val="0"/>
      <w:marBottom w:val="0"/>
      <w:divBdr>
        <w:top w:val="none" w:sz="0" w:space="0" w:color="auto"/>
        <w:left w:val="none" w:sz="0" w:space="0" w:color="auto"/>
        <w:bottom w:val="none" w:sz="0" w:space="0" w:color="auto"/>
        <w:right w:val="none" w:sz="0" w:space="0" w:color="auto"/>
      </w:divBdr>
      <w:divsChild>
        <w:div w:id="2061467625">
          <w:marLeft w:val="0"/>
          <w:marRight w:val="0"/>
          <w:marTop w:val="0"/>
          <w:marBottom w:val="0"/>
          <w:divBdr>
            <w:top w:val="none" w:sz="0" w:space="0" w:color="auto"/>
            <w:left w:val="none" w:sz="0" w:space="0" w:color="auto"/>
            <w:bottom w:val="none" w:sz="0" w:space="0" w:color="auto"/>
            <w:right w:val="none" w:sz="0" w:space="0" w:color="auto"/>
          </w:divBdr>
          <w:divsChild>
            <w:div w:id="2050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1190">
      <w:marLeft w:val="0"/>
      <w:marRight w:val="0"/>
      <w:marTop w:val="0"/>
      <w:marBottom w:val="0"/>
      <w:divBdr>
        <w:top w:val="none" w:sz="0" w:space="0" w:color="auto"/>
        <w:left w:val="none" w:sz="0" w:space="0" w:color="auto"/>
        <w:bottom w:val="none" w:sz="0" w:space="0" w:color="auto"/>
        <w:right w:val="none" w:sz="0" w:space="0" w:color="auto"/>
      </w:divBdr>
      <w:divsChild>
        <w:div w:id="1630629774">
          <w:marLeft w:val="0"/>
          <w:marRight w:val="0"/>
          <w:marTop w:val="0"/>
          <w:marBottom w:val="0"/>
          <w:divBdr>
            <w:top w:val="none" w:sz="0" w:space="0" w:color="auto"/>
            <w:left w:val="none" w:sz="0" w:space="0" w:color="auto"/>
            <w:bottom w:val="none" w:sz="0" w:space="0" w:color="auto"/>
            <w:right w:val="none" w:sz="0" w:space="0" w:color="auto"/>
          </w:divBdr>
        </w:div>
      </w:divsChild>
    </w:div>
    <w:div w:id="992492420">
      <w:marLeft w:val="0"/>
      <w:marRight w:val="0"/>
      <w:marTop w:val="200"/>
      <w:marBottom w:val="0"/>
      <w:divBdr>
        <w:top w:val="none" w:sz="0" w:space="0" w:color="auto"/>
        <w:left w:val="none" w:sz="0" w:space="0" w:color="auto"/>
        <w:bottom w:val="none" w:sz="0" w:space="0" w:color="auto"/>
        <w:right w:val="none" w:sz="0" w:space="0" w:color="auto"/>
      </w:divBdr>
    </w:div>
    <w:div w:id="994719481">
      <w:marLeft w:val="0"/>
      <w:marRight w:val="0"/>
      <w:marTop w:val="0"/>
      <w:marBottom w:val="0"/>
      <w:divBdr>
        <w:top w:val="none" w:sz="0" w:space="0" w:color="auto"/>
        <w:left w:val="none" w:sz="0" w:space="0" w:color="auto"/>
        <w:bottom w:val="none" w:sz="0" w:space="0" w:color="auto"/>
        <w:right w:val="none" w:sz="0" w:space="0" w:color="auto"/>
      </w:divBdr>
      <w:divsChild>
        <w:div w:id="1337421756">
          <w:marLeft w:val="0"/>
          <w:marRight w:val="0"/>
          <w:marTop w:val="0"/>
          <w:marBottom w:val="0"/>
          <w:divBdr>
            <w:top w:val="none" w:sz="0" w:space="0" w:color="auto"/>
            <w:left w:val="none" w:sz="0" w:space="0" w:color="auto"/>
            <w:bottom w:val="none" w:sz="0" w:space="0" w:color="auto"/>
            <w:right w:val="none" w:sz="0" w:space="0" w:color="auto"/>
          </w:divBdr>
        </w:div>
      </w:divsChild>
    </w:div>
    <w:div w:id="998194048">
      <w:marLeft w:val="0"/>
      <w:marRight w:val="0"/>
      <w:marTop w:val="200"/>
      <w:marBottom w:val="0"/>
      <w:divBdr>
        <w:top w:val="none" w:sz="0" w:space="0" w:color="auto"/>
        <w:left w:val="none" w:sz="0" w:space="0" w:color="auto"/>
        <w:bottom w:val="none" w:sz="0" w:space="0" w:color="auto"/>
        <w:right w:val="none" w:sz="0" w:space="0" w:color="auto"/>
      </w:divBdr>
    </w:div>
    <w:div w:id="1002007805">
      <w:marLeft w:val="0"/>
      <w:marRight w:val="0"/>
      <w:marTop w:val="120"/>
      <w:marBottom w:val="0"/>
      <w:divBdr>
        <w:top w:val="none" w:sz="0" w:space="0" w:color="auto"/>
        <w:left w:val="none" w:sz="0" w:space="0" w:color="auto"/>
        <w:bottom w:val="none" w:sz="0" w:space="0" w:color="auto"/>
        <w:right w:val="none" w:sz="0" w:space="0" w:color="auto"/>
      </w:divBdr>
    </w:div>
    <w:div w:id="1005520967">
      <w:marLeft w:val="0"/>
      <w:marRight w:val="0"/>
      <w:marTop w:val="200"/>
      <w:marBottom w:val="0"/>
      <w:divBdr>
        <w:top w:val="none" w:sz="0" w:space="0" w:color="auto"/>
        <w:left w:val="none" w:sz="0" w:space="0" w:color="auto"/>
        <w:bottom w:val="none" w:sz="0" w:space="0" w:color="auto"/>
        <w:right w:val="none" w:sz="0" w:space="0" w:color="auto"/>
      </w:divBdr>
    </w:div>
    <w:div w:id="1007561678">
      <w:marLeft w:val="0"/>
      <w:marRight w:val="0"/>
      <w:marTop w:val="100"/>
      <w:marBottom w:val="0"/>
      <w:divBdr>
        <w:top w:val="none" w:sz="0" w:space="0" w:color="auto"/>
        <w:left w:val="none" w:sz="0" w:space="0" w:color="auto"/>
        <w:bottom w:val="none" w:sz="0" w:space="0" w:color="auto"/>
        <w:right w:val="none" w:sz="0" w:space="0" w:color="auto"/>
      </w:divBdr>
    </w:div>
    <w:div w:id="1011877255">
      <w:marLeft w:val="0"/>
      <w:marRight w:val="0"/>
      <w:marTop w:val="120"/>
      <w:marBottom w:val="0"/>
      <w:divBdr>
        <w:top w:val="none" w:sz="0" w:space="0" w:color="auto"/>
        <w:left w:val="none" w:sz="0" w:space="0" w:color="auto"/>
        <w:bottom w:val="none" w:sz="0" w:space="0" w:color="auto"/>
        <w:right w:val="none" w:sz="0" w:space="0" w:color="auto"/>
      </w:divBdr>
    </w:div>
    <w:div w:id="1013384191">
      <w:marLeft w:val="0"/>
      <w:marRight w:val="0"/>
      <w:marTop w:val="200"/>
      <w:marBottom w:val="0"/>
      <w:divBdr>
        <w:top w:val="none" w:sz="0" w:space="0" w:color="auto"/>
        <w:left w:val="none" w:sz="0" w:space="0" w:color="auto"/>
        <w:bottom w:val="none" w:sz="0" w:space="0" w:color="auto"/>
        <w:right w:val="none" w:sz="0" w:space="0" w:color="auto"/>
      </w:divBdr>
    </w:div>
    <w:div w:id="1014042212">
      <w:marLeft w:val="0"/>
      <w:marRight w:val="0"/>
      <w:marTop w:val="120"/>
      <w:marBottom w:val="0"/>
      <w:divBdr>
        <w:top w:val="none" w:sz="0" w:space="0" w:color="auto"/>
        <w:left w:val="none" w:sz="0" w:space="0" w:color="auto"/>
        <w:bottom w:val="none" w:sz="0" w:space="0" w:color="auto"/>
        <w:right w:val="none" w:sz="0" w:space="0" w:color="auto"/>
      </w:divBdr>
    </w:div>
    <w:div w:id="1016227877">
      <w:marLeft w:val="0"/>
      <w:marRight w:val="0"/>
      <w:marTop w:val="0"/>
      <w:marBottom w:val="0"/>
      <w:divBdr>
        <w:top w:val="none" w:sz="0" w:space="0" w:color="auto"/>
        <w:left w:val="none" w:sz="0" w:space="0" w:color="auto"/>
        <w:bottom w:val="none" w:sz="0" w:space="0" w:color="auto"/>
        <w:right w:val="none" w:sz="0" w:space="0" w:color="auto"/>
      </w:divBdr>
      <w:divsChild>
        <w:div w:id="1351486660">
          <w:marLeft w:val="0"/>
          <w:marRight w:val="0"/>
          <w:marTop w:val="0"/>
          <w:marBottom w:val="0"/>
          <w:divBdr>
            <w:top w:val="none" w:sz="0" w:space="0" w:color="auto"/>
            <w:left w:val="none" w:sz="0" w:space="0" w:color="auto"/>
            <w:bottom w:val="none" w:sz="0" w:space="0" w:color="auto"/>
            <w:right w:val="none" w:sz="0" w:space="0" w:color="auto"/>
          </w:divBdr>
        </w:div>
      </w:divsChild>
    </w:div>
    <w:div w:id="1018317724">
      <w:marLeft w:val="0"/>
      <w:marRight w:val="0"/>
      <w:marTop w:val="120"/>
      <w:marBottom w:val="0"/>
      <w:divBdr>
        <w:top w:val="none" w:sz="0" w:space="0" w:color="auto"/>
        <w:left w:val="none" w:sz="0" w:space="0" w:color="auto"/>
        <w:bottom w:val="none" w:sz="0" w:space="0" w:color="auto"/>
        <w:right w:val="none" w:sz="0" w:space="0" w:color="auto"/>
      </w:divBdr>
    </w:div>
    <w:div w:id="1020395682">
      <w:marLeft w:val="0"/>
      <w:marRight w:val="0"/>
      <w:marTop w:val="0"/>
      <w:marBottom w:val="0"/>
      <w:divBdr>
        <w:top w:val="none" w:sz="0" w:space="0" w:color="auto"/>
        <w:left w:val="none" w:sz="0" w:space="0" w:color="auto"/>
        <w:bottom w:val="none" w:sz="0" w:space="0" w:color="auto"/>
        <w:right w:val="none" w:sz="0" w:space="0" w:color="auto"/>
      </w:divBdr>
      <w:divsChild>
        <w:div w:id="453989784">
          <w:marLeft w:val="0"/>
          <w:marRight w:val="0"/>
          <w:marTop w:val="0"/>
          <w:marBottom w:val="0"/>
          <w:divBdr>
            <w:top w:val="none" w:sz="0" w:space="0" w:color="auto"/>
            <w:left w:val="none" w:sz="0" w:space="0" w:color="auto"/>
            <w:bottom w:val="none" w:sz="0" w:space="0" w:color="auto"/>
            <w:right w:val="none" w:sz="0" w:space="0" w:color="auto"/>
          </w:divBdr>
        </w:div>
      </w:divsChild>
    </w:div>
    <w:div w:id="1020813743">
      <w:marLeft w:val="0"/>
      <w:marRight w:val="0"/>
      <w:marTop w:val="120"/>
      <w:marBottom w:val="0"/>
      <w:divBdr>
        <w:top w:val="none" w:sz="0" w:space="0" w:color="auto"/>
        <w:left w:val="none" w:sz="0" w:space="0" w:color="auto"/>
        <w:bottom w:val="none" w:sz="0" w:space="0" w:color="auto"/>
        <w:right w:val="none" w:sz="0" w:space="0" w:color="auto"/>
      </w:divBdr>
    </w:div>
    <w:div w:id="1025908290">
      <w:marLeft w:val="0"/>
      <w:marRight w:val="0"/>
      <w:marTop w:val="120"/>
      <w:marBottom w:val="0"/>
      <w:divBdr>
        <w:top w:val="none" w:sz="0" w:space="0" w:color="auto"/>
        <w:left w:val="none" w:sz="0" w:space="0" w:color="auto"/>
        <w:bottom w:val="none" w:sz="0" w:space="0" w:color="auto"/>
        <w:right w:val="none" w:sz="0" w:space="0" w:color="auto"/>
      </w:divBdr>
    </w:div>
    <w:div w:id="1028221764">
      <w:marLeft w:val="0"/>
      <w:marRight w:val="0"/>
      <w:marTop w:val="0"/>
      <w:marBottom w:val="0"/>
      <w:divBdr>
        <w:top w:val="none" w:sz="0" w:space="0" w:color="auto"/>
        <w:left w:val="none" w:sz="0" w:space="0" w:color="auto"/>
        <w:bottom w:val="none" w:sz="0" w:space="0" w:color="auto"/>
        <w:right w:val="none" w:sz="0" w:space="0" w:color="auto"/>
      </w:divBdr>
    </w:div>
    <w:div w:id="1029143490">
      <w:marLeft w:val="0"/>
      <w:marRight w:val="0"/>
      <w:marTop w:val="200"/>
      <w:marBottom w:val="0"/>
      <w:divBdr>
        <w:top w:val="none" w:sz="0" w:space="0" w:color="auto"/>
        <w:left w:val="none" w:sz="0" w:space="0" w:color="auto"/>
        <w:bottom w:val="none" w:sz="0" w:space="0" w:color="auto"/>
        <w:right w:val="none" w:sz="0" w:space="0" w:color="auto"/>
      </w:divBdr>
    </w:div>
    <w:div w:id="1029185681">
      <w:marLeft w:val="0"/>
      <w:marRight w:val="0"/>
      <w:marTop w:val="200"/>
      <w:marBottom w:val="0"/>
      <w:divBdr>
        <w:top w:val="none" w:sz="0" w:space="0" w:color="auto"/>
        <w:left w:val="none" w:sz="0" w:space="0" w:color="auto"/>
        <w:bottom w:val="none" w:sz="0" w:space="0" w:color="auto"/>
        <w:right w:val="none" w:sz="0" w:space="0" w:color="auto"/>
      </w:divBdr>
    </w:div>
    <w:div w:id="1030380460">
      <w:marLeft w:val="0"/>
      <w:marRight w:val="0"/>
      <w:marTop w:val="200"/>
      <w:marBottom w:val="0"/>
      <w:divBdr>
        <w:top w:val="none" w:sz="0" w:space="0" w:color="auto"/>
        <w:left w:val="none" w:sz="0" w:space="0" w:color="auto"/>
        <w:bottom w:val="none" w:sz="0" w:space="0" w:color="auto"/>
        <w:right w:val="none" w:sz="0" w:space="0" w:color="auto"/>
      </w:divBdr>
    </w:div>
    <w:div w:id="1030716434">
      <w:marLeft w:val="0"/>
      <w:marRight w:val="0"/>
      <w:marTop w:val="200"/>
      <w:marBottom w:val="0"/>
      <w:divBdr>
        <w:top w:val="none" w:sz="0" w:space="0" w:color="auto"/>
        <w:left w:val="none" w:sz="0" w:space="0" w:color="auto"/>
        <w:bottom w:val="none" w:sz="0" w:space="0" w:color="auto"/>
        <w:right w:val="none" w:sz="0" w:space="0" w:color="auto"/>
      </w:divBdr>
    </w:div>
    <w:div w:id="1031036441">
      <w:marLeft w:val="0"/>
      <w:marRight w:val="0"/>
      <w:marTop w:val="200"/>
      <w:marBottom w:val="0"/>
      <w:divBdr>
        <w:top w:val="none" w:sz="0" w:space="0" w:color="auto"/>
        <w:left w:val="none" w:sz="0" w:space="0" w:color="auto"/>
        <w:bottom w:val="none" w:sz="0" w:space="0" w:color="auto"/>
        <w:right w:val="none" w:sz="0" w:space="0" w:color="auto"/>
      </w:divBdr>
    </w:div>
    <w:div w:id="1032683329">
      <w:marLeft w:val="0"/>
      <w:marRight w:val="0"/>
      <w:marTop w:val="0"/>
      <w:marBottom w:val="0"/>
      <w:divBdr>
        <w:top w:val="none" w:sz="0" w:space="0" w:color="auto"/>
        <w:left w:val="none" w:sz="0" w:space="0" w:color="auto"/>
        <w:bottom w:val="none" w:sz="0" w:space="0" w:color="auto"/>
        <w:right w:val="none" w:sz="0" w:space="0" w:color="auto"/>
      </w:divBdr>
    </w:div>
    <w:div w:id="1033338438">
      <w:marLeft w:val="0"/>
      <w:marRight w:val="0"/>
      <w:marTop w:val="120"/>
      <w:marBottom w:val="0"/>
      <w:divBdr>
        <w:top w:val="none" w:sz="0" w:space="0" w:color="auto"/>
        <w:left w:val="none" w:sz="0" w:space="0" w:color="auto"/>
        <w:bottom w:val="none" w:sz="0" w:space="0" w:color="auto"/>
        <w:right w:val="none" w:sz="0" w:space="0" w:color="auto"/>
      </w:divBdr>
    </w:div>
    <w:div w:id="1034113942">
      <w:marLeft w:val="0"/>
      <w:marRight w:val="0"/>
      <w:marTop w:val="360"/>
      <w:marBottom w:val="0"/>
      <w:divBdr>
        <w:top w:val="none" w:sz="0" w:space="0" w:color="auto"/>
        <w:left w:val="none" w:sz="0" w:space="0" w:color="auto"/>
        <w:bottom w:val="none" w:sz="0" w:space="0" w:color="auto"/>
        <w:right w:val="none" w:sz="0" w:space="0" w:color="auto"/>
      </w:divBdr>
    </w:div>
    <w:div w:id="1035692930">
      <w:marLeft w:val="0"/>
      <w:marRight w:val="0"/>
      <w:marTop w:val="200"/>
      <w:marBottom w:val="0"/>
      <w:divBdr>
        <w:top w:val="none" w:sz="0" w:space="0" w:color="auto"/>
        <w:left w:val="none" w:sz="0" w:space="0" w:color="auto"/>
        <w:bottom w:val="none" w:sz="0" w:space="0" w:color="auto"/>
        <w:right w:val="none" w:sz="0" w:space="0" w:color="auto"/>
      </w:divBdr>
    </w:div>
    <w:div w:id="1038628201">
      <w:marLeft w:val="0"/>
      <w:marRight w:val="0"/>
      <w:marTop w:val="200"/>
      <w:marBottom w:val="0"/>
      <w:divBdr>
        <w:top w:val="none" w:sz="0" w:space="0" w:color="auto"/>
        <w:left w:val="none" w:sz="0" w:space="0" w:color="auto"/>
        <w:bottom w:val="none" w:sz="0" w:space="0" w:color="auto"/>
        <w:right w:val="none" w:sz="0" w:space="0" w:color="auto"/>
      </w:divBdr>
    </w:div>
    <w:div w:id="1041055844">
      <w:marLeft w:val="0"/>
      <w:marRight w:val="0"/>
      <w:marTop w:val="120"/>
      <w:marBottom w:val="0"/>
      <w:divBdr>
        <w:top w:val="none" w:sz="0" w:space="0" w:color="auto"/>
        <w:left w:val="none" w:sz="0" w:space="0" w:color="auto"/>
        <w:bottom w:val="none" w:sz="0" w:space="0" w:color="auto"/>
        <w:right w:val="none" w:sz="0" w:space="0" w:color="auto"/>
      </w:divBdr>
    </w:div>
    <w:div w:id="1041826467">
      <w:marLeft w:val="0"/>
      <w:marRight w:val="0"/>
      <w:marTop w:val="200"/>
      <w:marBottom w:val="0"/>
      <w:divBdr>
        <w:top w:val="none" w:sz="0" w:space="0" w:color="auto"/>
        <w:left w:val="none" w:sz="0" w:space="0" w:color="auto"/>
        <w:bottom w:val="none" w:sz="0" w:space="0" w:color="auto"/>
        <w:right w:val="none" w:sz="0" w:space="0" w:color="auto"/>
      </w:divBdr>
    </w:div>
    <w:div w:id="1048335282">
      <w:marLeft w:val="0"/>
      <w:marRight w:val="0"/>
      <w:marTop w:val="120"/>
      <w:marBottom w:val="0"/>
      <w:divBdr>
        <w:top w:val="none" w:sz="0" w:space="0" w:color="auto"/>
        <w:left w:val="none" w:sz="0" w:space="0" w:color="auto"/>
        <w:bottom w:val="none" w:sz="0" w:space="0" w:color="auto"/>
        <w:right w:val="none" w:sz="0" w:space="0" w:color="auto"/>
      </w:divBdr>
    </w:div>
    <w:div w:id="1051073637">
      <w:marLeft w:val="0"/>
      <w:marRight w:val="0"/>
      <w:marTop w:val="210"/>
      <w:marBottom w:val="0"/>
      <w:divBdr>
        <w:top w:val="none" w:sz="0" w:space="0" w:color="auto"/>
        <w:left w:val="none" w:sz="0" w:space="0" w:color="auto"/>
        <w:bottom w:val="none" w:sz="0" w:space="0" w:color="auto"/>
        <w:right w:val="none" w:sz="0" w:space="0" w:color="auto"/>
      </w:divBdr>
    </w:div>
    <w:div w:id="1053843751">
      <w:marLeft w:val="0"/>
      <w:marRight w:val="0"/>
      <w:marTop w:val="0"/>
      <w:marBottom w:val="0"/>
      <w:divBdr>
        <w:top w:val="none" w:sz="0" w:space="0" w:color="auto"/>
        <w:left w:val="none" w:sz="0" w:space="0" w:color="auto"/>
        <w:bottom w:val="none" w:sz="0" w:space="0" w:color="auto"/>
        <w:right w:val="none" w:sz="0" w:space="0" w:color="auto"/>
      </w:divBdr>
    </w:div>
    <w:div w:id="1054154735">
      <w:marLeft w:val="0"/>
      <w:marRight w:val="0"/>
      <w:marTop w:val="200"/>
      <w:marBottom w:val="0"/>
      <w:divBdr>
        <w:top w:val="none" w:sz="0" w:space="0" w:color="auto"/>
        <w:left w:val="none" w:sz="0" w:space="0" w:color="auto"/>
        <w:bottom w:val="none" w:sz="0" w:space="0" w:color="auto"/>
        <w:right w:val="none" w:sz="0" w:space="0" w:color="auto"/>
      </w:divBdr>
    </w:div>
    <w:div w:id="1055546569">
      <w:marLeft w:val="0"/>
      <w:marRight w:val="0"/>
      <w:marTop w:val="200"/>
      <w:marBottom w:val="0"/>
      <w:divBdr>
        <w:top w:val="none" w:sz="0" w:space="0" w:color="auto"/>
        <w:left w:val="none" w:sz="0" w:space="0" w:color="auto"/>
        <w:bottom w:val="none" w:sz="0" w:space="0" w:color="auto"/>
        <w:right w:val="none" w:sz="0" w:space="0" w:color="auto"/>
      </w:divBdr>
    </w:div>
    <w:div w:id="1057436832">
      <w:marLeft w:val="0"/>
      <w:marRight w:val="0"/>
      <w:marTop w:val="240"/>
      <w:marBottom w:val="0"/>
      <w:divBdr>
        <w:top w:val="none" w:sz="0" w:space="0" w:color="auto"/>
        <w:left w:val="none" w:sz="0" w:space="0" w:color="auto"/>
        <w:bottom w:val="none" w:sz="0" w:space="0" w:color="auto"/>
        <w:right w:val="none" w:sz="0" w:space="0" w:color="auto"/>
      </w:divBdr>
    </w:div>
    <w:div w:id="1059135934">
      <w:marLeft w:val="0"/>
      <w:marRight w:val="0"/>
      <w:marTop w:val="120"/>
      <w:marBottom w:val="0"/>
      <w:divBdr>
        <w:top w:val="none" w:sz="0" w:space="0" w:color="auto"/>
        <w:left w:val="none" w:sz="0" w:space="0" w:color="auto"/>
        <w:bottom w:val="none" w:sz="0" w:space="0" w:color="auto"/>
        <w:right w:val="none" w:sz="0" w:space="0" w:color="auto"/>
      </w:divBdr>
    </w:div>
    <w:div w:id="1059288374">
      <w:marLeft w:val="0"/>
      <w:marRight w:val="0"/>
      <w:marTop w:val="200"/>
      <w:marBottom w:val="0"/>
      <w:divBdr>
        <w:top w:val="none" w:sz="0" w:space="0" w:color="auto"/>
        <w:left w:val="none" w:sz="0" w:space="0" w:color="auto"/>
        <w:bottom w:val="none" w:sz="0" w:space="0" w:color="auto"/>
        <w:right w:val="none" w:sz="0" w:space="0" w:color="auto"/>
      </w:divBdr>
    </w:div>
    <w:div w:id="1061517611">
      <w:marLeft w:val="0"/>
      <w:marRight w:val="0"/>
      <w:marTop w:val="200"/>
      <w:marBottom w:val="0"/>
      <w:divBdr>
        <w:top w:val="none" w:sz="0" w:space="0" w:color="auto"/>
        <w:left w:val="none" w:sz="0" w:space="0" w:color="auto"/>
        <w:bottom w:val="none" w:sz="0" w:space="0" w:color="auto"/>
        <w:right w:val="none" w:sz="0" w:space="0" w:color="auto"/>
      </w:divBdr>
    </w:div>
    <w:div w:id="1072239452">
      <w:marLeft w:val="0"/>
      <w:marRight w:val="0"/>
      <w:marTop w:val="200"/>
      <w:marBottom w:val="0"/>
      <w:divBdr>
        <w:top w:val="none" w:sz="0" w:space="0" w:color="auto"/>
        <w:left w:val="none" w:sz="0" w:space="0" w:color="auto"/>
        <w:bottom w:val="none" w:sz="0" w:space="0" w:color="auto"/>
        <w:right w:val="none" w:sz="0" w:space="0" w:color="auto"/>
      </w:divBdr>
    </w:div>
    <w:div w:id="1072778177">
      <w:marLeft w:val="0"/>
      <w:marRight w:val="0"/>
      <w:marTop w:val="0"/>
      <w:marBottom w:val="0"/>
      <w:divBdr>
        <w:top w:val="none" w:sz="0" w:space="0" w:color="auto"/>
        <w:left w:val="none" w:sz="0" w:space="0" w:color="auto"/>
        <w:bottom w:val="none" w:sz="0" w:space="0" w:color="auto"/>
        <w:right w:val="none" w:sz="0" w:space="0" w:color="auto"/>
      </w:divBdr>
    </w:div>
    <w:div w:id="1076441410">
      <w:marLeft w:val="0"/>
      <w:marRight w:val="0"/>
      <w:marTop w:val="200"/>
      <w:marBottom w:val="0"/>
      <w:divBdr>
        <w:top w:val="none" w:sz="0" w:space="0" w:color="auto"/>
        <w:left w:val="none" w:sz="0" w:space="0" w:color="auto"/>
        <w:bottom w:val="none" w:sz="0" w:space="0" w:color="auto"/>
        <w:right w:val="none" w:sz="0" w:space="0" w:color="auto"/>
      </w:divBdr>
    </w:div>
    <w:div w:id="1077166233">
      <w:marLeft w:val="0"/>
      <w:marRight w:val="0"/>
      <w:marTop w:val="120"/>
      <w:marBottom w:val="0"/>
      <w:divBdr>
        <w:top w:val="none" w:sz="0" w:space="0" w:color="auto"/>
        <w:left w:val="none" w:sz="0" w:space="0" w:color="auto"/>
        <w:bottom w:val="none" w:sz="0" w:space="0" w:color="auto"/>
        <w:right w:val="none" w:sz="0" w:space="0" w:color="auto"/>
      </w:divBdr>
    </w:div>
    <w:div w:id="1077748312">
      <w:marLeft w:val="0"/>
      <w:marRight w:val="0"/>
      <w:marTop w:val="210"/>
      <w:marBottom w:val="0"/>
      <w:divBdr>
        <w:top w:val="none" w:sz="0" w:space="0" w:color="auto"/>
        <w:left w:val="none" w:sz="0" w:space="0" w:color="auto"/>
        <w:bottom w:val="none" w:sz="0" w:space="0" w:color="auto"/>
        <w:right w:val="none" w:sz="0" w:space="0" w:color="auto"/>
      </w:divBdr>
    </w:div>
    <w:div w:id="1078749838">
      <w:marLeft w:val="0"/>
      <w:marRight w:val="0"/>
      <w:marTop w:val="200"/>
      <w:marBottom w:val="0"/>
      <w:divBdr>
        <w:top w:val="none" w:sz="0" w:space="0" w:color="auto"/>
        <w:left w:val="none" w:sz="0" w:space="0" w:color="auto"/>
        <w:bottom w:val="none" w:sz="0" w:space="0" w:color="auto"/>
        <w:right w:val="none" w:sz="0" w:space="0" w:color="auto"/>
      </w:divBdr>
    </w:div>
    <w:div w:id="1080443891">
      <w:marLeft w:val="0"/>
      <w:marRight w:val="0"/>
      <w:marTop w:val="0"/>
      <w:marBottom w:val="0"/>
      <w:divBdr>
        <w:top w:val="none" w:sz="0" w:space="0" w:color="auto"/>
        <w:left w:val="none" w:sz="0" w:space="0" w:color="auto"/>
        <w:bottom w:val="none" w:sz="0" w:space="0" w:color="auto"/>
        <w:right w:val="none" w:sz="0" w:space="0" w:color="auto"/>
      </w:divBdr>
      <w:divsChild>
        <w:div w:id="1106189826">
          <w:marLeft w:val="0"/>
          <w:marRight w:val="0"/>
          <w:marTop w:val="0"/>
          <w:marBottom w:val="0"/>
          <w:divBdr>
            <w:top w:val="none" w:sz="0" w:space="0" w:color="auto"/>
            <w:left w:val="none" w:sz="0" w:space="0" w:color="auto"/>
            <w:bottom w:val="none" w:sz="0" w:space="0" w:color="auto"/>
            <w:right w:val="none" w:sz="0" w:space="0" w:color="auto"/>
          </w:divBdr>
        </w:div>
      </w:divsChild>
    </w:div>
    <w:div w:id="1082724927">
      <w:marLeft w:val="0"/>
      <w:marRight w:val="0"/>
      <w:marTop w:val="210"/>
      <w:marBottom w:val="0"/>
      <w:divBdr>
        <w:top w:val="none" w:sz="0" w:space="0" w:color="auto"/>
        <w:left w:val="none" w:sz="0" w:space="0" w:color="auto"/>
        <w:bottom w:val="none" w:sz="0" w:space="0" w:color="auto"/>
        <w:right w:val="none" w:sz="0" w:space="0" w:color="auto"/>
      </w:divBdr>
    </w:div>
    <w:div w:id="1083338960">
      <w:marLeft w:val="0"/>
      <w:marRight w:val="0"/>
      <w:marTop w:val="200"/>
      <w:marBottom w:val="0"/>
      <w:divBdr>
        <w:top w:val="none" w:sz="0" w:space="0" w:color="auto"/>
        <w:left w:val="none" w:sz="0" w:space="0" w:color="auto"/>
        <w:bottom w:val="none" w:sz="0" w:space="0" w:color="auto"/>
        <w:right w:val="none" w:sz="0" w:space="0" w:color="auto"/>
      </w:divBdr>
    </w:div>
    <w:div w:id="1083648618">
      <w:marLeft w:val="0"/>
      <w:marRight w:val="0"/>
      <w:marTop w:val="200"/>
      <w:marBottom w:val="0"/>
      <w:divBdr>
        <w:top w:val="none" w:sz="0" w:space="0" w:color="auto"/>
        <w:left w:val="none" w:sz="0" w:space="0" w:color="auto"/>
        <w:bottom w:val="none" w:sz="0" w:space="0" w:color="auto"/>
        <w:right w:val="none" w:sz="0" w:space="0" w:color="auto"/>
      </w:divBdr>
    </w:div>
    <w:div w:id="1083796245">
      <w:marLeft w:val="0"/>
      <w:marRight w:val="0"/>
      <w:marTop w:val="120"/>
      <w:marBottom w:val="0"/>
      <w:divBdr>
        <w:top w:val="none" w:sz="0" w:space="0" w:color="auto"/>
        <w:left w:val="none" w:sz="0" w:space="0" w:color="auto"/>
        <w:bottom w:val="none" w:sz="0" w:space="0" w:color="auto"/>
        <w:right w:val="none" w:sz="0" w:space="0" w:color="auto"/>
      </w:divBdr>
    </w:div>
    <w:div w:id="1083840050">
      <w:marLeft w:val="0"/>
      <w:marRight w:val="0"/>
      <w:marTop w:val="0"/>
      <w:marBottom w:val="0"/>
      <w:divBdr>
        <w:top w:val="none" w:sz="0" w:space="0" w:color="auto"/>
        <w:left w:val="none" w:sz="0" w:space="0" w:color="auto"/>
        <w:bottom w:val="none" w:sz="0" w:space="0" w:color="auto"/>
        <w:right w:val="none" w:sz="0" w:space="0" w:color="auto"/>
      </w:divBdr>
      <w:divsChild>
        <w:div w:id="672804465">
          <w:marLeft w:val="0"/>
          <w:marRight w:val="0"/>
          <w:marTop w:val="0"/>
          <w:marBottom w:val="0"/>
          <w:divBdr>
            <w:top w:val="none" w:sz="0" w:space="0" w:color="auto"/>
            <w:left w:val="none" w:sz="0" w:space="0" w:color="auto"/>
            <w:bottom w:val="none" w:sz="0" w:space="0" w:color="auto"/>
            <w:right w:val="none" w:sz="0" w:space="0" w:color="auto"/>
          </w:divBdr>
        </w:div>
      </w:divsChild>
    </w:div>
    <w:div w:id="1084572604">
      <w:marLeft w:val="0"/>
      <w:marRight w:val="0"/>
      <w:marTop w:val="120"/>
      <w:marBottom w:val="0"/>
      <w:divBdr>
        <w:top w:val="none" w:sz="0" w:space="0" w:color="auto"/>
        <w:left w:val="none" w:sz="0" w:space="0" w:color="auto"/>
        <w:bottom w:val="none" w:sz="0" w:space="0" w:color="auto"/>
        <w:right w:val="none" w:sz="0" w:space="0" w:color="auto"/>
      </w:divBdr>
    </w:div>
    <w:div w:id="1086456192">
      <w:marLeft w:val="0"/>
      <w:marRight w:val="0"/>
      <w:marTop w:val="0"/>
      <w:marBottom w:val="0"/>
      <w:divBdr>
        <w:top w:val="none" w:sz="0" w:space="0" w:color="auto"/>
        <w:left w:val="none" w:sz="0" w:space="0" w:color="auto"/>
        <w:bottom w:val="none" w:sz="0" w:space="0" w:color="auto"/>
        <w:right w:val="none" w:sz="0" w:space="0" w:color="auto"/>
      </w:divBdr>
      <w:divsChild>
        <w:div w:id="106050528">
          <w:marLeft w:val="0"/>
          <w:marRight w:val="0"/>
          <w:marTop w:val="0"/>
          <w:marBottom w:val="0"/>
          <w:divBdr>
            <w:top w:val="none" w:sz="0" w:space="0" w:color="auto"/>
            <w:left w:val="none" w:sz="0" w:space="0" w:color="auto"/>
            <w:bottom w:val="none" w:sz="0" w:space="0" w:color="auto"/>
            <w:right w:val="none" w:sz="0" w:space="0" w:color="auto"/>
          </w:divBdr>
        </w:div>
      </w:divsChild>
    </w:div>
    <w:div w:id="1089303918">
      <w:marLeft w:val="0"/>
      <w:marRight w:val="0"/>
      <w:marTop w:val="200"/>
      <w:marBottom w:val="0"/>
      <w:divBdr>
        <w:top w:val="none" w:sz="0" w:space="0" w:color="auto"/>
        <w:left w:val="none" w:sz="0" w:space="0" w:color="auto"/>
        <w:bottom w:val="none" w:sz="0" w:space="0" w:color="auto"/>
        <w:right w:val="none" w:sz="0" w:space="0" w:color="auto"/>
      </w:divBdr>
    </w:div>
    <w:div w:id="1095979806">
      <w:marLeft w:val="0"/>
      <w:marRight w:val="0"/>
      <w:marTop w:val="120"/>
      <w:marBottom w:val="0"/>
      <w:divBdr>
        <w:top w:val="none" w:sz="0" w:space="0" w:color="auto"/>
        <w:left w:val="none" w:sz="0" w:space="0" w:color="auto"/>
        <w:bottom w:val="none" w:sz="0" w:space="0" w:color="auto"/>
        <w:right w:val="none" w:sz="0" w:space="0" w:color="auto"/>
      </w:divBdr>
    </w:div>
    <w:div w:id="1096485626">
      <w:marLeft w:val="0"/>
      <w:marRight w:val="0"/>
      <w:marTop w:val="200"/>
      <w:marBottom w:val="0"/>
      <w:divBdr>
        <w:top w:val="none" w:sz="0" w:space="0" w:color="auto"/>
        <w:left w:val="none" w:sz="0" w:space="0" w:color="auto"/>
        <w:bottom w:val="none" w:sz="0" w:space="0" w:color="auto"/>
        <w:right w:val="none" w:sz="0" w:space="0" w:color="auto"/>
      </w:divBdr>
    </w:div>
    <w:div w:id="1098253464">
      <w:marLeft w:val="0"/>
      <w:marRight w:val="0"/>
      <w:marTop w:val="200"/>
      <w:marBottom w:val="0"/>
      <w:divBdr>
        <w:top w:val="none" w:sz="0" w:space="0" w:color="auto"/>
        <w:left w:val="none" w:sz="0" w:space="0" w:color="auto"/>
        <w:bottom w:val="none" w:sz="0" w:space="0" w:color="auto"/>
        <w:right w:val="none" w:sz="0" w:space="0" w:color="auto"/>
      </w:divBdr>
    </w:div>
    <w:div w:id="1099064683">
      <w:marLeft w:val="0"/>
      <w:marRight w:val="0"/>
      <w:marTop w:val="0"/>
      <w:marBottom w:val="0"/>
      <w:divBdr>
        <w:top w:val="none" w:sz="0" w:space="0" w:color="auto"/>
        <w:left w:val="none" w:sz="0" w:space="0" w:color="auto"/>
        <w:bottom w:val="none" w:sz="0" w:space="0" w:color="auto"/>
        <w:right w:val="none" w:sz="0" w:space="0" w:color="auto"/>
      </w:divBdr>
      <w:divsChild>
        <w:div w:id="1777940232">
          <w:marLeft w:val="0"/>
          <w:marRight w:val="0"/>
          <w:marTop w:val="0"/>
          <w:marBottom w:val="0"/>
          <w:divBdr>
            <w:top w:val="none" w:sz="0" w:space="0" w:color="auto"/>
            <w:left w:val="none" w:sz="0" w:space="0" w:color="auto"/>
            <w:bottom w:val="none" w:sz="0" w:space="0" w:color="auto"/>
            <w:right w:val="none" w:sz="0" w:space="0" w:color="auto"/>
          </w:divBdr>
        </w:div>
      </w:divsChild>
    </w:div>
    <w:div w:id="1100175155">
      <w:marLeft w:val="0"/>
      <w:marRight w:val="0"/>
      <w:marTop w:val="0"/>
      <w:marBottom w:val="0"/>
      <w:divBdr>
        <w:top w:val="none" w:sz="0" w:space="0" w:color="auto"/>
        <w:left w:val="none" w:sz="0" w:space="0" w:color="auto"/>
        <w:bottom w:val="none" w:sz="0" w:space="0" w:color="auto"/>
        <w:right w:val="none" w:sz="0" w:space="0" w:color="auto"/>
      </w:divBdr>
      <w:divsChild>
        <w:div w:id="1278950733">
          <w:marLeft w:val="0"/>
          <w:marRight w:val="0"/>
          <w:marTop w:val="0"/>
          <w:marBottom w:val="0"/>
          <w:divBdr>
            <w:top w:val="none" w:sz="0" w:space="0" w:color="auto"/>
            <w:left w:val="none" w:sz="0" w:space="0" w:color="auto"/>
            <w:bottom w:val="none" w:sz="0" w:space="0" w:color="auto"/>
            <w:right w:val="none" w:sz="0" w:space="0" w:color="auto"/>
          </w:divBdr>
        </w:div>
      </w:divsChild>
    </w:div>
    <w:div w:id="1104299698">
      <w:marLeft w:val="0"/>
      <w:marRight w:val="0"/>
      <w:marTop w:val="120"/>
      <w:marBottom w:val="0"/>
      <w:divBdr>
        <w:top w:val="none" w:sz="0" w:space="0" w:color="auto"/>
        <w:left w:val="none" w:sz="0" w:space="0" w:color="auto"/>
        <w:bottom w:val="none" w:sz="0" w:space="0" w:color="auto"/>
        <w:right w:val="none" w:sz="0" w:space="0" w:color="auto"/>
      </w:divBdr>
    </w:div>
    <w:div w:id="1108158537">
      <w:marLeft w:val="0"/>
      <w:marRight w:val="0"/>
      <w:marTop w:val="200"/>
      <w:marBottom w:val="0"/>
      <w:divBdr>
        <w:top w:val="none" w:sz="0" w:space="0" w:color="auto"/>
        <w:left w:val="none" w:sz="0" w:space="0" w:color="auto"/>
        <w:bottom w:val="none" w:sz="0" w:space="0" w:color="auto"/>
        <w:right w:val="none" w:sz="0" w:space="0" w:color="auto"/>
      </w:divBdr>
    </w:div>
    <w:div w:id="1108620614">
      <w:marLeft w:val="0"/>
      <w:marRight w:val="0"/>
      <w:marTop w:val="0"/>
      <w:marBottom w:val="0"/>
      <w:divBdr>
        <w:top w:val="none" w:sz="0" w:space="0" w:color="auto"/>
        <w:left w:val="none" w:sz="0" w:space="0" w:color="auto"/>
        <w:bottom w:val="none" w:sz="0" w:space="0" w:color="auto"/>
        <w:right w:val="none" w:sz="0" w:space="0" w:color="auto"/>
      </w:divBdr>
      <w:divsChild>
        <w:div w:id="1638225297">
          <w:marLeft w:val="0"/>
          <w:marRight w:val="0"/>
          <w:marTop w:val="0"/>
          <w:marBottom w:val="0"/>
          <w:divBdr>
            <w:top w:val="none" w:sz="0" w:space="0" w:color="auto"/>
            <w:left w:val="none" w:sz="0" w:space="0" w:color="auto"/>
            <w:bottom w:val="none" w:sz="0" w:space="0" w:color="auto"/>
            <w:right w:val="none" w:sz="0" w:space="0" w:color="auto"/>
          </w:divBdr>
        </w:div>
      </w:divsChild>
    </w:div>
    <w:div w:id="1110658952">
      <w:marLeft w:val="0"/>
      <w:marRight w:val="0"/>
      <w:marTop w:val="0"/>
      <w:marBottom w:val="0"/>
      <w:divBdr>
        <w:top w:val="none" w:sz="0" w:space="0" w:color="auto"/>
        <w:left w:val="none" w:sz="0" w:space="0" w:color="auto"/>
        <w:bottom w:val="none" w:sz="0" w:space="0" w:color="auto"/>
        <w:right w:val="none" w:sz="0" w:space="0" w:color="auto"/>
      </w:divBdr>
      <w:divsChild>
        <w:div w:id="560025524">
          <w:marLeft w:val="0"/>
          <w:marRight w:val="0"/>
          <w:marTop w:val="0"/>
          <w:marBottom w:val="0"/>
          <w:divBdr>
            <w:top w:val="none" w:sz="0" w:space="0" w:color="auto"/>
            <w:left w:val="none" w:sz="0" w:space="0" w:color="auto"/>
            <w:bottom w:val="none" w:sz="0" w:space="0" w:color="auto"/>
            <w:right w:val="none" w:sz="0" w:space="0" w:color="auto"/>
          </w:divBdr>
        </w:div>
      </w:divsChild>
    </w:div>
    <w:div w:id="1114516338">
      <w:marLeft w:val="0"/>
      <w:marRight w:val="0"/>
      <w:marTop w:val="0"/>
      <w:marBottom w:val="0"/>
      <w:divBdr>
        <w:top w:val="none" w:sz="0" w:space="0" w:color="auto"/>
        <w:left w:val="none" w:sz="0" w:space="0" w:color="auto"/>
        <w:bottom w:val="none" w:sz="0" w:space="0" w:color="auto"/>
        <w:right w:val="none" w:sz="0" w:space="0" w:color="auto"/>
      </w:divBdr>
      <w:divsChild>
        <w:div w:id="63576508">
          <w:marLeft w:val="0"/>
          <w:marRight w:val="0"/>
          <w:marTop w:val="0"/>
          <w:marBottom w:val="0"/>
          <w:divBdr>
            <w:top w:val="none" w:sz="0" w:space="0" w:color="auto"/>
            <w:left w:val="none" w:sz="0" w:space="0" w:color="auto"/>
            <w:bottom w:val="none" w:sz="0" w:space="0" w:color="auto"/>
            <w:right w:val="none" w:sz="0" w:space="0" w:color="auto"/>
          </w:divBdr>
        </w:div>
      </w:divsChild>
    </w:div>
    <w:div w:id="1115103689">
      <w:marLeft w:val="0"/>
      <w:marRight w:val="0"/>
      <w:marTop w:val="210"/>
      <w:marBottom w:val="0"/>
      <w:divBdr>
        <w:top w:val="none" w:sz="0" w:space="0" w:color="auto"/>
        <w:left w:val="none" w:sz="0" w:space="0" w:color="auto"/>
        <w:bottom w:val="none" w:sz="0" w:space="0" w:color="auto"/>
        <w:right w:val="none" w:sz="0" w:space="0" w:color="auto"/>
      </w:divBdr>
    </w:div>
    <w:div w:id="1116946004">
      <w:marLeft w:val="0"/>
      <w:marRight w:val="0"/>
      <w:marTop w:val="0"/>
      <w:marBottom w:val="0"/>
      <w:divBdr>
        <w:top w:val="none" w:sz="0" w:space="0" w:color="auto"/>
        <w:left w:val="none" w:sz="0" w:space="0" w:color="auto"/>
        <w:bottom w:val="none" w:sz="0" w:space="0" w:color="auto"/>
        <w:right w:val="none" w:sz="0" w:space="0" w:color="auto"/>
      </w:divBdr>
      <w:divsChild>
        <w:div w:id="402219971">
          <w:marLeft w:val="0"/>
          <w:marRight w:val="0"/>
          <w:marTop w:val="0"/>
          <w:marBottom w:val="0"/>
          <w:divBdr>
            <w:top w:val="none" w:sz="0" w:space="0" w:color="auto"/>
            <w:left w:val="none" w:sz="0" w:space="0" w:color="auto"/>
            <w:bottom w:val="none" w:sz="0" w:space="0" w:color="auto"/>
            <w:right w:val="none" w:sz="0" w:space="0" w:color="auto"/>
          </w:divBdr>
        </w:div>
      </w:divsChild>
    </w:div>
    <w:div w:id="1117329261">
      <w:marLeft w:val="0"/>
      <w:marRight w:val="0"/>
      <w:marTop w:val="120"/>
      <w:marBottom w:val="0"/>
      <w:divBdr>
        <w:top w:val="none" w:sz="0" w:space="0" w:color="auto"/>
        <w:left w:val="none" w:sz="0" w:space="0" w:color="auto"/>
        <w:bottom w:val="none" w:sz="0" w:space="0" w:color="auto"/>
        <w:right w:val="none" w:sz="0" w:space="0" w:color="auto"/>
      </w:divBdr>
    </w:div>
    <w:div w:id="1119180795">
      <w:marLeft w:val="0"/>
      <w:marRight w:val="0"/>
      <w:marTop w:val="360"/>
      <w:marBottom w:val="0"/>
      <w:divBdr>
        <w:top w:val="none" w:sz="0" w:space="0" w:color="auto"/>
        <w:left w:val="none" w:sz="0" w:space="0" w:color="auto"/>
        <w:bottom w:val="none" w:sz="0" w:space="0" w:color="auto"/>
        <w:right w:val="none" w:sz="0" w:space="0" w:color="auto"/>
      </w:divBdr>
    </w:div>
    <w:div w:id="1122308050">
      <w:marLeft w:val="0"/>
      <w:marRight w:val="0"/>
      <w:marTop w:val="360"/>
      <w:marBottom w:val="0"/>
      <w:divBdr>
        <w:top w:val="none" w:sz="0" w:space="0" w:color="auto"/>
        <w:left w:val="none" w:sz="0" w:space="0" w:color="auto"/>
        <w:bottom w:val="none" w:sz="0" w:space="0" w:color="auto"/>
        <w:right w:val="none" w:sz="0" w:space="0" w:color="auto"/>
      </w:divBdr>
    </w:div>
    <w:div w:id="1123890209">
      <w:marLeft w:val="0"/>
      <w:marRight w:val="0"/>
      <w:marTop w:val="200"/>
      <w:marBottom w:val="0"/>
      <w:divBdr>
        <w:top w:val="none" w:sz="0" w:space="0" w:color="auto"/>
        <w:left w:val="none" w:sz="0" w:space="0" w:color="auto"/>
        <w:bottom w:val="none" w:sz="0" w:space="0" w:color="auto"/>
        <w:right w:val="none" w:sz="0" w:space="0" w:color="auto"/>
      </w:divBdr>
    </w:div>
    <w:div w:id="1124888775">
      <w:marLeft w:val="0"/>
      <w:marRight w:val="0"/>
      <w:marTop w:val="100"/>
      <w:marBottom w:val="0"/>
      <w:divBdr>
        <w:top w:val="none" w:sz="0" w:space="0" w:color="auto"/>
        <w:left w:val="none" w:sz="0" w:space="0" w:color="auto"/>
        <w:bottom w:val="none" w:sz="0" w:space="0" w:color="auto"/>
        <w:right w:val="none" w:sz="0" w:space="0" w:color="auto"/>
      </w:divBdr>
    </w:div>
    <w:div w:id="1125930379">
      <w:marLeft w:val="0"/>
      <w:marRight w:val="0"/>
      <w:marTop w:val="200"/>
      <w:marBottom w:val="0"/>
      <w:divBdr>
        <w:top w:val="none" w:sz="0" w:space="0" w:color="auto"/>
        <w:left w:val="none" w:sz="0" w:space="0" w:color="auto"/>
        <w:bottom w:val="none" w:sz="0" w:space="0" w:color="auto"/>
        <w:right w:val="none" w:sz="0" w:space="0" w:color="auto"/>
      </w:divBdr>
    </w:div>
    <w:div w:id="1126703555">
      <w:marLeft w:val="0"/>
      <w:marRight w:val="0"/>
      <w:marTop w:val="200"/>
      <w:marBottom w:val="0"/>
      <w:divBdr>
        <w:top w:val="none" w:sz="0" w:space="0" w:color="auto"/>
        <w:left w:val="none" w:sz="0" w:space="0" w:color="auto"/>
        <w:bottom w:val="none" w:sz="0" w:space="0" w:color="auto"/>
        <w:right w:val="none" w:sz="0" w:space="0" w:color="auto"/>
      </w:divBdr>
    </w:div>
    <w:div w:id="1128015699">
      <w:marLeft w:val="0"/>
      <w:marRight w:val="0"/>
      <w:marTop w:val="200"/>
      <w:marBottom w:val="0"/>
      <w:divBdr>
        <w:top w:val="none" w:sz="0" w:space="0" w:color="auto"/>
        <w:left w:val="none" w:sz="0" w:space="0" w:color="auto"/>
        <w:bottom w:val="none" w:sz="0" w:space="0" w:color="auto"/>
        <w:right w:val="none" w:sz="0" w:space="0" w:color="auto"/>
      </w:divBdr>
    </w:div>
    <w:div w:id="1129519022">
      <w:marLeft w:val="0"/>
      <w:marRight w:val="0"/>
      <w:marTop w:val="360"/>
      <w:marBottom w:val="0"/>
      <w:divBdr>
        <w:top w:val="none" w:sz="0" w:space="0" w:color="auto"/>
        <w:left w:val="none" w:sz="0" w:space="0" w:color="auto"/>
        <w:bottom w:val="none" w:sz="0" w:space="0" w:color="auto"/>
        <w:right w:val="none" w:sz="0" w:space="0" w:color="auto"/>
      </w:divBdr>
    </w:div>
    <w:div w:id="1131285814">
      <w:marLeft w:val="0"/>
      <w:marRight w:val="0"/>
      <w:marTop w:val="200"/>
      <w:marBottom w:val="0"/>
      <w:divBdr>
        <w:top w:val="none" w:sz="0" w:space="0" w:color="auto"/>
        <w:left w:val="none" w:sz="0" w:space="0" w:color="auto"/>
        <w:bottom w:val="none" w:sz="0" w:space="0" w:color="auto"/>
        <w:right w:val="none" w:sz="0" w:space="0" w:color="auto"/>
      </w:divBdr>
    </w:div>
    <w:div w:id="1134100647">
      <w:marLeft w:val="0"/>
      <w:marRight w:val="0"/>
      <w:marTop w:val="0"/>
      <w:marBottom w:val="0"/>
      <w:divBdr>
        <w:top w:val="none" w:sz="0" w:space="0" w:color="auto"/>
        <w:left w:val="none" w:sz="0" w:space="0" w:color="auto"/>
        <w:bottom w:val="none" w:sz="0" w:space="0" w:color="auto"/>
        <w:right w:val="none" w:sz="0" w:space="0" w:color="auto"/>
      </w:divBdr>
      <w:divsChild>
        <w:div w:id="1674643872">
          <w:marLeft w:val="0"/>
          <w:marRight w:val="0"/>
          <w:marTop w:val="0"/>
          <w:marBottom w:val="0"/>
          <w:divBdr>
            <w:top w:val="none" w:sz="0" w:space="0" w:color="auto"/>
            <w:left w:val="none" w:sz="0" w:space="0" w:color="auto"/>
            <w:bottom w:val="none" w:sz="0" w:space="0" w:color="auto"/>
            <w:right w:val="none" w:sz="0" w:space="0" w:color="auto"/>
          </w:divBdr>
        </w:div>
      </w:divsChild>
    </w:div>
    <w:div w:id="1134104198">
      <w:marLeft w:val="0"/>
      <w:marRight w:val="0"/>
      <w:marTop w:val="200"/>
      <w:marBottom w:val="0"/>
      <w:divBdr>
        <w:top w:val="none" w:sz="0" w:space="0" w:color="auto"/>
        <w:left w:val="none" w:sz="0" w:space="0" w:color="auto"/>
        <w:bottom w:val="none" w:sz="0" w:space="0" w:color="auto"/>
        <w:right w:val="none" w:sz="0" w:space="0" w:color="auto"/>
      </w:divBdr>
    </w:div>
    <w:div w:id="1134442819">
      <w:marLeft w:val="0"/>
      <w:marRight w:val="0"/>
      <w:marTop w:val="120"/>
      <w:marBottom w:val="0"/>
      <w:divBdr>
        <w:top w:val="none" w:sz="0" w:space="0" w:color="auto"/>
        <w:left w:val="none" w:sz="0" w:space="0" w:color="auto"/>
        <w:bottom w:val="none" w:sz="0" w:space="0" w:color="auto"/>
        <w:right w:val="none" w:sz="0" w:space="0" w:color="auto"/>
      </w:divBdr>
    </w:div>
    <w:div w:id="1135217434">
      <w:marLeft w:val="0"/>
      <w:marRight w:val="0"/>
      <w:marTop w:val="200"/>
      <w:marBottom w:val="0"/>
      <w:divBdr>
        <w:top w:val="none" w:sz="0" w:space="0" w:color="auto"/>
        <w:left w:val="none" w:sz="0" w:space="0" w:color="auto"/>
        <w:bottom w:val="none" w:sz="0" w:space="0" w:color="auto"/>
        <w:right w:val="none" w:sz="0" w:space="0" w:color="auto"/>
      </w:divBdr>
    </w:div>
    <w:div w:id="1135754848">
      <w:marLeft w:val="0"/>
      <w:marRight w:val="0"/>
      <w:marTop w:val="200"/>
      <w:marBottom w:val="0"/>
      <w:divBdr>
        <w:top w:val="none" w:sz="0" w:space="0" w:color="auto"/>
        <w:left w:val="none" w:sz="0" w:space="0" w:color="auto"/>
        <w:bottom w:val="none" w:sz="0" w:space="0" w:color="auto"/>
        <w:right w:val="none" w:sz="0" w:space="0" w:color="auto"/>
      </w:divBdr>
    </w:div>
    <w:div w:id="1137606334">
      <w:marLeft w:val="0"/>
      <w:marRight w:val="0"/>
      <w:marTop w:val="200"/>
      <w:marBottom w:val="0"/>
      <w:divBdr>
        <w:top w:val="none" w:sz="0" w:space="0" w:color="auto"/>
        <w:left w:val="none" w:sz="0" w:space="0" w:color="auto"/>
        <w:bottom w:val="none" w:sz="0" w:space="0" w:color="auto"/>
        <w:right w:val="none" w:sz="0" w:space="0" w:color="auto"/>
      </w:divBdr>
    </w:div>
    <w:div w:id="1137798497">
      <w:marLeft w:val="0"/>
      <w:marRight w:val="0"/>
      <w:marTop w:val="200"/>
      <w:marBottom w:val="0"/>
      <w:divBdr>
        <w:top w:val="none" w:sz="0" w:space="0" w:color="auto"/>
        <w:left w:val="none" w:sz="0" w:space="0" w:color="auto"/>
        <w:bottom w:val="none" w:sz="0" w:space="0" w:color="auto"/>
        <w:right w:val="none" w:sz="0" w:space="0" w:color="auto"/>
      </w:divBdr>
    </w:div>
    <w:div w:id="1138955068">
      <w:marLeft w:val="0"/>
      <w:marRight w:val="0"/>
      <w:marTop w:val="200"/>
      <w:marBottom w:val="0"/>
      <w:divBdr>
        <w:top w:val="none" w:sz="0" w:space="0" w:color="auto"/>
        <w:left w:val="none" w:sz="0" w:space="0" w:color="auto"/>
        <w:bottom w:val="none" w:sz="0" w:space="0" w:color="auto"/>
        <w:right w:val="none" w:sz="0" w:space="0" w:color="auto"/>
      </w:divBdr>
    </w:div>
    <w:div w:id="1142307211">
      <w:marLeft w:val="0"/>
      <w:marRight w:val="0"/>
      <w:marTop w:val="200"/>
      <w:marBottom w:val="0"/>
      <w:divBdr>
        <w:top w:val="none" w:sz="0" w:space="0" w:color="auto"/>
        <w:left w:val="none" w:sz="0" w:space="0" w:color="auto"/>
        <w:bottom w:val="none" w:sz="0" w:space="0" w:color="auto"/>
        <w:right w:val="none" w:sz="0" w:space="0" w:color="auto"/>
      </w:divBdr>
    </w:div>
    <w:div w:id="1143736394">
      <w:marLeft w:val="0"/>
      <w:marRight w:val="0"/>
      <w:marTop w:val="120"/>
      <w:marBottom w:val="0"/>
      <w:divBdr>
        <w:top w:val="none" w:sz="0" w:space="0" w:color="auto"/>
        <w:left w:val="none" w:sz="0" w:space="0" w:color="auto"/>
        <w:bottom w:val="none" w:sz="0" w:space="0" w:color="auto"/>
        <w:right w:val="none" w:sz="0" w:space="0" w:color="auto"/>
      </w:divBdr>
    </w:div>
    <w:div w:id="1143935978">
      <w:marLeft w:val="0"/>
      <w:marRight w:val="0"/>
      <w:marTop w:val="200"/>
      <w:marBottom w:val="0"/>
      <w:divBdr>
        <w:top w:val="none" w:sz="0" w:space="0" w:color="auto"/>
        <w:left w:val="none" w:sz="0" w:space="0" w:color="auto"/>
        <w:bottom w:val="none" w:sz="0" w:space="0" w:color="auto"/>
        <w:right w:val="none" w:sz="0" w:space="0" w:color="auto"/>
      </w:divBdr>
    </w:div>
    <w:div w:id="1152720683">
      <w:marLeft w:val="0"/>
      <w:marRight w:val="0"/>
      <w:marTop w:val="210"/>
      <w:marBottom w:val="0"/>
      <w:divBdr>
        <w:top w:val="none" w:sz="0" w:space="0" w:color="auto"/>
        <w:left w:val="none" w:sz="0" w:space="0" w:color="auto"/>
        <w:bottom w:val="none" w:sz="0" w:space="0" w:color="auto"/>
        <w:right w:val="none" w:sz="0" w:space="0" w:color="auto"/>
      </w:divBdr>
    </w:div>
    <w:div w:id="1154835529">
      <w:marLeft w:val="0"/>
      <w:marRight w:val="0"/>
      <w:marTop w:val="200"/>
      <w:marBottom w:val="0"/>
      <w:divBdr>
        <w:top w:val="none" w:sz="0" w:space="0" w:color="auto"/>
        <w:left w:val="none" w:sz="0" w:space="0" w:color="auto"/>
        <w:bottom w:val="none" w:sz="0" w:space="0" w:color="auto"/>
        <w:right w:val="none" w:sz="0" w:space="0" w:color="auto"/>
      </w:divBdr>
    </w:div>
    <w:div w:id="1155802703">
      <w:marLeft w:val="0"/>
      <w:marRight w:val="0"/>
      <w:marTop w:val="100"/>
      <w:marBottom w:val="0"/>
      <w:divBdr>
        <w:top w:val="none" w:sz="0" w:space="0" w:color="auto"/>
        <w:left w:val="none" w:sz="0" w:space="0" w:color="auto"/>
        <w:bottom w:val="none" w:sz="0" w:space="0" w:color="auto"/>
        <w:right w:val="none" w:sz="0" w:space="0" w:color="auto"/>
      </w:divBdr>
    </w:div>
    <w:div w:id="1158227604">
      <w:marLeft w:val="0"/>
      <w:marRight w:val="0"/>
      <w:marTop w:val="200"/>
      <w:marBottom w:val="0"/>
      <w:divBdr>
        <w:top w:val="none" w:sz="0" w:space="0" w:color="auto"/>
        <w:left w:val="none" w:sz="0" w:space="0" w:color="auto"/>
        <w:bottom w:val="none" w:sz="0" w:space="0" w:color="auto"/>
        <w:right w:val="none" w:sz="0" w:space="0" w:color="auto"/>
      </w:divBdr>
    </w:div>
    <w:div w:id="1159616008">
      <w:marLeft w:val="0"/>
      <w:marRight w:val="0"/>
      <w:marTop w:val="200"/>
      <w:marBottom w:val="0"/>
      <w:divBdr>
        <w:top w:val="none" w:sz="0" w:space="0" w:color="auto"/>
        <w:left w:val="none" w:sz="0" w:space="0" w:color="auto"/>
        <w:bottom w:val="none" w:sz="0" w:space="0" w:color="auto"/>
        <w:right w:val="none" w:sz="0" w:space="0" w:color="auto"/>
      </w:divBdr>
    </w:div>
    <w:div w:id="1161310681">
      <w:marLeft w:val="0"/>
      <w:marRight w:val="0"/>
      <w:marTop w:val="200"/>
      <w:marBottom w:val="0"/>
      <w:divBdr>
        <w:top w:val="none" w:sz="0" w:space="0" w:color="auto"/>
        <w:left w:val="none" w:sz="0" w:space="0" w:color="auto"/>
        <w:bottom w:val="none" w:sz="0" w:space="0" w:color="auto"/>
        <w:right w:val="none" w:sz="0" w:space="0" w:color="auto"/>
      </w:divBdr>
    </w:div>
    <w:div w:id="1161847257">
      <w:marLeft w:val="0"/>
      <w:marRight w:val="0"/>
      <w:marTop w:val="0"/>
      <w:marBottom w:val="0"/>
      <w:divBdr>
        <w:top w:val="none" w:sz="0" w:space="0" w:color="auto"/>
        <w:left w:val="none" w:sz="0" w:space="0" w:color="auto"/>
        <w:bottom w:val="none" w:sz="0" w:space="0" w:color="auto"/>
        <w:right w:val="none" w:sz="0" w:space="0" w:color="auto"/>
      </w:divBdr>
      <w:divsChild>
        <w:div w:id="2071994522">
          <w:marLeft w:val="0"/>
          <w:marRight w:val="0"/>
          <w:marTop w:val="0"/>
          <w:marBottom w:val="0"/>
          <w:divBdr>
            <w:top w:val="none" w:sz="0" w:space="0" w:color="auto"/>
            <w:left w:val="none" w:sz="0" w:space="0" w:color="auto"/>
            <w:bottom w:val="none" w:sz="0" w:space="0" w:color="auto"/>
            <w:right w:val="none" w:sz="0" w:space="0" w:color="auto"/>
          </w:divBdr>
        </w:div>
      </w:divsChild>
    </w:div>
    <w:div w:id="1166894035">
      <w:marLeft w:val="0"/>
      <w:marRight w:val="0"/>
      <w:marTop w:val="0"/>
      <w:marBottom w:val="0"/>
      <w:divBdr>
        <w:top w:val="none" w:sz="0" w:space="0" w:color="auto"/>
        <w:left w:val="none" w:sz="0" w:space="0" w:color="auto"/>
        <w:bottom w:val="none" w:sz="0" w:space="0" w:color="auto"/>
        <w:right w:val="none" w:sz="0" w:space="0" w:color="auto"/>
      </w:divBdr>
    </w:div>
    <w:div w:id="1167554021">
      <w:marLeft w:val="0"/>
      <w:marRight w:val="0"/>
      <w:marTop w:val="0"/>
      <w:marBottom w:val="0"/>
      <w:divBdr>
        <w:top w:val="none" w:sz="0" w:space="0" w:color="auto"/>
        <w:left w:val="none" w:sz="0" w:space="0" w:color="auto"/>
        <w:bottom w:val="none" w:sz="0" w:space="0" w:color="auto"/>
        <w:right w:val="none" w:sz="0" w:space="0" w:color="auto"/>
      </w:divBdr>
      <w:divsChild>
        <w:div w:id="2100641755">
          <w:marLeft w:val="0"/>
          <w:marRight w:val="0"/>
          <w:marTop w:val="0"/>
          <w:marBottom w:val="0"/>
          <w:divBdr>
            <w:top w:val="none" w:sz="0" w:space="0" w:color="auto"/>
            <w:left w:val="none" w:sz="0" w:space="0" w:color="auto"/>
            <w:bottom w:val="none" w:sz="0" w:space="0" w:color="auto"/>
            <w:right w:val="none" w:sz="0" w:space="0" w:color="auto"/>
          </w:divBdr>
        </w:div>
      </w:divsChild>
    </w:div>
    <w:div w:id="1170170816">
      <w:marLeft w:val="0"/>
      <w:marRight w:val="0"/>
      <w:marTop w:val="200"/>
      <w:marBottom w:val="0"/>
      <w:divBdr>
        <w:top w:val="none" w:sz="0" w:space="0" w:color="auto"/>
        <w:left w:val="none" w:sz="0" w:space="0" w:color="auto"/>
        <w:bottom w:val="none" w:sz="0" w:space="0" w:color="auto"/>
        <w:right w:val="none" w:sz="0" w:space="0" w:color="auto"/>
      </w:divBdr>
    </w:div>
    <w:div w:id="1172260783">
      <w:marLeft w:val="0"/>
      <w:marRight w:val="0"/>
      <w:marTop w:val="200"/>
      <w:marBottom w:val="0"/>
      <w:divBdr>
        <w:top w:val="none" w:sz="0" w:space="0" w:color="auto"/>
        <w:left w:val="none" w:sz="0" w:space="0" w:color="auto"/>
        <w:bottom w:val="none" w:sz="0" w:space="0" w:color="auto"/>
        <w:right w:val="none" w:sz="0" w:space="0" w:color="auto"/>
      </w:divBdr>
    </w:div>
    <w:div w:id="1172523670">
      <w:marLeft w:val="0"/>
      <w:marRight w:val="0"/>
      <w:marTop w:val="200"/>
      <w:marBottom w:val="0"/>
      <w:divBdr>
        <w:top w:val="none" w:sz="0" w:space="0" w:color="auto"/>
        <w:left w:val="none" w:sz="0" w:space="0" w:color="auto"/>
        <w:bottom w:val="none" w:sz="0" w:space="0" w:color="auto"/>
        <w:right w:val="none" w:sz="0" w:space="0" w:color="auto"/>
      </w:divBdr>
    </w:div>
    <w:div w:id="1173256263">
      <w:marLeft w:val="0"/>
      <w:marRight w:val="0"/>
      <w:marTop w:val="0"/>
      <w:marBottom w:val="0"/>
      <w:divBdr>
        <w:top w:val="none" w:sz="0" w:space="0" w:color="auto"/>
        <w:left w:val="none" w:sz="0" w:space="0" w:color="auto"/>
        <w:bottom w:val="none" w:sz="0" w:space="0" w:color="auto"/>
        <w:right w:val="none" w:sz="0" w:space="0" w:color="auto"/>
      </w:divBdr>
      <w:divsChild>
        <w:div w:id="50547565">
          <w:marLeft w:val="0"/>
          <w:marRight w:val="0"/>
          <w:marTop w:val="0"/>
          <w:marBottom w:val="0"/>
          <w:divBdr>
            <w:top w:val="none" w:sz="0" w:space="0" w:color="auto"/>
            <w:left w:val="none" w:sz="0" w:space="0" w:color="auto"/>
            <w:bottom w:val="none" w:sz="0" w:space="0" w:color="auto"/>
            <w:right w:val="none" w:sz="0" w:space="0" w:color="auto"/>
          </w:divBdr>
        </w:div>
      </w:divsChild>
    </w:div>
    <w:div w:id="1173642226">
      <w:marLeft w:val="0"/>
      <w:marRight w:val="0"/>
      <w:marTop w:val="360"/>
      <w:marBottom w:val="0"/>
      <w:divBdr>
        <w:top w:val="none" w:sz="0" w:space="0" w:color="auto"/>
        <w:left w:val="none" w:sz="0" w:space="0" w:color="auto"/>
        <w:bottom w:val="none" w:sz="0" w:space="0" w:color="auto"/>
        <w:right w:val="none" w:sz="0" w:space="0" w:color="auto"/>
      </w:divBdr>
    </w:div>
    <w:div w:id="1173838569">
      <w:marLeft w:val="0"/>
      <w:marRight w:val="0"/>
      <w:marTop w:val="360"/>
      <w:marBottom w:val="0"/>
      <w:divBdr>
        <w:top w:val="none" w:sz="0" w:space="0" w:color="auto"/>
        <w:left w:val="none" w:sz="0" w:space="0" w:color="auto"/>
        <w:bottom w:val="none" w:sz="0" w:space="0" w:color="auto"/>
        <w:right w:val="none" w:sz="0" w:space="0" w:color="auto"/>
      </w:divBdr>
    </w:div>
    <w:div w:id="1174765133">
      <w:marLeft w:val="0"/>
      <w:marRight w:val="0"/>
      <w:marTop w:val="120"/>
      <w:marBottom w:val="0"/>
      <w:divBdr>
        <w:top w:val="none" w:sz="0" w:space="0" w:color="auto"/>
        <w:left w:val="none" w:sz="0" w:space="0" w:color="auto"/>
        <w:bottom w:val="none" w:sz="0" w:space="0" w:color="auto"/>
        <w:right w:val="none" w:sz="0" w:space="0" w:color="auto"/>
      </w:divBdr>
    </w:div>
    <w:div w:id="1177042656">
      <w:marLeft w:val="0"/>
      <w:marRight w:val="0"/>
      <w:marTop w:val="120"/>
      <w:marBottom w:val="0"/>
      <w:divBdr>
        <w:top w:val="none" w:sz="0" w:space="0" w:color="auto"/>
        <w:left w:val="none" w:sz="0" w:space="0" w:color="auto"/>
        <w:bottom w:val="none" w:sz="0" w:space="0" w:color="auto"/>
        <w:right w:val="none" w:sz="0" w:space="0" w:color="auto"/>
      </w:divBdr>
    </w:div>
    <w:div w:id="1180268784">
      <w:marLeft w:val="0"/>
      <w:marRight w:val="0"/>
      <w:marTop w:val="200"/>
      <w:marBottom w:val="0"/>
      <w:divBdr>
        <w:top w:val="none" w:sz="0" w:space="0" w:color="auto"/>
        <w:left w:val="none" w:sz="0" w:space="0" w:color="auto"/>
        <w:bottom w:val="none" w:sz="0" w:space="0" w:color="auto"/>
        <w:right w:val="none" w:sz="0" w:space="0" w:color="auto"/>
      </w:divBdr>
    </w:div>
    <w:div w:id="1183546707">
      <w:marLeft w:val="0"/>
      <w:marRight w:val="0"/>
      <w:marTop w:val="210"/>
      <w:marBottom w:val="0"/>
      <w:divBdr>
        <w:top w:val="none" w:sz="0" w:space="0" w:color="auto"/>
        <w:left w:val="none" w:sz="0" w:space="0" w:color="auto"/>
        <w:bottom w:val="none" w:sz="0" w:space="0" w:color="auto"/>
        <w:right w:val="none" w:sz="0" w:space="0" w:color="auto"/>
      </w:divBdr>
    </w:div>
    <w:div w:id="1186408445">
      <w:marLeft w:val="0"/>
      <w:marRight w:val="0"/>
      <w:marTop w:val="200"/>
      <w:marBottom w:val="0"/>
      <w:divBdr>
        <w:top w:val="none" w:sz="0" w:space="0" w:color="auto"/>
        <w:left w:val="none" w:sz="0" w:space="0" w:color="auto"/>
        <w:bottom w:val="none" w:sz="0" w:space="0" w:color="auto"/>
        <w:right w:val="none" w:sz="0" w:space="0" w:color="auto"/>
      </w:divBdr>
    </w:div>
    <w:div w:id="1187056864">
      <w:marLeft w:val="0"/>
      <w:marRight w:val="0"/>
      <w:marTop w:val="200"/>
      <w:marBottom w:val="0"/>
      <w:divBdr>
        <w:top w:val="none" w:sz="0" w:space="0" w:color="auto"/>
        <w:left w:val="none" w:sz="0" w:space="0" w:color="auto"/>
        <w:bottom w:val="none" w:sz="0" w:space="0" w:color="auto"/>
        <w:right w:val="none" w:sz="0" w:space="0" w:color="auto"/>
      </w:divBdr>
    </w:div>
    <w:div w:id="1187136773">
      <w:marLeft w:val="0"/>
      <w:marRight w:val="0"/>
      <w:marTop w:val="200"/>
      <w:marBottom w:val="0"/>
      <w:divBdr>
        <w:top w:val="none" w:sz="0" w:space="0" w:color="auto"/>
        <w:left w:val="none" w:sz="0" w:space="0" w:color="auto"/>
        <w:bottom w:val="none" w:sz="0" w:space="0" w:color="auto"/>
        <w:right w:val="none" w:sz="0" w:space="0" w:color="auto"/>
      </w:divBdr>
    </w:div>
    <w:div w:id="1187675063">
      <w:marLeft w:val="0"/>
      <w:marRight w:val="0"/>
      <w:marTop w:val="200"/>
      <w:marBottom w:val="0"/>
      <w:divBdr>
        <w:top w:val="none" w:sz="0" w:space="0" w:color="auto"/>
        <w:left w:val="none" w:sz="0" w:space="0" w:color="auto"/>
        <w:bottom w:val="none" w:sz="0" w:space="0" w:color="auto"/>
        <w:right w:val="none" w:sz="0" w:space="0" w:color="auto"/>
      </w:divBdr>
    </w:div>
    <w:div w:id="1189106519">
      <w:marLeft w:val="0"/>
      <w:marRight w:val="0"/>
      <w:marTop w:val="200"/>
      <w:marBottom w:val="0"/>
      <w:divBdr>
        <w:top w:val="none" w:sz="0" w:space="0" w:color="auto"/>
        <w:left w:val="none" w:sz="0" w:space="0" w:color="auto"/>
        <w:bottom w:val="none" w:sz="0" w:space="0" w:color="auto"/>
        <w:right w:val="none" w:sz="0" w:space="0" w:color="auto"/>
      </w:divBdr>
    </w:div>
    <w:div w:id="1194882305">
      <w:marLeft w:val="0"/>
      <w:marRight w:val="0"/>
      <w:marTop w:val="0"/>
      <w:marBottom w:val="0"/>
      <w:divBdr>
        <w:top w:val="none" w:sz="0" w:space="0" w:color="auto"/>
        <w:left w:val="none" w:sz="0" w:space="0" w:color="auto"/>
        <w:bottom w:val="none" w:sz="0" w:space="0" w:color="auto"/>
        <w:right w:val="none" w:sz="0" w:space="0" w:color="auto"/>
      </w:divBdr>
      <w:divsChild>
        <w:div w:id="733162821">
          <w:marLeft w:val="0"/>
          <w:marRight w:val="0"/>
          <w:marTop w:val="0"/>
          <w:marBottom w:val="0"/>
          <w:divBdr>
            <w:top w:val="none" w:sz="0" w:space="0" w:color="auto"/>
            <w:left w:val="none" w:sz="0" w:space="0" w:color="auto"/>
            <w:bottom w:val="none" w:sz="0" w:space="0" w:color="auto"/>
            <w:right w:val="none" w:sz="0" w:space="0" w:color="auto"/>
          </w:divBdr>
        </w:div>
      </w:divsChild>
    </w:div>
    <w:div w:id="1194928919">
      <w:marLeft w:val="0"/>
      <w:marRight w:val="0"/>
      <w:marTop w:val="240"/>
      <w:marBottom w:val="0"/>
      <w:divBdr>
        <w:top w:val="none" w:sz="0" w:space="0" w:color="auto"/>
        <w:left w:val="none" w:sz="0" w:space="0" w:color="auto"/>
        <w:bottom w:val="none" w:sz="0" w:space="0" w:color="auto"/>
        <w:right w:val="none" w:sz="0" w:space="0" w:color="auto"/>
      </w:divBdr>
    </w:div>
    <w:div w:id="1196693547">
      <w:marLeft w:val="0"/>
      <w:marRight w:val="0"/>
      <w:marTop w:val="200"/>
      <w:marBottom w:val="0"/>
      <w:divBdr>
        <w:top w:val="none" w:sz="0" w:space="0" w:color="auto"/>
        <w:left w:val="none" w:sz="0" w:space="0" w:color="auto"/>
        <w:bottom w:val="none" w:sz="0" w:space="0" w:color="auto"/>
        <w:right w:val="none" w:sz="0" w:space="0" w:color="auto"/>
      </w:divBdr>
    </w:div>
    <w:div w:id="1198277780">
      <w:marLeft w:val="0"/>
      <w:marRight w:val="0"/>
      <w:marTop w:val="200"/>
      <w:marBottom w:val="0"/>
      <w:divBdr>
        <w:top w:val="none" w:sz="0" w:space="0" w:color="auto"/>
        <w:left w:val="none" w:sz="0" w:space="0" w:color="auto"/>
        <w:bottom w:val="none" w:sz="0" w:space="0" w:color="auto"/>
        <w:right w:val="none" w:sz="0" w:space="0" w:color="auto"/>
      </w:divBdr>
    </w:div>
    <w:div w:id="1199662002">
      <w:marLeft w:val="0"/>
      <w:marRight w:val="0"/>
      <w:marTop w:val="120"/>
      <w:marBottom w:val="0"/>
      <w:divBdr>
        <w:top w:val="none" w:sz="0" w:space="0" w:color="auto"/>
        <w:left w:val="none" w:sz="0" w:space="0" w:color="auto"/>
        <w:bottom w:val="none" w:sz="0" w:space="0" w:color="auto"/>
        <w:right w:val="none" w:sz="0" w:space="0" w:color="auto"/>
      </w:divBdr>
    </w:div>
    <w:div w:id="1201743207">
      <w:marLeft w:val="0"/>
      <w:marRight w:val="0"/>
      <w:marTop w:val="0"/>
      <w:marBottom w:val="0"/>
      <w:divBdr>
        <w:top w:val="none" w:sz="0" w:space="0" w:color="auto"/>
        <w:left w:val="none" w:sz="0" w:space="0" w:color="auto"/>
        <w:bottom w:val="none" w:sz="0" w:space="0" w:color="auto"/>
        <w:right w:val="none" w:sz="0" w:space="0" w:color="auto"/>
      </w:divBdr>
      <w:divsChild>
        <w:div w:id="1188786426">
          <w:marLeft w:val="0"/>
          <w:marRight w:val="0"/>
          <w:marTop w:val="0"/>
          <w:marBottom w:val="0"/>
          <w:divBdr>
            <w:top w:val="none" w:sz="0" w:space="0" w:color="auto"/>
            <w:left w:val="none" w:sz="0" w:space="0" w:color="auto"/>
            <w:bottom w:val="none" w:sz="0" w:space="0" w:color="auto"/>
            <w:right w:val="none" w:sz="0" w:space="0" w:color="auto"/>
          </w:divBdr>
        </w:div>
      </w:divsChild>
    </w:div>
    <w:div w:id="1203321702">
      <w:marLeft w:val="0"/>
      <w:marRight w:val="0"/>
      <w:marTop w:val="200"/>
      <w:marBottom w:val="0"/>
      <w:divBdr>
        <w:top w:val="none" w:sz="0" w:space="0" w:color="auto"/>
        <w:left w:val="none" w:sz="0" w:space="0" w:color="auto"/>
        <w:bottom w:val="none" w:sz="0" w:space="0" w:color="auto"/>
        <w:right w:val="none" w:sz="0" w:space="0" w:color="auto"/>
      </w:divBdr>
    </w:div>
    <w:div w:id="1203790442">
      <w:marLeft w:val="0"/>
      <w:marRight w:val="0"/>
      <w:marTop w:val="0"/>
      <w:marBottom w:val="0"/>
      <w:divBdr>
        <w:top w:val="none" w:sz="0" w:space="0" w:color="auto"/>
        <w:left w:val="none" w:sz="0" w:space="0" w:color="auto"/>
        <w:bottom w:val="none" w:sz="0" w:space="0" w:color="auto"/>
        <w:right w:val="none" w:sz="0" w:space="0" w:color="auto"/>
      </w:divBdr>
      <w:divsChild>
        <w:div w:id="1741905782">
          <w:marLeft w:val="0"/>
          <w:marRight w:val="0"/>
          <w:marTop w:val="0"/>
          <w:marBottom w:val="0"/>
          <w:divBdr>
            <w:top w:val="none" w:sz="0" w:space="0" w:color="auto"/>
            <w:left w:val="none" w:sz="0" w:space="0" w:color="auto"/>
            <w:bottom w:val="none" w:sz="0" w:space="0" w:color="auto"/>
            <w:right w:val="none" w:sz="0" w:space="0" w:color="auto"/>
          </w:divBdr>
        </w:div>
      </w:divsChild>
    </w:div>
    <w:div w:id="1204364385">
      <w:marLeft w:val="0"/>
      <w:marRight w:val="0"/>
      <w:marTop w:val="0"/>
      <w:marBottom w:val="0"/>
      <w:divBdr>
        <w:top w:val="none" w:sz="0" w:space="0" w:color="auto"/>
        <w:left w:val="none" w:sz="0" w:space="0" w:color="auto"/>
        <w:bottom w:val="none" w:sz="0" w:space="0" w:color="auto"/>
        <w:right w:val="none" w:sz="0" w:space="0" w:color="auto"/>
      </w:divBdr>
      <w:divsChild>
        <w:div w:id="695694403">
          <w:marLeft w:val="0"/>
          <w:marRight w:val="0"/>
          <w:marTop w:val="0"/>
          <w:marBottom w:val="0"/>
          <w:divBdr>
            <w:top w:val="none" w:sz="0" w:space="0" w:color="auto"/>
            <w:left w:val="none" w:sz="0" w:space="0" w:color="auto"/>
            <w:bottom w:val="none" w:sz="0" w:space="0" w:color="auto"/>
            <w:right w:val="none" w:sz="0" w:space="0" w:color="auto"/>
          </w:divBdr>
        </w:div>
      </w:divsChild>
    </w:div>
    <w:div w:id="1204515929">
      <w:marLeft w:val="0"/>
      <w:marRight w:val="0"/>
      <w:marTop w:val="120"/>
      <w:marBottom w:val="0"/>
      <w:divBdr>
        <w:top w:val="none" w:sz="0" w:space="0" w:color="auto"/>
        <w:left w:val="none" w:sz="0" w:space="0" w:color="auto"/>
        <w:bottom w:val="none" w:sz="0" w:space="0" w:color="auto"/>
        <w:right w:val="none" w:sz="0" w:space="0" w:color="auto"/>
      </w:divBdr>
    </w:div>
    <w:div w:id="1205024391">
      <w:marLeft w:val="0"/>
      <w:marRight w:val="0"/>
      <w:marTop w:val="0"/>
      <w:marBottom w:val="0"/>
      <w:divBdr>
        <w:top w:val="none" w:sz="0" w:space="0" w:color="auto"/>
        <w:left w:val="none" w:sz="0" w:space="0" w:color="auto"/>
        <w:bottom w:val="none" w:sz="0" w:space="0" w:color="auto"/>
        <w:right w:val="none" w:sz="0" w:space="0" w:color="auto"/>
      </w:divBdr>
      <w:divsChild>
        <w:div w:id="1880706455">
          <w:marLeft w:val="0"/>
          <w:marRight w:val="0"/>
          <w:marTop w:val="0"/>
          <w:marBottom w:val="0"/>
          <w:divBdr>
            <w:top w:val="none" w:sz="0" w:space="0" w:color="auto"/>
            <w:left w:val="none" w:sz="0" w:space="0" w:color="auto"/>
            <w:bottom w:val="none" w:sz="0" w:space="0" w:color="auto"/>
            <w:right w:val="none" w:sz="0" w:space="0" w:color="auto"/>
          </w:divBdr>
        </w:div>
      </w:divsChild>
    </w:div>
    <w:div w:id="1205171714">
      <w:marLeft w:val="0"/>
      <w:marRight w:val="0"/>
      <w:marTop w:val="120"/>
      <w:marBottom w:val="0"/>
      <w:divBdr>
        <w:top w:val="none" w:sz="0" w:space="0" w:color="auto"/>
        <w:left w:val="none" w:sz="0" w:space="0" w:color="auto"/>
        <w:bottom w:val="none" w:sz="0" w:space="0" w:color="auto"/>
        <w:right w:val="none" w:sz="0" w:space="0" w:color="auto"/>
      </w:divBdr>
    </w:div>
    <w:div w:id="1208686635">
      <w:marLeft w:val="0"/>
      <w:marRight w:val="0"/>
      <w:marTop w:val="0"/>
      <w:marBottom w:val="0"/>
      <w:divBdr>
        <w:top w:val="none" w:sz="0" w:space="0" w:color="auto"/>
        <w:left w:val="none" w:sz="0" w:space="0" w:color="auto"/>
        <w:bottom w:val="none" w:sz="0" w:space="0" w:color="auto"/>
        <w:right w:val="none" w:sz="0" w:space="0" w:color="auto"/>
      </w:divBdr>
      <w:divsChild>
        <w:div w:id="272791779">
          <w:marLeft w:val="0"/>
          <w:marRight w:val="0"/>
          <w:marTop w:val="0"/>
          <w:marBottom w:val="0"/>
          <w:divBdr>
            <w:top w:val="none" w:sz="0" w:space="0" w:color="auto"/>
            <w:left w:val="none" w:sz="0" w:space="0" w:color="auto"/>
            <w:bottom w:val="none" w:sz="0" w:space="0" w:color="auto"/>
            <w:right w:val="none" w:sz="0" w:space="0" w:color="auto"/>
          </w:divBdr>
        </w:div>
      </w:divsChild>
    </w:div>
    <w:div w:id="1209730430">
      <w:marLeft w:val="0"/>
      <w:marRight w:val="0"/>
      <w:marTop w:val="0"/>
      <w:marBottom w:val="0"/>
      <w:divBdr>
        <w:top w:val="none" w:sz="0" w:space="0" w:color="auto"/>
        <w:left w:val="none" w:sz="0" w:space="0" w:color="auto"/>
        <w:bottom w:val="none" w:sz="0" w:space="0" w:color="auto"/>
        <w:right w:val="none" w:sz="0" w:space="0" w:color="auto"/>
      </w:divBdr>
      <w:divsChild>
        <w:div w:id="1540630629">
          <w:marLeft w:val="0"/>
          <w:marRight w:val="0"/>
          <w:marTop w:val="0"/>
          <w:marBottom w:val="0"/>
          <w:divBdr>
            <w:top w:val="none" w:sz="0" w:space="0" w:color="auto"/>
            <w:left w:val="none" w:sz="0" w:space="0" w:color="auto"/>
            <w:bottom w:val="none" w:sz="0" w:space="0" w:color="auto"/>
            <w:right w:val="none" w:sz="0" w:space="0" w:color="auto"/>
          </w:divBdr>
        </w:div>
      </w:divsChild>
    </w:div>
    <w:div w:id="1209880724">
      <w:marLeft w:val="0"/>
      <w:marRight w:val="0"/>
      <w:marTop w:val="200"/>
      <w:marBottom w:val="0"/>
      <w:divBdr>
        <w:top w:val="none" w:sz="0" w:space="0" w:color="auto"/>
        <w:left w:val="none" w:sz="0" w:space="0" w:color="auto"/>
        <w:bottom w:val="none" w:sz="0" w:space="0" w:color="auto"/>
        <w:right w:val="none" w:sz="0" w:space="0" w:color="auto"/>
      </w:divBdr>
    </w:div>
    <w:div w:id="1210799758">
      <w:marLeft w:val="0"/>
      <w:marRight w:val="0"/>
      <w:marTop w:val="200"/>
      <w:marBottom w:val="0"/>
      <w:divBdr>
        <w:top w:val="none" w:sz="0" w:space="0" w:color="auto"/>
        <w:left w:val="none" w:sz="0" w:space="0" w:color="auto"/>
        <w:bottom w:val="none" w:sz="0" w:space="0" w:color="auto"/>
        <w:right w:val="none" w:sz="0" w:space="0" w:color="auto"/>
      </w:divBdr>
    </w:div>
    <w:div w:id="1213539711">
      <w:marLeft w:val="0"/>
      <w:marRight w:val="0"/>
      <w:marTop w:val="200"/>
      <w:marBottom w:val="0"/>
      <w:divBdr>
        <w:top w:val="none" w:sz="0" w:space="0" w:color="auto"/>
        <w:left w:val="none" w:sz="0" w:space="0" w:color="auto"/>
        <w:bottom w:val="none" w:sz="0" w:space="0" w:color="auto"/>
        <w:right w:val="none" w:sz="0" w:space="0" w:color="auto"/>
      </w:divBdr>
    </w:div>
    <w:div w:id="1220629869">
      <w:marLeft w:val="0"/>
      <w:marRight w:val="0"/>
      <w:marTop w:val="200"/>
      <w:marBottom w:val="0"/>
      <w:divBdr>
        <w:top w:val="none" w:sz="0" w:space="0" w:color="auto"/>
        <w:left w:val="none" w:sz="0" w:space="0" w:color="auto"/>
        <w:bottom w:val="none" w:sz="0" w:space="0" w:color="auto"/>
        <w:right w:val="none" w:sz="0" w:space="0" w:color="auto"/>
      </w:divBdr>
    </w:div>
    <w:div w:id="1220827503">
      <w:marLeft w:val="0"/>
      <w:marRight w:val="0"/>
      <w:marTop w:val="120"/>
      <w:marBottom w:val="0"/>
      <w:divBdr>
        <w:top w:val="none" w:sz="0" w:space="0" w:color="auto"/>
        <w:left w:val="none" w:sz="0" w:space="0" w:color="auto"/>
        <w:bottom w:val="none" w:sz="0" w:space="0" w:color="auto"/>
        <w:right w:val="none" w:sz="0" w:space="0" w:color="auto"/>
      </w:divBdr>
    </w:div>
    <w:div w:id="1221864167">
      <w:marLeft w:val="0"/>
      <w:marRight w:val="0"/>
      <w:marTop w:val="360"/>
      <w:marBottom w:val="0"/>
      <w:divBdr>
        <w:top w:val="none" w:sz="0" w:space="0" w:color="auto"/>
        <w:left w:val="none" w:sz="0" w:space="0" w:color="auto"/>
        <w:bottom w:val="none" w:sz="0" w:space="0" w:color="auto"/>
        <w:right w:val="none" w:sz="0" w:space="0" w:color="auto"/>
      </w:divBdr>
    </w:div>
    <w:div w:id="1224874137">
      <w:marLeft w:val="0"/>
      <w:marRight w:val="0"/>
      <w:marTop w:val="240"/>
      <w:marBottom w:val="0"/>
      <w:divBdr>
        <w:top w:val="none" w:sz="0" w:space="0" w:color="auto"/>
        <w:left w:val="none" w:sz="0" w:space="0" w:color="auto"/>
        <w:bottom w:val="none" w:sz="0" w:space="0" w:color="auto"/>
        <w:right w:val="none" w:sz="0" w:space="0" w:color="auto"/>
      </w:divBdr>
    </w:div>
    <w:div w:id="1225723975">
      <w:marLeft w:val="0"/>
      <w:marRight w:val="0"/>
      <w:marTop w:val="200"/>
      <w:marBottom w:val="0"/>
      <w:divBdr>
        <w:top w:val="none" w:sz="0" w:space="0" w:color="auto"/>
        <w:left w:val="none" w:sz="0" w:space="0" w:color="auto"/>
        <w:bottom w:val="none" w:sz="0" w:space="0" w:color="auto"/>
        <w:right w:val="none" w:sz="0" w:space="0" w:color="auto"/>
      </w:divBdr>
    </w:div>
    <w:div w:id="1228685790">
      <w:marLeft w:val="0"/>
      <w:marRight w:val="0"/>
      <w:marTop w:val="360"/>
      <w:marBottom w:val="0"/>
      <w:divBdr>
        <w:top w:val="none" w:sz="0" w:space="0" w:color="auto"/>
        <w:left w:val="none" w:sz="0" w:space="0" w:color="auto"/>
        <w:bottom w:val="none" w:sz="0" w:space="0" w:color="auto"/>
        <w:right w:val="none" w:sz="0" w:space="0" w:color="auto"/>
      </w:divBdr>
    </w:div>
    <w:div w:id="1229725095">
      <w:marLeft w:val="0"/>
      <w:marRight w:val="0"/>
      <w:marTop w:val="120"/>
      <w:marBottom w:val="0"/>
      <w:divBdr>
        <w:top w:val="none" w:sz="0" w:space="0" w:color="auto"/>
        <w:left w:val="none" w:sz="0" w:space="0" w:color="auto"/>
        <w:bottom w:val="none" w:sz="0" w:space="0" w:color="auto"/>
        <w:right w:val="none" w:sz="0" w:space="0" w:color="auto"/>
      </w:divBdr>
    </w:div>
    <w:div w:id="1229799646">
      <w:marLeft w:val="0"/>
      <w:marRight w:val="0"/>
      <w:marTop w:val="0"/>
      <w:marBottom w:val="0"/>
      <w:divBdr>
        <w:top w:val="none" w:sz="0" w:space="0" w:color="auto"/>
        <w:left w:val="none" w:sz="0" w:space="0" w:color="auto"/>
        <w:bottom w:val="none" w:sz="0" w:space="0" w:color="auto"/>
        <w:right w:val="none" w:sz="0" w:space="0" w:color="auto"/>
      </w:divBdr>
      <w:divsChild>
        <w:div w:id="339893580">
          <w:marLeft w:val="0"/>
          <w:marRight w:val="0"/>
          <w:marTop w:val="0"/>
          <w:marBottom w:val="0"/>
          <w:divBdr>
            <w:top w:val="none" w:sz="0" w:space="0" w:color="auto"/>
            <w:left w:val="none" w:sz="0" w:space="0" w:color="auto"/>
            <w:bottom w:val="none" w:sz="0" w:space="0" w:color="auto"/>
            <w:right w:val="none" w:sz="0" w:space="0" w:color="auto"/>
          </w:divBdr>
        </w:div>
      </w:divsChild>
    </w:div>
    <w:div w:id="1232697625">
      <w:marLeft w:val="0"/>
      <w:marRight w:val="0"/>
      <w:marTop w:val="120"/>
      <w:marBottom w:val="0"/>
      <w:divBdr>
        <w:top w:val="none" w:sz="0" w:space="0" w:color="auto"/>
        <w:left w:val="none" w:sz="0" w:space="0" w:color="auto"/>
        <w:bottom w:val="none" w:sz="0" w:space="0" w:color="auto"/>
        <w:right w:val="none" w:sz="0" w:space="0" w:color="auto"/>
      </w:divBdr>
    </w:div>
    <w:div w:id="1232739626">
      <w:marLeft w:val="0"/>
      <w:marRight w:val="0"/>
      <w:marTop w:val="120"/>
      <w:marBottom w:val="0"/>
      <w:divBdr>
        <w:top w:val="none" w:sz="0" w:space="0" w:color="auto"/>
        <w:left w:val="none" w:sz="0" w:space="0" w:color="auto"/>
        <w:bottom w:val="none" w:sz="0" w:space="0" w:color="auto"/>
        <w:right w:val="none" w:sz="0" w:space="0" w:color="auto"/>
      </w:divBdr>
    </w:div>
    <w:div w:id="1233274202">
      <w:marLeft w:val="0"/>
      <w:marRight w:val="0"/>
      <w:marTop w:val="200"/>
      <w:marBottom w:val="0"/>
      <w:divBdr>
        <w:top w:val="none" w:sz="0" w:space="0" w:color="auto"/>
        <w:left w:val="none" w:sz="0" w:space="0" w:color="auto"/>
        <w:bottom w:val="none" w:sz="0" w:space="0" w:color="auto"/>
        <w:right w:val="none" w:sz="0" w:space="0" w:color="auto"/>
      </w:divBdr>
    </w:div>
    <w:div w:id="1233614049">
      <w:marLeft w:val="0"/>
      <w:marRight w:val="0"/>
      <w:marTop w:val="120"/>
      <w:marBottom w:val="0"/>
      <w:divBdr>
        <w:top w:val="none" w:sz="0" w:space="0" w:color="auto"/>
        <w:left w:val="none" w:sz="0" w:space="0" w:color="auto"/>
        <w:bottom w:val="none" w:sz="0" w:space="0" w:color="auto"/>
        <w:right w:val="none" w:sz="0" w:space="0" w:color="auto"/>
      </w:divBdr>
    </w:div>
    <w:div w:id="1234661034">
      <w:marLeft w:val="0"/>
      <w:marRight w:val="0"/>
      <w:marTop w:val="200"/>
      <w:marBottom w:val="0"/>
      <w:divBdr>
        <w:top w:val="none" w:sz="0" w:space="0" w:color="auto"/>
        <w:left w:val="none" w:sz="0" w:space="0" w:color="auto"/>
        <w:bottom w:val="none" w:sz="0" w:space="0" w:color="auto"/>
        <w:right w:val="none" w:sz="0" w:space="0" w:color="auto"/>
      </w:divBdr>
    </w:div>
    <w:div w:id="1239096752">
      <w:marLeft w:val="0"/>
      <w:marRight w:val="0"/>
      <w:marTop w:val="0"/>
      <w:marBottom w:val="0"/>
      <w:divBdr>
        <w:top w:val="none" w:sz="0" w:space="0" w:color="auto"/>
        <w:left w:val="none" w:sz="0" w:space="0" w:color="auto"/>
        <w:bottom w:val="none" w:sz="0" w:space="0" w:color="auto"/>
        <w:right w:val="none" w:sz="0" w:space="0" w:color="auto"/>
      </w:divBdr>
      <w:divsChild>
        <w:div w:id="1669819952">
          <w:marLeft w:val="0"/>
          <w:marRight w:val="0"/>
          <w:marTop w:val="0"/>
          <w:marBottom w:val="0"/>
          <w:divBdr>
            <w:top w:val="none" w:sz="0" w:space="0" w:color="auto"/>
            <w:left w:val="none" w:sz="0" w:space="0" w:color="auto"/>
            <w:bottom w:val="none" w:sz="0" w:space="0" w:color="auto"/>
            <w:right w:val="none" w:sz="0" w:space="0" w:color="auto"/>
          </w:divBdr>
        </w:div>
      </w:divsChild>
    </w:div>
    <w:div w:id="1241335219">
      <w:marLeft w:val="0"/>
      <w:marRight w:val="0"/>
      <w:marTop w:val="0"/>
      <w:marBottom w:val="0"/>
      <w:divBdr>
        <w:top w:val="none" w:sz="0" w:space="0" w:color="auto"/>
        <w:left w:val="none" w:sz="0" w:space="0" w:color="auto"/>
        <w:bottom w:val="none" w:sz="0" w:space="0" w:color="auto"/>
        <w:right w:val="none" w:sz="0" w:space="0" w:color="auto"/>
      </w:divBdr>
    </w:div>
    <w:div w:id="1244727629">
      <w:marLeft w:val="0"/>
      <w:marRight w:val="0"/>
      <w:marTop w:val="120"/>
      <w:marBottom w:val="0"/>
      <w:divBdr>
        <w:top w:val="none" w:sz="0" w:space="0" w:color="auto"/>
        <w:left w:val="none" w:sz="0" w:space="0" w:color="auto"/>
        <w:bottom w:val="none" w:sz="0" w:space="0" w:color="auto"/>
        <w:right w:val="none" w:sz="0" w:space="0" w:color="auto"/>
      </w:divBdr>
    </w:div>
    <w:div w:id="1244802186">
      <w:marLeft w:val="0"/>
      <w:marRight w:val="0"/>
      <w:marTop w:val="200"/>
      <w:marBottom w:val="0"/>
      <w:divBdr>
        <w:top w:val="none" w:sz="0" w:space="0" w:color="auto"/>
        <w:left w:val="none" w:sz="0" w:space="0" w:color="auto"/>
        <w:bottom w:val="none" w:sz="0" w:space="0" w:color="auto"/>
        <w:right w:val="none" w:sz="0" w:space="0" w:color="auto"/>
      </w:divBdr>
    </w:div>
    <w:div w:id="1244997296">
      <w:marLeft w:val="0"/>
      <w:marRight w:val="0"/>
      <w:marTop w:val="200"/>
      <w:marBottom w:val="0"/>
      <w:divBdr>
        <w:top w:val="none" w:sz="0" w:space="0" w:color="auto"/>
        <w:left w:val="none" w:sz="0" w:space="0" w:color="auto"/>
        <w:bottom w:val="none" w:sz="0" w:space="0" w:color="auto"/>
        <w:right w:val="none" w:sz="0" w:space="0" w:color="auto"/>
      </w:divBdr>
    </w:div>
    <w:div w:id="1246767361">
      <w:marLeft w:val="0"/>
      <w:marRight w:val="0"/>
      <w:marTop w:val="200"/>
      <w:marBottom w:val="0"/>
      <w:divBdr>
        <w:top w:val="none" w:sz="0" w:space="0" w:color="auto"/>
        <w:left w:val="none" w:sz="0" w:space="0" w:color="auto"/>
        <w:bottom w:val="none" w:sz="0" w:space="0" w:color="auto"/>
        <w:right w:val="none" w:sz="0" w:space="0" w:color="auto"/>
      </w:divBdr>
    </w:div>
    <w:div w:id="1250888041">
      <w:marLeft w:val="0"/>
      <w:marRight w:val="0"/>
      <w:marTop w:val="200"/>
      <w:marBottom w:val="0"/>
      <w:divBdr>
        <w:top w:val="none" w:sz="0" w:space="0" w:color="auto"/>
        <w:left w:val="none" w:sz="0" w:space="0" w:color="auto"/>
        <w:bottom w:val="none" w:sz="0" w:space="0" w:color="auto"/>
        <w:right w:val="none" w:sz="0" w:space="0" w:color="auto"/>
      </w:divBdr>
    </w:div>
    <w:div w:id="1254241401">
      <w:marLeft w:val="0"/>
      <w:marRight w:val="0"/>
      <w:marTop w:val="0"/>
      <w:marBottom w:val="0"/>
      <w:divBdr>
        <w:top w:val="none" w:sz="0" w:space="0" w:color="auto"/>
        <w:left w:val="none" w:sz="0" w:space="0" w:color="auto"/>
        <w:bottom w:val="none" w:sz="0" w:space="0" w:color="auto"/>
        <w:right w:val="none" w:sz="0" w:space="0" w:color="auto"/>
      </w:divBdr>
      <w:divsChild>
        <w:div w:id="2050295300">
          <w:marLeft w:val="0"/>
          <w:marRight w:val="0"/>
          <w:marTop w:val="0"/>
          <w:marBottom w:val="0"/>
          <w:divBdr>
            <w:top w:val="none" w:sz="0" w:space="0" w:color="auto"/>
            <w:left w:val="none" w:sz="0" w:space="0" w:color="auto"/>
            <w:bottom w:val="none" w:sz="0" w:space="0" w:color="auto"/>
            <w:right w:val="none" w:sz="0" w:space="0" w:color="auto"/>
          </w:divBdr>
        </w:div>
      </w:divsChild>
    </w:div>
    <w:div w:id="1256018043">
      <w:marLeft w:val="0"/>
      <w:marRight w:val="0"/>
      <w:marTop w:val="200"/>
      <w:marBottom w:val="0"/>
      <w:divBdr>
        <w:top w:val="none" w:sz="0" w:space="0" w:color="auto"/>
        <w:left w:val="none" w:sz="0" w:space="0" w:color="auto"/>
        <w:bottom w:val="none" w:sz="0" w:space="0" w:color="auto"/>
        <w:right w:val="none" w:sz="0" w:space="0" w:color="auto"/>
      </w:divBdr>
    </w:div>
    <w:div w:id="1259218218">
      <w:marLeft w:val="0"/>
      <w:marRight w:val="0"/>
      <w:marTop w:val="200"/>
      <w:marBottom w:val="0"/>
      <w:divBdr>
        <w:top w:val="none" w:sz="0" w:space="0" w:color="auto"/>
        <w:left w:val="none" w:sz="0" w:space="0" w:color="auto"/>
        <w:bottom w:val="none" w:sz="0" w:space="0" w:color="auto"/>
        <w:right w:val="none" w:sz="0" w:space="0" w:color="auto"/>
      </w:divBdr>
    </w:div>
    <w:div w:id="1262375363">
      <w:marLeft w:val="0"/>
      <w:marRight w:val="0"/>
      <w:marTop w:val="120"/>
      <w:marBottom w:val="0"/>
      <w:divBdr>
        <w:top w:val="none" w:sz="0" w:space="0" w:color="auto"/>
        <w:left w:val="none" w:sz="0" w:space="0" w:color="auto"/>
        <w:bottom w:val="none" w:sz="0" w:space="0" w:color="auto"/>
        <w:right w:val="none" w:sz="0" w:space="0" w:color="auto"/>
      </w:divBdr>
    </w:div>
    <w:div w:id="1265651350">
      <w:marLeft w:val="0"/>
      <w:marRight w:val="0"/>
      <w:marTop w:val="200"/>
      <w:marBottom w:val="0"/>
      <w:divBdr>
        <w:top w:val="none" w:sz="0" w:space="0" w:color="auto"/>
        <w:left w:val="none" w:sz="0" w:space="0" w:color="auto"/>
        <w:bottom w:val="none" w:sz="0" w:space="0" w:color="auto"/>
        <w:right w:val="none" w:sz="0" w:space="0" w:color="auto"/>
      </w:divBdr>
    </w:div>
    <w:div w:id="1266575368">
      <w:marLeft w:val="0"/>
      <w:marRight w:val="0"/>
      <w:marTop w:val="200"/>
      <w:marBottom w:val="0"/>
      <w:divBdr>
        <w:top w:val="none" w:sz="0" w:space="0" w:color="auto"/>
        <w:left w:val="none" w:sz="0" w:space="0" w:color="auto"/>
        <w:bottom w:val="none" w:sz="0" w:space="0" w:color="auto"/>
        <w:right w:val="none" w:sz="0" w:space="0" w:color="auto"/>
      </w:divBdr>
    </w:div>
    <w:div w:id="1266815099">
      <w:marLeft w:val="0"/>
      <w:marRight w:val="0"/>
      <w:marTop w:val="200"/>
      <w:marBottom w:val="0"/>
      <w:divBdr>
        <w:top w:val="none" w:sz="0" w:space="0" w:color="auto"/>
        <w:left w:val="none" w:sz="0" w:space="0" w:color="auto"/>
        <w:bottom w:val="none" w:sz="0" w:space="0" w:color="auto"/>
        <w:right w:val="none" w:sz="0" w:space="0" w:color="auto"/>
      </w:divBdr>
    </w:div>
    <w:div w:id="1270550679">
      <w:marLeft w:val="0"/>
      <w:marRight w:val="0"/>
      <w:marTop w:val="200"/>
      <w:marBottom w:val="0"/>
      <w:divBdr>
        <w:top w:val="none" w:sz="0" w:space="0" w:color="auto"/>
        <w:left w:val="none" w:sz="0" w:space="0" w:color="auto"/>
        <w:bottom w:val="none" w:sz="0" w:space="0" w:color="auto"/>
        <w:right w:val="none" w:sz="0" w:space="0" w:color="auto"/>
      </w:divBdr>
    </w:div>
    <w:div w:id="1275870075">
      <w:marLeft w:val="0"/>
      <w:marRight w:val="0"/>
      <w:marTop w:val="120"/>
      <w:marBottom w:val="0"/>
      <w:divBdr>
        <w:top w:val="none" w:sz="0" w:space="0" w:color="auto"/>
        <w:left w:val="none" w:sz="0" w:space="0" w:color="auto"/>
        <w:bottom w:val="none" w:sz="0" w:space="0" w:color="auto"/>
        <w:right w:val="none" w:sz="0" w:space="0" w:color="auto"/>
      </w:divBdr>
    </w:div>
    <w:div w:id="1276406686">
      <w:marLeft w:val="0"/>
      <w:marRight w:val="0"/>
      <w:marTop w:val="210"/>
      <w:marBottom w:val="0"/>
      <w:divBdr>
        <w:top w:val="none" w:sz="0" w:space="0" w:color="auto"/>
        <w:left w:val="none" w:sz="0" w:space="0" w:color="auto"/>
        <w:bottom w:val="none" w:sz="0" w:space="0" w:color="auto"/>
        <w:right w:val="none" w:sz="0" w:space="0" w:color="auto"/>
      </w:divBdr>
    </w:div>
    <w:div w:id="1276592453">
      <w:marLeft w:val="0"/>
      <w:marRight w:val="0"/>
      <w:marTop w:val="120"/>
      <w:marBottom w:val="0"/>
      <w:divBdr>
        <w:top w:val="none" w:sz="0" w:space="0" w:color="auto"/>
        <w:left w:val="none" w:sz="0" w:space="0" w:color="auto"/>
        <w:bottom w:val="none" w:sz="0" w:space="0" w:color="auto"/>
        <w:right w:val="none" w:sz="0" w:space="0" w:color="auto"/>
      </w:divBdr>
    </w:div>
    <w:div w:id="1277177859">
      <w:marLeft w:val="0"/>
      <w:marRight w:val="0"/>
      <w:marTop w:val="360"/>
      <w:marBottom w:val="0"/>
      <w:divBdr>
        <w:top w:val="none" w:sz="0" w:space="0" w:color="auto"/>
        <w:left w:val="none" w:sz="0" w:space="0" w:color="auto"/>
        <w:bottom w:val="none" w:sz="0" w:space="0" w:color="auto"/>
        <w:right w:val="none" w:sz="0" w:space="0" w:color="auto"/>
      </w:divBdr>
    </w:div>
    <w:div w:id="1277448614">
      <w:marLeft w:val="0"/>
      <w:marRight w:val="0"/>
      <w:marTop w:val="360"/>
      <w:marBottom w:val="0"/>
      <w:divBdr>
        <w:top w:val="none" w:sz="0" w:space="0" w:color="auto"/>
        <w:left w:val="none" w:sz="0" w:space="0" w:color="auto"/>
        <w:bottom w:val="none" w:sz="0" w:space="0" w:color="auto"/>
        <w:right w:val="none" w:sz="0" w:space="0" w:color="auto"/>
      </w:divBdr>
    </w:div>
    <w:div w:id="1283729950">
      <w:marLeft w:val="0"/>
      <w:marRight w:val="0"/>
      <w:marTop w:val="0"/>
      <w:marBottom w:val="0"/>
      <w:divBdr>
        <w:top w:val="none" w:sz="0" w:space="0" w:color="auto"/>
        <w:left w:val="none" w:sz="0" w:space="0" w:color="auto"/>
        <w:bottom w:val="none" w:sz="0" w:space="0" w:color="auto"/>
        <w:right w:val="none" w:sz="0" w:space="0" w:color="auto"/>
      </w:divBdr>
    </w:div>
    <w:div w:id="1284577382">
      <w:marLeft w:val="0"/>
      <w:marRight w:val="0"/>
      <w:marTop w:val="200"/>
      <w:marBottom w:val="0"/>
      <w:divBdr>
        <w:top w:val="none" w:sz="0" w:space="0" w:color="auto"/>
        <w:left w:val="none" w:sz="0" w:space="0" w:color="auto"/>
        <w:bottom w:val="none" w:sz="0" w:space="0" w:color="auto"/>
        <w:right w:val="none" w:sz="0" w:space="0" w:color="auto"/>
      </w:divBdr>
    </w:div>
    <w:div w:id="1284579373">
      <w:marLeft w:val="0"/>
      <w:marRight w:val="0"/>
      <w:marTop w:val="210"/>
      <w:marBottom w:val="0"/>
      <w:divBdr>
        <w:top w:val="none" w:sz="0" w:space="0" w:color="auto"/>
        <w:left w:val="none" w:sz="0" w:space="0" w:color="auto"/>
        <w:bottom w:val="none" w:sz="0" w:space="0" w:color="auto"/>
        <w:right w:val="none" w:sz="0" w:space="0" w:color="auto"/>
      </w:divBdr>
    </w:div>
    <w:div w:id="1286621118">
      <w:marLeft w:val="0"/>
      <w:marRight w:val="0"/>
      <w:marTop w:val="200"/>
      <w:marBottom w:val="0"/>
      <w:divBdr>
        <w:top w:val="none" w:sz="0" w:space="0" w:color="auto"/>
        <w:left w:val="none" w:sz="0" w:space="0" w:color="auto"/>
        <w:bottom w:val="none" w:sz="0" w:space="0" w:color="auto"/>
        <w:right w:val="none" w:sz="0" w:space="0" w:color="auto"/>
      </w:divBdr>
    </w:div>
    <w:div w:id="1288506811">
      <w:marLeft w:val="0"/>
      <w:marRight w:val="0"/>
      <w:marTop w:val="210"/>
      <w:marBottom w:val="0"/>
      <w:divBdr>
        <w:top w:val="none" w:sz="0" w:space="0" w:color="auto"/>
        <w:left w:val="none" w:sz="0" w:space="0" w:color="auto"/>
        <w:bottom w:val="none" w:sz="0" w:space="0" w:color="auto"/>
        <w:right w:val="none" w:sz="0" w:space="0" w:color="auto"/>
      </w:divBdr>
    </w:div>
    <w:div w:id="1288973564">
      <w:marLeft w:val="0"/>
      <w:marRight w:val="0"/>
      <w:marTop w:val="200"/>
      <w:marBottom w:val="0"/>
      <w:divBdr>
        <w:top w:val="none" w:sz="0" w:space="0" w:color="auto"/>
        <w:left w:val="none" w:sz="0" w:space="0" w:color="auto"/>
        <w:bottom w:val="none" w:sz="0" w:space="0" w:color="auto"/>
        <w:right w:val="none" w:sz="0" w:space="0" w:color="auto"/>
      </w:divBdr>
    </w:div>
    <w:div w:id="1289355895">
      <w:marLeft w:val="0"/>
      <w:marRight w:val="0"/>
      <w:marTop w:val="120"/>
      <w:marBottom w:val="0"/>
      <w:divBdr>
        <w:top w:val="none" w:sz="0" w:space="0" w:color="auto"/>
        <w:left w:val="none" w:sz="0" w:space="0" w:color="auto"/>
        <w:bottom w:val="none" w:sz="0" w:space="0" w:color="auto"/>
        <w:right w:val="none" w:sz="0" w:space="0" w:color="auto"/>
      </w:divBdr>
    </w:div>
    <w:div w:id="1291742380">
      <w:marLeft w:val="0"/>
      <w:marRight w:val="0"/>
      <w:marTop w:val="200"/>
      <w:marBottom w:val="0"/>
      <w:divBdr>
        <w:top w:val="none" w:sz="0" w:space="0" w:color="auto"/>
        <w:left w:val="none" w:sz="0" w:space="0" w:color="auto"/>
        <w:bottom w:val="none" w:sz="0" w:space="0" w:color="auto"/>
        <w:right w:val="none" w:sz="0" w:space="0" w:color="auto"/>
      </w:divBdr>
    </w:div>
    <w:div w:id="1292008588">
      <w:marLeft w:val="0"/>
      <w:marRight w:val="0"/>
      <w:marTop w:val="120"/>
      <w:marBottom w:val="0"/>
      <w:divBdr>
        <w:top w:val="none" w:sz="0" w:space="0" w:color="auto"/>
        <w:left w:val="none" w:sz="0" w:space="0" w:color="auto"/>
        <w:bottom w:val="none" w:sz="0" w:space="0" w:color="auto"/>
        <w:right w:val="none" w:sz="0" w:space="0" w:color="auto"/>
      </w:divBdr>
    </w:div>
    <w:div w:id="1293097399">
      <w:marLeft w:val="0"/>
      <w:marRight w:val="0"/>
      <w:marTop w:val="200"/>
      <w:marBottom w:val="0"/>
      <w:divBdr>
        <w:top w:val="none" w:sz="0" w:space="0" w:color="auto"/>
        <w:left w:val="none" w:sz="0" w:space="0" w:color="auto"/>
        <w:bottom w:val="none" w:sz="0" w:space="0" w:color="auto"/>
        <w:right w:val="none" w:sz="0" w:space="0" w:color="auto"/>
      </w:divBdr>
    </w:div>
    <w:div w:id="1295912830">
      <w:marLeft w:val="0"/>
      <w:marRight w:val="0"/>
      <w:marTop w:val="120"/>
      <w:marBottom w:val="0"/>
      <w:divBdr>
        <w:top w:val="none" w:sz="0" w:space="0" w:color="auto"/>
        <w:left w:val="none" w:sz="0" w:space="0" w:color="auto"/>
        <w:bottom w:val="none" w:sz="0" w:space="0" w:color="auto"/>
        <w:right w:val="none" w:sz="0" w:space="0" w:color="auto"/>
      </w:divBdr>
    </w:div>
    <w:div w:id="1296570565">
      <w:marLeft w:val="0"/>
      <w:marRight w:val="0"/>
      <w:marTop w:val="200"/>
      <w:marBottom w:val="0"/>
      <w:divBdr>
        <w:top w:val="none" w:sz="0" w:space="0" w:color="auto"/>
        <w:left w:val="none" w:sz="0" w:space="0" w:color="auto"/>
        <w:bottom w:val="none" w:sz="0" w:space="0" w:color="auto"/>
        <w:right w:val="none" w:sz="0" w:space="0" w:color="auto"/>
      </w:divBdr>
    </w:div>
    <w:div w:id="1302266928">
      <w:marLeft w:val="0"/>
      <w:marRight w:val="0"/>
      <w:marTop w:val="360"/>
      <w:marBottom w:val="0"/>
      <w:divBdr>
        <w:top w:val="none" w:sz="0" w:space="0" w:color="auto"/>
        <w:left w:val="none" w:sz="0" w:space="0" w:color="auto"/>
        <w:bottom w:val="none" w:sz="0" w:space="0" w:color="auto"/>
        <w:right w:val="none" w:sz="0" w:space="0" w:color="auto"/>
      </w:divBdr>
    </w:div>
    <w:div w:id="1304845606">
      <w:marLeft w:val="0"/>
      <w:marRight w:val="0"/>
      <w:marTop w:val="200"/>
      <w:marBottom w:val="0"/>
      <w:divBdr>
        <w:top w:val="none" w:sz="0" w:space="0" w:color="auto"/>
        <w:left w:val="none" w:sz="0" w:space="0" w:color="auto"/>
        <w:bottom w:val="none" w:sz="0" w:space="0" w:color="auto"/>
        <w:right w:val="none" w:sz="0" w:space="0" w:color="auto"/>
      </w:divBdr>
    </w:div>
    <w:div w:id="1306935712">
      <w:marLeft w:val="0"/>
      <w:marRight w:val="0"/>
      <w:marTop w:val="210"/>
      <w:marBottom w:val="0"/>
      <w:divBdr>
        <w:top w:val="none" w:sz="0" w:space="0" w:color="auto"/>
        <w:left w:val="none" w:sz="0" w:space="0" w:color="auto"/>
        <w:bottom w:val="none" w:sz="0" w:space="0" w:color="auto"/>
        <w:right w:val="none" w:sz="0" w:space="0" w:color="auto"/>
      </w:divBdr>
    </w:div>
    <w:div w:id="1307852429">
      <w:marLeft w:val="0"/>
      <w:marRight w:val="0"/>
      <w:marTop w:val="0"/>
      <w:marBottom w:val="0"/>
      <w:divBdr>
        <w:top w:val="none" w:sz="0" w:space="0" w:color="auto"/>
        <w:left w:val="none" w:sz="0" w:space="0" w:color="auto"/>
        <w:bottom w:val="none" w:sz="0" w:space="0" w:color="auto"/>
        <w:right w:val="none" w:sz="0" w:space="0" w:color="auto"/>
      </w:divBdr>
      <w:divsChild>
        <w:div w:id="582686650">
          <w:marLeft w:val="0"/>
          <w:marRight w:val="0"/>
          <w:marTop w:val="0"/>
          <w:marBottom w:val="0"/>
          <w:divBdr>
            <w:top w:val="none" w:sz="0" w:space="0" w:color="auto"/>
            <w:left w:val="none" w:sz="0" w:space="0" w:color="auto"/>
            <w:bottom w:val="none" w:sz="0" w:space="0" w:color="auto"/>
            <w:right w:val="none" w:sz="0" w:space="0" w:color="auto"/>
          </w:divBdr>
        </w:div>
      </w:divsChild>
    </w:div>
    <w:div w:id="1308363251">
      <w:marLeft w:val="0"/>
      <w:marRight w:val="0"/>
      <w:marTop w:val="210"/>
      <w:marBottom w:val="0"/>
      <w:divBdr>
        <w:top w:val="none" w:sz="0" w:space="0" w:color="auto"/>
        <w:left w:val="none" w:sz="0" w:space="0" w:color="auto"/>
        <w:bottom w:val="none" w:sz="0" w:space="0" w:color="auto"/>
        <w:right w:val="none" w:sz="0" w:space="0" w:color="auto"/>
      </w:divBdr>
    </w:div>
    <w:div w:id="1308704752">
      <w:marLeft w:val="0"/>
      <w:marRight w:val="0"/>
      <w:marTop w:val="200"/>
      <w:marBottom w:val="0"/>
      <w:divBdr>
        <w:top w:val="none" w:sz="0" w:space="0" w:color="auto"/>
        <w:left w:val="none" w:sz="0" w:space="0" w:color="auto"/>
        <w:bottom w:val="none" w:sz="0" w:space="0" w:color="auto"/>
        <w:right w:val="none" w:sz="0" w:space="0" w:color="auto"/>
      </w:divBdr>
    </w:div>
    <w:div w:id="1308852093">
      <w:marLeft w:val="0"/>
      <w:marRight w:val="0"/>
      <w:marTop w:val="240"/>
      <w:marBottom w:val="0"/>
      <w:divBdr>
        <w:top w:val="none" w:sz="0" w:space="0" w:color="auto"/>
        <w:left w:val="none" w:sz="0" w:space="0" w:color="auto"/>
        <w:bottom w:val="none" w:sz="0" w:space="0" w:color="auto"/>
        <w:right w:val="none" w:sz="0" w:space="0" w:color="auto"/>
      </w:divBdr>
    </w:div>
    <w:div w:id="1312322444">
      <w:marLeft w:val="0"/>
      <w:marRight w:val="0"/>
      <w:marTop w:val="120"/>
      <w:marBottom w:val="0"/>
      <w:divBdr>
        <w:top w:val="none" w:sz="0" w:space="0" w:color="auto"/>
        <w:left w:val="none" w:sz="0" w:space="0" w:color="auto"/>
        <w:bottom w:val="none" w:sz="0" w:space="0" w:color="auto"/>
        <w:right w:val="none" w:sz="0" w:space="0" w:color="auto"/>
      </w:divBdr>
    </w:div>
    <w:div w:id="1312633531">
      <w:marLeft w:val="0"/>
      <w:marRight w:val="0"/>
      <w:marTop w:val="200"/>
      <w:marBottom w:val="0"/>
      <w:divBdr>
        <w:top w:val="none" w:sz="0" w:space="0" w:color="auto"/>
        <w:left w:val="none" w:sz="0" w:space="0" w:color="auto"/>
        <w:bottom w:val="none" w:sz="0" w:space="0" w:color="auto"/>
        <w:right w:val="none" w:sz="0" w:space="0" w:color="auto"/>
      </w:divBdr>
    </w:div>
    <w:div w:id="1313565576">
      <w:marLeft w:val="0"/>
      <w:marRight w:val="0"/>
      <w:marTop w:val="200"/>
      <w:marBottom w:val="0"/>
      <w:divBdr>
        <w:top w:val="none" w:sz="0" w:space="0" w:color="auto"/>
        <w:left w:val="none" w:sz="0" w:space="0" w:color="auto"/>
        <w:bottom w:val="none" w:sz="0" w:space="0" w:color="auto"/>
        <w:right w:val="none" w:sz="0" w:space="0" w:color="auto"/>
      </w:divBdr>
    </w:div>
    <w:div w:id="1314673336">
      <w:marLeft w:val="0"/>
      <w:marRight w:val="0"/>
      <w:marTop w:val="200"/>
      <w:marBottom w:val="0"/>
      <w:divBdr>
        <w:top w:val="none" w:sz="0" w:space="0" w:color="auto"/>
        <w:left w:val="none" w:sz="0" w:space="0" w:color="auto"/>
        <w:bottom w:val="none" w:sz="0" w:space="0" w:color="auto"/>
        <w:right w:val="none" w:sz="0" w:space="0" w:color="auto"/>
      </w:divBdr>
    </w:div>
    <w:div w:id="1318462392">
      <w:marLeft w:val="0"/>
      <w:marRight w:val="0"/>
      <w:marTop w:val="120"/>
      <w:marBottom w:val="0"/>
      <w:divBdr>
        <w:top w:val="none" w:sz="0" w:space="0" w:color="auto"/>
        <w:left w:val="none" w:sz="0" w:space="0" w:color="auto"/>
        <w:bottom w:val="none" w:sz="0" w:space="0" w:color="auto"/>
        <w:right w:val="none" w:sz="0" w:space="0" w:color="auto"/>
      </w:divBdr>
    </w:div>
    <w:div w:id="1320310995">
      <w:marLeft w:val="0"/>
      <w:marRight w:val="0"/>
      <w:marTop w:val="200"/>
      <w:marBottom w:val="0"/>
      <w:divBdr>
        <w:top w:val="none" w:sz="0" w:space="0" w:color="auto"/>
        <w:left w:val="none" w:sz="0" w:space="0" w:color="auto"/>
        <w:bottom w:val="none" w:sz="0" w:space="0" w:color="auto"/>
        <w:right w:val="none" w:sz="0" w:space="0" w:color="auto"/>
      </w:divBdr>
    </w:div>
    <w:div w:id="1320646150">
      <w:marLeft w:val="0"/>
      <w:marRight w:val="0"/>
      <w:marTop w:val="210"/>
      <w:marBottom w:val="0"/>
      <w:divBdr>
        <w:top w:val="none" w:sz="0" w:space="0" w:color="auto"/>
        <w:left w:val="none" w:sz="0" w:space="0" w:color="auto"/>
        <w:bottom w:val="none" w:sz="0" w:space="0" w:color="auto"/>
        <w:right w:val="none" w:sz="0" w:space="0" w:color="auto"/>
      </w:divBdr>
    </w:div>
    <w:div w:id="1320843646">
      <w:marLeft w:val="0"/>
      <w:marRight w:val="0"/>
      <w:marTop w:val="360"/>
      <w:marBottom w:val="0"/>
      <w:divBdr>
        <w:top w:val="none" w:sz="0" w:space="0" w:color="auto"/>
        <w:left w:val="none" w:sz="0" w:space="0" w:color="auto"/>
        <w:bottom w:val="none" w:sz="0" w:space="0" w:color="auto"/>
        <w:right w:val="none" w:sz="0" w:space="0" w:color="auto"/>
      </w:divBdr>
    </w:div>
    <w:div w:id="1321543370">
      <w:marLeft w:val="0"/>
      <w:marRight w:val="0"/>
      <w:marTop w:val="200"/>
      <w:marBottom w:val="0"/>
      <w:divBdr>
        <w:top w:val="none" w:sz="0" w:space="0" w:color="auto"/>
        <w:left w:val="none" w:sz="0" w:space="0" w:color="auto"/>
        <w:bottom w:val="none" w:sz="0" w:space="0" w:color="auto"/>
        <w:right w:val="none" w:sz="0" w:space="0" w:color="auto"/>
      </w:divBdr>
    </w:div>
    <w:div w:id="1323661750">
      <w:marLeft w:val="0"/>
      <w:marRight w:val="0"/>
      <w:marTop w:val="200"/>
      <w:marBottom w:val="0"/>
      <w:divBdr>
        <w:top w:val="none" w:sz="0" w:space="0" w:color="auto"/>
        <w:left w:val="none" w:sz="0" w:space="0" w:color="auto"/>
        <w:bottom w:val="none" w:sz="0" w:space="0" w:color="auto"/>
        <w:right w:val="none" w:sz="0" w:space="0" w:color="auto"/>
      </w:divBdr>
    </w:div>
    <w:div w:id="1326132909">
      <w:marLeft w:val="0"/>
      <w:marRight w:val="0"/>
      <w:marTop w:val="0"/>
      <w:marBottom w:val="0"/>
      <w:divBdr>
        <w:top w:val="none" w:sz="0" w:space="0" w:color="auto"/>
        <w:left w:val="none" w:sz="0" w:space="0" w:color="auto"/>
        <w:bottom w:val="none" w:sz="0" w:space="0" w:color="auto"/>
        <w:right w:val="none" w:sz="0" w:space="0" w:color="auto"/>
      </w:divBdr>
      <w:divsChild>
        <w:div w:id="1480808800">
          <w:marLeft w:val="0"/>
          <w:marRight w:val="0"/>
          <w:marTop w:val="0"/>
          <w:marBottom w:val="0"/>
          <w:divBdr>
            <w:top w:val="none" w:sz="0" w:space="0" w:color="auto"/>
            <w:left w:val="none" w:sz="0" w:space="0" w:color="auto"/>
            <w:bottom w:val="none" w:sz="0" w:space="0" w:color="auto"/>
            <w:right w:val="none" w:sz="0" w:space="0" w:color="auto"/>
          </w:divBdr>
        </w:div>
      </w:divsChild>
    </w:div>
    <w:div w:id="1329554864">
      <w:marLeft w:val="0"/>
      <w:marRight w:val="0"/>
      <w:marTop w:val="240"/>
      <w:marBottom w:val="0"/>
      <w:divBdr>
        <w:top w:val="none" w:sz="0" w:space="0" w:color="auto"/>
        <w:left w:val="none" w:sz="0" w:space="0" w:color="auto"/>
        <w:bottom w:val="none" w:sz="0" w:space="0" w:color="auto"/>
        <w:right w:val="none" w:sz="0" w:space="0" w:color="auto"/>
      </w:divBdr>
    </w:div>
    <w:div w:id="1332413880">
      <w:marLeft w:val="0"/>
      <w:marRight w:val="0"/>
      <w:marTop w:val="120"/>
      <w:marBottom w:val="0"/>
      <w:divBdr>
        <w:top w:val="none" w:sz="0" w:space="0" w:color="auto"/>
        <w:left w:val="none" w:sz="0" w:space="0" w:color="auto"/>
        <w:bottom w:val="none" w:sz="0" w:space="0" w:color="auto"/>
        <w:right w:val="none" w:sz="0" w:space="0" w:color="auto"/>
      </w:divBdr>
    </w:div>
    <w:div w:id="1334139872">
      <w:marLeft w:val="0"/>
      <w:marRight w:val="0"/>
      <w:marTop w:val="0"/>
      <w:marBottom w:val="0"/>
      <w:divBdr>
        <w:top w:val="none" w:sz="0" w:space="0" w:color="auto"/>
        <w:left w:val="none" w:sz="0" w:space="0" w:color="auto"/>
        <w:bottom w:val="none" w:sz="0" w:space="0" w:color="auto"/>
        <w:right w:val="none" w:sz="0" w:space="0" w:color="auto"/>
      </w:divBdr>
      <w:divsChild>
        <w:div w:id="1668097385">
          <w:marLeft w:val="0"/>
          <w:marRight w:val="0"/>
          <w:marTop w:val="0"/>
          <w:marBottom w:val="0"/>
          <w:divBdr>
            <w:top w:val="none" w:sz="0" w:space="0" w:color="auto"/>
            <w:left w:val="none" w:sz="0" w:space="0" w:color="auto"/>
            <w:bottom w:val="none" w:sz="0" w:space="0" w:color="auto"/>
            <w:right w:val="none" w:sz="0" w:space="0" w:color="auto"/>
          </w:divBdr>
        </w:div>
      </w:divsChild>
    </w:div>
    <w:div w:id="1337029502">
      <w:marLeft w:val="0"/>
      <w:marRight w:val="0"/>
      <w:marTop w:val="200"/>
      <w:marBottom w:val="0"/>
      <w:divBdr>
        <w:top w:val="none" w:sz="0" w:space="0" w:color="auto"/>
        <w:left w:val="none" w:sz="0" w:space="0" w:color="auto"/>
        <w:bottom w:val="none" w:sz="0" w:space="0" w:color="auto"/>
        <w:right w:val="none" w:sz="0" w:space="0" w:color="auto"/>
      </w:divBdr>
    </w:div>
    <w:div w:id="1339502150">
      <w:marLeft w:val="0"/>
      <w:marRight w:val="0"/>
      <w:marTop w:val="0"/>
      <w:marBottom w:val="0"/>
      <w:divBdr>
        <w:top w:val="none" w:sz="0" w:space="0" w:color="auto"/>
        <w:left w:val="none" w:sz="0" w:space="0" w:color="auto"/>
        <w:bottom w:val="none" w:sz="0" w:space="0" w:color="auto"/>
        <w:right w:val="none" w:sz="0" w:space="0" w:color="auto"/>
      </w:divBdr>
    </w:div>
    <w:div w:id="1340934226">
      <w:marLeft w:val="0"/>
      <w:marRight w:val="0"/>
      <w:marTop w:val="0"/>
      <w:marBottom w:val="0"/>
      <w:divBdr>
        <w:top w:val="none" w:sz="0" w:space="0" w:color="auto"/>
        <w:left w:val="none" w:sz="0" w:space="0" w:color="auto"/>
        <w:bottom w:val="none" w:sz="0" w:space="0" w:color="auto"/>
        <w:right w:val="none" w:sz="0" w:space="0" w:color="auto"/>
      </w:divBdr>
      <w:divsChild>
        <w:div w:id="648822880">
          <w:marLeft w:val="0"/>
          <w:marRight w:val="0"/>
          <w:marTop w:val="0"/>
          <w:marBottom w:val="0"/>
          <w:divBdr>
            <w:top w:val="none" w:sz="0" w:space="0" w:color="auto"/>
            <w:left w:val="none" w:sz="0" w:space="0" w:color="auto"/>
            <w:bottom w:val="none" w:sz="0" w:space="0" w:color="auto"/>
            <w:right w:val="none" w:sz="0" w:space="0" w:color="auto"/>
          </w:divBdr>
        </w:div>
      </w:divsChild>
    </w:div>
    <w:div w:id="1347903092">
      <w:marLeft w:val="0"/>
      <w:marRight w:val="0"/>
      <w:marTop w:val="0"/>
      <w:marBottom w:val="0"/>
      <w:divBdr>
        <w:top w:val="none" w:sz="0" w:space="0" w:color="auto"/>
        <w:left w:val="none" w:sz="0" w:space="0" w:color="auto"/>
        <w:bottom w:val="none" w:sz="0" w:space="0" w:color="auto"/>
        <w:right w:val="none" w:sz="0" w:space="0" w:color="auto"/>
      </w:divBdr>
    </w:div>
    <w:div w:id="1352141529">
      <w:marLeft w:val="0"/>
      <w:marRight w:val="0"/>
      <w:marTop w:val="360"/>
      <w:marBottom w:val="0"/>
      <w:divBdr>
        <w:top w:val="none" w:sz="0" w:space="0" w:color="auto"/>
        <w:left w:val="none" w:sz="0" w:space="0" w:color="auto"/>
        <w:bottom w:val="none" w:sz="0" w:space="0" w:color="auto"/>
        <w:right w:val="none" w:sz="0" w:space="0" w:color="auto"/>
      </w:divBdr>
    </w:div>
    <w:div w:id="1353070697">
      <w:marLeft w:val="0"/>
      <w:marRight w:val="0"/>
      <w:marTop w:val="200"/>
      <w:marBottom w:val="0"/>
      <w:divBdr>
        <w:top w:val="none" w:sz="0" w:space="0" w:color="auto"/>
        <w:left w:val="none" w:sz="0" w:space="0" w:color="auto"/>
        <w:bottom w:val="none" w:sz="0" w:space="0" w:color="auto"/>
        <w:right w:val="none" w:sz="0" w:space="0" w:color="auto"/>
      </w:divBdr>
    </w:div>
    <w:div w:id="1356806801">
      <w:marLeft w:val="0"/>
      <w:marRight w:val="0"/>
      <w:marTop w:val="200"/>
      <w:marBottom w:val="0"/>
      <w:divBdr>
        <w:top w:val="none" w:sz="0" w:space="0" w:color="auto"/>
        <w:left w:val="none" w:sz="0" w:space="0" w:color="auto"/>
        <w:bottom w:val="none" w:sz="0" w:space="0" w:color="auto"/>
        <w:right w:val="none" w:sz="0" w:space="0" w:color="auto"/>
      </w:divBdr>
    </w:div>
    <w:div w:id="1362780069">
      <w:marLeft w:val="0"/>
      <w:marRight w:val="0"/>
      <w:marTop w:val="0"/>
      <w:marBottom w:val="0"/>
      <w:divBdr>
        <w:top w:val="none" w:sz="0" w:space="0" w:color="auto"/>
        <w:left w:val="none" w:sz="0" w:space="0" w:color="auto"/>
        <w:bottom w:val="none" w:sz="0" w:space="0" w:color="auto"/>
        <w:right w:val="none" w:sz="0" w:space="0" w:color="auto"/>
      </w:divBdr>
      <w:divsChild>
        <w:div w:id="2096169552">
          <w:marLeft w:val="0"/>
          <w:marRight w:val="0"/>
          <w:marTop w:val="0"/>
          <w:marBottom w:val="0"/>
          <w:divBdr>
            <w:top w:val="none" w:sz="0" w:space="0" w:color="auto"/>
            <w:left w:val="none" w:sz="0" w:space="0" w:color="auto"/>
            <w:bottom w:val="none" w:sz="0" w:space="0" w:color="auto"/>
            <w:right w:val="none" w:sz="0" w:space="0" w:color="auto"/>
          </w:divBdr>
        </w:div>
      </w:divsChild>
    </w:div>
    <w:div w:id="1369062939">
      <w:marLeft w:val="0"/>
      <w:marRight w:val="0"/>
      <w:marTop w:val="120"/>
      <w:marBottom w:val="0"/>
      <w:divBdr>
        <w:top w:val="none" w:sz="0" w:space="0" w:color="auto"/>
        <w:left w:val="none" w:sz="0" w:space="0" w:color="auto"/>
        <w:bottom w:val="none" w:sz="0" w:space="0" w:color="auto"/>
        <w:right w:val="none" w:sz="0" w:space="0" w:color="auto"/>
      </w:divBdr>
    </w:div>
    <w:div w:id="1371689489">
      <w:marLeft w:val="0"/>
      <w:marRight w:val="0"/>
      <w:marTop w:val="120"/>
      <w:marBottom w:val="0"/>
      <w:divBdr>
        <w:top w:val="none" w:sz="0" w:space="0" w:color="auto"/>
        <w:left w:val="none" w:sz="0" w:space="0" w:color="auto"/>
        <w:bottom w:val="none" w:sz="0" w:space="0" w:color="auto"/>
        <w:right w:val="none" w:sz="0" w:space="0" w:color="auto"/>
      </w:divBdr>
    </w:div>
    <w:div w:id="1375346666">
      <w:marLeft w:val="0"/>
      <w:marRight w:val="0"/>
      <w:marTop w:val="200"/>
      <w:marBottom w:val="0"/>
      <w:divBdr>
        <w:top w:val="none" w:sz="0" w:space="0" w:color="auto"/>
        <w:left w:val="none" w:sz="0" w:space="0" w:color="auto"/>
        <w:bottom w:val="none" w:sz="0" w:space="0" w:color="auto"/>
        <w:right w:val="none" w:sz="0" w:space="0" w:color="auto"/>
      </w:divBdr>
    </w:div>
    <w:div w:id="1379161195">
      <w:marLeft w:val="0"/>
      <w:marRight w:val="0"/>
      <w:marTop w:val="210"/>
      <w:marBottom w:val="0"/>
      <w:divBdr>
        <w:top w:val="none" w:sz="0" w:space="0" w:color="auto"/>
        <w:left w:val="none" w:sz="0" w:space="0" w:color="auto"/>
        <w:bottom w:val="none" w:sz="0" w:space="0" w:color="auto"/>
        <w:right w:val="none" w:sz="0" w:space="0" w:color="auto"/>
      </w:divBdr>
    </w:div>
    <w:div w:id="1379890544">
      <w:marLeft w:val="0"/>
      <w:marRight w:val="0"/>
      <w:marTop w:val="240"/>
      <w:marBottom w:val="0"/>
      <w:divBdr>
        <w:top w:val="none" w:sz="0" w:space="0" w:color="auto"/>
        <w:left w:val="none" w:sz="0" w:space="0" w:color="auto"/>
        <w:bottom w:val="none" w:sz="0" w:space="0" w:color="auto"/>
        <w:right w:val="none" w:sz="0" w:space="0" w:color="auto"/>
      </w:divBdr>
    </w:div>
    <w:div w:id="1383165417">
      <w:marLeft w:val="0"/>
      <w:marRight w:val="0"/>
      <w:marTop w:val="240"/>
      <w:marBottom w:val="0"/>
      <w:divBdr>
        <w:top w:val="none" w:sz="0" w:space="0" w:color="auto"/>
        <w:left w:val="none" w:sz="0" w:space="0" w:color="auto"/>
        <w:bottom w:val="none" w:sz="0" w:space="0" w:color="auto"/>
        <w:right w:val="none" w:sz="0" w:space="0" w:color="auto"/>
      </w:divBdr>
    </w:div>
    <w:div w:id="1384594099">
      <w:marLeft w:val="0"/>
      <w:marRight w:val="0"/>
      <w:marTop w:val="200"/>
      <w:marBottom w:val="0"/>
      <w:divBdr>
        <w:top w:val="none" w:sz="0" w:space="0" w:color="auto"/>
        <w:left w:val="none" w:sz="0" w:space="0" w:color="auto"/>
        <w:bottom w:val="none" w:sz="0" w:space="0" w:color="auto"/>
        <w:right w:val="none" w:sz="0" w:space="0" w:color="auto"/>
      </w:divBdr>
    </w:div>
    <w:div w:id="1385563721">
      <w:marLeft w:val="0"/>
      <w:marRight w:val="0"/>
      <w:marTop w:val="120"/>
      <w:marBottom w:val="0"/>
      <w:divBdr>
        <w:top w:val="none" w:sz="0" w:space="0" w:color="auto"/>
        <w:left w:val="none" w:sz="0" w:space="0" w:color="auto"/>
        <w:bottom w:val="none" w:sz="0" w:space="0" w:color="auto"/>
        <w:right w:val="none" w:sz="0" w:space="0" w:color="auto"/>
      </w:divBdr>
    </w:div>
    <w:div w:id="1386642594">
      <w:marLeft w:val="0"/>
      <w:marRight w:val="0"/>
      <w:marTop w:val="0"/>
      <w:marBottom w:val="0"/>
      <w:divBdr>
        <w:top w:val="none" w:sz="0" w:space="0" w:color="auto"/>
        <w:left w:val="none" w:sz="0" w:space="0" w:color="auto"/>
        <w:bottom w:val="none" w:sz="0" w:space="0" w:color="auto"/>
        <w:right w:val="none" w:sz="0" w:space="0" w:color="auto"/>
      </w:divBdr>
      <w:divsChild>
        <w:div w:id="1141002074">
          <w:marLeft w:val="0"/>
          <w:marRight w:val="0"/>
          <w:marTop w:val="0"/>
          <w:marBottom w:val="0"/>
          <w:divBdr>
            <w:top w:val="none" w:sz="0" w:space="0" w:color="auto"/>
            <w:left w:val="none" w:sz="0" w:space="0" w:color="auto"/>
            <w:bottom w:val="none" w:sz="0" w:space="0" w:color="auto"/>
            <w:right w:val="none" w:sz="0" w:space="0" w:color="auto"/>
          </w:divBdr>
        </w:div>
      </w:divsChild>
    </w:div>
    <w:div w:id="1391882665">
      <w:marLeft w:val="0"/>
      <w:marRight w:val="0"/>
      <w:marTop w:val="0"/>
      <w:marBottom w:val="0"/>
      <w:divBdr>
        <w:top w:val="none" w:sz="0" w:space="0" w:color="auto"/>
        <w:left w:val="none" w:sz="0" w:space="0" w:color="auto"/>
        <w:bottom w:val="none" w:sz="0" w:space="0" w:color="auto"/>
        <w:right w:val="none" w:sz="0" w:space="0" w:color="auto"/>
      </w:divBdr>
      <w:divsChild>
        <w:div w:id="1416390562">
          <w:marLeft w:val="0"/>
          <w:marRight w:val="0"/>
          <w:marTop w:val="0"/>
          <w:marBottom w:val="0"/>
          <w:divBdr>
            <w:top w:val="none" w:sz="0" w:space="0" w:color="auto"/>
            <w:left w:val="none" w:sz="0" w:space="0" w:color="auto"/>
            <w:bottom w:val="none" w:sz="0" w:space="0" w:color="auto"/>
            <w:right w:val="none" w:sz="0" w:space="0" w:color="auto"/>
          </w:divBdr>
        </w:div>
      </w:divsChild>
    </w:div>
    <w:div w:id="1394889162">
      <w:marLeft w:val="0"/>
      <w:marRight w:val="0"/>
      <w:marTop w:val="200"/>
      <w:marBottom w:val="0"/>
      <w:divBdr>
        <w:top w:val="none" w:sz="0" w:space="0" w:color="auto"/>
        <w:left w:val="none" w:sz="0" w:space="0" w:color="auto"/>
        <w:bottom w:val="none" w:sz="0" w:space="0" w:color="auto"/>
        <w:right w:val="none" w:sz="0" w:space="0" w:color="auto"/>
      </w:divBdr>
    </w:div>
    <w:div w:id="1395932272">
      <w:marLeft w:val="0"/>
      <w:marRight w:val="0"/>
      <w:marTop w:val="200"/>
      <w:marBottom w:val="0"/>
      <w:divBdr>
        <w:top w:val="none" w:sz="0" w:space="0" w:color="auto"/>
        <w:left w:val="none" w:sz="0" w:space="0" w:color="auto"/>
        <w:bottom w:val="none" w:sz="0" w:space="0" w:color="auto"/>
        <w:right w:val="none" w:sz="0" w:space="0" w:color="auto"/>
      </w:divBdr>
    </w:div>
    <w:div w:id="1399548278">
      <w:marLeft w:val="0"/>
      <w:marRight w:val="0"/>
      <w:marTop w:val="120"/>
      <w:marBottom w:val="0"/>
      <w:divBdr>
        <w:top w:val="none" w:sz="0" w:space="0" w:color="auto"/>
        <w:left w:val="none" w:sz="0" w:space="0" w:color="auto"/>
        <w:bottom w:val="none" w:sz="0" w:space="0" w:color="auto"/>
        <w:right w:val="none" w:sz="0" w:space="0" w:color="auto"/>
      </w:divBdr>
    </w:div>
    <w:div w:id="1401246262">
      <w:marLeft w:val="0"/>
      <w:marRight w:val="0"/>
      <w:marTop w:val="200"/>
      <w:marBottom w:val="0"/>
      <w:divBdr>
        <w:top w:val="none" w:sz="0" w:space="0" w:color="auto"/>
        <w:left w:val="none" w:sz="0" w:space="0" w:color="auto"/>
        <w:bottom w:val="none" w:sz="0" w:space="0" w:color="auto"/>
        <w:right w:val="none" w:sz="0" w:space="0" w:color="auto"/>
      </w:divBdr>
    </w:div>
    <w:div w:id="1402485287">
      <w:marLeft w:val="0"/>
      <w:marRight w:val="0"/>
      <w:marTop w:val="0"/>
      <w:marBottom w:val="0"/>
      <w:divBdr>
        <w:top w:val="none" w:sz="0" w:space="0" w:color="auto"/>
        <w:left w:val="none" w:sz="0" w:space="0" w:color="auto"/>
        <w:bottom w:val="none" w:sz="0" w:space="0" w:color="auto"/>
        <w:right w:val="none" w:sz="0" w:space="0" w:color="auto"/>
      </w:divBdr>
      <w:divsChild>
        <w:div w:id="1160924981">
          <w:marLeft w:val="0"/>
          <w:marRight w:val="0"/>
          <w:marTop w:val="0"/>
          <w:marBottom w:val="0"/>
          <w:divBdr>
            <w:top w:val="none" w:sz="0" w:space="0" w:color="auto"/>
            <w:left w:val="none" w:sz="0" w:space="0" w:color="auto"/>
            <w:bottom w:val="none" w:sz="0" w:space="0" w:color="auto"/>
            <w:right w:val="none" w:sz="0" w:space="0" w:color="auto"/>
          </w:divBdr>
        </w:div>
      </w:divsChild>
    </w:div>
    <w:div w:id="1402752993">
      <w:marLeft w:val="0"/>
      <w:marRight w:val="0"/>
      <w:marTop w:val="120"/>
      <w:marBottom w:val="0"/>
      <w:divBdr>
        <w:top w:val="none" w:sz="0" w:space="0" w:color="auto"/>
        <w:left w:val="none" w:sz="0" w:space="0" w:color="auto"/>
        <w:bottom w:val="none" w:sz="0" w:space="0" w:color="auto"/>
        <w:right w:val="none" w:sz="0" w:space="0" w:color="auto"/>
      </w:divBdr>
    </w:div>
    <w:div w:id="1404840865">
      <w:marLeft w:val="0"/>
      <w:marRight w:val="0"/>
      <w:marTop w:val="0"/>
      <w:marBottom w:val="0"/>
      <w:divBdr>
        <w:top w:val="none" w:sz="0" w:space="0" w:color="auto"/>
        <w:left w:val="none" w:sz="0" w:space="0" w:color="auto"/>
        <w:bottom w:val="none" w:sz="0" w:space="0" w:color="auto"/>
        <w:right w:val="none" w:sz="0" w:space="0" w:color="auto"/>
      </w:divBdr>
      <w:divsChild>
        <w:div w:id="1766686688">
          <w:marLeft w:val="0"/>
          <w:marRight w:val="0"/>
          <w:marTop w:val="0"/>
          <w:marBottom w:val="0"/>
          <w:divBdr>
            <w:top w:val="none" w:sz="0" w:space="0" w:color="auto"/>
            <w:left w:val="none" w:sz="0" w:space="0" w:color="auto"/>
            <w:bottom w:val="none" w:sz="0" w:space="0" w:color="auto"/>
            <w:right w:val="none" w:sz="0" w:space="0" w:color="auto"/>
          </w:divBdr>
        </w:div>
      </w:divsChild>
    </w:div>
    <w:div w:id="1412897118">
      <w:marLeft w:val="0"/>
      <w:marRight w:val="0"/>
      <w:marTop w:val="200"/>
      <w:marBottom w:val="0"/>
      <w:divBdr>
        <w:top w:val="none" w:sz="0" w:space="0" w:color="auto"/>
        <w:left w:val="none" w:sz="0" w:space="0" w:color="auto"/>
        <w:bottom w:val="none" w:sz="0" w:space="0" w:color="auto"/>
        <w:right w:val="none" w:sz="0" w:space="0" w:color="auto"/>
      </w:divBdr>
    </w:div>
    <w:div w:id="1412897824">
      <w:marLeft w:val="0"/>
      <w:marRight w:val="0"/>
      <w:marTop w:val="0"/>
      <w:marBottom w:val="0"/>
      <w:divBdr>
        <w:top w:val="none" w:sz="0" w:space="0" w:color="auto"/>
        <w:left w:val="none" w:sz="0" w:space="0" w:color="auto"/>
        <w:bottom w:val="none" w:sz="0" w:space="0" w:color="auto"/>
        <w:right w:val="none" w:sz="0" w:space="0" w:color="auto"/>
      </w:divBdr>
      <w:divsChild>
        <w:div w:id="1803116086">
          <w:marLeft w:val="0"/>
          <w:marRight w:val="0"/>
          <w:marTop w:val="0"/>
          <w:marBottom w:val="0"/>
          <w:divBdr>
            <w:top w:val="none" w:sz="0" w:space="0" w:color="auto"/>
            <w:left w:val="none" w:sz="0" w:space="0" w:color="auto"/>
            <w:bottom w:val="none" w:sz="0" w:space="0" w:color="auto"/>
            <w:right w:val="none" w:sz="0" w:space="0" w:color="auto"/>
          </w:divBdr>
        </w:div>
      </w:divsChild>
    </w:div>
    <w:div w:id="1417358038">
      <w:marLeft w:val="0"/>
      <w:marRight w:val="0"/>
      <w:marTop w:val="120"/>
      <w:marBottom w:val="0"/>
      <w:divBdr>
        <w:top w:val="none" w:sz="0" w:space="0" w:color="auto"/>
        <w:left w:val="none" w:sz="0" w:space="0" w:color="auto"/>
        <w:bottom w:val="none" w:sz="0" w:space="0" w:color="auto"/>
        <w:right w:val="none" w:sz="0" w:space="0" w:color="auto"/>
      </w:divBdr>
    </w:div>
    <w:div w:id="1417894574">
      <w:marLeft w:val="0"/>
      <w:marRight w:val="0"/>
      <w:marTop w:val="200"/>
      <w:marBottom w:val="0"/>
      <w:divBdr>
        <w:top w:val="none" w:sz="0" w:space="0" w:color="auto"/>
        <w:left w:val="none" w:sz="0" w:space="0" w:color="auto"/>
        <w:bottom w:val="none" w:sz="0" w:space="0" w:color="auto"/>
        <w:right w:val="none" w:sz="0" w:space="0" w:color="auto"/>
      </w:divBdr>
    </w:div>
    <w:div w:id="1418479892">
      <w:marLeft w:val="0"/>
      <w:marRight w:val="0"/>
      <w:marTop w:val="200"/>
      <w:marBottom w:val="0"/>
      <w:divBdr>
        <w:top w:val="none" w:sz="0" w:space="0" w:color="auto"/>
        <w:left w:val="none" w:sz="0" w:space="0" w:color="auto"/>
        <w:bottom w:val="none" w:sz="0" w:space="0" w:color="auto"/>
        <w:right w:val="none" w:sz="0" w:space="0" w:color="auto"/>
      </w:divBdr>
    </w:div>
    <w:div w:id="1421029004">
      <w:marLeft w:val="0"/>
      <w:marRight w:val="0"/>
      <w:marTop w:val="200"/>
      <w:marBottom w:val="0"/>
      <w:divBdr>
        <w:top w:val="none" w:sz="0" w:space="0" w:color="auto"/>
        <w:left w:val="none" w:sz="0" w:space="0" w:color="auto"/>
        <w:bottom w:val="none" w:sz="0" w:space="0" w:color="auto"/>
        <w:right w:val="none" w:sz="0" w:space="0" w:color="auto"/>
      </w:divBdr>
    </w:div>
    <w:div w:id="1424035954">
      <w:marLeft w:val="0"/>
      <w:marRight w:val="0"/>
      <w:marTop w:val="200"/>
      <w:marBottom w:val="0"/>
      <w:divBdr>
        <w:top w:val="none" w:sz="0" w:space="0" w:color="auto"/>
        <w:left w:val="none" w:sz="0" w:space="0" w:color="auto"/>
        <w:bottom w:val="none" w:sz="0" w:space="0" w:color="auto"/>
        <w:right w:val="none" w:sz="0" w:space="0" w:color="auto"/>
      </w:divBdr>
    </w:div>
    <w:div w:id="1424060949">
      <w:marLeft w:val="0"/>
      <w:marRight w:val="0"/>
      <w:marTop w:val="200"/>
      <w:marBottom w:val="0"/>
      <w:divBdr>
        <w:top w:val="none" w:sz="0" w:space="0" w:color="auto"/>
        <w:left w:val="none" w:sz="0" w:space="0" w:color="auto"/>
        <w:bottom w:val="none" w:sz="0" w:space="0" w:color="auto"/>
        <w:right w:val="none" w:sz="0" w:space="0" w:color="auto"/>
      </w:divBdr>
    </w:div>
    <w:div w:id="1425297359">
      <w:marLeft w:val="0"/>
      <w:marRight w:val="0"/>
      <w:marTop w:val="360"/>
      <w:marBottom w:val="0"/>
      <w:divBdr>
        <w:top w:val="none" w:sz="0" w:space="0" w:color="auto"/>
        <w:left w:val="none" w:sz="0" w:space="0" w:color="auto"/>
        <w:bottom w:val="none" w:sz="0" w:space="0" w:color="auto"/>
        <w:right w:val="none" w:sz="0" w:space="0" w:color="auto"/>
      </w:divBdr>
    </w:div>
    <w:div w:id="1431002207">
      <w:marLeft w:val="0"/>
      <w:marRight w:val="0"/>
      <w:marTop w:val="200"/>
      <w:marBottom w:val="0"/>
      <w:divBdr>
        <w:top w:val="none" w:sz="0" w:space="0" w:color="auto"/>
        <w:left w:val="none" w:sz="0" w:space="0" w:color="auto"/>
        <w:bottom w:val="none" w:sz="0" w:space="0" w:color="auto"/>
        <w:right w:val="none" w:sz="0" w:space="0" w:color="auto"/>
      </w:divBdr>
    </w:div>
    <w:div w:id="1434714399">
      <w:marLeft w:val="0"/>
      <w:marRight w:val="0"/>
      <w:marTop w:val="0"/>
      <w:marBottom w:val="0"/>
      <w:divBdr>
        <w:top w:val="none" w:sz="0" w:space="0" w:color="auto"/>
        <w:left w:val="none" w:sz="0" w:space="0" w:color="auto"/>
        <w:bottom w:val="none" w:sz="0" w:space="0" w:color="auto"/>
        <w:right w:val="none" w:sz="0" w:space="0" w:color="auto"/>
      </w:divBdr>
      <w:divsChild>
        <w:div w:id="1982153822">
          <w:marLeft w:val="0"/>
          <w:marRight w:val="0"/>
          <w:marTop w:val="0"/>
          <w:marBottom w:val="0"/>
          <w:divBdr>
            <w:top w:val="none" w:sz="0" w:space="0" w:color="auto"/>
            <w:left w:val="none" w:sz="0" w:space="0" w:color="auto"/>
            <w:bottom w:val="none" w:sz="0" w:space="0" w:color="auto"/>
            <w:right w:val="none" w:sz="0" w:space="0" w:color="auto"/>
          </w:divBdr>
        </w:div>
      </w:divsChild>
    </w:div>
    <w:div w:id="1437217330">
      <w:marLeft w:val="0"/>
      <w:marRight w:val="0"/>
      <w:marTop w:val="120"/>
      <w:marBottom w:val="0"/>
      <w:divBdr>
        <w:top w:val="none" w:sz="0" w:space="0" w:color="auto"/>
        <w:left w:val="none" w:sz="0" w:space="0" w:color="auto"/>
        <w:bottom w:val="none" w:sz="0" w:space="0" w:color="auto"/>
        <w:right w:val="none" w:sz="0" w:space="0" w:color="auto"/>
      </w:divBdr>
    </w:div>
    <w:div w:id="1440953430">
      <w:marLeft w:val="0"/>
      <w:marRight w:val="0"/>
      <w:marTop w:val="200"/>
      <w:marBottom w:val="0"/>
      <w:divBdr>
        <w:top w:val="none" w:sz="0" w:space="0" w:color="auto"/>
        <w:left w:val="none" w:sz="0" w:space="0" w:color="auto"/>
        <w:bottom w:val="none" w:sz="0" w:space="0" w:color="auto"/>
        <w:right w:val="none" w:sz="0" w:space="0" w:color="auto"/>
      </w:divBdr>
    </w:div>
    <w:div w:id="1441491236">
      <w:marLeft w:val="0"/>
      <w:marRight w:val="0"/>
      <w:marTop w:val="0"/>
      <w:marBottom w:val="0"/>
      <w:divBdr>
        <w:top w:val="none" w:sz="0" w:space="0" w:color="auto"/>
        <w:left w:val="none" w:sz="0" w:space="0" w:color="auto"/>
        <w:bottom w:val="none" w:sz="0" w:space="0" w:color="auto"/>
        <w:right w:val="none" w:sz="0" w:space="0" w:color="auto"/>
      </w:divBdr>
      <w:divsChild>
        <w:div w:id="820653094">
          <w:marLeft w:val="0"/>
          <w:marRight w:val="0"/>
          <w:marTop w:val="0"/>
          <w:marBottom w:val="0"/>
          <w:divBdr>
            <w:top w:val="none" w:sz="0" w:space="0" w:color="auto"/>
            <w:left w:val="none" w:sz="0" w:space="0" w:color="auto"/>
            <w:bottom w:val="none" w:sz="0" w:space="0" w:color="auto"/>
            <w:right w:val="none" w:sz="0" w:space="0" w:color="auto"/>
          </w:divBdr>
        </w:div>
      </w:divsChild>
    </w:div>
    <w:div w:id="1444762458">
      <w:marLeft w:val="0"/>
      <w:marRight w:val="0"/>
      <w:marTop w:val="360"/>
      <w:marBottom w:val="0"/>
      <w:divBdr>
        <w:top w:val="none" w:sz="0" w:space="0" w:color="auto"/>
        <w:left w:val="none" w:sz="0" w:space="0" w:color="auto"/>
        <w:bottom w:val="none" w:sz="0" w:space="0" w:color="auto"/>
        <w:right w:val="none" w:sz="0" w:space="0" w:color="auto"/>
      </w:divBdr>
    </w:div>
    <w:div w:id="1452824448">
      <w:marLeft w:val="0"/>
      <w:marRight w:val="0"/>
      <w:marTop w:val="200"/>
      <w:marBottom w:val="0"/>
      <w:divBdr>
        <w:top w:val="none" w:sz="0" w:space="0" w:color="auto"/>
        <w:left w:val="none" w:sz="0" w:space="0" w:color="auto"/>
        <w:bottom w:val="none" w:sz="0" w:space="0" w:color="auto"/>
        <w:right w:val="none" w:sz="0" w:space="0" w:color="auto"/>
      </w:divBdr>
    </w:div>
    <w:div w:id="1453331150">
      <w:marLeft w:val="0"/>
      <w:marRight w:val="0"/>
      <w:marTop w:val="360"/>
      <w:marBottom w:val="0"/>
      <w:divBdr>
        <w:top w:val="none" w:sz="0" w:space="0" w:color="auto"/>
        <w:left w:val="none" w:sz="0" w:space="0" w:color="auto"/>
        <w:bottom w:val="none" w:sz="0" w:space="0" w:color="auto"/>
        <w:right w:val="none" w:sz="0" w:space="0" w:color="auto"/>
      </w:divBdr>
    </w:div>
    <w:div w:id="1454247475">
      <w:marLeft w:val="0"/>
      <w:marRight w:val="0"/>
      <w:marTop w:val="200"/>
      <w:marBottom w:val="0"/>
      <w:divBdr>
        <w:top w:val="none" w:sz="0" w:space="0" w:color="auto"/>
        <w:left w:val="none" w:sz="0" w:space="0" w:color="auto"/>
        <w:bottom w:val="none" w:sz="0" w:space="0" w:color="auto"/>
        <w:right w:val="none" w:sz="0" w:space="0" w:color="auto"/>
      </w:divBdr>
    </w:div>
    <w:div w:id="1454252732">
      <w:marLeft w:val="0"/>
      <w:marRight w:val="0"/>
      <w:marTop w:val="200"/>
      <w:marBottom w:val="0"/>
      <w:divBdr>
        <w:top w:val="none" w:sz="0" w:space="0" w:color="auto"/>
        <w:left w:val="none" w:sz="0" w:space="0" w:color="auto"/>
        <w:bottom w:val="none" w:sz="0" w:space="0" w:color="auto"/>
        <w:right w:val="none" w:sz="0" w:space="0" w:color="auto"/>
      </w:divBdr>
    </w:div>
    <w:div w:id="1456169453">
      <w:marLeft w:val="0"/>
      <w:marRight w:val="0"/>
      <w:marTop w:val="240"/>
      <w:marBottom w:val="0"/>
      <w:divBdr>
        <w:top w:val="none" w:sz="0" w:space="0" w:color="auto"/>
        <w:left w:val="none" w:sz="0" w:space="0" w:color="auto"/>
        <w:bottom w:val="none" w:sz="0" w:space="0" w:color="auto"/>
        <w:right w:val="none" w:sz="0" w:space="0" w:color="auto"/>
      </w:divBdr>
    </w:div>
    <w:div w:id="1456407613">
      <w:marLeft w:val="0"/>
      <w:marRight w:val="0"/>
      <w:marTop w:val="120"/>
      <w:marBottom w:val="0"/>
      <w:divBdr>
        <w:top w:val="none" w:sz="0" w:space="0" w:color="auto"/>
        <w:left w:val="none" w:sz="0" w:space="0" w:color="auto"/>
        <w:bottom w:val="none" w:sz="0" w:space="0" w:color="auto"/>
        <w:right w:val="none" w:sz="0" w:space="0" w:color="auto"/>
      </w:divBdr>
    </w:div>
    <w:div w:id="1457530183">
      <w:marLeft w:val="0"/>
      <w:marRight w:val="0"/>
      <w:marTop w:val="200"/>
      <w:marBottom w:val="0"/>
      <w:divBdr>
        <w:top w:val="none" w:sz="0" w:space="0" w:color="auto"/>
        <w:left w:val="none" w:sz="0" w:space="0" w:color="auto"/>
        <w:bottom w:val="none" w:sz="0" w:space="0" w:color="auto"/>
        <w:right w:val="none" w:sz="0" w:space="0" w:color="auto"/>
      </w:divBdr>
    </w:div>
    <w:div w:id="1457791845">
      <w:marLeft w:val="0"/>
      <w:marRight w:val="0"/>
      <w:marTop w:val="0"/>
      <w:marBottom w:val="0"/>
      <w:divBdr>
        <w:top w:val="none" w:sz="0" w:space="0" w:color="auto"/>
        <w:left w:val="none" w:sz="0" w:space="0" w:color="auto"/>
        <w:bottom w:val="none" w:sz="0" w:space="0" w:color="auto"/>
        <w:right w:val="none" w:sz="0" w:space="0" w:color="auto"/>
      </w:divBdr>
      <w:divsChild>
        <w:div w:id="2084378247">
          <w:marLeft w:val="0"/>
          <w:marRight w:val="0"/>
          <w:marTop w:val="0"/>
          <w:marBottom w:val="0"/>
          <w:divBdr>
            <w:top w:val="none" w:sz="0" w:space="0" w:color="auto"/>
            <w:left w:val="none" w:sz="0" w:space="0" w:color="auto"/>
            <w:bottom w:val="none" w:sz="0" w:space="0" w:color="auto"/>
            <w:right w:val="none" w:sz="0" w:space="0" w:color="auto"/>
          </w:divBdr>
        </w:div>
      </w:divsChild>
    </w:div>
    <w:div w:id="1458722744">
      <w:marLeft w:val="0"/>
      <w:marRight w:val="0"/>
      <w:marTop w:val="200"/>
      <w:marBottom w:val="0"/>
      <w:divBdr>
        <w:top w:val="none" w:sz="0" w:space="0" w:color="auto"/>
        <w:left w:val="none" w:sz="0" w:space="0" w:color="auto"/>
        <w:bottom w:val="none" w:sz="0" w:space="0" w:color="auto"/>
        <w:right w:val="none" w:sz="0" w:space="0" w:color="auto"/>
      </w:divBdr>
    </w:div>
    <w:div w:id="1461222150">
      <w:marLeft w:val="0"/>
      <w:marRight w:val="0"/>
      <w:marTop w:val="200"/>
      <w:marBottom w:val="0"/>
      <w:divBdr>
        <w:top w:val="none" w:sz="0" w:space="0" w:color="auto"/>
        <w:left w:val="none" w:sz="0" w:space="0" w:color="auto"/>
        <w:bottom w:val="none" w:sz="0" w:space="0" w:color="auto"/>
        <w:right w:val="none" w:sz="0" w:space="0" w:color="auto"/>
      </w:divBdr>
    </w:div>
    <w:div w:id="1462265586">
      <w:marLeft w:val="0"/>
      <w:marRight w:val="0"/>
      <w:marTop w:val="120"/>
      <w:marBottom w:val="0"/>
      <w:divBdr>
        <w:top w:val="none" w:sz="0" w:space="0" w:color="auto"/>
        <w:left w:val="none" w:sz="0" w:space="0" w:color="auto"/>
        <w:bottom w:val="none" w:sz="0" w:space="0" w:color="auto"/>
        <w:right w:val="none" w:sz="0" w:space="0" w:color="auto"/>
      </w:divBdr>
    </w:div>
    <w:div w:id="1463841703">
      <w:marLeft w:val="0"/>
      <w:marRight w:val="0"/>
      <w:marTop w:val="240"/>
      <w:marBottom w:val="0"/>
      <w:divBdr>
        <w:top w:val="none" w:sz="0" w:space="0" w:color="auto"/>
        <w:left w:val="none" w:sz="0" w:space="0" w:color="auto"/>
        <w:bottom w:val="none" w:sz="0" w:space="0" w:color="auto"/>
        <w:right w:val="none" w:sz="0" w:space="0" w:color="auto"/>
      </w:divBdr>
    </w:div>
    <w:div w:id="1465350913">
      <w:marLeft w:val="0"/>
      <w:marRight w:val="0"/>
      <w:marTop w:val="120"/>
      <w:marBottom w:val="0"/>
      <w:divBdr>
        <w:top w:val="none" w:sz="0" w:space="0" w:color="auto"/>
        <w:left w:val="none" w:sz="0" w:space="0" w:color="auto"/>
        <w:bottom w:val="none" w:sz="0" w:space="0" w:color="auto"/>
        <w:right w:val="none" w:sz="0" w:space="0" w:color="auto"/>
      </w:divBdr>
    </w:div>
    <w:div w:id="1465540533">
      <w:marLeft w:val="0"/>
      <w:marRight w:val="0"/>
      <w:marTop w:val="0"/>
      <w:marBottom w:val="0"/>
      <w:divBdr>
        <w:top w:val="none" w:sz="0" w:space="0" w:color="auto"/>
        <w:left w:val="none" w:sz="0" w:space="0" w:color="auto"/>
        <w:bottom w:val="none" w:sz="0" w:space="0" w:color="auto"/>
        <w:right w:val="none" w:sz="0" w:space="0" w:color="auto"/>
      </w:divBdr>
      <w:divsChild>
        <w:div w:id="1658262288">
          <w:marLeft w:val="0"/>
          <w:marRight w:val="0"/>
          <w:marTop w:val="0"/>
          <w:marBottom w:val="0"/>
          <w:divBdr>
            <w:top w:val="none" w:sz="0" w:space="0" w:color="auto"/>
            <w:left w:val="none" w:sz="0" w:space="0" w:color="auto"/>
            <w:bottom w:val="none" w:sz="0" w:space="0" w:color="auto"/>
            <w:right w:val="none" w:sz="0" w:space="0" w:color="auto"/>
          </w:divBdr>
        </w:div>
      </w:divsChild>
    </w:div>
    <w:div w:id="1466047094">
      <w:marLeft w:val="0"/>
      <w:marRight w:val="0"/>
      <w:marTop w:val="200"/>
      <w:marBottom w:val="0"/>
      <w:divBdr>
        <w:top w:val="none" w:sz="0" w:space="0" w:color="auto"/>
        <w:left w:val="none" w:sz="0" w:space="0" w:color="auto"/>
        <w:bottom w:val="none" w:sz="0" w:space="0" w:color="auto"/>
        <w:right w:val="none" w:sz="0" w:space="0" w:color="auto"/>
      </w:divBdr>
    </w:div>
    <w:div w:id="1470123013">
      <w:marLeft w:val="0"/>
      <w:marRight w:val="0"/>
      <w:marTop w:val="200"/>
      <w:marBottom w:val="0"/>
      <w:divBdr>
        <w:top w:val="none" w:sz="0" w:space="0" w:color="auto"/>
        <w:left w:val="none" w:sz="0" w:space="0" w:color="auto"/>
        <w:bottom w:val="none" w:sz="0" w:space="0" w:color="auto"/>
        <w:right w:val="none" w:sz="0" w:space="0" w:color="auto"/>
      </w:divBdr>
    </w:div>
    <w:div w:id="1471288974">
      <w:marLeft w:val="0"/>
      <w:marRight w:val="0"/>
      <w:marTop w:val="360"/>
      <w:marBottom w:val="0"/>
      <w:divBdr>
        <w:top w:val="none" w:sz="0" w:space="0" w:color="auto"/>
        <w:left w:val="none" w:sz="0" w:space="0" w:color="auto"/>
        <w:bottom w:val="none" w:sz="0" w:space="0" w:color="auto"/>
        <w:right w:val="none" w:sz="0" w:space="0" w:color="auto"/>
      </w:divBdr>
    </w:div>
    <w:div w:id="1471484859">
      <w:marLeft w:val="0"/>
      <w:marRight w:val="0"/>
      <w:marTop w:val="200"/>
      <w:marBottom w:val="0"/>
      <w:divBdr>
        <w:top w:val="none" w:sz="0" w:space="0" w:color="auto"/>
        <w:left w:val="none" w:sz="0" w:space="0" w:color="auto"/>
        <w:bottom w:val="none" w:sz="0" w:space="0" w:color="auto"/>
        <w:right w:val="none" w:sz="0" w:space="0" w:color="auto"/>
      </w:divBdr>
    </w:div>
    <w:div w:id="1473719754">
      <w:marLeft w:val="0"/>
      <w:marRight w:val="0"/>
      <w:marTop w:val="120"/>
      <w:marBottom w:val="0"/>
      <w:divBdr>
        <w:top w:val="none" w:sz="0" w:space="0" w:color="auto"/>
        <w:left w:val="none" w:sz="0" w:space="0" w:color="auto"/>
        <w:bottom w:val="none" w:sz="0" w:space="0" w:color="auto"/>
        <w:right w:val="none" w:sz="0" w:space="0" w:color="auto"/>
      </w:divBdr>
    </w:div>
    <w:div w:id="1476221056">
      <w:marLeft w:val="0"/>
      <w:marRight w:val="0"/>
      <w:marTop w:val="360"/>
      <w:marBottom w:val="0"/>
      <w:divBdr>
        <w:top w:val="none" w:sz="0" w:space="0" w:color="auto"/>
        <w:left w:val="none" w:sz="0" w:space="0" w:color="auto"/>
        <w:bottom w:val="none" w:sz="0" w:space="0" w:color="auto"/>
        <w:right w:val="none" w:sz="0" w:space="0" w:color="auto"/>
      </w:divBdr>
    </w:div>
    <w:div w:id="1486777718">
      <w:marLeft w:val="0"/>
      <w:marRight w:val="0"/>
      <w:marTop w:val="200"/>
      <w:marBottom w:val="0"/>
      <w:divBdr>
        <w:top w:val="none" w:sz="0" w:space="0" w:color="auto"/>
        <w:left w:val="none" w:sz="0" w:space="0" w:color="auto"/>
        <w:bottom w:val="none" w:sz="0" w:space="0" w:color="auto"/>
        <w:right w:val="none" w:sz="0" w:space="0" w:color="auto"/>
      </w:divBdr>
    </w:div>
    <w:div w:id="1490901317">
      <w:marLeft w:val="0"/>
      <w:marRight w:val="0"/>
      <w:marTop w:val="360"/>
      <w:marBottom w:val="0"/>
      <w:divBdr>
        <w:top w:val="none" w:sz="0" w:space="0" w:color="auto"/>
        <w:left w:val="none" w:sz="0" w:space="0" w:color="auto"/>
        <w:bottom w:val="none" w:sz="0" w:space="0" w:color="auto"/>
        <w:right w:val="none" w:sz="0" w:space="0" w:color="auto"/>
      </w:divBdr>
    </w:div>
    <w:div w:id="1495728286">
      <w:marLeft w:val="0"/>
      <w:marRight w:val="0"/>
      <w:marTop w:val="200"/>
      <w:marBottom w:val="0"/>
      <w:divBdr>
        <w:top w:val="none" w:sz="0" w:space="0" w:color="auto"/>
        <w:left w:val="none" w:sz="0" w:space="0" w:color="auto"/>
        <w:bottom w:val="none" w:sz="0" w:space="0" w:color="auto"/>
        <w:right w:val="none" w:sz="0" w:space="0" w:color="auto"/>
      </w:divBdr>
    </w:div>
    <w:div w:id="1500344985">
      <w:marLeft w:val="0"/>
      <w:marRight w:val="0"/>
      <w:marTop w:val="200"/>
      <w:marBottom w:val="0"/>
      <w:divBdr>
        <w:top w:val="none" w:sz="0" w:space="0" w:color="auto"/>
        <w:left w:val="none" w:sz="0" w:space="0" w:color="auto"/>
        <w:bottom w:val="none" w:sz="0" w:space="0" w:color="auto"/>
        <w:right w:val="none" w:sz="0" w:space="0" w:color="auto"/>
      </w:divBdr>
    </w:div>
    <w:div w:id="1501197542">
      <w:marLeft w:val="0"/>
      <w:marRight w:val="0"/>
      <w:marTop w:val="120"/>
      <w:marBottom w:val="0"/>
      <w:divBdr>
        <w:top w:val="none" w:sz="0" w:space="0" w:color="auto"/>
        <w:left w:val="none" w:sz="0" w:space="0" w:color="auto"/>
        <w:bottom w:val="none" w:sz="0" w:space="0" w:color="auto"/>
        <w:right w:val="none" w:sz="0" w:space="0" w:color="auto"/>
      </w:divBdr>
    </w:div>
    <w:div w:id="1501506301">
      <w:marLeft w:val="0"/>
      <w:marRight w:val="0"/>
      <w:marTop w:val="200"/>
      <w:marBottom w:val="0"/>
      <w:divBdr>
        <w:top w:val="none" w:sz="0" w:space="0" w:color="auto"/>
        <w:left w:val="none" w:sz="0" w:space="0" w:color="auto"/>
        <w:bottom w:val="none" w:sz="0" w:space="0" w:color="auto"/>
        <w:right w:val="none" w:sz="0" w:space="0" w:color="auto"/>
      </w:divBdr>
    </w:div>
    <w:div w:id="1502626643">
      <w:marLeft w:val="0"/>
      <w:marRight w:val="0"/>
      <w:marTop w:val="200"/>
      <w:marBottom w:val="0"/>
      <w:divBdr>
        <w:top w:val="none" w:sz="0" w:space="0" w:color="auto"/>
        <w:left w:val="none" w:sz="0" w:space="0" w:color="auto"/>
        <w:bottom w:val="none" w:sz="0" w:space="0" w:color="auto"/>
        <w:right w:val="none" w:sz="0" w:space="0" w:color="auto"/>
      </w:divBdr>
    </w:div>
    <w:div w:id="1511606912">
      <w:marLeft w:val="0"/>
      <w:marRight w:val="0"/>
      <w:marTop w:val="210"/>
      <w:marBottom w:val="0"/>
      <w:divBdr>
        <w:top w:val="none" w:sz="0" w:space="0" w:color="auto"/>
        <w:left w:val="none" w:sz="0" w:space="0" w:color="auto"/>
        <w:bottom w:val="none" w:sz="0" w:space="0" w:color="auto"/>
        <w:right w:val="none" w:sz="0" w:space="0" w:color="auto"/>
      </w:divBdr>
    </w:div>
    <w:div w:id="1516386345">
      <w:marLeft w:val="0"/>
      <w:marRight w:val="0"/>
      <w:marTop w:val="200"/>
      <w:marBottom w:val="0"/>
      <w:divBdr>
        <w:top w:val="none" w:sz="0" w:space="0" w:color="auto"/>
        <w:left w:val="none" w:sz="0" w:space="0" w:color="auto"/>
        <w:bottom w:val="none" w:sz="0" w:space="0" w:color="auto"/>
        <w:right w:val="none" w:sz="0" w:space="0" w:color="auto"/>
      </w:divBdr>
    </w:div>
    <w:div w:id="1519344065">
      <w:marLeft w:val="0"/>
      <w:marRight w:val="0"/>
      <w:marTop w:val="0"/>
      <w:marBottom w:val="0"/>
      <w:divBdr>
        <w:top w:val="none" w:sz="0" w:space="0" w:color="auto"/>
        <w:left w:val="none" w:sz="0" w:space="0" w:color="auto"/>
        <w:bottom w:val="none" w:sz="0" w:space="0" w:color="auto"/>
        <w:right w:val="none" w:sz="0" w:space="0" w:color="auto"/>
      </w:divBdr>
      <w:divsChild>
        <w:div w:id="714044994">
          <w:marLeft w:val="0"/>
          <w:marRight w:val="0"/>
          <w:marTop w:val="0"/>
          <w:marBottom w:val="0"/>
          <w:divBdr>
            <w:top w:val="none" w:sz="0" w:space="0" w:color="auto"/>
            <w:left w:val="none" w:sz="0" w:space="0" w:color="auto"/>
            <w:bottom w:val="none" w:sz="0" w:space="0" w:color="auto"/>
            <w:right w:val="none" w:sz="0" w:space="0" w:color="auto"/>
          </w:divBdr>
        </w:div>
      </w:divsChild>
    </w:div>
    <w:div w:id="1520195893">
      <w:marLeft w:val="0"/>
      <w:marRight w:val="0"/>
      <w:marTop w:val="200"/>
      <w:marBottom w:val="0"/>
      <w:divBdr>
        <w:top w:val="none" w:sz="0" w:space="0" w:color="auto"/>
        <w:left w:val="none" w:sz="0" w:space="0" w:color="auto"/>
        <w:bottom w:val="none" w:sz="0" w:space="0" w:color="auto"/>
        <w:right w:val="none" w:sz="0" w:space="0" w:color="auto"/>
      </w:divBdr>
    </w:div>
    <w:div w:id="1521508821">
      <w:marLeft w:val="0"/>
      <w:marRight w:val="0"/>
      <w:marTop w:val="100"/>
      <w:marBottom w:val="0"/>
      <w:divBdr>
        <w:top w:val="none" w:sz="0" w:space="0" w:color="auto"/>
        <w:left w:val="none" w:sz="0" w:space="0" w:color="auto"/>
        <w:bottom w:val="none" w:sz="0" w:space="0" w:color="auto"/>
        <w:right w:val="none" w:sz="0" w:space="0" w:color="auto"/>
      </w:divBdr>
    </w:div>
    <w:div w:id="1521626718">
      <w:marLeft w:val="0"/>
      <w:marRight w:val="0"/>
      <w:marTop w:val="0"/>
      <w:marBottom w:val="0"/>
      <w:divBdr>
        <w:top w:val="none" w:sz="0" w:space="0" w:color="auto"/>
        <w:left w:val="none" w:sz="0" w:space="0" w:color="auto"/>
        <w:bottom w:val="none" w:sz="0" w:space="0" w:color="auto"/>
        <w:right w:val="none" w:sz="0" w:space="0" w:color="auto"/>
      </w:divBdr>
      <w:divsChild>
        <w:div w:id="254675584">
          <w:marLeft w:val="0"/>
          <w:marRight w:val="0"/>
          <w:marTop w:val="0"/>
          <w:marBottom w:val="0"/>
          <w:divBdr>
            <w:top w:val="none" w:sz="0" w:space="0" w:color="auto"/>
            <w:left w:val="none" w:sz="0" w:space="0" w:color="auto"/>
            <w:bottom w:val="none" w:sz="0" w:space="0" w:color="auto"/>
            <w:right w:val="none" w:sz="0" w:space="0" w:color="auto"/>
          </w:divBdr>
        </w:div>
      </w:divsChild>
    </w:div>
    <w:div w:id="1524633454">
      <w:marLeft w:val="0"/>
      <w:marRight w:val="0"/>
      <w:marTop w:val="200"/>
      <w:marBottom w:val="0"/>
      <w:divBdr>
        <w:top w:val="none" w:sz="0" w:space="0" w:color="auto"/>
        <w:left w:val="none" w:sz="0" w:space="0" w:color="auto"/>
        <w:bottom w:val="none" w:sz="0" w:space="0" w:color="auto"/>
        <w:right w:val="none" w:sz="0" w:space="0" w:color="auto"/>
      </w:divBdr>
    </w:div>
    <w:div w:id="1528177618">
      <w:marLeft w:val="0"/>
      <w:marRight w:val="0"/>
      <w:marTop w:val="200"/>
      <w:marBottom w:val="0"/>
      <w:divBdr>
        <w:top w:val="none" w:sz="0" w:space="0" w:color="auto"/>
        <w:left w:val="none" w:sz="0" w:space="0" w:color="auto"/>
        <w:bottom w:val="none" w:sz="0" w:space="0" w:color="auto"/>
        <w:right w:val="none" w:sz="0" w:space="0" w:color="auto"/>
      </w:divBdr>
    </w:div>
    <w:div w:id="1529485091">
      <w:marLeft w:val="0"/>
      <w:marRight w:val="0"/>
      <w:marTop w:val="0"/>
      <w:marBottom w:val="0"/>
      <w:divBdr>
        <w:top w:val="none" w:sz="0" w:space="0" w:color="auto"/>
        <w:left w:val="none" w:sz="0" w:space="0" w:color="auto"/>
        <w:bottom w:val="none" w:sz="0" w:space="0" w:color="auto"/>
        <w:right w:val="none" w:sz="0" w:space="0" w:color="auto"/>
      </w:divBdr>
      <w:divsChild>
        <w:div w:id="421294050">
          <w:marLeft w:val="0"/>
          <w:marRight w:val="0"/>
          <w:marTop w:val="0"/>
          <w:marBottom w:val="0"/>
          <w:divBdr>
            <w:top w:val="none" w:sz="0" w:space="0" w:color="auto"/>
            <w:left w:val="none" w:sz="0" w:space="0" w:color="auto"/>
            <w:bottom w:val="none" w:sz="0" w:space="0" w:color="auto"/>
            <w:right w:val="none" w:sz="0" w:space="0" w:color="auto"/>
          </w:divBdr>
        </w:div>
      </w:divsChild>
    </w:div>
    <w:div w:id="1532953211">
      <w:marLeft w:val="0"/>
      <w:marRight w:val="0"/>
      <w:marTop w:val="200"/>
      <w:marBottom w:val="0"/>
      <w:divBdr>
        <w:top w:val="none" w:sz="0" w:space="0" w:color="auto"/>
        <w:left w:val="none" w:sz="0" w:space="0" w:color="auto"/>
        <w:bottom w:val="none" w:sz="0" w:space="0" w:color="auto"/>
        <w:right w:val="none" w:sz="0" w:space="0" w:color="auto"/>
      </w:divBdr>
    </w:div>
    <w:div w:id="1535314241">
      <w:marLeft w:val="0"/>
      <w:marRight w:val="0"/>
      <w:marTop w:val="120"/>
      <w:marBottom w:val="0"/>
      <w:divBdr>
        <w:top w:val="none" w:sz="0" w:space="0" w:color="auto"/>
        <w:left w:val="none" w:sz="0" w:space="0" w:color="auto"/>
        <w:bottom w:val="none" w:sz="0" w:space="0" w:color="auto"/>
        <w:right w:val="none" w:sz="0" w:space="0" w:color="auto"/>
      </w:divBdr>
    </w:div>
    <w:div w:id="1539004639">
      <w:marLeft w:val="0"/>
      <w:marRight w:val="0"/>
      <w:marTop w:val="200"/>
      <w:marBottom w:val="0"/>
      <w:divBdr>
        <w:top w:val="none" w:sz="0" w:space="0" w:color="auto"/>
        <w:left w:val="none" w:sz="0" w:space="0" w:color="auto"/>
        <w:bottom w:val="none" w:sz="0" w:space="0" w:color="auto"/>
        <w:right w:val="none" w:sz="0" w:space="0" w:color="auto"/>
      </w:divBdr>
    </w:div>
    <w:div w:id="1540896408">
      <w:marLeft w:val="0"/>
      <w:marRight w:val="0"/>
      <w:marTop w:val="200"/>
      <w:marBottom w:val="0"/>
      <w:divBdr>
        <w:top w:val="none" w:sz="0" w:space="0" w:color="auto"/>
        <w:left w:val="none" w:sz="0" w:space="0" w:color="auto"/>
        <w:bottom w:val="none" w:sz="0" w:space="0" w:color="auto"/>
        <w:right w:val="none" w:sz="0" w:space="0" w:color="auto"/>
      </w:divBdr>
    </w:div>
    <w:div w:id="1544053055">
      <w:marLeft w:val="0"/>
      <w:marRight w:val="0"/>
      <w:marTop w:val="120"/>
      <w:marBottom w:val="0"/>
      <w:divBdr>
        <w:top w:val="none" w:sz="0" w:space="0" w:color="auto"/>
        <w:left w:val="none" w:sz="0" w:space="0" w:color="auto"/>
        <w:bottom w:val="none" w:sz="0" w:space="0" w:color="auto"/>
        <w:right w:val="none" w:sz="0" w:space="0" w:color="auto"/>
      </w:divBdr>
    </w:div>
    <w:div w:id="1546719343">
      <w:marLeft w:val="0"/>
      <w:marRight w:val="0"/>
      <w:marTop w:val="200"/>
      <w:marBottom w:val="0"/>
      <w:divBdr>
        <w:top w:val="none" w:sz="0" w:space="0" w:color="auto"/>
        <w:left w:val="none" w:sz="0" w:space="0" w:color="auto"/>
        <w:bottom w:val="none" w:sz="0" w:space="0" w:color="auto"/>
        <w:right w:val="none" w:sz="0" w:space="0" w:color="auto"/>
      </w:divBdr>
    </w:div>
    <w:div w:id="1548371667">
      <w:marLeft w:val="0"/>
      <w:marRight w:val="0"/>
      <w:marTop w:val="210"/>
      <w:marBottom w:val="0"/>
      <w:divBdr>
        <w:top w:val="none" w:sz="0" w:space="0" w:color="auto"/>
        <w:left w:val="none" w:sz="0" w:space="0" w:color="auto"/>
        <w:bottom w:val="none" w:sz="0" w:space="0" w:color="auto"/>
        <w:right w:val="none" w:sz="0" w:space="0" w:color="auto"/>
      </w:divBdr>
    </w:div>
    <w:div w:id="1549485848">
      <w:marLeft w:val="0"/>
      <w:marRight w:val="0"/>
      <w:marTop w:val="0"/>
      <w:marBottom w:val="0"/>
      <w:divBdr>
        <w:top w:val="none" w:sz="0" w:space="0" w:color="auto"/>
        <w:left w:val="none" w:sz="0" w:space="0" w:color="auto"/>
        <w:bottom w:val="none" w:sz="0" w:space="0" w:color="auto"/>
        <w:right w:val="none" w:sz="0" w:space="0" w:color="auto"/>
      </w:divBdr>
      <w:divsChild>
        <w:div w:id="2132625599">
          <w:marLeft w:val="0"/>
          <w:marRight w:val="0"/>
          <w:marTop w:val="0"/>
          <w:marBottom w:val="0"/>
          <w:divBdr>
            <w:top w:val="none" w:sz="0" w:space="0" w:color="auto"/>
            <w:left w:val="none" w:sz="0" w:space="0" w:color="auto"/>
            <w:bottom w:val="none" w:sz="0" w:space="0" w:color="auto"/>
            <w:right w:val="none" w:sz="0" w:space="0" w:color="auto"/>
          </w:divBdr>
        </w:div>
      </w:divsChild>
    </w:div>
    <w:div w:id="1550992313">
      <w:marLeft w:val="0"/>
      <w:marRight w:val="0"/>
      <w:marTop w:val="360"/>
      <w:marBottom w:val="0"/>
      <w:divBdr>
        <w:top w:val="none" w:sz="0" w:space="0" w:color="auto"/>
        <w:left w:val="none" w:sz="0" w:space="0" w:color="auto"/>
        <w:bottom w:val="none" w:sz="0" w:space="0" w:color="auto"/>
        <w:right w:val="none" w:sz="0" w:space="0" w:color="auto"/>
      </w:divBdr>
    </w:div>
    <w:div w:id="1552426416">
      <w:marLeft w:val="0"/>
      <w:marRight w:val="0"/>
      <w:marTop w:val="200"/>
      <w:marBottom w:val="0"/>
      <w:divBdr>
        <w:top w:val="none" w:sz="0" w:space="0" w:color="auto"/>
        <w:left w:val="none" w:sz="0" w:space="0" w:color="auto"/>
        <w:bottom w:val="none" w:sz="0" w:space="0" w:color="auto"/>
        <w:right w:val="none" w:sz="0" w:space="0" w:color="auto"/>
      </w:divBdr>
    </w:div>
    <w:div w:id="1552573363">
      <w:marLeft w:val="0"/>
      <w:marRight w:val="0"/>
      <w:marTop w:val="200"/>
      <w:marBottom w:val="0"/>
      <w:divBdr>
        <w:top w:val="none" w:sz="0" w:space="0" w:color="auto"/>
        <w:left w:val="none" w:sz="0" w:space="0" w:color="auto"/>
        <w:bottom w:val="none" w:sz="0" w:space="0" w:color="auto"/>
        <w:right w:val="none" w:sz="0" w:space="0" w:color="auto"/>
      </w:divBdr>
    </w:div>
    <w:div w:id="1555583648">
      <w:marLeft w:val="0"/>
      <w:marRight w:val="0"/>
      <w:marTop w:val="200"/>
      <w:marBottom w:val="0"/>
      <w:divBdr>
        <w:top w:val="none" w:sz="0" w:space="0" w:color="auto"/>
        <w:left w:val="none" w:sz="0" w:space="0" w:color="auto"/>
        <w:bottom w:val="none" w:sz="0" w:space="0" w:color="auto"/>
        <w:right w:val="none" w:sz="0" w:space="0" w:color="auto"/>
      </w:divBdr>
    </w:div>
    <w:div w:id="1556163685">
      <w:marLeft w:val="0"/>
      <w:marRight w:val="0"/>
      <w:marTop w:val="200"/>
      <w:marBottom w:val="0"/>
      <w:divBdr>
        <w:top w:val="none" w:sz="0" w:space="0" w:color="auto"/>
        <w:left w:val="none" w:sz="0" w:space="0" w:color="auto"/>
        <w:bottom w:val="none" w:sz="0" w:space="0" w:color="auto"/>
        <w:right w:val="none" w:sz="0" w:space="0" w:color="auto"/>
      </w:divBdr>
    </w:div>
    <w:div w:id="1556504927">
      <w:marLeft w:val="0"/>
      <w:marRight w:val="0"/>
      <w:marTop w:val="200"/>
      <w:marBottom w:val="0"/>
      <w:divBdr>
        <w:top w:val="none" w:sz="0" w:space="0" w:color="auto"/>
        <w:left w:val="none" w:sz="0" w:space="0" w:color="auto"/>
        <w:bottom w:val="none" w:sz="0" w:space="0" w:color="auto"/>
        <w:right w:val="none" w:sz="0" w:space="0" w:color="auto"/>
      </w:divBdr>
    </w:div>
    <w:div w:id="1558852906">
      <w:marLeft w:val="0"/>
      <w:marRight w:val="0"/>
      <w:marTop w:val="120"/>
      <w:marBottom w:val="0"/>
      <w:divBdr>
        <w:top w:val="none" w:sz="0" w:space="0" w:color="auto"/>
        <w:left w:val="none" w:sz="0" w:space="0" w:color="auto"/>
        <w:bottom w:val="none" w:sz="0" w:space="0" w:color="auto"/>
        <w:right w:val="none" w:sz="0" w:space="0" w:color="auto"/>
      </w:divBdr>
    </w:div>
    <w:div w:id="1560819776">
      <w:marLeft w:val="0"/>
      <w:marRight w:val="0"/>
      <w:marTop w:val="240"/>
      <w:marBottom w:val="0"/>
      <w:divBdr>
        <w:top w:val="none" w:sz="0" w:space="0" w:color="auto"/>
        <w:left w:val="none" w:sz="0" w:space="0" w:color="auto"/>
        <w:bottom w:val="none" w:sz="0" w:space="0" w:color="auto"/>
        <w:right w:val="none" w:sz="0" w:space="0" w:color="auto"/>
      </w:divBdr>
    </w:div>
    <w:div w:id="1563640018">
      <w:marLeft w:val="0"/>
      <w:marRight w:val="0"/>
      <w:marTop w:val="120"/>
      <w:marBottom w:val="0"/>
      <w:divBdr>
        <w:top w:val="none" w:sz="0" w:space="0" w:color="auto"/>
        <w:left w:val="none" w:sz="0" w:space="0" w:color="auto"/>
        <w:bottom w:val="none" w:sz="0" w:space="0" w:color="auto"/>
        <w:right w:val="none" w:sz="0" w:space="0" w:color="auto"/>
      </w:divBdr>
    </w:div>
    <w:div w:id="1563953300">
      <w:marLeft w:val="0"/>
      <w:marRight w:val="0"/>
      <w:marTop w:val="210"/>
      <w:marBottom w:val="0"/>
      <w:divBdr>
        <w:top w:val="none" w:sz="0" w:space="0" w:color="auto"/>
        <w:left w:val="none" w:sz="0" w:space="0" w:color="auto"/>
        <w:bottom w:val="none" w:sz="0" w:space="0" w:color="auto"/>
        <w:right w:val="none" w:sz="0" w:space="0" w:color="auto"/>
      </w:divBdr>
    </w:div>
    <w:div w:id="1565141139">
      <w:marLeft w:val="0"/>
      <w:marRight w:val="0"/>
      <w:marTop w:val="200"/>
      <w:marBottom w:val="0"/>
      <w:divBdr>
        <w:top w:val="none" w:sz="0" w:space="0" w:color="auto"/>
        <w:left w:val="none" w:sz="0" w:space="0" w:color="auto"/>
        <w:bottom w:val="none" w:sz="0" w:space="0" w:color="auto"/>
        <w:right w:val="none" w:sz="0" w:space="0" w:color="auto"/>
      </w:divBdr>
    </w:div>
    <w:div w:id="1565409094">
      <w:marLeft w:val="0"/>
      <w:marRight w:val="0"/>
      <w:marTop w:val="360"/>
      <w:marBottom w:val="0"/>
      <w:divBdr>
        <w:top w:val="none" w:sz="0" w:space="0" w:color="auto"/>
        <w:left w:val="none" w:sz="0" w:space="0" w:color="auto"/>
        <w:bottom w:val="none" w:sz="0" w:space="0" w:color="auto"/>
        <w:right w:val="none" w:sz="0" w:space="0" w:color="auto"/>
      </w:divBdr>
    </w:div>
    <w:div w:id="1567492990">
      <w:marLeft w:val="0"/>
      <w:marRight w:val="0"/>
      <w:marTop w:val="200"/>
      <w:marBottom w:val="0"/>
      <w:divBdr>
        <w:top w:val="none" w:sz="0" w:space="0" w:color="auto"/>
        <w:left w:val="none" w:sz="0" w:space="0" w:color="auto"/>
        <w:bottom w:val="none" w:sz="0" w:space="0" w:color="auto"/>
        <w:right w:val="none" w:sz="0" w:space="0" w:color="auto"/>
      </w:divBdr>
    </w:div>
    <w:div w:id="1570964757">
      <w:marLeft w:val="0"/>
      <w:marRight w:val="0"/>
      <w:marTop w:val="120"/>
      <w:marBottom w:val="0"/>
      <w:divBdr>
        <w:top w:val="none" w:sz="0" w:space="0" w:color="auto"/>
        <w:left w:val="none" w:sz="0" w:space="0" w:color="auto"/>
        <w:bottom w:val="none" w:sz="0" w:space="0" w:color="auto"/>
        <w:right w:val="none" w:sz="0" w:space="0" w:color="auto"/>
      </w:divBdr>
    </w:div>
    <w:div w:id="1573349094">
      <w:marLeft w:val="0"/>
      <w:marRight w:val="0"/>
      <w:marTop w:val="240"/>
      <w:marBottom w:val="0"/>
      <w:divBdr>
        <w:top w:val="none" w:sz="0" w:space="0" w:color="auto"/>
        <w:left w:val="none" w:sz="0" w:space="0" w:color="auto"/>
        <w:bottom w:val="none" w:sz="0" w:space="0" w:color="auto"/>
        <w:right w:val="none" w:sz="0" w:space="0" w:color="auto"/>
      </w:divBdr>
    </w:div>
    <w:div w:id="1575890148">
      <w:marLeft w:val="0"/>
      <w:marRight w:val="0"/>
      <w:marTop w:val="0"/>
      <w:marBottom w:val="0"/>
      <w:divBdr>
        <w:top w:val="none" w:sz="0" w:space="0" w:color="auto"/>
        <w:left w:val="none" w:sz="0" w:space="0" w:color="auto"/>
        <w:bottom w:val="none" w:sz="0" w:space="0" w:color="auto"/>
        <w:right w:val="none" w:sz="0" w:space="0" w:color="auto"/>
      </w:divBdr>
    </w:div>
    <w:div w:id="1578175922">
      <w:marLeft w:val="0"/>
      <w:marRight w:val="0"/>
      <w:marTop w:val="240"/>
      <w:marBottom w:val="0"/>
      <w:divBdr>
        <w:top w:val="none" w:sz="0" w:space="0" w:color="auto"/>
        <w:left w:val="none" w:sz="0" w:space="0" w:color="auto"/>
        <w:bottom w:val="none" w:sz="0" w:space="0" w:color="auto"/>
        <w:right w:val="none" w:sz="0" w:space="0" w:color="auto"/>
      </w:divBdr>
    </w:div>
    <w:div w:id="1578440534">
      <w:marLeft w:val="0"/>
      <w:marRight w:val="0"/>
      <w:marTop w:val="0"/>
      <w:marBottom w:val="0"/>
      <w:divBdr>
        <w:top w:val="none" w:sz="0" w:space="0" w:color="auto"/>
        <w:left w:val="none" w:sz="0" w:space="0" w:color="auto"/>
        <w:bottom w:val="none" w:sz="0" w:space="0" w:color="auto"/>
        <w:right w:val="none" w:sz="0" w:space="0" w:color="auto"/>
      </w:divBdr>
      <w:divsChild>
        <w:div w:id="496967217">
          <w:marLeft w:val="0"/>
          <w:marRight w:val="0"/>
          <w:marTop w:val="0"/>
          <w:marBottom w:val="0"/>
          <w:divBdr>
            <w:top w:val="none" w:sz="0" w:space="0" w:color="auto"/>
            <w:left w:val="none" w:sz="0" w:space="0" w:color="auto"/>
            <w:bottom w:val="none" w:sz="0" w:space="0" w:color="auto"/>
            <w:right w:val="none" w:sz="0" w:space="0" w:color="auto"/>
          </w:divBdr>
        </w:div>
      </w:divsChild>
    </w:div>
    <w:div w:id="1579097260">
      <w:marLeft w:val="0"/>
      <w:marRight w:val="0"/>
      <w:marTop w:val="120"/>
      <w:marBottom w:val="0"/>
      <w:divBdr>
        <w:top w:val="none" w:sz="0" w:space="0" w:color="auto"/>
        <w:left w:val="none" w:sz="0" w:space="0" w:color="auto"/>
        <w:bottom w:val="none" w:sz="0" w:space="0" w:color="auto"/>
        <w:right w:val="none" w:sz="0" w:space="0" w:color="auto"/>
      </w:divBdr>
    </w:div>
    <w:div w:id="1580207840">
      <w:marLeft w:val="0"/>
      <w:marRight w:val="0"/>
      <w:marTop w:val="120"/>
      <w:marBottom w:val="0"/>
      <w:divBdr>
        <w:top w:val="none" w:sz="0" w:space="0" w:color="auto"/>
        <w:left w:val="none" w:sz="0" w:space="0" w:color="auto"/>
        <w:bottom w:val="none" w:sz="0" w:space="0" w:color="auto"/>
        <w:right w:val="none" w:sz="0" w:space="0" w:color="auto"/>
      </w:divBdr>
    </w:div>
    <w:div w:id="1586180740">
      <w:marLeft w:val="0"/>
      <w:marRight w:val="0"/>
      <w:marTop w:val="0"/>
      <w:marBottom w:val="0"/>
      <w:divBdr>
        <w:top w:val="none" w:sz="0" w:space="0" w:color="auto"/>
        <w:left w:val="none" w:sz="0" w:space="0" w:color="auto"/>
        <w:bottom w:val="none" w:sz="0" w:space="0" w:color="auto"/>
        <w:right w:val="none" w:sz="0" w:space="0" w:color="auto"/>
      </w:divBdr>
      <w:divsChild>
        <w:div w:id="324167579">
          <w:marLeft w:val="0"/>
          <w:marRight w:val="0"/>
          <w:marTop w:val="0"/>
          <w:marBottom w:val="0"/>
          <w:divBdr>
            <w:top w:val="none" w:sz="0" w:space="0" w:color="auto"/>
            <w:left w:val="none" w:sz="0" w:space="0" w:color="auto"/>
            <w:bottom w:val="none" w:sz="0" w:space="0" w:color="auto"/>
            <w:right w:val="none" w:sz="0" w:space="0" w:color="auto"/>
          </w:divBdr>
        </w:div>
      </w:divsChild>
    </w:div>
    <w:div w:id="1586916731">
      <w:marLeft w:val="0"/>
      <w:marRight w:val="0"/>
      <w:marTop w:val="240"/>
      <w:marBottom w:val="0"/>
      <w:divBdr>
        <w:top w:val="none" w:sz="0" w:space="0" w:color="auto"/>
        <w:left w:val="none" w:sz="0" w:space="0" w:color="auto"/>
        <w:bottom w:val="none" w:sz="0" w:space="0" w:color="auto"/>
        <w:right w:val="none" w:sz="0" w:space="0" w:color="auto"/>
      </w:divBdr>
    </w:div>
    <w:div w:id="1588658819">
      <w:marLeft w:val="0"/>
      <w:marRight w:val="0"/>
      <w:marTop w:val="360"/>
      <w:marBottom w:val="0"/>
      <w:divBdr>
        <w:top w:val="none" w:sz="0" w:space="0" w:color="auto"/>
        <w:left w:val="none" w:sz="0" w:space="0" w:color="auto"/>
        <w:bottom w:val="none" w:sz="0" w:space="0" w:color="auto"/>
        <w:right w:val="none" w:sz="0" w:space="0" w:color="auto"/>
      </w:divBdr>
    </w:div>
    <w:div w:id="1589650969">
      <w:marLeft w:val="0"/>
      <w:marRight w:val="0"/>
      <w:marTop w:val="200"/>
      <w:marBottom w:val="0"/>
      <w:divBdr>
        <w:top w:val="none" w:sz="0" w:space="0" w:color="auto"/>
        <w:left w:val="none" w:sz="0" w:space="0" w:color="auto"/>
        <w:bottom w:val="none" w:sz="0" w:space="0" w:color="auto"/>
        <w:right w:val="none" w:sz="0" w:space="0" w:color="auto"/>
      </w:divBdr>
    </w:div>
    <w:div w:id="1592085315">
      <w:marLeft w:val="0"/>
      <w:marRight w:val="0"/>
      <w:marTop w:val="200"/>
      <w:marBottom w:val="0"/>
      <w:divBdr>
        <w:top w:val="none" w:sz="0" w:space="0" w:color="auto"/>
        <w:left w:val="none" w:sz="0" w:space="0" w:color="auto"/>
        <w:bottom w:val="none" w:sz="0" w:space="0" w:color="auto"/>
        <w:right w:val="none" w:sz="0" w:space="0" w:color="auto"/>
      </w:divBdr>
    </w:div>
    <w:div w:id="1592935346">
      <w:marLeft w:val="0"/>
      <w:marRight w:val="0"/>
      <w:marTop w:val="120"/>
      <w:marBottom w:val="0"/>
      <w:divBdr>
        <w:top w:val="none" w:sz="0" w:space="0" w:color="auto"/>
        <w:left w:val="none" w:sz="0" w:space="0" w:color="auto"/>
        <w:bottom w:val="none" w:sz="0" w:space="0" w:color="auto"/>
        <w:right w:val="none" w:sz="0" w:space="0" w:color="auto"/>
      </w:divBdr>
    </w:div>
    <w:div w:id="1593202344">
      <w:marLeft w:val="0"/>
      <w:marRight w:val="0"/>
      <w:marTop w:val="120"/>
      <w:marBottom w:val="0"/>
      <w:divBdr>
        <w:top w:val="none" w:sz="0" w:space="0" w:color="auto"/>
        <w:left w:val="none" w:sz="0" w:space="0" w:color="auto"/>
        <w:bottom w:val="none" w:sz="0" w:space="0" w:color="auto"/>
        <w:right w:val="none" w:sz="0" w:space="0" w:color="auto"/>
      </w:divBdr>
    </w:div>
    <w:div w:id="1593468596">
      <w:marLeft w:val="0"/>
      <w:marRight w:val="0"/>
      <w:marTop w:val="200"/>
      <w:marBottom w:val="0"/>
      <w:divBdr>
        <w:top w:val="none" w:sz="0" w:space="0" w:color="auto"/>
        <w:left w:val="none" w:sz="0" w:space="0" w:color="auto"/>
        <w:bottom w:val="none" w:sz="0" w:space="0" w:color="auto"/>
        <w:right w:val="none" w:sz="0" w:space="0" w:color="auto"/>
      </w:divBdr>
    </w:div>
    <w:div w:id="1595894678">
      <w:marLeft w:val="0"/>
      <w:marRight w:val="0"/>
      <w:marTop w:val="120"/>
      <w:marBottom w:val="0"/>
      <w:divBdr>
        <w:top w:val="none" w:sz="0" w:space="0" w:color="auto"/>
        <w:left w:val="none" w:sz="0" w:space="0" w:color="auto"/>
        <w:bottom w:val="none" w:sz="0" w:space="0" w:color="auto"/>
        <w:right w:val="none" w:sz="0" w:space="0" w:color="auto"/>
      </w:divBdr>
    </w:div>
    <w:div w:id="1596134574">
      <w:marLeft w:val="0"/>
      <w:marRight w:val="0"/>
      <w:marTop w:val="120"/>
      <w:marBottom w:val="0"/>
      <w:divBdr>
        <w:top w:val="none" w:sz="0" w:space="0" w:color="auto"/>
        <w:left w:val="none" w:sz="0" w:space="0" w:color="auto"/>
        <w:bottom w:val="none" w:sz="0" w:space="0" w:color="auto"/>
        <w:right w:val="none" w:sz="0" w:space="0" w:color="auto"/>
      </w:divBdr>
    </w:div>
    <w:div w:id="1596740532">
      <w:marLeft w:val="0"/>
      <w:marRight w:val="0"/>
      <w:marTop w:val="0"/>
      <w:marBottom w:val="0"/>
      <w:divBdr>
        <w:top w:val="none" w:sz="0" w:space="0" w:color="auto"/>
        <w:left w:val="none" w:sz="0" w:space="0" w:color="auto"/>
        <w:bottom w:val="none" w:sz="0" w:space="0" w:color="auto"/>
        <w:right w:val="none" w:sz="0" w:space="0" w:color="auto"/>
      </w:divBdr>
      <w:divsChild>
        <w:div w:id="950744634">
          <w:marLeft w:val="0"/>
          <w:marRight w:val="0"/>
          <w:marTop w:val="0"/>
          <w:marBottom w:val="0"/>
          <w:divBdr>
            <w:top w:val="none" w:sz="0" w:space="0" w:color="auto"/>
            <w:left w:val="none" w:sz="0" w:space="0" w:color="auto"/>
            <w:bottom w:val="none" w:sz="0" w:space="0" w:color="auto"/>
            <w:right w:val="none" w:sz="0" w:space="0" w:color="auto"/>
          </w:divBdr>
        </w:div>
      </w:divsChild>
    </w:div>
    <w:div w:id="1599406506">
      <w:marLeft w:val="0"/>
      <w:marRight w:val="0"/>
      <w:marTop w:val="210"/>
      <w:marBottom w:val="0"/>
      <w:divBdr>
        <w:top w:val="none" w:sz="0" w:space="0" w:color="auto"/>
        <w:left w:val="none" w:sz="0" w:space="0" w:color="auto"/>
        <w:bottom w:val="none" w:sz="0" w:space="0" w:color="auto"/>
        <w:right w:val="none" w:sz="0" w:space="0" w:color="auto"/>
      </w:divBdr>
    </w:div>
    <w:div w:id="1599680388">
      <w:marLeft w:val="0"/>
      <w:marRight w:val="0"/>
      <w:marTop w:val="200"/>
      <w:marBottom w:val="0"/>
      <w:divBdr>
        <w:top w:val="none" w:sz="0" w:space="0" w:color="auto"/>
        <w:left w:val="none" w:sz="0" w:space="0" w:color="auto"/>
        <w:bottom w:val="none" w:sz="0" w:space="0" w:color="auto"/>
        <w:right w:val="none" w:sz="0" w:space="0" w:color="auto"/>
      </w:divBdr>
    </w:div>
    <w:div w:id="1601059064">
      <w:marLeft w:val="0"/>
      <w:marRight w:val="0"/>
      <w:marTop w:val="200"/>
      <w:marBottom w:val="0"/>
      <w:divBdr>
        <w:top w:val="none" w:sz="0" w:space="0" w:color="auto"/>
        <w:left w:val="none" w:sz="0" w:space="0" w:color="auto"/>
        <w:bottom w:val="none" w:sz="0" w:space="0" w:color="auto"/>
        <w:right w:val="none" w:sz="0" w:space="0" w:color="auto"/>
      </w:divBdr>
    </w:div>
    <w:div w:id="1606037254">
      <w:marLeft w:val="0"/>
      <w:marRight w:val="0"/>
      <w:marTop w:val="210"/>
      <w:marBottom w:val="0"/>
      <w:divBdr>
        <w:top w:val="none" w:sz="0" w:space="0" w:color="auto"/>
        <w:left w:val="none" w:sz="0" w:space="0" w:color="auto"/>
        <w:bottom w:val="none" w:sz="0" w:space="0" w:color="auto"/>
        <w:right w:val="none" w:sz="0" w:space="0" w:color="auto"/>
      </w:divBdr>
    </w:div>
    <w:div w:id="1608464943">
      <w:marLeft w:val="0"/>
      <w:marRight w:val="0"/>
      <w:marTop w:val="200"/>
      <w:marBottom w:val="0"/>
      <w:divBdr>
        <w:top w:val="none" w:sz="0" w:space="0" w:color="auto"/>
        <w:left w:val="none" w:sz="0" w:space="0" w:color="auto"/>
        <w:bottom w:val="none" w:sz="0" w:space="0" w:color="auto"/>
        <w:right w:val="none" w:sz="0" w:space="0" w:color="auto"/>
      </w:divBdr>
    </w:div>
    <w:div w:id="1611013538">
      <w:marLeft w:val="0"/>
      <w:marRight w:val="0"/>
      <w:marTop w:val="120"/>
      <w:marBottom w:val="0"/>
      <w:divBdr>
        <w:top w:val="none" w:sz="0" w:space="0" w:color="auto"/>
        <w:left w:val="none" w:sz="0" w:space="0" w:color="auto"/>
        <w:bottom w:val="none" w:sz="0" w:space="0" w:color="auto"/>
        <w:right w:val="none" w:sz="0" w:space="0" w:color="auto"/>
      </w:divBdr>
    </w:div>
    <w:div w:id="1612206950">
      <w:marLeft w:val="0"/>
      <w:marRight w:val="0"/>
      <w:marTop w:val="120"/>
      <w:marBottom w:val="0"/>
      <w:divBdr>
        <w:top w:val="none" w:sz="0" w:space="0" w:color="auto"/>
        <w:left w:val="none" w:sz="0" w:space="0" w:color="auto"/>
        <w:bottom w:val="none" w:sz="0" w:space="0" w:color="auto"/>
        <w:right w:val="none" w:sz="0" w:space="0" w:color="auto"/>
      </w:divBdr>
    </w:div>
    <w:div w:id="1613174180">
      <w:marLeft w:val="0"/>
      <w:marRight w:val="0"/>
      <w:marTop w:val="200"/>
      <w:marBottom w:val="0"/>
      <w:divBdr>
        <w:top w:val="none" w:sz="0" w:space="0" w:color="auto"/>
        <w:left w:val="none" w:sz="0" w:space="0" w:color="auto"/>
        <w:bottom w:val="none" w:sz="0" w:space="0" w:color="auto"/>
        <w:right w:val="none" w:sz="0" w:space="0" w:color="auto"/>
      </w:divBdr>
    </w:div>
    <w:div w:id="1615016107">
      <w:marLeft w:val="0"/>
      <w:marRight w:val="0"/>
      <w:marTop w:val="200"/>
      <w:marBottom w:val="0"/>
      <w:divBdr>
        <w:top w:val="none" w:sz="0" w:space="0" w:color="auto"/>
        <w:left w:val="none" w:sz="0" w:space="0" w:color="auto"/>
        <w:bottom w:val="none" w:sz="0" w:space="0" w:color="auto"/>
        <w:right w:val="none" w:sz="0" w:space="0" w:color="auto"/>
      </w:divBdr>
    </w:div>
    <w:div w:id="1620456477">
      <w:marLeft w:val="0"/>
      <w:marRight w:val="0"/>
      <w:marTop w:val="120"/>
      <w:marBottom w:val="0"/>
      <w:divBdr>
        <w:top w:val="none" w:sz="0" w:space="0" w:color="auto"/>
        <w:left w:val="none" w:sz="0" w:space="0" w:color="auto"/>
        <w:bottom w:val="none" w:sz="0" w:space="0" w:color="auto"/>
        <w:right w:val="none" w:sz="0" w:space="0" w:color="auto"/>
      </w:divBdr>
    </w:div>
    <w:div w:id="1620603816">
      <w:marLeft w:val="0"/>
      <w:marRight w:val="0"/>
      <w:marTop w:val="210"/>
      <w:marBottom w:val="0"/>
      <w:divBdr>
        <w:top w:val="none" w:sz="0" w:space="0" w:color="auto"/>
        <w:left w:val="none" w:sz="0" w:space="0" w:color="auto"/>
        <w:bottom w:val="none" w:sz="0" w:space="0" w:color="auto"/>
        <w:right w:val="none" w:sz="0" w:space="0" w:color="auto"/>
      </w:divBdr>
    </w:div>
    <w:div w:id="1622152440">
      <w:marLeft w:val="0"/>
      <w:marRight w:val="0"/>
      <w:marTop w:val="200"/>
      <w:marBottom w:val="0"/>
      <w:divBdr>
        <w:top w:val="none" w:sz="0" w:space="0" w:color="auto"/>
        <w:left w:val="none" w:sz="0" w:space="0" w:color="auto"/>
        <w:bottom w:val="none" w:sz="0" w:space="0" w:color="auto"/>
        <w:right w:val="none" w:sz="0" w:space="0" w:color="auto"/>
      </w:divBdr>
    </w:div>
    <w:div w:id="1629319153">
      <w:marLeft w:val="0"/>
      <w:marRight w:val="0"/>
      <w:marTop w:val="360"/>
      <w:marBottom w:val="0"/>
      <w:divBdr>
        <w:top w:val="none" w:sz="0" w:space="0" w:color="auto"/>
        <w:left w:val="none" w:sz="0" w:space="0" w:color="auto"/>
        <w:bottom w:val="none" w:sz="0" w:space="0" w:color="auto"/>
        <w:right w:val="none" w:sz="0" w:space="0" w:color="auto"/>
      </w:divBdr>
    </w:div>
    <w:div w:id="1630748328">
      <w:marLeft w:val="0"/>
      <w:marRight w:val="0"/>
      <w:marTop w:val="360"/>
      <w:marBottom w:val="0"/>
      <w:divBdr>
        <w:top w:val="none" w:sz="0" w:space="0" w:color="auto"/>
        <w:left w:val="none" w:sz="0" w:space="0" w:color="auto"/>
        <w:bottom w:val="none" w:sz="0" w:space="0" w:color="auto"/>
        <w:right w:val="none" w:sz="0" w:space="0" w:color="auto"/>
      </w:divBdr>
    </w:div>
    <w:div w:id="1633945551">
      <w:marLeft w:val="0"/>
      <w:marRight w:val="0"/>
      <w:marTop w:val="200"/>
      <w:marBottom w:val="0"/>
      <w:divBdr>
        <w:top w:val="none" w:sz="0" w:space="0" w:color="auto"/>
        <w:left w:val="none" w:sz="0" w:space="0" w:color="auto"/>
        <w:bottom w:val="none" w:sz="0" w:space="0" w:color="auto"/>
        <w:right w:val="none" w:sz="0" w:space="0" w:color="auto"/>
      </w:divBdr>
    </w:div>
    <w:div w:id="1635024132">
      <w:marLeft w:val="0"/>
      <w:marRight w:val="0"/>
      <w:marTop w:val="0"/>
      <w:marBottom w:val="0"/>
      <w:divBdr>
        <w:top w:val="none" w:sz="0" w:space="0" w:color="auto"/>
        <w:left w:val="none" w:sz="0" w:space="0" w:color="auto"/>
        <w:bottom w:val="none" w:sz="0" w:space="0" w:color="auto"/>
        <w:right w:val="none" w:sz="0" w:space="0" w:color="auto"/>
      </w:divBdr>
      <w:divsChild>
        <w:div w:id="602612664">
          <w:marLeft w:val="0"/>
          <w:marRight w:val="0"/>
          <w:marTop w:val="0"/>
          <w:marBottom w:val="0"/>
          <w:divBdr>
            <w:top w:val="none" w:sz="0" w:space="0" w:color="auto"/>
            <w:left w:val="none" w:sz="0" w:space="0" w:color="auto"/>
            <w:bottom w:val="none" w:sz="0" w:space="0" w:color="auto"/>
            <w:right w:val="none" w:sz="0" w:space="0" w:color="auto"/>
          </w:divBdr>
        </w:div>
      </w:divsChild>
    </w:div>
    <w:div w:id="1636989876">
      <w:marLeft w:val="0"/>
      <w:marRight w:val="0"/>
      <w:marTop w:val="210"/>
      <w:marBottom w:val="0"/>
      <w:divBdr>
        <w:top w:val="none" w:sz="0" w:space="0" w:color="auto"/>
        <w:left w:val="none" w:sz="0" w:space="0" w:color="auto"/>
        <w:bottom w:val="none" w:sz="0" w:space="0" w:color="auto"/>
        <w:right w:val="none" w:sz="0" w:space="0" w:color="auto"/>
      </w:divBdr>
    </w:div>
    <w:div w:id="1637488208">
      <w:marLeft w:val="0"/>
      <w:marRight w:val="0"/>
      <w:marTop w:val="360"/>
      <w:marBottom w:val="0"/>
      <w:divBdr>
        <w:top w:val="none" w:sz="0" w:space="0" w:color="auto"/>
        <w:left w:val="none" w:sz="0" w:space="0" w:color="auto"/>
        <w:bottom w:val="none" w:sz="0" w:space="0" w:color="auto"/>
        <w:right w:val="none" w:sz="0" w:space="0" w:color="auto"/>
      </w:divBdr>
    </w:div>
    <w:div w:id="1637645218">
      <w:marLeft w:val="0"/>
      <w:marRight w:val="0"/>
      <w:marTop w:val="100"/>
      <w:marBottom w:val="0"/>
      <w:divBdr>
        <w:top w:val="none" w:sz="0" w:space="0" w:color="auto"/>
        <w:left w:val="none" w:sz="0" w:space="0" w:color="auto"/>
        <w:bottom w:val="none" w:sz="0" w:space="0" w:color="auto"/>
        <w:right w:val="none" w:sz="0" w:space="0" w:color="auto"/>
      </w:divBdr>
    </w:div>
    <w:div w:id="1637949116">
      <w:marLeft w:val="0"/>
      <w:marRight w:val="0"/>
      <w:marTop w:val="240"/>
      <w:marBottom w:val="0"/>
      <w:divBdr>
        <w:top w:val="none" w:sz="0" w:space="0" w:color="auto"/>
        <w:left w:val="none" w:sz="0" w:space="0" w:color="auto"/>
        <w:bottom w:val="none" w:sz="0" w:space="0" w:color="auto"/>
        <w:right w:val="none" w:sz="0" w:space="0" w:color="auto"/>
      </w:divBdr>
    </w:div>
    <w:div w:id="1639412075">
      <w:marLeft w:val="0"/>
      <w:marRight w:val="0"/>
      <w:marTop w:val="0"/>
      <w:marBottom w:val="0"/>
      <w:divBdr>
        <w:top w:val="none" w:sz="0" w:space="0" w:color="auto"/>
        <w:left w:val="none" w:sz="0" w:space="0" w:color="auto"/>
        <w:bottom w:val="none" w:sz="0" w:space="0" w:color="auto"/>
        <w:right w:val="none" w:sz="0" w:space="0" w:color="auto"/>
      </w:divBdr>
      <w:divsChild>
        <w:div w:id="1348485067">
          <w:marLeft w:val="0"/>
          <w:marRight w:val="0"/>
          <w:marTop w:val="0"/>
          <w:marBottom w:val="0"/>
          <w:divBdr>
            <w:top w:val="none" w:sz="0" w:space="0" w:color="auto"/>
            <w:left w:val="none" w:sz="0" w:space="0" w:color="auto"/>
            <w:bottom w:val="none" w:sz="0" w:space="0" w:color="auto"/>
            <w:right w:val="none" w:sz="0" w:space="0" w:color="auto"/>
          </w:divBdr>
        </w:div>
      </w:divsChild>
    </w:div>
    <w:div w:id="1639602926">
      <w:marLeft w:val="0"/>
      <w:marRight w:val="0"/>
      <w:marTop w:val="120"/>
      <w:marBottom w:val="0"/>
      <w:divBdr>
        <w:top w:val="none" w:sz="0" w:space="0" w:color="auto"/>
        <w:left w:val="none" w:sz="0" w:space="0" w:color="auto"/>
        <w:bottom w:val="none" w:sz="0" w:space="0" w:color="auto"/>
        <w:right w:val="none" w:sz="0" w:space="0" w:color="auto"/>
      </w:divBdr>
    </w:div>
    <w:div w:id="1640070540">
      <w:marLeft w:val="0"/>
      <w:marRight w:val="0"/>
      <w:marTop w:val="0"/>
      <w:marBottom w:val="0"/>
      <w:divBdr>
        <w:top w:val="none" w:sz="0" w:space="0" w:color="auto"/>
        <w:left w:val="none" w:sz="0" w:space="0" w:color="auto"/>
        <w:bottom w:val="none" w:sz="0" w:space="0" w:color="auto"/>
        <w:right w:val="none" w:sz="0" w:space="0" w:color="auto"/>
      </w:divBdr>
      <w:divsChild>
        <w:div w:id="225184911">
          <w:marLeft w:val="0"/>
          <w:marRight w:val="0"/>
          <w:marTop w:val="0"/>
          <w:marBottom w:val="0"/>
          <w:divBdr>
            <w:top w:val="none" w:sz="0" w:space="0" w:color="auto"/>
            <w:left w:val="none" w:sz="0" w:space="0" w:color="auto"/>
            <w:bottom w:val="none" w:sz="0" w:space="0" w:color="auto"/>
            <w:right w:val="none" w:sz="0" w:space="0" w:color="auto"/>
          </w:divBdr>
        </w:div>
      </w:divsChild>
    </w:div>
    <w:div w:id="1641232978">
      <w:marLeft w:val="0"/>
      <w:marRight w:val="0"/>
      <w:marTop w:val="0"/>
      <w:marBottom w:val="0"/>
      <w:divBdr>
        <w:top w:val="none" w:sz="0" w:space="0" w:color="auto"/>
        <w:left w:val="none" w:sz="0" w:space="0" w:color="auto"/>
        <w:bottom w:val="none" w:sz="0" w:space="0" w:color="auto"/>
        <w:right w:val="none" w:sz="0" w:space="0" w:color="auto"/>
      </w:divBdr>
      <w:divsChild>
        <w:div w:id="1793816674">
          <w:marLeft w:val="0"/>
          <w:marRight w:val="0"/>
          <w:marTop w:val="0"/>
          <w:marBottom w:val="0"/>
          <w:divBdr>
            <w:top w:val="none" w:sz="0" w:space="0" w:color="auto"/>
            <w:left w:val="none" w:sz="0" w:space="0" w:color="auto"/>
            <w:bottom w:val="none" w:sz="0" w:space="0" w:color="auto"/>
            <w:right w:val="none" w:sz="0" w:space="0" w:color="auto"/>
          </w:divBdr>
        </w:div>
      </w:divsChild>
    </w:div>
    <w:div w:id="1650668905">
      <w:marLeft w:val="0"/>
      <w:marRight w:val="0"/>
      <w:marTop w:val="210"/>
      <w:marBottom w:val="0"/>
      <w:divBdr>
        <w:top w:val="none" w:sz="0" w:space="0" w:color="auto"/>
        <w:left w:val="none" w:sz="0" w:space="0" w:color="auto"/>
        <w:bottom w:val="none" w:sz="0" w:space="0" w:color="auto"/>
        <w:right w:val="none" w:sz="0" w:space="0" w:color="auto"/>
      </w:divBdr>
    </w:div>
    <w:div w:id="1652099654">
      <w:marLeft w:val="0"/>
      <w:marRight w:val="0"/>
      <w:marTop w:val="0"/>
      <w:marBottom w:val="0"/>
      <w:divBdr>
        <w:top w:val="none" w:sz="0" w:space="0" w:color="auto"/>
        <w:left w:val="none" w:sz="0" w:space="0" w:color="auto"/>
        <w:bottom w:val="none" w:sz="0" w:space="0" w:color="auto"/>
        <w:right w:val="none" w:sz="0" w:space="0" w:color="auto"/>
      </w:divBdr>
      <w:divsChild>
        <w:div w:id="541524467">
          <w:marLeft w:val="0"/>
          <w:marRight w:val="0"/>
          <w:marTop w:val="0"/>
          <w:marBottom w:val="0"/>
          <w:divBdr>
            <w:top w:val="none" w:sz="0" w:space="0" w:color="auto"/>
            <w:left w:val="none" w:sz="0" w:space="0" w:color="auto"/>
            <w:bottom w:val="none" w:sz="0" w:space="0" w:color="auto"/>
            <w:right w:val="none" w:sz="0" w:space="0" w:color="auto"/>
          </w:divBdr>
        </w:div>
      </w:divsChild>
    </w:div>
    <w:div w:id="1655334662">
      <w:marLeft w:val="0"/>
      <w:marRight w:val="0"/>
      <w:marTop w:val="200"/>
      <w:marBottom w:val="0"/>
      <w:divBdr>
        <w:top w:val="none" w:sz="0" w:space="0" w:color="auto"/>
        <w:left w:val="none" w:sz="0" w:space="0" w:color="auto"/>
        <w:bottom w:val="none" w:sz="0" w:space="0" w:color="auto"/>
        <w:right w:val="none" w:sz="0" w:space="0" w:color="auto"/>
      </w:divBdr>
    </w:div>
    <w:div w:id="1662586293">
      <w:marLeft w:val="0"/>
      <w:marRight w:val="0"/>
      <w:marTop w:val="0"/>
      <w:marBottom w:val="0"/>
      <w:divBdr>
        <w:top w:val="none" w:sz="0" w:space="0" w:color="auto"/>
        <w:left w:val="none" w:sz="0" w:space="0" w:color="auto"/>
        <w:bottom w:val="none" w:sz="0" w:space="0" w:color="auto"/>
        <w:right w:val="none" w:sz="0" w:space="0" w:color="auto"/>
      </w:divBdr>
      <w:divsChild>
        <w:div w:id="1805851776">
          <w:marLeft w:val="0"/>
          <w:marRight w:val="0"/>
          <w:marTop w:val="0"/>
          <w:marBottom w:val="0"/>
          <w:divBdr>
            <w:top w:val="none" w:sz="0" w:space="0" w:color="auto"/>
            <w:left w:val="none" w:sz="0" w:space="0" w:color="auto"/>
            <w:bottom w:val="none" w:sz="0" w:space="0" w:color="auto"/>
            <w:right w:val="none" w:sz="0" w:space="0" w:color="auto"/>
          </w:divBdr>
        </w:div>
      </w:divsChild>
    </w:div>
    <w:div w:id="1665544903">
      <w:marLeft w:val="0"/>
      <w:marRight w:val="0"/>
      <w:marTop w:val="240"/>
      <w:marBottom w:val="0"/>
      <w:divBdr>
        <w:top w:val="none" w:sz="0" w:space="0" w:color="auto"/>
        <w:left w:val="none" w:sz="0" w:space="0" w:color="auto"/>
        <w:bottom w:val="none" w:sz="0" w:space="0" w:color="auto"/>
        <w:right w:val="none" w:sz="0" w:space="0" w:color="auto"/>
      </w:divBdr>
    </w:div>
    <w:div w:id="1666661531">
      <w:marLeft w:val="0"/>
      <w:marRight w:val="0"/>
      <w:marTop w:val="200"/>
      <w:marBottom w:val="0"/>
      <w:divBdr>
        <w:top w:val="none" w:sz="0" w:space="0" w:color="auto"/>
        <w:left w:val="none" w:sz="0" w:space="0" w:color="auto"/>
        <w:bottom w:val="none" w:sz="0" w:space="0" w:color="auto"/>
        <w:right w:val="none" w:sz="0" w:space="0" w:color="auto"/>
      </w:divBdr>
    </w:div>
    <w:div w:id="1667509788">
      <w:marLeft w:val="0"/>
      <w:marRight w:val="0"/>
      <w:marTop w:val="0"/>
      <w:marBottom w:val="0"/>
      <w:divBdr>
        <w:top w:val="none" w:sz="0" w:space="0" w:color="auto"/>
        <w:left w:val="none" w:sz="0" w:space="0" w:color="auto"/>
        <w:bottom w:val="none" w:sz="0" w:space="0" w:color="auto"/>
        <w:right w:val="none" w:sz="0" w:space="0" w:color="auto"/>
      </w:divBdr>
    </w:div>
    <w:div w:id="1667778847">
      <w:marLeft w:val="0"/>
      <w:marRight w:val="0"/>
      <w:marTop w:val="120"/>
      <w:marBottom w:val="0"/>
      <w:divBdr>
        <w:top w:val="none" w:sz="0" w:space="0" w:color="auto"/>
        <w:left w:val="none" w:sz="0" w:space="0" w:color="auto"/>
        <w:bottom w:val="none" w:sz="0" w:space="0" w:color="auto"/>
        <w:right w:val="none" w:sz="0" w:space="0" w:color="auto"/>
      </w:divBdr>
    </w:div>
    <w:div w:id="1667783375">
      <w:marLeft w:val="0"/>
      <w:marRight w:val="0"/>
      <w:marTop w:val="200"/>
      <w:marBottom w:val="0"/>
      <w:divBdr>
        <w:top w:val="none" w:sz="0" w:space="0" w:color="auto"/>
        <w:left w:val="none" w:sz="0" w:space="0" w:color="auto"/>
        <w:bottom w:val="none" w:sz="0" w:space="0" w:color="auto"/>
        <w:right w:val="none" w:sz="0" w:space="0" w:color="auto"/>
      </w:divBdr>
    </w:div>
    <w:div w:id="1669554545">
      <w:marLeft w:val="0"/>
      <w:marRight w:val="0"/>
      <w:marTop w:val="120"/>
      <w:marBottom w:val="0"/>
      <w:divBdr>
        <w:top w:val="none" w:sz="0" w:space="0" w:color="auto"/>
        <w:left w:val="none" w:sz="0" w:space="0" w:color="auto"/>
        <w:bottom w:val="none" w:sz="0" w:space="0" w:color="auto"/>
        <w:right w:val="none" w:sz="0" w:space="0" w:color="auto"/>
      </w:divBdr>
    </w:div>
    <w:div w:id="1672173292">
      <w:marLeft w:val="0"/>
      <w:marRight w:val="0"/>
      <w:marTop w:val="0"/>
      <w:marBottom w:val="0"/>
      <w:divBdr>
        <w:top w:val="none" w:sz="0" w:space="0" w:color="auto"/>
        <w:left w:val="none" w:sz="0" w:space="0" w:color="auto"/>
        <w:bottom w:val="none" w:sz="0" w:space="0" w:color="auto"/>
        <w:right w:val="none" w:sz="0" w:space="0" w:color="auto"/>
      </w:divBdr>
      <w:divsChild>
        <w:div w:id="457261507">
          <w:marLeft w:val="0"/>
          <w:marRight w:val="0"/>
          <w:marTop w:val="0"/>
          <w:marBottom w:val="0"/>
          <w:divBdr>
            <w:top w:val="none" w:sz="0" w:space="0" w:color="auto"/>
            <w:left w:val="none" w:sz="0" w:space="0" w:color="auto"/>
            <w:bottom w:val="none" w:sz="0" w:space="0" w:color="auto"/>
            <w:right w:val="none" w:sz="0" w:space="0" w:color="auto"/>
          </w:divBdr>
        </w:div>
      </w:divsChild>
    </w:div>
    <w:div w:id="1675843474">
      <w:marLeft w:val="0"/>
      <w:marRight w:val="0"/>
      <w:marTop w:val="200"/>
      <w:marBottom w:val="0"/>
      <w:divBdr>
        <w:top w:val="none" w:sz="0" w:space="0" w:color="auto"/>
        <w:left w:val="none" w:sz="0" w:space="0" w:color="auto"/>
        <w:bottom w:val="none" w:sz="0" w:space="0" w:color="auto"/>
        <w:right w:val="none" w:sz="0" w:space="0" w:color="auto"/>
      </w:divBdr>
    </w:div>
    <w:div w:id="1677000972">
      <w:marLeft w:val="0"/>
      <w:marRight w:val="0"/>
      <w:marTop w:val="120"/>
      <w:marBottom w:val="0"/>
      <w:divBdr>
        <w:top w:val="none" w:sz="0" w:space="0" w:color="auto"/>
        <w:left w:val="none" w:sz="0" w:space="0" w:color="auto"/>
        <w:bottom w:val="none" w:sz="0" w:space="0" w:color="auto"/>
        <w:right w:val="none" w:sz="0" w:space="0" w:color="auto"/>
      </w:divBdr>
    </w:div>
    <w:div w:id="1680505819">
      <w:marLeft w:val="0"/>
      <w:marRight w:val="0"/>
      <w:marTop w:val="200"/>
      <w:marBottom w:val="0"/>
      <w:divBdr>
        <w:top w:val="none" w:sz="0" w:space="0" w:color="auto"/>
        <w:left w:val="none" w:sz="0" w:space="0" w:color="auto"/>
        <w:bottom w:val="none" w:sz="0" w:space="0" w:color="auto"/>
        <w:right w:val="none" w:sz="0" w:space="0" w:color="auto"/>
      </w:divBdr>
    </w:div>
    <w:div w:id="1681277961">
      <w:marLeft w:val="0"/>
      <w:marRight w:val="0"/>
      <w:marTop w:val="200"/>
      <w:marBottom w:val="0"/>
      <w:divBdr>
        <w:top w:val="none" w:sz="0" w:space="0" w:color="auto"/>
        <w:left w:val="none" w:sz="0" w:space="0" w:color="auto"/>
        <w:bottom w:val="none" w:sz="0" w:space="0" w:color="auto"/>
        <w:right w:val="none" w:sz="0" w:space="0" w:color="auto"/>
      </w:divBdr>
    </w:div>
    <w:div w:id="1682269901">
      <w:marLeft w:val="0"/>
      <w:marRight w:val="0"/>
      <w:marTop w:val="200"/>
      <w:marBottom w:val="0"/>
      <w:divBdr>
        <w:top w:val="none" w:sz="0" w:space="0" w:color="auto"/>
        <w:left w:val="none" w:sz="0" w:space="0" w:color="auto"/>
        <w:bottom w:val="none" w:sz="0" w:space="0" w:color="auto"/>
        <w:right w:val="none" w:sz="0" w:space="0" w:color="auto"/>
      </w:divBdr>
    </w:div>
    <w:div w:id="1682967713">
      <w:marLeft w:val="0"/>
      <w:marRight w:val="0"/>
      <w:marTop w:val="100"/>
      <w:marBottom w:val="0"/>
      <w:divBdr>
        <w:top w:val="none" w:sz="0" w:space="0" w:color="auto"/>
        <w:left w:val="none" w:sz="0" w:space="0" w:color="auto"/>
        <w:bottom w:val="none" w:sz="0" w:space="0" w:color="auto"/>
        <w:right w:val="none" w:sz="0" w:space="0" w:color="auto"/>
      </w:divBdr>
    </w:div>
    <w:div w:id="1683583030">
      <w:marLeft w:val="0"/>
      <w:marRight w:val="0"/>
      <w:marTop w:val="200"/>
      <w:marBottom w:val="0"/>
      <w:divBdr>
        <w:top w:val="none" w:sz="0" w:space="0" w:color="auto"/>
        <w:left w:val="none" w:sz="0" w:space="0" w:color="auto"/>
        <w:bottom w:val="none" w:sz="0" w:space="0" w:color="auto"/>
        <w:right w:val="none" w:sz="0" w:space="0" w:color="auto"/>
      </w:divBdr>
    </w:div>
    <w:div w:id="1686518346">
      <w:marLeft w:val="0"/>
      <w:marRight w:val="0"/>
      <w:marTop w:val="200"/>
      <w:marBottom w:val="0"/>
      <w:divBdr>
        <w:top w:val="none" w:sz="0" w:space="0" w:color="auto"/>
        <w:left w:val="none" w:sz="0" w:space="0" w:color="auto"/>
        <w:bottom w:val="none" w:sz="0" w:space="0" w:color="auto"/>
        <w:right w:val="none" w:sz="0" w:space="0" w:color="auto"/>
      </w:divBdr>
    </w:div>
    <w:div w:id="1688562647">
      <w:marLeft w:val="0"/>
      <w:marRight w:val="0"/>
      <w:marTop w:val="200"/>
      <w:marBottom w:val="0"/>
      <w:divBdr>
        <w:top w:val="none" w:sz="0" w:space="0" w:color="auto"/>
        <w:left w:val="none" w:sz="0" w:space="0" w:color="auto"/>
        <w:bottom w:val="none" w:sz="0" w:space="0" w:color="auto"/>
        <w:right w:val="none" w:sz="0" w:space="0" w:color="auto"/>
      </w:divBdr>
    </w:div>
    <w:div w:id="1691223179">
      <w:marLeft w:val="0"/>
      <w:marRight w:val="0"/>
      <w:marTop w:val="360"/>
      <w:marBottom w:val="0"/>
      <w:divBdr>
        <w:top w:val="none" w:sz="0" w:space="0" w:color="auto"/>
        <w:left w:val="none" w:sz="0" w:space="0" w:color="auto"/>
        <w:bottom w:val="none" w:sz="0" w:space="0" w:color="auto"/>
        <w:right w:val="none" w:sz="0" w:space="0" w:color="auto"/>
      </w:divBdr>
    </w:div>
    <w:div w:id="1691372575">
      <w:marLeft w:val="0"/>
      <w:marRight w:val="0"/>
      <w:marTop w:val="210"/>
      <w:marBottom w:val="0"/>
      <w:divBdr>
        <w:top w:val="none" w:sz="0" w:space="0" w:color="auto"/>
        <w:left w:val="none" w:sz="0" w:space="0" w:color="auto"/>
        <w:bottom w:val="none" w:sz="0" w:space="0" w:color="auto"/>
        <w:right w:val="none" w:sz="0" w:space="0" w:color="auto"/>
      </w:divBdr>
    </w:div>
    <w:div w:id="1691758255">
      <w:marLeft w:val="0"/>
      <w:marRight w:val="0"/>
      <w:marTop w:val="120"/>
      <w:marBottom w:val="0"/>
      <w:divBdr>
        <w:top w:val="none" w:sz="0" w:space="0" w:color="auto"/>
        <w:left w:val="none" w:sz="0" w:space="0" w:color="auto"/>
        <w:bottom w:val="none" w:sz="0" w:space="0" w:color="auto"/>
        <w:right w:val="none" w:sz="0" w:space="0" w:color="auto"/>
      </w:divBdr>
    </w:div>
    <w:div w:id="1692491697">
      <w:marLeft w:val="0"/>
      <w:marRight w:val="0"/>
      <w:marTop w:val="0"/>
      <w:marBottom w:val="0"/>
      <w:divBdr>
        <w:top w:val="none" w:sz="0" w:space="0" w:color="auto"/>
        <w:left w:val="none" w:sz="0" w:space="0" w:color="auto"/>
        <w:bottom w:val="none" w:sz="0" w:space="0" w:color="auto"/>
        <w:right w:val="none" w:sz="0" w:space="0" w:color="auto"/>
      </w:divBdr>
      <w:divsChild>
        <w:div w:id="399602532">
          <w:marLeft w:val="0"/>
          <w:marRight w:val="0"/>
          <w:marTop w:val="0"/>
          <w:marBottom w:val="0"/>
          <w:divBdr>
            <w:top w:val="none" w:sz="0" w:space="0" w:color="auto"/>
            <w:left w:val="none" w:sz="0" w:space="0" w:color="auto"/>
            <w:bottom w:val="none" w:sz="0" w:space="0" w:color="auto"/>
            <w:right w:val="none" w:sz="0" w:space="0" w:color="auto"/>
          </w:divBdr>
        </w:div>
      </w:divsChild>
    </w:div>
    <w:div w:id="1692606397">
      <w:marLeft w:val="0"/>
      <w:marRight w:val="0"/>
      <w:marTop w:val="200"/>
      <w:marBottom w:val="0"/>
      <w:divBdr>
        <w:top w:val="none" w:sz="0" w:space="0" w:color="auto"/>
        <w:left w:val="none" w:sz="0" w:space="0" w:color="auto"/>
        <w:bottom w:val="none" w:sz="0" w:space="0" w:color="auto"/>
        <w:right w:val="none" w:sz="0" w:space="0" w:color="auto"/>
      </w:divBdr>
    </w:div>
    <w:div w:id="1694108282">
      <w:marLeft w:val="0"/>
      <w:marRight w:val="0"/>
      <w:marTop w:val="210"/>
      <w:marBottom w:val="0"/>
      <w:divBdr>
        <w:top w:val="none" w:sz="0" w:space="0" w:color="auto"/>
        <w:left w:val="none" w:sz="0" w:space="0" w:color="auto"/>
        <w:bottom w:val="none" w:sz="0" w:space="0" w:color="auto"/>
        <w:right w:val="none" w:sz="0" w:space="0" w:color="auto"/>
      </w:divBdr>
    </w:div>
    <w:div w:id="1696074449">
      <w:marLeft w:val="0"/>
      <w:marRight w:val="0"/>
      <w:marTop w:val="0"/>
      <w:marBottom w:val="0"/>
      <w:divBdr>
        <w:top w:val="none" w:sz="0" w:space="0" w:color="auto"/>
        <w:left w:val="none" w:sz="0" w:space="0" w:color="auto"/>
        <w:bottom w:val="none" w:sz="0" w:space="0" w:color="auto"/>
        <w:right w:val="none" w:sz="0" w:space="0" w:color="auto"/>
      </w:divBdr>
      <w:divsChild>
        <w:div w:id="1187675834">
          <w:marLeft w:val="0"/>
          <w:marRight w:val="0"/>
          <w:marTop w:val="0"/>
          <w:marBottom w:val="0"/>
          <w:divBdr>
            <w:top w:val="none" w:sz="0" w:space="0" w:color="auto"/>
            <w:left w:val="none" w:sz="0" w:space="0" w:color="auto"/>
            <w:bottom w:val="none" w:sz="0" w:space="0" w:color="auto"/>
            <w:right w:val="none" w:sz="0" w:space="0" w:color="auto"/>
          </w:divBdr>
        </w:div>
      </w:divsChild>
    </w:div>
    <w:div w:id="1696687913">
      <w:marLeft w:val="0"/>
      <w:marRight w:val="0"/>
      <w:marTop w:val="360"/>
      <w:marBottom w:val="0"/>
      <w:divBdr>
        <w:top w:val="none" w:sz="0" w:space="0" w:color="auto"/>
        <w:left w:val="none" w:sz="0" w:space="0" w:color="auto"/>
        <w:bottom w:val="none" w:sz="0" w:space="0" w:color="auto"/>
        <w:right w:val="none" w:sz="0" w:space="0" w:color="auto"/>
      </w:divBdr>
    </w:div>
    <w:div w:id="1699045827">
      <w:marLeft w:val="0"/>
      <w:marRight w:val="0"/>
      <w:marTop w:val="0"/>
      <w:marBottom w:val="0"/>
      <w:divBdr>
        <w:top w:val="none" w:sz="0" w:space="0" w:color="auto"/>
        <w:left w:val="none" w:sz="0" w:space="0" w:color="auto"/>
        <w:bottom w:val="none" w:sz="0" w:space="0" w:color="auto"/>
        <w:right w:val="none" w:sz="0" w:space="0" w:color="auto"/>
      </w:divBdr>
    </w:div>
    <w:div w:id="1699811930">
      <w:marLeft w:val="0"/>
      <w:marRight w:val="0"/>
      <w:marTop w:val="200"/>
      <w:marBottom w:val="0"/>
      <w:divBdr>
        <w:top w:val="none" w:sz="0" w:space="0" w:color="auto"/>
        <w:left w:val="none" w:sz="0" w:space="0" w:color="auto"/>
        <w:bottom w:val="none" w:sz="0" w:space="0" w:color="auto"/>
        <w:right w:val="none" w:sz="0" w:space="0" w:color="auto"/>
      </w:divBdr>
    </w:div>
    <w:div w:id="1701660578">
      <w:marLeft w:val="0"/>
      <w:marRight w:val="0"/>
      <w:marTop w:val="200"/>
      <w:marBottom w:val="0"/>
      <w:divBdr>
        <w:top w:val="none" w:sz="0" w:space="0" w:color="auto"/>
        <w:left w:val="none" w:sz="0" w:space="0" w:color="auto"/>
        <w:bottom w:val="none" w:sz="0" w:space="0" w:color="auto"/>
        <w:right w:val="none" w:sz="0" w:space="0" w:color="auto"/>
      </w:divBdr>
    </w:div>
    <w:div w:id="1705130222">
      <w:marLeft w:val="0"/>
      <w:marRight w:val="0"/>
      <w:marTop w:val="200"/>
      <w:marBottom w:val="0"/>
      <w:divBdr>
        <w:top w:val="none" w:sz="0" w:space="0" w:color="auto"/>
        <w:left w:val="none" w:sz="0" w:space="0" w:color="auto"/>
        <w:bottom w:val="none" w:sz="0" w:space="0" w:color="auto"/>
        <w:right w:val="none" w:sz="0" w:space="0" w:color="auto"/>
      </w:divBdr>
    </w:div>
    <w:div w:id="1706052969">
      <w:marLeft w:val="0"/>
      <w:marRight w:val="0"/>
      <w:marTop w:val="0"/>
      <w:marBottom w:val="0"/>
      <w:divBdr>
        <w:top w:val="none" w:sz="0" w:space="0" w:color="auto"/>
        <w:left w:val="none" w:sz="0" w:space="0" w:color="auto"/>
        <w:bottom w:val="none" w:sz="0" w:space="0" w:color="auto"/>
        <w:right w:val="none" w:sz="0" w:space="0" w:color="auto"/>
      </w:divBdr>
      <w:divsChild>
        <w:div w:id="938215674">
          <w:marLeft w:val="0"/>
          <w:marRight w:val="0"/>
          <w:marTop w:val="0"/>
          <w:marBottom w:val="0"/>
          <w:divBdr>
            <w:top w:val="none" w:sz="0" w:space="0" w:color="auto"/>
            <w:left w:val="none" w:sz="0" w:space="0" w:color="auto"/>
            <w:bottom w:val="none" w:sz="0" w:space="0" w:color="auto"/>
            <w:right w:val="none" w:sz="0" w:space="0" w:color="auto"/>
          </w:divBdr>
        </w:div>
      </w:divsChild>
    </w:div>
    <w:div w:id="1706558693">
      <w:marLeft w:val="0"/>
      <w:marRight w:val="0"/>
      <w:marTop w:val="200"/>
      <w:marBottom w:val="0"/>
      <w:divBdr>
        <w:top w:val="none" w:sz="0" w:space="0" w:color="auto"/>
        <w:left w:val="none" w:sz="0" w:space="0" w:color="auto"/>
        <w:bottom w:val="none" w:sz="0" w:space="0" w:color="auto"/>
        <w:right w:val="none" w:sz="0" w:space="0" w:color="auto"/>
      </w:divBdr>
    </w:div>
    <w:div w:id="1706756914">
      <w:marLeft w:val="0"/>
      <w:marRight w:val="0"/>
      <w:marTop w:val="210"/>
      <w:marBottom w:val="0"/>
      <w:divBdr>
        <w:top w:val="none" w:sz="0" w:space="0" w:color="auto"/>
        <w:left w:val="none" w:sz="0" w:space="0" w:color="auto"/>
        <w:bottom w:val="none" w:sz="0" w:space="0" w:color="auto"/>
        <w:right w:val="none" w:sz="0" w:space="0" w:color="auto"/>
      </w:divBdr>
    </w:div>
    <w:div w:id="1706907256">
      <w:marLeft w:val="0"/>
      <w:marRight w:val="0"/>
      <w:marTop w:val="200"/>
      <w:marBottom w:val="0"/>
      <w:divBdr>
        <w:top w:val="none" w:sz="0" w:space="0" w:color="auto"/>
        <w:left w:val="none" w:sz="0" w:space="0" w:color="auto"/>
        <w:bottom w:val="none" w:sz="0" w:space="0" w:color="auto"/>
        <w:right w:val="none" w:sz="0" w:space="0" w:color="auto"/>
      </w:divBdr>
    </w:div>
    <w:div w:id="1707411253">
      <w:marLeft w:val="0"/>
      <w:marRight w:val="0"/>
      <w:marTop w:val="0"/>
      <w:marBottom w:val="0"/>
      <w:divBdr>
        <w:top w:val="none" w:sz="0" w:space="0" w:color="auto"/>
        <w:left w:val="none" w:sz="0" w:space="0" w:color="auto"/>
        <w:bottom w:val="none" w:sz="0" w:space="0" w:color="auto"/>
        <w:right w:val="none" w:sz="0" w:space="0" w:color="auto"/>
      </w:divBdr>
    </w:div>
    <w:div w:id="1709795227">
      <w:marLeft w:val="0"/>
      <w:marRight w:val="0"/>
      <w:marTop w:val="0"/>
      <w:marBottom w:val="0"/>
      <w:divBdr>
        <w:top w:val="none" w:sz="0" w:space="0" w:color="auto"/>
        <w:left w:val="none" w:sz="0" w:space="0" w:color="auto"/>
        <w:bottom w:val="none" w:sz="0" w:space="0" w:color="auto"/>
        <w:right w:val="none" w:sz="0" w:space="0" w:color="auto"/>
      </w:divBdr>
      <w:divsChild>
        <w:div w:id="1027608686">
          <w:marLeft w:val="0"/>
          <w:marRight w:val="0"/>
          <w:marTop w:val="0"/>
          <w:marBottom w:val="0"/>
          <w:divBdr>
            <w:top w:val="none" w:sz="0" w:space="0" w:color="auto"/>
            <w:left w:val="none" w:sz="0" w:space="0" w:color="auto"/>
            <w:bottom w:val="none" w:sz="0" w:space="0" w:color="auto"/>
            <w:right w:val="none" w:sz="0" w:space="0" w:color="auto"/>
          </w:divBdr>
        </w:div>
      </w:divsChild>
    </w:div>
    <w:div w:id="1710374814">
      <w:marLeft w:val="0"/>
      <w:marRight w:val="0"/>
      <w:marTop w:val="0"/>
      <w:marBottom w:val="0"/>
      <w:divBdr>
        <w:top w:val="none" w:sz="0" w:space="0" w:color="auto"/>
        <w:left w:val="none" w:sz="0" w:space="0" w:color="auto"/>
        <w:bottom w:val="none" w:sz="0" w:space="0" w:color="auto"/>
        <w:right w:val="none" w:sz="0" w:space="0" w:color="auto"/>
      </w:divBdr>
      <w:divsChild>
        <w:div w:id="1567957214">
          <w:marLeft w:val="0"/>
          <w:marRight w:val="0"/>
          <w:marTop w:val="0"/>
          <w:marBottom w:val="0"/>
          <w:divBdr>
            <w:top w:val="none" w:sz="0" w:space="0" w:color="auto"/>
            <w:left w:val="none" w:sz="0" w:space="0" w:color="auto"/>
            <w:bottom w:val="none" w:sz="0" w:space="0" w:color="auto"/>
            <w:right w:val="none" w:sz="0" w:space="0" w:color="auto"/>
          </w:divBdr>
        </w:div>
      </w:divsChild>
    </w:div>
    <w:div w:id="1710838027">
      <w:marLeft w:val="0"/>
      <w:marRight w:val="0"/>
      <w:marTop w:val="210"/>
      <w:marBottom w:val="0"/>
      <w:divBdr>
        <w:top w:val="none" w:sz="0" w:space="0" w:color="auto"/>
        <w:left w:val="none" w:sz="0" w:space="0" w:color="auto"/>
        <w:bottom w:val="none" w:sz="0" w:space="0" w:color="auto"/>
        <w:right w:val="none" w:sz="0" w:space="0" w:color="auto"/>
      </w:divBdr>
    </w:div>
    <w:div w:id="1713654359">
      <w:marLeft w:val="0"/>
      <w:marRight w:val="0"/>
      <w:marTop w:val="0"/>
      <w:marBottom w:val="0"/>
      <w:divBdr>
        <w:top w:val="none" w:sz="0" w:space="0" w:color="auto"/>
        <w:left w:val="none" w:sz="0" w:space="0" w:color="auto"/>
        <w:bottom w:val="none" w:sz="0" w:space="0" w:color="auto"/>
        <w:right w:val="none" w:sz="0" w:space="0" w:color="auto"/>
      </w:divBdr>
      <w:divsChild>
        <w:div w:id="310408643">
          <w:marLeft w:val="0"/>
          <w:marRight w:val="0"/>
          <w:marTop w:val="0"/>
          <w:marBottom w:val="0"/>
          <w:divBdr>
            <w:top w:val="none" w:sz="0" w:space="0" w:color="auto"/>
            <w:left w:val="none" w:sz="0" w:space="0" w:color="auto"/>
            <w:bottom w:val="none" w:sz="0" w:space="0" w:color="auto"/>
            <w:right w:val="none" w:sz="0" w:space="0" w:color="auto"/>
          </w:divBdr>
        </w:div>
      </w:divsChild>
    </w:div>
    <w:div w:id="1717043702">
      <w:marLeft w:val="0"/>
      <w:marRight w:val="0"/>
      <w:marTop w:val="210"/>
      <w:marBottom w:val="0"/>
      <w:divBdr>
        <w:top w:val="none" w:sz="0" w:space="0" w:color="auto"/>
        <w:left w:val="none" w:sz="0" w:space="0" w:color="auto"/>
        <w:bottom w:val="none" w:sz="0" w:space="0" w:color="auto"/>
        <w:right w:val="none" w:sz="0" w:space="0" w:color="auto"/>
      </w:divBdr>
    </w:div>
    <w:div w:id="1719890000">
      <w:marLeft w:val="0"/>
      <w:marRight w:val="0"/>
      <w:marTop w:val="200"/>
      <w:marBottom w:val="0"/>
      <w:divBdr>
        <w:top w:val="none" w:sz="0" w:space="0" w:color="auto"/>
        <w:left w:val="none" w:sz="0" w:space="0" w:color="auto"/>
        <w:bottom w:val="none" w:sz="0" w:space="0" w:color="auto"/>
        <w:right w:val="none" w:sz="0" w:space="0" w:color="auto"/>
      </w:divBdr>
    </w:div>
    <w:div w:id="1720664696">
      <w:marLeft w:val="0"/>
      <w:marRight w:val="0"/>
      <w:marTop w:val="120"/>
      <w:marBottom w:val="0"/>
      <w:divBdr>
        <w:top w:val="none" w:sz="0" w:space="0" w:color="auto"/>
        <w:left w:val="none" w:sz="0" w:space="0" w:color="auto"/>
        <w:bottom w:val="none" w:sz="0" w:space="0" w:color="auto"/>
        <w:right w:val="none" w:sz="0" w:space="0" w:color="auto"/>
      </w:divBdr>
    </w:div>
    <w:div w:id="1720861521">
      <w:marLeft w:val="0"/>
      <w:marRight w:val="0"/>
      <w:marTop w:val="360"/>
      <w:marBottom w:val="0"/>
      <w:divBdr>
        <w:top w:val="none" w:sz="0" w:space="0" w:color="auto"/>
        <w:left w:val="none" w:sz="0" w:space="0" w:color="auto"/>
        <w:bottom w:val="none" w:sz="0" w:space="0" w:color="auto"/>
        <w:right w:val="none" w:sz="0" w:space="0" w:color="auto"/>
      </w:divBdr>
    </w:div>
    <w:div w:id="1723676376">
      <w:marLeft w:val="0"/>
      <w:marRight w:val="0"/>
      <w:marTop w:val="200"/>
      <w:marBottom w:val="0"/>
      <w:divBdr>
        <w:top w:val="none" w:sz="0" w:space="0" w:color="auto"/>
        <w:left w:val="none" w:sz="0" w:space="0" w:color="auto"/>
        <w:bottom w:val="none" w:sz="0" w:space="0" w:color="auto"/>
        <w:right w:val="none" w:sz="0" w:space="0" w:color="auto"/>
      </w:divBdr>
    </w:div>
    <w:div w:id="1727407538">
      <w:marLeft w:val="0"/>
      <w:marRight w:val="0"/>
      <w:marTop w:val="210"/>
      <w:marBottom w:val="0"/>
      <w:divBdr>
        <w:top w:val="none" w:sz="0" w:space="0" w:color="auto"/>
        <w:left w:val="none" w:sz="0" w:space="0" w:color="auto"/>
        <w:bottom w:val="none" w:sz="0" w:space="0" w:color="auto"/>
        <w:right w:val="none" w:sz="0" w:space="0" w:color="auto"/>
      </w:divBdr>
    </w:div>
    <w:div w:id="1727488382">
      <w:marLeft w:val="0"/>
      <w:marRight w:val="0"/>
      <w:marTop w:val="0"/>
      <w:marBottom w:val="0"/>
      <w:divBdr>
        <w:top w:val="none" w:sz="0" w:space="0" w:color="auto"/>
        <w:left w:val="none" w:sz="0" w:space="0" w:color="auto"/>
        <w:bottom w:val="none" w:sz="0" w:space="0" w:color="auto"/>
        <w:right w:val="none" w:sz="0" w:space="0" w:color="auto"/>
      </w:divBdr>
    </w:div>
    <w:div w:id="1728144104">
      <w:marLeft w:val="0"/>
      <w:marRight w:val="0"/>
      <w:marTop w:val="200"/>
      <w:marBottom w:val="0"/>
      <w:divBdr>
        <w:top w:val="none" w:sz="0" w:space="0" w:color="auto"/>
        <w:left w:val="none" w:sz="0" w:space="0" w:color="auto"/>
        <w:bottom w:val="none" w:sz="0" w:space="0" w:color="auto"/>
        <w:right w:val="none" w:sz="0" w:space="0" w:color="auto"/>
      </w:divBdr>
    </w:div>
    <w:div w:id="1728845132">
      <w:marLeft w:val="0"/>
      <w:marRight w:val="0"/>
      <w:marTop w:val="200"/>
      <w:marBottom w:val="0"/>
      <w:divBdr>
        <w:top w:val="none" w:sz="0" w:space="0" w:color="auto"/>
        <w:left w:val="none" w:sz="0" w:space="0" w:color="auto"/>
        <w:bottom w:val="none" w:sz="0" w:space="0" w:color="auto"/>
        <w:right w:val="none" w:sz="0" w:space="0" w:color="auto"/>
      </w:divBdr>
    </w:div>
    <w:div w:id="1729185284">
      <w:marLeft w:val="0"/>
      <w:marRight w:val="0"/>
      <w:marTop w:val="0"/>
      <w:marBottom w:val="0"/>
      <w:divBdr>
        <w:top w:val="none" w:sz="0" w:space="0" w:color="auto"/>
        <w:left w:val="none" w:sz="0" w:space="0" w:color="auto"/>
        <w:bottom w:val="none" w:sz="0" w:space="0" w:color="auto"/>
        <w:right w:val="none" w:sz="0" w:space="0" w:color="auto"/>
      </w:divBdr>
      <w:divsChild>
        <w:div w:id="358242890">
          <w:marLeft w:val="0"/>
          <w:marRight w:val="0"/>
          <w:marTop w:val="0"/>
          <w:marBottom w:val="0"/>
          <w:divBdr>
            <w:top w:val="none" w:sz="0" w:space="0" w:color="auto"/>
            <w:left w:val="none" w:sz="0" w:space="0" w:color="auto"/>
            <w:bottom w:val="none" w:sz="0" w:space="0" w:color="auto"/>
            <w:right w:val="none" w:sz="0" w:space="0" w:color="auto"/>
          </w:divBdr>
        </w:div>
      </w:divsChild>
    </w:div>
    <w:div w:id="1733654711">
      <w:marLeft w:val="0"/>
      <w:marRight w:val="0"/>
      <w:marTop w:val="200"/>
      <w:marBottom w:val="0"/>
      <w:divBdr>
        <w:top w:val="none" w:sz="0" w:space="0" w:color="auto"/>
        <w:left w:val="none" w:sz="0" w:space="0" w:color="auto"/>
        <w:bottom w:val="none" w:sz="0" w:space="0" w:color="auto"/>
        <w:right w:val="none" w:sz="0" w:space="0" w:color="auto"/>
      </w:divBdr>
    </w:div>
    <w:div w:id="1733694051">
      <w:marLeft w:val="0"/>
      <w:marRight w:val="0"/>
      <w:marTop w:val="0"/>
      <w:marBottom w:val="0"/>
      <w:divBdr>
        <w:top w:val="none" w:sz="0" w:space="0" w:color="auto"/>
        <w:left w:val="none" w:sz="0" w:space="0" w:color="auto"/>
        <w:bottom w:val="none" w:sz="0" w:space="0" w:color="auto"/>
        <w:right w:val="none" w:sz="0" w:space="0" w:color="auto"/>
      </w:divBdr>
    </w:div>
    <w:div w:id="1735009719">
      <w:marLeft w:val="0"/>
      <w:marRight w:val="0"/>
      <w:marTop w:val="200"/>
      <w:marBottom w:val="0"/>
      <w:divBdr>
        <w:top w:val="none" w:sz="0" w:space="0" w:color="auto"/>
        <w:left w:val="none" w:sz="0" w:space="0" w:color="auto"/>
        <w:bottom w:val="none" w:sz="0" w:space="0" w:color="auto"/>
        <w:right w:val="none" w:sz="0" w:space="0" w:color="auto"/>
      </w:divBdr>
    </w:div>
    <w:div w:id="1735153431">
      <w:marLeft w:val="0"/>
      <w:marRight w:val="0"/>
      <w:marTop w:val="0"/>
      <w:marBottom w:val="0"/>
      <w:divBdr>
        <w:top w:val="none" w:sz="0" w:space="0" w:color="auto"/>
        <w:left w:val="none" w:sz="0" w:space="0" w:color="auto"/>
        <w:bottom w:val="none" w:sz="0" w:space="0" w:color="auto"/>
        <w:right w:val="none" w:sz="0" w:space="0" w:color="auto"/>
      </w:divBdr>
      <w:divsChild>
        <w:div w:id="823932027">
          <w:marLeft w:val="0"/>
          <w:marRight w:val="0"/>
          <w:marTop w:val="0"/>
          <w:marBottom w:val="0"/>
          <w:divBdr>
            <w:top w:val="none" w:sz="0" w:space="0" w:color="auto"/>
            <w:left w:val="none" w:sz="0" w:space="0" w:color="auto"/>
            <w:bottom w:val="none" w:sz="0" w:space="0" w:color="auto"/>
            <w:right w:val="none" w:sz="0" w:space="0" w:color="auto"/>
          </w:divBdr>
        </w:div>
      </w:divsChild>
    </w:div>
    <w:div w:id="1736732378">
      <w:marLeft w:val="0"/>
      <w:marRight w:val="0"/>
      <w:marTop w:val="210"/>
      <w:marBottom w:val="0"/>
      <w:divBdr>
        <w:top w:val="none" w:sz="0" w:space="0" w:color="auto"/>
        <w:left w:val="none" w:sz="0" w:space="0" w:color="auto"/>
        <w:bottom w:val="none" w:sz="0" w:space="0" w:color="auto"/>
        <w:right w:val="none" w:sz="0" w:space="0" w:color="auto"/>
      </w:divBdr>
    </w:div>
    <w:div w:id="1744326719">
      <w:marLeft w:val="0"/>
      <w:marRight w:val="0"/>
      <w:marTop w:val="100"/>
      <w:marBottom w:val="0"/>
      <w:divBdr>
        <w:top w:val="none" w:sz="0" w:space="0" w:color="auto"/>
        <w:left w:val="none" w:sz="0" w:space="0" w:color="auto"/>
        <w:bottom w:val="none" w:sz="0" w:space="0" w:color="auto"/>
        <w:right w:val="none" w:sz="0" w:space="0" w:color="auto"/>
      </w:divBdr>
    </w:div>
    <w:div w:id="1750540048">
      <w:marLeft w:val="0"/>
      <w:marRight w:val="0"/>
      <w:marTop w:val="120"/>
      <w:marBottom w:val="0"/>
      <w:divBdr>
        <w:top w:val="none" w:sz="0" w:space="0" w:color="auto"/>
        <w:left w:val="none" w:sz="0" w:space="0" w:color="auto"/>
        <w:bottom w:val="none" w:sz="0" w:space="0" w:color="auto"/>
        <w:right w:val="none" w:sz="0" w:space="0" w:color="auto"/>
      </w:divBdr>
    </w:div>
    <w:div w:id="1751778212">
      <w:marLeft w:val="0"/>
      <w:marRight w:val="0"/>
      <w:marTop w:val="200"/>
      <w:marBottom w:val="0"/>
      <w:divBdr>
        <w:top w:val="none" w:sz="0" w:space="0" w:color="auto"/>
        <w:left w:val="none" w:sz="0" w:space="0" w:color="auto"/>
        <w:bottom w:val="none" w:sz="0" w:space="0" w:color="auto"/>
        <w:right w:val="none" w:sz="0" w:space="0" w:color="auto"/>
      </w:divBdr>
    </w:div>
    <w:div w:id="1758478310">
      <w:marLeft w:val="0"/>
      <w:marRight w:val="0"/>
      <w:marTop w:val="220"/>
      <w:marBottom w:val="0"/>
      <w:divBdr>
        <w:top w:val="none" w:sz="0" w:space="0" w:color="auto"/>
        <w:left w:val="none" w:sz="0" w:space="0" w:color="auto"/>
        <w:bottom w:val="none" w:sz="0" w:space="0" w:color="auto"/>
        <w:right w:val="none" w:sz="0" w:space="0" w:color="auto"/>
      </w:divBdr>
    </w:div>
    <w:div w:id="1761560753">
      <w:marLeft w:val="0"/>
      <w:marRight w:val="0"/>
      <w:marTop w:val="0"/>
      <w:marBottom w:val="0"/>
      <w:divBdr>
        <w:top w:val="none" w:sz="0" w:space="0" w:color="auto"/>
        <w:left w:val="none" w:sz="0" w:space="0" w:color="auto"/>
        <w:bottom w:val="none" w:sz="0" w:space="0" w:color="auto"/>
        <w:right w:val="none" w:sz="0" w:space="0" w:color="auto"/>
      </w:divBdr>
      <w:divsChild>
        <w:div w:id="1762263276">
          <w:marLeft w:val="0"/>
          <w:marRight w:val="0"/>
          <w:marTop w:val="0"/>
          <w:marBottom w:val="0"/>
          <w:divBdr>
            <w:top w:val="none" w:sz="0" w:space="0" w:color="auto"/>
            <w:left w:val="none" w:sz="0" w:space="0" w:color="auto"/>
            <w:bottom w:val="none" w:sz="0" w:space="0" w:color="auto"/>
            <w:right w:val="none" w:sz="0" w:space="0" w:color="auto"/>
          </w:divBdr>
        </w:div>
      </w:divsChild>
    </w:div>
    <w:div w:id="1765028135">
      <w:marLeft w:val="0"/>
      <w:marRight w:val="0"/>
      <w:marTop w:val="200"/>
      <w:marBottom w:val="0"/>
      <w:divBdr>
        <w:top w:val="none" w:sz="0" w:space="0" w:color="auto"/>
        <w:left w:val="none" w:sz="0" w:space="0" w:color="auto"/>
        <w:bottom w:val="none" w:sz="0" w:space="0" w:color="auto"/>
        <w:right w:val="none" w:sz="0" w:space="0" w:color="auto"/>
      </w:divBdr>
    </w:div>
    <w:div w:id="1767144343">
      <w:marLeft w:val="0"/>
      <w:marRight w:val="0"/>
      <w:marTop w:val="200"/>
      <w:marBottom w:val="0"/>
      <w:divBdr>
        <w:top w:val="none" w:sz="0" w:space="0" w:color="auto"/>
        <w:left w:val="none" w:sz="0" w:space="0" w:color="auto"/>
        <w:bottom w:val="none" w:sz="0" w:space="0" w:color="auto"/>
        <w:right w:val="none" w:sz="0" w:space="0" w:color="auto"/>
      </w:divBdr>
    </w:div>
    <w:div w:id="1767847293">
      <w:marLeft w:val="0"/>
      <w:marRight w:val="0"/>
      <w:marTop w:val="120"/>
      <w:marBottom w:val="0"/>
      <w:divBdr>
        <w:top w:val="none" w:sz="0" w:space="0" w:color="auto"/>
        <w:left w:val="none" w:sz="0" w:space="0" w:color="auto"/>
        <w:bottom w:val="none" w:sz="0" w:space="0" w:color="auto"/>
        <w:right w:val="none" w:sz="0" w:space="0" w:color="auto"/>
      </w:divBdr>
    </w:div>
    <w:div w:id="1773239512">
      <w:marLeft w:val="0"/>
      <w:marRight w:val="0"/>
      <w:marTop w:val="240"/>
      <w:marBottom w:val="0"/>
      <w:divBdr>
        <w:top w:val="none" w:sz="0" w:space="0" w:color="auto"/>
        <w:left w:val="none" w:sz="0" w:space="0" w:color="auto"/>
        <w:bottom w:val="none" w:sz="0" w:space="0" w:color="auto"/>
        <w:right w:val="none" w:sz="0" w:space="0" w:color="auto"/>
      </w:divBdr>
    </w:div>
    <w:div w:id="1773934080">
      <w:marLeft w:val="0"/>
      <w:marRight w:val="0"/>
      <w:marTop w:val="200"/>
      <w:marBottom w:val="0"/>
      <w:divBdr>
        <w:top w:val="none" w:sz="0" w:space="0" w:color="auto"/>
        <w:left w:val="none" w:sz="0" w:space="0" w:color="auto"/>
        <w:bottom w:val="none" w:sz="0" w:space="0" w:color="auto"/>
        <w:right w:val="none" w:sz="0" w:space="0" w:color="auto"/>
      </w:divBdr>
    </w:div>
    <w:div w:id="1778214135">
      <w:marLeft w:val="0"/>
      <w:marRight w:val="0"/>
      <w:marTop w:val="200"/>
      <w:marBottom w:val="0"/>
      <w:divBdr>
        <w:top w:val="none" w:sz="0" w:space="0" w:color="auto"/>
        <w:left w:val="none" w:sz="0" w:space="0" w:color="auto"/>
        <w:bottom w:val="none" w:sz="0" w:space="0" w:color="auto"/>
        <w:right w:val="none" w:sz="0" w:space="0" w:color="auto"/>
      </w:divBdr>
    </w:div>
    <w:div w:id="1778519634">
      <w:marLeft w:val="0"/>
      <w:marRight w:val="0"/>
      <w:marTop w:val="200"/>
      <w:marBottom w:val="0"/>
      <w:divBdr>
        <w:top w:val="none" w:sz="0" w:space="0" w:color="auto"/>
        <w:left w:val="none" w:sz="0" w:space="0" w:color="auto"/>
        <w:bottom w:val="none" w:sz="0" w:space="0" w:color="auto"/>
        <w:right w:val="none" w:sz="0" w:space="0" w:color="auto"/>
      </w:divBdr>
    </w:div>
    <w:div w:id="1778790547">
      <w:marLeft w:val="0"/>
      <w:marRight w:val="0"/>
      <w:marTop w:val="360"/>
      <w:marBottom w:val="0"/>
      <w:divBdr>
        <w:top w:val="none" w:sz="0" w:space="0" w:color="auto"/>
        <w:left w:val="none" w:sz="0" w:space="0" w:color="auto"/>
        <w:bottom w:val="none" w:sz="0" w:space="0" w:color="auto"/>
        <w:right w:val="none" w:sz="0" w:space="0" w:color="auto"/>
      </w:divBdr>
    </w:div>
    <w:div w:id="1787381847">
      <w:marLeft w:val="0"/>
      <w:marRight w:val="0"/>
      <w:marTop w:val="120"/>
      <w:marBottom w:val="0"/>
      <w:divBdr>
        <w:top w:val="none" w:sz="0" w:space="0" w:color="auto"/>
        <w:left w:val="none" w:sz="0" w:space="0" w:color="auto"/>
        <w:bottom w:val="none" w:sz="0" w:space="0" w:color="auto"/>
        <w:right w:val="none" w:sz="0" w:space="0" w:color="auto"/>
      </w:divBdr>
    </w:div>
    <w:div w:id="1787388422">
      <w:marLeft w:val="0"/>
      <w:marRight w:val="0"/>
      <w:marTop w:val="100"/>
      <w:marBottom w:val="0"/>
      <w:divBdr>
        <w:top w:val="none" w:sz="0" w:space="0" w:color="auto"/>
        <w:left w:val="none" w:sz="0" w:space="0" w:color="auto"/>
        <w:bottom w:val="none" w:sz="0" w:space="0" w:color="auto"/>
        <w:right w:val="none" w:sz="0" w:space="0" w:color="auto"/>
      </w:divBdr>
    </w:div>
    <w:div w:id="1787626505">
      <w:marLeft w:val="0"/>
      <w:marRight w:val="0"/>
      <w:marTop w:val="200"/>
      <w:marBottom w:val="0"/>
      <w:divBdr>
        <w:top w:val="none" w:sz="0" w:space="0" w:color="auto"/>
        <w:left w:val="none" w:sz="0" w:space="0" w:color="auto"/>
        <w:bottom w:val="none" w:sz="0" w:space="0" w:color="auto"/>
        <w:right w:val="none" w:sz="0" w:space="0" w:color="auto"/>
      </w:divBdr>
    </w:div>
    <w:div w:id="1792748652">
      <w:marLeft w:val="0"/>
      <w:marRight w:val="0"/>
      <w:marTop w:val="120"/>
      <w:marBottom w:val="0"/>
      <w:divBdr>
        <w:top w:val="none" w:sz="0" w:space="0" w:color="auto"/>
        <w:left w:val="none" w:sz="0" w:space="0" w:color="auto"/>
        <w:bottom w:val="none" w:sz="0" w:space="0" w:color="auto"/>
        <w:right w:val="none" w:sz="0" w:space="0" w:color="auto"/>
      </w:divBdr>
    </w:div>
    <w:div w:id="1792750189">
      <w:marLeft w:val="0"/>
      <w:marRight w:val="0"/>
      <w:marTop w:val="200"/>
      <w:marBottom w:val="0"/>
      <w:divBdr>
        <w:top w:val="none" w:sz="0" w:space="0" w:color="auto"/>
        <w:left w:val="none" w:sz="0" w:space="0" w:color="auto"/>
        <w:bottom w:val="none" w:sz="0" w:space="0" w:color="auto"/>
        <w:right w:val="none" w:sz="0" w:space="0" w:color="auto"/>
      </w:divBdr>
    </w:div>
    <w:div w:id="1794129739">
      <w:marLeft w:val="0"/>
      <w:marRight w:val="0"/>
      <w:marTop w:val="200"/>
      <w:marBottom w:val="0"/>
      <w:divBdr>
        <w:top w:val="none" w:sz="0" w:space="0" w:color="auto"/>
        <w:left w:val="none" w:sz="0" w:space="0" w:color="auto"/>
        <w:bottom w:val="none" w:sz="0" w:space="0" w:color="auto"/>
        <w:right w:val="none" w:sz="0" w:space="0" w:color="auto"/>
      </w:divBdr>
    </w:div>
    <w:div w:id="1794513922">
      <w:marLeft w:val="0"/>
      <w:marRight w:val="0"/>
      <w:marTop w:val="120"/>
      <w:marBottom w:val="0"/>
      <w:divBdr>
        <w:top w:val="none" w:sz="0" w:space="0" w:color="auto"/>
        <w:left w:val="none" w:sz="0" w:space="0" w:color="auto"/>
        <w:bottom w:val="none" w:sz="0" w:space="0" w:color="auto"/>
        <w:right w:val="none" w:sz="0" w:space="0" w:color="auto"/>
      </w:divBdr>
    </w:div>
    <w:div w:id="1795950040">
      <w:marLeft w:val="0"/>
      <w:marRight w:val="0"/>
      <w:marTop w:val="200"/>
      <w:marBottom w:val="0"/>
      <w:divBdr>
        <w:top w:val="none" w:sz="0" w:space="0" w:color="auto"/>
        <w:left w:val="none" w:sz="0" w:space="0" w:color="auto"/>
        <w:bottom w:val="none" w:sz="0" w:space="0" w:color="auto"/>
        <w:right w:val="none" w:sz="0" w:space="0" w:color="auto"/>
      </w:divBdr>
    </w:div>
    <w:div w:id="1797798524">
      <w:marLeft w:val="0"/>
      <w:marRight w:val="0"/>
      <w:marTop w:val="200"/>
      <w:marBottom w:val="0"/>
      <w:divBdr>
        <w:top w:val="none" w:sz="0" w:space="0" w:color="auto"/>
        <w:left w:val="none" w:sz="0" w:space="0" w:color="auto"/>
        <w:bottom w:val="none" w:sz="0" w:space="0" w:color="auto"/>
        <w:right w:val="none" w:sz="0" w:space="0" w:color="auto"/>
      </w:divBdr>
    </w:div>
    <w:div w:id="1806581644">
      <w:marLeft w:val="0"/>
      <w:marRight w:val="0"/>
      <w:marTop w:val="0"/>
      <w:marBottom w:val="0"/>
      <w:divBdr>
        <w:top w:val="none" w:sz="0" w:space="0" w:color="auto"/>
        <w:left w:val="none" w:sz="0" w:space="0" w:color="auto"/>
        <w:bottom w:val="none" w:sz="0" w:space="0" w:color="auto"/>
        <w:right w:val="none" w:sz="0" w:space="0" w:color="auto"/>
      </w:divBdr>
    </w:div>
    <w:div w:id="1807047073">
      <w:marLeft w:val="0"/>
      <w:marRight w:val="0"/>
      <w:marTop w:val="120"/>
      <w:marBottom w:val="0"/>
      <w:divBdr>
        <w:top w:val="none" w:sz="0" w:space="0" w:color="auto"/>
        <w:left w:val="none" w:sz="0" w:space="0" w:color="auto"/>
        <w:bottom w:val="none" w:sz="0" w:space="0" w:color="auto"/>
        <w:right w:val="none" w:sz="0" w:space="0" w:color="auto"/>
      </w:divBdr>
    </w:div>
    <w:div w:id="1807619877">
      <w:marLeft w:val="0"/>
      <w:marRight w:val="0"/>
      <w:marTop w:val="120"/>
      <w:marBottom w:val="0"/>
      <w:divBdr>
        <w:top w:val="none" w:sz="0" w:space="0" w:color="auto"/>
        <w:left w:val="none" w:sz="0" w:space="0" w:color="auto"/>
        <w:bottom w:val="none" w:sz="0" w:space="0" w:color="auto"/>
        <w:right w:val="none" w:sz="0" w:space="0" w:color="auto"/>
      </w:divBdr>
    </w:div>
    <w:div w:id="1808549928">
      <w:marLeft w:val="0"/>
      <w:marRight w:val="0"/>
      <w:marTop w:val="120"/>
      <w:marBottom w:val="0"/>
      <w:divBdr>
        <w:top w:val="none" w:sz="0" w:space="0" w:color="auto"/>
        <w:left w:val="none" w:sz="0" w:space="0" w:color="auto"/>
        <w:bottom w:val="none" w:sz="0" w:space="0" w:color="auto"/>
        <w:right w:val="none" w:sz="0" w:space="0" w:color="auto"/>
      </w:divBdr>
    </w:div>
    <w:div w:id="1813326133">
      <w:marLeft w:val="0"/>
      <w:marRight w:val="0"/>
      <w:marTop w:val="200"/>
      <w:marBottom w:val="0"/>
      <w:divBdr>
        <w:top w:val="none" w:sz="0" w:space="0" w:color="auto"/>
        <w:left w:val="none" w:sz="0" w:space="0" w:color="auto"/>
        <w:bottom w:val="none" w:sz="0" w:space="0" w:color="auto"/>
        <w:right w:val="none" w:sz="0" w:space="0" w:color="auto"/>
      </w:divBdr>
    </w:div>
    <w:div w:id="1823571674">
      <w:marLeft w:val="0"/>
      <w:marRight w:val="0"/>
      <w:marTop w:val="120"/>
      <w:marBottom w:val="0"/>
      <w:divBdr>
        <w:top w:val="none" w:sz="0" w:space="0" w:color="auto"/>
        <w:left w:val="none" w:sz="0" w:space="0" w:color="auto"/>
        <w:bottom w:val="none" w:sz="0" w:space="0" w:color="auto"/>
        <w:right w:val="none" w:sz="0" w:space="0" w:color="auto"/>
      </w:divBdr>
    </w:div>
    <w:div w:id="1824084559">
      <w:marLeft w:val="0"/>
      <w:marRight w:val="0"/>
      <w:marTop w:val="200"/>
      <w:marBottom w:val="0"/>
      <w:divBdr>
        <w:top w:val="none" w:sz="0" w:space="0" w:color="auto"/>
        <w:left w:val="none" w:sz="0" w:space="0" w:color="auto"/>
        <w:bottom w:val="none" w:sz="0" w:space="0" w:color="auto"/>
        <w:right w:val="none" w:sz="0" w:space="0" w:color="auto"/>
      </w:divBdr>
    </w:div>
    <w:div w:id="1825007329">
      <w:marLeft w:val="0"/>
      <w:marRight w:val="0"/>
      <w:marTop w:val="200"/>
      <w:marBottom w:val="0"/>
      <w:divBdr>
        <w:top w:val="none" w:sz="0" w:space="0" w:color="auto"/>
        <w:left w:val="none" w:sz="0" w:space="0" w:color="auto"/>
        <w:bottom w:val="none" w:sz="0" w:space="0" w:color="auto"/>
        <w:right w:val="none" w:sz="0" w:space="0" w:color="auto"/>
      </w:divBdr>
    </w:div>
    <w:div w:id="1825390884">
      <w:marLeft w:val="0"/>
      <w:marRight w:val="0"/>
      <w:marTop w:val="200"/>
      <w:marBottom w:val="0"/>
      <w:divBdr>
        <w:top w:val="none" w:sz="0" w:space="0" w:color="auto"/>
        <w:left w:val="none" w:sz="0" w:space="0" w:color="auto"/>
        <w:bottom w:val="none" w:sz="0" w:space="0" w:color="auto"/>
        <w:right w:val="none" w:sz="0" w:space="0" w:color="auto"/>
      </w:divBdr>
    </w:div>
    <w:div w:id="1826896360">
      <w:marLeft w:val="0"/>
      <w:marRight w:val="0"/>
      <w:marTop w:val="210"/>
      <w:marBottom w:val="0"/>
      <w:divBdr>
        <w:top w:val="none" w:sz="0" w:space="0" w:color="auto"/>
        <w:left w:val="none" w:sz="0" w:space="0" w:color="auto"/>
        <w:bottom w:val="none" w:sz="0" w:space="0" w:color="auto"/>
        <w:right w:val="none" w:sz="0" w:space="0" w:color="auto"/>
      </w:divBdr>
    </w:div>
    <w:div w:id="1831677736">
      <w:marLeft w:val="0"/>
      <w:marRight w:val="0"/>
      <w:marTop w:val="200"/>
      <w:marBottom w:val="0"/>
      <w:divBdr>
        <w:top w:val="none" w:sz="0" w:space="0" w:color="auto"/>
        <w:left w:val="none" w:sz="0" w:space="0" w:color="auto"/>
        <w:bottom w:val="none" w:sz="0" w:space="0" w:color="auto"/>
        <w:right w:val="none" w:sz="0" w:space="0" w:color="auto"/>
      </w:divBdr>
    </w:div>
    <w:div w:id="1832983379">
      <w:marLeft w:val="0"/>
      <w:marRight w:val="0"/>
      <w:marTop w:val="120"/>
      <w:marBottom w:val="0"/>
      <w:divBdr>
        <w:top w:val="none" w:sz="0" w:space="0" w:color="auto"/>
        <w:left w:val="none" w:sz="0" w:space="0" w:color="auto"/>
        <w:bottom w:val="none" w:sz="0" w:space="0" w:color="auto"/>
        <w:right w:val="none" w:sz="0" w:space="0" w:color="auto"/>
      </w:divBdr>
    </w:div>
    <w:div w:id="1835298332">
      <w:marLeft w:val="0"/>
      <w:marRight w:val="0"/>
      <w:marTop w:val="0"/>
      <w:marBottom w:val="0"/>
      <w:divBdr>
        <w:top w:val="none" w:sz="0" w:space="0" w:color="auto"/>
        <w:left w:val="none" w:sz="0" w:space="0" w:color="auto"/>
        <w:bottom w:val="none" w:sz="0" w:space="0" w:color="auto"/>
        <w:right w:val="none" w:sz="0" w:space="0" w:color="auto"/>
      </w:divBdr>
      <w:divsChild>
        <w:div w:id="1144812268">
          <w:marLeft w:val="0"/>
          <w:marRight w:val="0"/>
          <w:marTop w:val="0"/>
          <w:marBottom w:val="0"/>
          <w:divBdr>
            <w:top w:val="none" w:sz="0" w:space="0" w:color="auto"/>
            <w:left w:val="none" w:sz="0" w:space="0" w:color="auto"/>
            <w:bottom w:val="none" w:sz="0" w:space="0" w:color="auto"/>
            <w:right w:val="none" w:sz="0" w:space="0" w:color="auto"/>
          </w:divBdr>
        </w:div>
      </w:divsChild>
    </w:div>
    <w:div w:id="1835493822">
      <w:marLeft w:val="0"/>
      <w:marRight w:val="0"/>
      <w:marTop w:val="200"/>
      <w:marBottom w:val="0"/>
      <w:divBdr>
        <w:top w:val="none" w:sz="0" w:space="0" w:color="auto"/>
        <w:left w:val="none" w:sz="0" w:space="0" w:color="auto"/>
        <w:bottom w:val="none" w:sz="0" w:space="0" w:color="auto"/>
        <w:right w:val="none" w:sz="0" w:space="0" w:color="auto"/>
      </w:divBdr>
    </w:div>
    <w:div w:id="1837308898">
      <w:marLeft w:val="0"/>
      <w:marRight w:val="0"/>
      <w:marTop w:val="200"/>
      <w:marBottom w:val="0"/>
      <w:divBdr>
        <w:top w:val="none" w:sz="0" w:space="0" w:color="auto"/>
        <w:left w:val="none" w:sz="0" w:space="0" w:color="auto"/>
        <w:bottom w:val="none" w:sz="0" w:space="0" w:color="auto"/>
        <w:right w:val="none" w:sz="0" w:space="0" w:color="auto"/>
      </w:divBdr>
    </w:div>
    <w:div w:id="1838350948">
      <w:marLeft w:val="0"/>
      <w:marRight w:val="0"/>
      <w:marTop w:val="200"/>
      <w:marBottom w:val="0"/>
      <w:divBdr>
        <w:top w:val="none" w:sz="0" w:space="0" w:color="auto"/>
        <w:left w:val="none" w:sz="0" w:space="0" w:color="auto"/>
        <w:bottom w:val="none" w:sz="0" w:space="0" w:color="auto"/>
        <w:right w:val="none" w:sz="0" w:space="0" w:color="auto"/>
      </w:divBdr>
    </w:div>
    <w:div w:id="1838422031">
      <w:marLeft w:val="0"/>
      <w:marRight w:val="0"/>
      <w:marTop w:val="0"/>
      <w:marBottom w:val="0"/>
      <w:divBdr>
        <w:top w:val="none" w:sz="0" w:space="0" w:color="auto"/>
        <w:left w:val="none" w:sz="0" w:space="0" w:color="auto"/>
        <w:bottom w:val="none" w:sz="0" w:space="0" w:color="auto"/>
        <w:right w:val="none" w:sz="0" w:space="0" w:color="auto"/>
      </w:divBdr>
      <w:divsChild>
        <w:div w:id="841356249">
          <w:marLeft w:val="0"/>
          <w:marRight w:val="0"/>
          <w:marTop w:val="0"/>
          <w:marBottom w:val="0"/>
          <w:divBdr>
            <w:top w:val="none" w:sz="0" w:space="0" w:color="auto"/>
            <w:left w:val="none" w:sz="0" w:space="0" w:color="auto"/>
            <w:bottom w:val="none" w:sz="0" w:space="0" w:color="auto"/>
            <w:right w:val="none" w:sz="0" w:space="0" w:color="auto"/>
          </w:divBdr>
        </w:div>
      </w:divsChild>
    </w:div>
    <w:div w:id="1839881113">
      <w:marLeft w:val="0"/>
      <w:marRight w:val="0"/>
      <w:marTop w:val="210"/>
      <w:marBottom w:val="0"/>
      <w:divBdr>
        <w:top w:val="none" w:sz="0" w:space="0" w:color="auto"/>
        <w:left w:val="none" w:sz="0" w:space="0" w:color="auto"/>
        <w:bottom w:val="none" w:sz="0" w:space="0" w:color="auto"/>
        <w:right w:val="none" w:sz="0" w:space="0" w:color="auto"/>
      </w:divBdr>
    </w:div>
    <w:div w:id="1849444709">
      <w:marLeft w:val="0"/>
      <w:marRight w:val="0"/>
      <w:marTop w:val="210"/>
      <w:marBottom w:val="0"/>
      <w:divBdr>
        <w:top w:val="none" w:sz="0" w:space="0" w:color="auto"/>
        <w:left w:val="none" w:sz="0" w:space="0" w:color="auto"/>
        <w:bottom w:val="none" w:sz="0" w:space="0" w:color="auto"/>
        <w:right w:val="none" w:sz="0" w:space="0" w:color="auto"/>
      </w:divBdr>
    </w:div>
    <w:div w:id="1850020200">
      <w:marLeft w:val="0"/>
      <w:marRight w:val="0"/>
      <w:marTop w:val="120"/>
      <w:marBottom w:val="0"/>
      <w:divBdr>
        <w:top w:val="none" w:sz="0" w:space="0" w:color="auto"/>
        <w:left w:val="none" w:sz="0" w:space="0" w:color="auto"/>
        <w:bottom w:val="none" w:sz="0" w:space="0" w:color="auto"/>
        <w:right w:val="none" w:sz="0" w:space="0" w:color="auto"/>
      </w:divBdr>
    </w:div>
    <w:div w:id="1850023554">
      <w:marLeft w:val="0"/>
      <w:marRight w:val="0"/>
      <w:marTop w:val="200"/>
      <w:marBottom w:val="0"/>
      <w:divBdr>
        <w:top w:val="none" w:sz="0" w:space="0" w:color="auto"/>
        <w:left w:val="none" w:sz="0" w:space="0" w:color="auto"/>
        <w:bottom w:val="none" w:sz="0" w:space="0" w:color="auto"/>
        <w:right w:val="none" w:sz="0" w:space="0" w:color="auto"/>
      </w:divBdr>
    </w:div>
    <w:div w:id="1853690057">
      <w:marLeft w:val="0"/>
      <w:marRight w:val="0"/>
      <w:marTop w:val="240"/>
      <w:marBottom w:val="0"/>
      <w:divBdr>
        <w:top w:val="none" w:sz="0" w:space="0" w:color="auto"/>
        <w:left w:val="none" w:sz="0" w:space="0" w:color="auto"/>
        <w:bottom w:val="none" w:sz="0" w:space="0" w:color="auto"/>
        <w:right w:val="none" w:sz="0" w:space="0" w:color="auto"/>
      </w:divBdr>
    </w:div>
    <w:div w:id="1854606361">
      <w:marLeft w:val="0"/>
      <w:marRight w:val="0"/>
      <w:marTop w:val="200"/>
      <w:marBottom w:val="0"/>
      <w:divBdr>
        <w:top w:val="none" w:sz="0" w:space="0" w:color="auto"/>
        <w:left w:val="none" w:sz="0" w:space="0" w:color="auto"/>
        <w:bottom w:val="none" w:sz="0" w:space="0" w:color="auto"/>
        <w:right w:val="none" w:sz="0" w:space="0" w:color="auto"/>
      </w:divBdr>
    </w:div>
    <w:div w:id="1857117497">
      <w:marLeft w:val="0"/>
      <w:marRight w:val="0"/>
      <w:marTop w:val="200"/>
      <w:marBottom w:val="0"/>
      <w:divBdr>
        <w:top w:val="none" w:sz="0" w:space="0" w:color="auto"/>
        <w:left w:val="none" w:sz="0" w:space="0" w:color="auto"/>
        <w:bottom w:val="none" w:sz="0" w:space="0" w:color="auto"/>
        <w:right w:val="none" w:sz="0" w:space="0" w:color="auto"/>
      </w:divBdr>
    </w:div>
    <w:div w:id="1860461289">
      <w:marLeft w:val="0"/>
      <w:marRight w:val="0"/>
      <w:marTop w:val="120"/>
      <w:marBottom w:val="0"/>
      <w:divBdr>
        <w:top w:val="none" w:sz="0" w:space="0" w:color="auto"/>
        <w:left w:val="none" w:sz="0" w:space="0" w:color="auto"/>
        <w:bottom w:val="none" w:sz="0" w:space="0" w:color="auto"/>
        <w:right w:val="none" w:sz="0" w:space="0" w:color="auto"/>
      </w:divBdr>
    </w:div>
    <w:div w:id="1860924676">
      <w:marLeft w:val="0"/>
      <w:marRight w:val="0"/>
      <w:marTop w:val="0"/>
      <w:marBottom w:val="0"/>
      <w:divBdr>
        <w:top w:val="none" w:sz="0" w:space="0" w:color="auto"/>
        <w:left w:val="none" w:sz="0" w:space="0" w:color="auto"/>
        <w:bottom w:val="none" w:sz="0" w:space="0" w:color="auto"/>
        <w:right w:val="none" w:sz="0" w:space="0" w:color="auto"/>
      </w:divBdr>
      <w:divsChild>
        <w:div w:id="2111075662">
          <w:marLeft w:val="0"/>
          <w:marRight w:val="0"/>
          <w:marTop w:val="0"/>
          <w:marBottom w:val="0"/>
          <w:divBdr>
            <w:top w:val="none" w:sz="0" w:space="0" w:color="auto"/>
            <w:left w:val="none" w:sz="0" w:space="0" w:color="auto"/>
            <w:bottom w:val="none" w:sz="0" w:space="0" w:color="auto"/>
            <w:right w:val="none" w:sz="0" w:space="0" w:color="auto"/>
          </w:divBdr>
        </w:div>
      </w:divsChild>
    </w:div>
    <w:div w:id="1863856051">
      <w:marLeft w:val="0"/>
      <w:marRight w:val="0"/>
      <w:marTop w:val="200"/>
      <w:marBottom w:val="0"/>
      <w:divBdr>
        <w:top w:val="none" w:sz="0" w:space="0" w:color="auto"/>
        <w:left w:val="none" w:sz="0" w:space="0" w:color="auto"/>
        <w:bottom w:val="none" w:sz="0" w:space="0" w:color="auto"/>
        <w:right w:val="none" w:sz="0" w:space="0" w:color="auto"/>
      </w:divBdr>
    </w:div>
    <w:div w:id="1864248284">
      <w:marLeft w:val="0"/>
      <w:marRight w:val="0"/>
      <w:marTop w:val="200"/>
      <w:marBottom w:val="0"/>
      <w:divBdr>
        <w:top w:val="none" w:sz="0" w:space="0" w:color="auto"/>
        <w:left w:val="none" w:sz="0" w:space="0" w:color="auto"/>
        <w:bottom w:val="none" w:sz="0" w:space="0" w:color="auto"/>
        <w:right w:val="none" w:sz="0" w:space="0" w:color="auto"/>
      </w:divBdr>
    </w:div>
    <w:div w:id="1864856523">
      <w:marLeft w:val="0"/>
      <w:marRight w:val="0"/>
      <w:marTop w:val="200"/>
      <w:marBottom w:val="0"/>
      <w:divBdr>
        <w:top w:val="none" w:sz="0" w:space="0" w:color="auto"/>
        <w:left w:val="none" w:sz="0" w:space="0" w:color="auto"/>
        <w:bottom w:val="none" w:sz="0" w:space="0" w:color="auto"/>
        <w:right w:val="none" w:sz="0" w:space="0" w:color="auto"/>
      </w:divBdr>
    </w:div>
    <w:div w:id="1864897582">
      <w:marLeft w:val="0"/>
      <w:marRight w:val="0"/>
      <w:marTop w:val="120"/>
      <w:marBottom w:val="0"/>
      <w:divBdr>
        <w:top w:val="none" w:sz="0" w:space="0" w:color="auto"/>
        <w:left w:val="none" w:sz="0" w:space="0" w:color="auto"/>
        <w:bottom w:val="none" w:sz="0" w:space="0" w:color="auto"/>
        <w:right w:val="none" w:sz="0" w:space="0" w:color="auto"/>
      </w:divBdr>
    </w:div>
    <w:div w:id="1864903285">
      <w:marLeft w:val="0"/>
      <w:marRight w:val="0"/>
      <w:marTop w:val="0"/>
      <w:marBottom w:val="0"/>
      <w:divBdr>
        <w:top w:val="none" w:sz="0" w:space="0" w:color="auto"/>
        <w:left w:val="none" w:sz="0" w:space="0" w:color="auto"/>
        <w:bottom w:val="none" w:sz="0" w:space="0" w:color="auto"/>
        <w:right w:val="none" w:sz="0" w:space="0" w:color="auto"/>
      </w:divBdr>
      <w:divsChild>
        <w:div w:id="472257143">
          <w:marLeft w:val="0"/>
          <w:marRight w:val="0"/>
          <w:marTop w:val="0"/>
          <w:marBottom w:val="0"/>
          <w:divBdr>
            <w:top w:val="none" w:sz="0" w:space="0" w:color="auto"/>
            <w:left w:val="none" w:sz="0" w:space="0" w:color="auto"/>
            <w:bottom w:val="none" w:sz="0" w:space="0" w:color="auto"/>
            <w:right w:val="none" w:sz="0" w:space="0" w:color="auto"/>
          </w:divBdr>
        </w:div>
      </w:divsChild>
    </w:div>
    <w:div w:id="1869563001">
      <w:marLeft w:val="0"/>
      <w:marRight w:val="0"/>
      <w:marTop w:val="120"/>
      <w:marBottom w:val="0"/>
      <w:divBdr>
        <w:top w:val="none" w:sz="0" w:space="0" w:color="auto"/>
        <w:left w:val="none" w:sz="0" w:space="0" w:color="auto"/>
        <w:bottom w:val="none" w:sz="0" w:space="0" w:color="auto"/>
        <w:right w:val="none" w:sz="0" w:space="0" w:color="auto"/>
      </w:divBdr>
    </w:div>
    <w:div w:id="1870793720">
      <w:marLeft w:val="0"/>
      <w:marRight w:val="0"/>
      <w:marTop w:val="200"/>
      <w:marBottom w:val="0"/>
      <w:divBdr>
        <w:top w:val="none" w:sz="0" w:space="0" w:color="auto"/>
        <w:left w:val="none" w:sz="0" w:space="0" w:color="auto"/>
        <w:bottom w:val="none" w:sz="0" w:space="0" w:color="auto"/>
        <w:right w:val="none" w:sz="0" w:space="0" w:color="auto"/>
      </w:divBdr>
    </w:div>
    <w:div w:id="1871645669">
      <w:marLeft w:val="0"/>
      <w:marRight w:val="0"/>
      <w:marTop w:val="0"/>
      <w:marBottom w:val="0"/>
      <w:divBdr>
        <w:top w:val="none" w:sz="0" w:space="0" w:color="auto"/>
        <w:left w:val="none" w:sz="0" w:space="0" w:color="auto"/>
        <w:bottom w:val="none" w:sz="0" w:space="0" w:color="auto"/>
        <w:right w:val="none" w:sz="0" w:space="0" w:color="auto"/>
      </w:divBdr>
      <w:divsChild>
        <w:div w:id="283971114">
          <w:marLeft w:val="0"/>
          <w:marRight w:val="0"/>
          <w:marTop w:val="0"/>
          <w:marBottom w:val="0"/>
          <w:divBdr>
            <w:top w:val="none" w:sz="0" w:space="0" w:color="auto"/>
            <w:left w:val="none" w:sz="0" w:space="0" w:color="auto"/>
            <w:bottom w:val="none" w:sz="0" w:space="0" w:color="auto"/>
            <w:right w:val="none" w:sz="0" w:space="0" w:color="auto"/>
          </w:divBdr>
        </w:div>
      </w:divsChild>
    </w:div>
    <w:div w:id="1878271633">
      <w:marLeft w:val="0"/>
      <w:marRight w:val="0"/>
      <w:marTop w:val="200"/>
      <w:marBottom w:val="0"/>
      <w:divBdr>
        <w:top w:val="none" w:sz="0" w:space="0" w:color="auto"/>
        <w:left w:val="none" w:sz="0" w:space="0" w:color="auto"/>
        <w:bottom w:val="none" w:sz="0" w:space="0" w:color="auto"/>
        <w:right w:val="none" w:sz="0" w:space="0" w:color="auto"/>
      </w:divBdr>
    </w:div>
    <w:div w:id="1879774485">
      <w:marLeft w:val="0"/>
      <w:marRight w:val="0"/>
      <w:marTop w:val="210"/>
      <w:marBottom w:val="0"/>
      <w:divBdr>
        <w:top w:val="none" w:sz="0" w:space="0" w:color="auto"/>
        <w:left w:val="none" w:sz="0" w:space="0" w:color="auto"/>
        <w:bottom w:val="none" w:sz="0" w:space="0" w:color="auto"/>
        <w:right w:val="none" w:sz="0" w:space="0" w:color="auto"/>
      </w:divBdr>
    </w:div>
    <w:div w:id="1879931198">
      <w:marLeft w:val="0"/>
      <w:marRight w:val="0"/>
      <w:marTop w:val="120"/>
      <w:marBottom w:val="0"/>
      <w:divBdr>
        <w:top w:val="none" w:sz="0" w:space="0" w:color="auto"/>
        <w:left w:val="none" w:sz="0" w:space="0" w:color="auto"/>
        <w:bottom w:val="none" w:sz="0" w:space="0" w:color="auto"/>
        <w:right w:val="none" w:sz="0" w:space="0" w:color="auto"/>
      </w:divBdr>
    </w:div>
    <w:div w:id="1882473375">
      <w:marLeft w:val="0"/>
      <w:marRight w:val="0"/>
      <w:marTop w:val="200"/>
      <w:marBottom w:val="0"/>
      <w:divBdr>
        <w:top w:val="none" w:sz="0" w:space="0" w:color="auto"/>
        <w:left w:val="none" w:sz="0" w:space="0" w:color="auto"/>
        <w:bottom w:val="none" w:sz="0" w:space="0" w:color="auto"/>
        <w:right w:val="none" w:sz="0" w:space="0" w:color="auto"/>
      </w:divBdr>
    </w:div>
    <w:div w:id="1882865553">
      <w:marLeft w:val="0"/>
      <w:marRight w:val="0"/>
      <w:marTop w:val="0"/>
      <w:marBottom w:val="0"/>
      <w:divBdr>
        <w:top w:val="none" w:sz="0" w:space="0" w:color="auto"/>
        <w:left w:val="none" w:sz="0" w:space="0" w:color="auto"/>
        <w:bottom w:val="none" w:sz="0" w:space="0" w:color="auto"/>
        <w:right w:val="none" w:sz="0" w:space="0" w:color="auto"/>
      </w:divBdr>
      <w:divsChild>
        <w:div w:id="279915726">
          <w:marLeft w:val="0"/>
          <w:marRight w:val="0"/>
          <w:marTop w:val="0"/>
          <w:marBottom w:val="0"/>
          <w:divBdr>
            <w:top w:val="none" w:sz="0" w:space="0" w:color="auto"/>
            <w:left w:val="none" w:sz="0" w:space="0" w:color="auto"/>
            <w:bottom w:val="none" w:sz="0" w:space="0" w:color="auto"/>
            <w:right w:val="none" w:sz="0" w:space="0" w:color="auto"/>
          </w:divBdr>
        </w:div>
      </w:divsChild>
    </w:div>
    <w:div w:id="1883323858">
      <w:marLeft w:val="0"/>
      <w:marRight w:val="0"/>
      <w:marTop w:val="200"/>
      <w:marBottom w:val="0"/>
      <w:divBdr>
        <w:top w:val="none" w:sz="0" w:space="0" w:color="auto"/>
        <w:left w:val="none" w:sz="0" w:space="0" w:color="auto"/>
        <w:bottom w:val="none" w:sz="0" w:space="0" w:color="auto"/>
        <w:right w:val="none" w:sz="0" w:space="0" w:color="auto"/>
      </w:divBdr>
    </w:div>
    <w:div w:id="1884907654">
      <w:marLeft w:val="0"/>
      <w:marRight w:val="0"/>
      <w:marTop w:val="120"/>
      <w:marBottom w:val="0"/>
      <w:divBdr>
        <w:top w:val="none" w:sz="0" w:space="0" w:color="auto"/>
        <w:left w:val="none" w:sz="0" w:space="0" w:color="auto"/>
        <w:bottom w:val="none" w:sz="0" w:space="0" w:color="auto"/>
        <w:right w:val="none" w:sz="0" w:space="0" w:color="auto"/>
      </w:divBdr>
    </w:div>
    <w:div w:id="1885825762">
      <w:marLeft w:val="0"/>
      <w:marRight w:val="0"/>
      <w:marTop w:val="0"/>
      <w:marBottom w:val="0"/>
      <w:divBdr>
        <w:top w:val="none" w:sz="0" w:space="0" w:color="auto"/>
        <w:left w:val="none" w:sz="0" w:space="0" w:color="auto"/>
        <w:bottom w:val="none" w:sz="0" w:space="0" w:color="auto"/>
        <w:right w:val="none" w:sz="0" w:space="0" w:color="auto"/>
      </w:divBdr>
      <w:divsChild>
        <w:div w:id="1171794266">
          <w:marLeft w:val="0"/>
          <w:marRight w:val="0"/>
          <w:marTop w:val="0"/>
          <w:marBottom w:val="0"/>
          <w:divBdr>
            <w:top w:val="none" w:sz="0" w:space="0" w:color="auto"/>
            <w:left w:val="none" w:sz="0" w:space="0" w:color="auto"/>
            <w:bottom w:val="none" w:sz="0" w:space="0" w:color="auto"/>
            <w:right w:val="none" w:sz="0" w:space="0" w:color="auto"/>
          </w:divBdr>
        </w:div>
      </w:divsChild>
    </w:div>
    <w:div w:id="1890258758">
      <w:marLeft w:val="0"/>
      <w:marRight w:val="0"/>
      <w:marTop w:val="120"/>
      <w:marBottom w:val="0"/>
      <w:divBdr>
        <w:top w:val="none" w:sz="0" w:space="0" w:color="auto"/>
        <w:left w:val="none" w:sz="0" w:space="0" w:color="auto"/>
        <w:bottom w:val="none" w:sz="0" w:space="0" w:color="auto"/>
        <w:right w:val="none" w:sz="0" w:space="0" w:color="auto"/>
      </w:divBdr>
    </w:div>
    <w:div w:id="1891838034">
      <w:marLeft w:val="0"/>
      <w:marRight w:val="0"/>
      <w:marTop w:val="200"/>
      <w:marBottom w:val="0"/>
      <w:divBdr>
        <w:top w:val="none" w:sz="0" w:space="0" w:color="auto"/>
        <w:left w:val="none" w:sz="0" w:space="0" w:color="auto"/>
        <w:bottom w:val="none" w:sz="0" w:space="0" w:color="auto"/>
        <w:right w:val="none" w:sz="0" w:space="0" w:color="auto"/>
      </w:divBdr>
    </w:div>
    <w:div w:id="1891838328">
      <w:marLeft w:val="0"/>
      <w:marRight w:val="0"/>
      <w:marTop w:val="240"/>
      <w:marBottom w:val="0"/>
      <w:divBdr>
        <w:top w:val="none" w:sz="0" w:space="0" w:color="auto"/>
        <w:left w:val="none" w:sz="0" w:space="0" w:color="auto"/>
        <w:bottom w:val="none" w:sz="0" w:space="0" w:color="auto"/>
        <w:right w:val="none" w:sz="0" w:space="0" w:color="auto"/>
      </w:divBdr>
    </w:div>
    <w:div w:id="1892306697">
      <w:marLeft w:val="0"/>
      <w:marRight w:val="0"/>
      <w:marTop w:val="240"/>
      <w:marBottom w:val="0"/>
      <w:divBdr>
        <w:top w:val="none" w:sz="0" w:space="0" w:color="auto"/>
        <w:left w:val="none" w:sz="0" w:space="0" w:color="auto"/>
        <w:bottom w:val="none" w:sz="0" w:space="0" w:color="auto"/>
        <w:right w:val="none" w:sz="0" w:space="0" w:color="auto"/>
      </w:divBdr>
    </w:div>
    <w:div w:id="1893612142">
      <w:marLeft w:val="0"/>
      <w:marRight w:val="0"/>
      <w:marTop w:val="0"/>
      <w:marBottom w:val="0"/>
      <w:divBdr>
        <w:top w:val="none" w:sz="0" w:space="0" w:color="auto"/>
        <w:left w:val="none" w:sz="0" w:space="0" w:color="auto"/>
        <w:bottom w:val="none" w:sz="0" w:space="0" w:color="auto"/>
        <w:right w:val="none" w:sz="0" w:space="0" w:color="auto"/>
      </w:divBdr>
      <w:divsChild>
        <w:div w:id="745416649">
          <w:marLeft w:val="0"/>
          <w:marRight w:val="0"/>
          <w:marTop w:val="0"/>
          <w:marBottom w:val="0"/>
          <w:divBdr>
            <w:top w:val="none" w:sz="0" w:space="0" w:color="auto"/>
            <w:left w:val="none" w:sz="0" w:space="0" w:color="auto"/>
            <w:bottom w:val="none" w:sz="0" w:space="0" w:color="auto"/>
            <w:right w:val="none" w:sz="0" w:space="0" w:color="auto"/>
          </w:divBdr>
        </w:div>
      </w:divsChild>
    </w:div>
    <w:div w:id="1898589213">
      <w:marLeft w:val="0"/>
      <w:marRight w:val="0"/>
      <w:marTop w:val="200"/>
      <w:marBottom w:val="0"/>
      <w:divBdr>
        <w:top w:val="none" w:sz="0" w:space="0" w:color="auto"/>
        <w:left w:val="none" w:sz="0" w:space="0" w:color="auto"/>
        <w:bottom w:val="none" w:sz="0" w:space="0" w:color="auto"/>
        <w:right w:val="none" w:sz="0" w:space="0" w:color="auto"/>
      </w:divBdr>
    </w:div>
    <w:div w:id="1900245286">
      <w:marLeft w:val="0"/>
      <w:marRight w:val="0"/>
      <w:marTop w:val="200"/>
      <w:marBottom w:val="0"/>
      <w:divBdr>
        <w:top w:val="none" w:sz="0" w:space="0" w:color="auto"/>
        <w:left w:val="none" w:sz="0" w:space="0" w:color="auto"/>
        <w:bottom w:val="none" w:sz="0" w:space="0" w:color="auto"/>
        <w:right w:val="none" w:sz="0" w:space="0" w:color="auto"/>
      </w:divBdr>
    </w:div>
    <w:div w:id="1900358644">
      <w:marLeft w:val="0"/>
      <w:marRight w:val="0"/>
      <w:marTop w:val="200"/>
      <w:marBottom w:val="0"/>
      <w:divBdr>
        <w:top w:val="none" w:sz="0" w:space="0" w:color="auto"/>
        <w:left w:val="none" w:sz="0" w:space="0" w:color="auto"/>
        <w:bottom w:val="none" w:sz="0" w:space="0" w:color="auto"/>
        <w:right w:val="none" w:sz="0" w:space="0" w:color="auto"/>
      </w:divBdr>
    </w:div>
    <w:div w:id="1901134144">
      <w:marLeft w:val="0"/>
      <w:marRight w:val="0"/>
      <w:marTop w:val="120"/>
      <w:marBottom w:val="0"/>
      <w:divBdr>
        <w:top w:val="none" w:sz="0" w:space="0" w:color="auto"/>
        <w:left w:val="none" w:sz="0" w:space="0" w:color="auto"/>
        <w:bottom w:val="none" w:sz="0" w:space="0" w:color="auto"/>
        <w:right w:val="none" w:sz="0" w:space="0" w:color="auto"/>
      </w:divBdr>
    </w:div>
    <w:div w:id="1909262542">
      <w:marLeft w:val="0"/>
      <w:marRight w:val="0"/>
      <w:marTop w:val="100"/>
      <w:marBottom w:val="0"/>
      <w:divBdr>
        <w:top w:val="none" w:sz="0" w:space="0" w:color="auto"/>
        <w:left w:val="none" w:sz="0" w:space="0" w:color="auto"/>
        <w:bottom w:val="none" w:sz="0" w:space="0" w:color="auto"/>
        <w:right w:val="none" w:sz="0" w:space="0" w:color="auto"/>
      </w:divBdr>
      <w:divsChild>
        <w:div w:id="227885714">
          <w:marLeft w:val="0"/>
          <w:marRight w:val="0"/>
          <w:marTop w:val="0"/>
          <w:marBottom w:val="0"/>
          <w:divBdr>
            <w:top w:val="none" w:sz="0" w:space="0" w:color="auto"/>
            <w:left w:val="none" w:sz="0" w:space="0" w:color="auto"/>
            <w:bottom w:val="none" w:sz="0" w:space="0" w:color="auto"/>
            <w:right w:val="none" w:sz="0" w:space="0" w:color="auto"/>
          </w:divBdr>
        </w:div>
        <w:div w:id="2135557342">
          <w:marLeft w:val="0"/>
          <w:marRight w:val="0"/>
          <w:marTop w:val="0"/>
          <w:marBottom w:val="0"/>
          <w:divBdr>
            <w:top w:val="none" w:sz="0" w:space="0" w:color="auto"/>
            <w:left w:val="none" w:sz="0" w:space="0" w:color="auto"/>
            <w:bottom w:val="none" w:sz="0" w:space="0" w:color="auto"/>
            <w:right w:val="none" w:sz="0" w:space="0" w:color="auto"/>
          </w:divBdr>
        </w:div>
      </w:divsChild>
    </w:div>
    <w:div w:id="1911958355">
      <w:marLeft w:val="0"/>
      <w:marRight w:val="0"/>
      <w:marTop w:val="0"/>
      <w:marBottom w:val="0"/>
      <w:divBdr>
        <w:top w:val="none" w:sz="0" w:space="0" w:color="auto"/>
        <w:left w:val="none" w:sz="0" w:space="0" w:color="auto"/>
        <w:bottom w:val="none" w:sz="0" w:space="0" w:color="auto"/>
        <w:right w:val="none" w:sz="0" w:space="0" w:color="auto"/>
      </w:divBdr>
      <w:divsChild>
        <w:div w:id="1246723631">
          <w:marLeft w:val="0"/>
          <w:marRight w:val="0"/>
          <w:marTop w:val="0"/>
          <w:marBottom w:val="0"/>
          <w:divBdr>
            <w:top w:val="none" w:sz="0" w:space="0" w:color="auto"/>
            <w:left w:val="none" w:sz="0" w:space="0" w:color="auto"/>
            <w:bottom w:val="none" w:sz="0" w:space="0" w:color="auto"/>
            <w:right w:val="none" w:sz="0" w:space="0" w:color="auto"/>
          </w:divBdr>
        </w:div>
      </w:divsChild>
    </w:div>
    <w:div w:id="1914922695">
      <w:marLeft w:val="0"/>
      <w:marRight w:val="0"/>
      <w:marTop w:val="120"/>
      <w:marBottom w:val="0"/>
      <w:divBdr>
        <w:top w:val="none" w:sz="0" w:space="0" w:color="auto"/>
        <w:left w:val="none" w:sz="0" w:space="0" w:color="auto"/>
        <w:bottom w:val="none" w:sz="0" w:space="0" w:color="auto"/>
        <w:right w:val="none" w:sz="0" w:space="0" w:color="auto"/>
      </w:divBdr>
    </w:div>
    <w:div w:id="1920484268">
      <w:marLeft w:val="0"/>
      <w:marRight w:val="0"/>
      <w:marTop w:val="200"/>
      <w:marBottom w:val="0"/>
      <w:divBdr>
        <w:top w:val="none" w:sz="0" w:space="0" w:color="auto"/>
        <w:left w:val="none" w:sz="0" w:space="0" w:color="auto"/>
        <w:bottom w:val="none" w:sz="0" w:space="0" w:color="auto"/>
        <w:right w:val="none" w:sz="0" w:space="0" w:color="auto"/>
      </w:divBdr>
    </w:div>
    <w:div w:id="1923368662">
      <w:marLeft w:val="0"/>
      <w:marRight w:val="0"/>
      <w:marTop w:val="200"/>
      <w:marBottom w:val="0"/>
      <w:divBdr>
        <w:top w:val="none" w:sz="0" w:space="0" w:color="auto"/>
        <w:left w:val="none" w:sz="0" w:space="0" w:color="auto"/>
        <w:bottom w:val="none" w:sz="0" w:space="0" w:color="auto"/>
        <w:right w:val="none" w:sz="0" w:space="0" w:color="auto"/>
      </w:divBdr>
    </w:div>
    <w:div w:id="1926575153">
      <w:marLeft w:val="0"/>
      <w:marRight w:val="0"/>
      <w:marTop w:val="360"/>
      <w:marBottom w:val="0"/>
      <w:divBdr>
        <w:top w:val="none" w:sz="0" w:space="0" w:color="auto"/>
        <w:left w:val="none" w:sz="0" w:space="0" w:color="auto"/>
        <w:bottom w:val="none" w:sz="0" w:space="0" w:color="auto"/>
        <w:right w:val="none" w:sz="0" w:space="0" w:color="auto"/>
      </w:divBdr>
    </w:div>
    <w:div w:id="1932394869">
      <w:marLeft w:val="0"/>
      <w:marRight w:val="0"/>
      <w:marTop w:val="240"/>
      <w:marBottom w:val="0"/>
      <w:divBdr>
        <w:top w:val="none" w:sz="0" w:space="0" w:color="auto"/>
        <w:left w:val="none" w:sz="0" w:space="0" w:color="auto"/>
        <w:bottom w:val="none" w:sz="0" w:space="0" w:color="auto"/>
        <w:right w:val="none" w:sz="0" w:space="0" w:color="auto"/>
      </w:divBdr>
    </w:div>
    <w:div w:id="1932548613">
      <w:marLeft w:val="0"/>
      <w:marRight w:val="0"/>
      <w:marTop w:val="120"/>
      <w:marBottom w:val="0"/>
      <w:divBdr>
        <w:top w:val="none" w:sz="0" w:space="0" w:color="auto"/>
        <w:left w:val="none" w:sz="0" w:space="0" w:color="auto"/>
        <w:bottom w:val="none" w:sz="0" w:space="0" w:color="auto"/>
        <w:right w:val="none" w:sz="0" w:space="0" w:color="auto"/>
      </w:divBdr>
    </w:div>
    <w:div w:id="1935822885">
      <w:marLeft w:val="0"/>
      <w:marRight w:val="0"/>
      <w:marTop w:val="200"/>
      <w:marBottom w:val="0"/>
      <w:divBdr>
        <w:top w:val="none" w:sz="0" w:space="0" w:color="auto"/>
        <w:left w:val="none" w:sz="0" w:space="0" w:color="auto"/>
        <w:bottom w:val="none" w:sz="0" w:space="0" w:color="auto"/>
        <w:right w:val="none" w:sz="0" w:space="0" w:color="auto"/>
      </w:divBdr>
    </w:div>
    <w:div w:id="1935894670">
      <w:marLeft w:val="0"/>
      <w:marRight w:val="0"/>
      <w:marTop w:val="200"/>
      <w:marBottom w:val="0"/>
      <w:divBdr>
        <w:top w:val="none" w:sz="0" w:space="0" w:color="auto"/>
        <w:left w:val="none" w:sz="0" w:space="0" w:color="auto"/>
        <w:bottom w:val="none" w:sz="0" w:space="0" w:color="auto"/>
        <w:right w:val="none" w:sz="0" w:space="0" w:color="auto"/>
      </w:divBdr>
    </w:div>
    <w:div w:id="1935936557">
      <w:marLeft w:val="0"/>
      <w:marRight w:val="0"/>
      <w:marTop w:val="100"/>
      <w:marBottom w:val="0"/>
      <w:divBdr>
        <w:top w:val="none" w:sz="0" w:space="0" w:color="auto"/>
        <w:left w:val="none" w:sz="0" w:space="0" w:color="auto"/>
        <w:bottom w:val="none" w:sz="0" w:space="0" w:color="auto"/>
        <w:right w:val="none" w:sz="0" w:space="0" w:color="auto"/>
      </w:divBdr>
    </w:div>
    <w:div w:id="1936017344">
      <w:marLeft w:val="0"/>
      <w:marRight w:val="0"/>
      <w:marTop w:val="210"/>
      <w:marBottom w:val="0"/>
      <w:divBdr>
        <w:top w:val="none" w:sz="0" w:space="0" w:color="auto"/>
        <w:left w:val="none" w:sz="0" w:space="0" w:color="auto"/>
        <w:bottom w:val="none" w:sz="0" w:space="0" w:color="auto"/>
        <w:right w:val="none" w:sz="0" w:space="0" w:color="auto"/>
      </w:divBdr>
    </w:div>
    <w:div w:id="1936669699">
      <w:marLeft w:val="0"/>
      <w:marRight w:val="0"/>
      <w:marTop w:val="120"/>
      <w:marBottom w:val="0"/>
      <w:divBdr>
        <w:top w:val="none" w:sz="0" w:space="0" w:color="auto"/>
        <w:left w:val="none" w:sz="0" w:space="0" w:color="auto"/>
        <w:bottom w:val="none" w:sz="0" w:space="0" w:color="auto"/>
        <w:right w:val="none" w:sz="0" w:space="0" w:color="auto"/>
      </w:divBdr>
    </w:div>
    <w:div w:id="1938444851">
      <w:marLeft w:val="0"/>
      <w:marRight w:val="0"/>
      <w:marTop w:val="200"/>
      <w:marBottom w:val="0"/>
      <w:divBdr>
        <w:top w:val="none" w:sz="0" w:space="0" w:color="auto"/>
        <w:left w:val="none" w:sz="0" w:space="0" w:color="auto"/>
        <w:bottom w:val="none" w:sz="0" w:space="0" w:color="auto"/>
        <w:right w:val="none" w:sz="0" w:space="0" w:color="auto"/>
      </w:divBdr>
    </w:div>
    <w:div w:id="1938560568">
      <w:marLeft w:val="0"/>
      <w:marRight w:val="0"/>
      <w:marTop w:val="200"/>
      <w:marBottom w:val="0"/>
      <w:divBdr>
        <w:top w:val="none" w:sz="0" w:space="0" w:color="auto"/>
        <w:left w:val="none" w:sz="0" w:space="0" w:color="auto"/>
        <w:bottom w:val="none" w:sz="0" w:space="0" w:color="auto"/>
        <w:right w:val="none" w:sz="0" w:space="0" w:color="auto"/>
      </w:divBdr>
    </w:div>
    <w:div w:id="1944266079">
      <w:marLeft w:val="0"/>
      <w:marRight w:val="0"/>
      <w:marTop w:val="0"/>
      <w:marBottom w:val="0"/>
      <w:divBdr>
        <w:top w:val="none" w:sz="0" w:space="0" w:color="auto"/>
        <w:left w:val="none" w:sz="0" w:space="0" w:color="auto"/>
        <w:bottom w:val="none" w:sz="0" w:space="0" w:color="auto"/>
        <w:right w:val="none" w:sz="0" w:space="0" w:color="auto"/>
      </w:divBdr>
      <w:divsChild>
        <w:div w:id="1416439774">
          <w:marLeft w:val="0"/>
          <w:marRight w:val="0"/>
          <w:marTop w:val="0"/>
          <w:marBottom w:val="0"/>
          <w:divBdr>
            <w:top w:val="none" w:sz="0" w:space="0" w:color="auto"/>
            <w:left w:val="none" w:sz="0" w:space="0" w:color="auto"/>
            <w:bottom w:val="none" w:sz="0" w:space="0" w:color="auto"/>
            <w:right w:val="none" w:sz="0" w:space="0" w:color="auto"/>
          </w:divBdr>
        </w:div>
      </w:divsChild>
    </w:div>
    <w:div w:id="1944337354">
      <w:marLeft w:val="0"/>
      <w:marRight w:val="0"/>
      <w:marTop w:val="200"/>
      <w:marBottom w:val="0"/>
      <w:divBdr>
        <w:top w:val="none" w:sz="0" w:space="0" w:color="auto"/>
        <w:left w:val="none" w:sz="0" w:space="0" w:color="auto"/>
        <w:bottom w:val="none" w:sz="0" w:space="0" w:color="auto"/>
        <w:right w:val="none" w:sz="0" w:space="0" w:color="auto"/>
      </w:divBdr>
    </w:div>
    <w:div w:id="1944337921">
      <w:marLeft w:val="0"/>
      <w:marRight w:val="0"/>
      <w:marTop w:val="200"/>
      <w:marBottom w:val="0"/>
      <w:divBdr>
        <w:top w:val="none" w:sz="0" w:space="0" w:color="auto"/>
        <w:left w:val="none" w:sz="0" w:space="0" w:color="auto"/>
        <w:bottom w:val="none" w:sz="0" w:space="0" w:color="auto"/>
        <w:right w:val="none" w:sz="0" w:space="0" w:color="auto"/>
      </w:divBdr>
    </w:div>
    <w:div w:id="1944530015">
      <w:marLeft w:val="0"/>
      <w:marRight w:val="0"/>
      <w:marTop w:val="240"/>
      <w:marBottom w:val="0"/>
      <w:divBdr>
        <w:top w:val="none" w:sz="0" w:space="0" w:color="auto"/>
        <w:left w:val="none" w:sz="0" w:space="0" w:color="auto"/>
        <w:bottom w:val="none" w:sz="0" w:space="0" w:color="auto"/>
        <w:right w:val="none" w:sz="0" w:space="0" w:color="auto"/>
      </w:divBdr>
    </w:div>
    <w:div w:id="1948191922">
      <w:marLeft w:val="0"/>
      <w:marRight w:val="0"/>
      <w:marTop w:val="200"/>
      <w:marBottom w:val="0"/>
      <w:divBdr>
        <w:top w:val="none" w:sz="0" w:space="0" w:color="auto"/>
        <w:left w:val="none" w:sz="0" w:space="0" w:color="auto"/>
        <w:bottom w:val="none" w:sz="0" w:space="0" w:color="auto"/>
        <w:right w:val="none" w:sz="0" w:space="0" w:color="auto"/>
      </w:divBdr>
    </w:div>
    <w:div w:id="1950042172">
      <w:marLeft w:val="0"/>
      <w:marRight w:val="0"/>
      <w:marTop w:val="0"/>
      <w:marBottom w:val="0"/>
      <w:divBdr>
        <w:top w:val="none" w:sz="0" w:space="0" w:color="auto"/>
        <w:left w:val="none" w:sz="0" w:space="0" w:color="auto"/>
        <w:bottom w:val="none" w:sz="0" w:space="0" w:color="auto"/>
        <w:right w:val="none" w:sz="0" w:space="0" w:color="auto"/>
      </w:divBdr>
      <w:divsChild>
        <w:div w:id="571895345">
          <w:marLeft w:val="0"/>
          <w:marRight w:val="0"/>
          <w:marTop w:val="0"/>
          <w:marBottom w:val="0"/>
          <w:divBdr>
            <w:top w:val="none" w:sz="0" w:space="0" w:color="auto"/>
            <w:left w:val="none" w:sz="0" w:space="0" w:color="auto"/>
            <w:bottom w:val="none" w:sz="0" w:space="0" w:color="auto"/>
            <w:right w:val="none" w:sz="0" w:space="0" w:color="auto"/>
          </w:divBdr>
        </w:div>
      </w:divsChild>
    </w:div>
    <w:div w:id="1951469133">
      <w:marLeft w:val="0"/>
      <w:marRight w:val="0"/>
      <w:marTop w:val="240"/>
      <w:marBottom w:val="0"/>
      <w:divBdr>
        <w:top w:val="none" w:sz="0" w:space="0" w:color="auto"/>
        <w:left w:val="none" w:sz="0" w:space="0" w:color="auto"/>
        <w:bottom w:val="none" w:sz="0" w:space="0" w:color="auto"/>
        <w:right w:val="none" w:sz="0" w:space="0" w:color="auto"/>
      </w:divBdr>
    </w:div>
    <w:div w:id="1952975041">
      <w:marLeft w:val="0"/>
      <w:marRight w:val="0"/>
      <w:marTop w:val="120"/>
      <w:marBottom w:val="0"/>
      <w:divBdr>
        <w:top w:val="none" w:sz="0" w:space="0" w:color="auto"/>
        <w:left w:val="none" w:sz="0" w:space="0" w:color="auto"/>
        <w:bottom w:val="none" w:sz="0" w:space="0" w:color="auto"/>
        <w:right w:val="none" w:sz="0" w:space="0" w:color="auto"/>
      </w:divBdr>
    </w:div>
    <w:div w:id="1952980182">
      <w:marLeft w:val="0"/>
      <w:marRight w:val="0"/>
      <w:marTop w:val="200"/>
      <w:marBottom w:val="0"/>
      <w:divBdr>
        <w:top w:val="none" w:sz="0" w:space="0" w:color="auto"/>
        <w:left w:val="none" w:sz="0" w:space="0" w:color="auto"/>
        <w:bottom w:val="none" w:sz="0" w:space="0" w:color="auto"/>
        <w:right w:val="none" w:sz="0" w:space="0" w:color="auto"/>
      </w:divBdr>
    </w:div>
    <w:div w:id="1953049912">
      <w:marLeft w:val="0"/>
      <w:marRight w:val="0"/>
      <w:marTop w:val="200"/>
      <w:marBottom w:val="0"/>
      <w:divBdr>
        <w:top w:val="none" w:sz="0" w:space="0" w:color="auto"/>
        <w:left w:val="none" w:sz="0" w:space="0" w:color="auto"/>
        <w:bottom w:val="none" w:sz="0" w:space="0" w:color="auto"/>
        <w:right w:val="none" w:sz="0" w:space="0" w:color="auto"/>
      </w:divBdr>
    </w:div>
    <w:div w:id="1953516222">
      <w:marLeft w:val="0"/>
      <w:marRight w:val="0"/>
      <w:marTop w:val="0"/>
      <w:marBottom w:val="0"/>
      <w:divBdr>
        <w:top w:val="none" w:sz="0" w:space="0" w:color="auto"/>
        <w:left w:val="none" w:sz="0" w:space="0" w:color="auto"/>
        <w:bottom w:val="none" w:sz="0" w:space="0" w:color="auto"/>
        <w:right w:val="none" w:sz="0" w:space="0" w:color="auto"/>
      </w:divBdr>
      <w:divsChild>
        <w:div w:id="2108383872">
          <w:marLeft w:val="0"/>
          <w:marRight w:val="0"/>
          <w:marTop w:val="0"/>
          <w:marBottom w:val="0"/>
          <w:divBdr>
            <w:top w:val="none" w:sz="0" w:space="0" w:color="auto"/>
            <w:left w:val="none" w:sz="0" w:space="0" w:color="auto"/>
            <w:bottom w:val="none" w:sz="0" w:space="0" w:color="auto"/>
            <w:right w:val="none" w:sz="0" w:space="0" w:color="auto"/>
          </w:divBdr>
        </w:div>
      </w:divsChild>
    </w:div>
    <w:div w:id="1954941984">
      <w:marLeft w:val="0"/>
      <w:marRight w:val="0"/>
      <w:marTop w:val="200"/>
      <w:marBottom w:val="0"/>
      <w:divBdr>
        <w:top w:val="none" w:sz="0" w:space="0" w:color="auto"/>
        <w:left w:val="none" w:sz="0" w:space="0" w:color="auto"/>
        <w:bottom w:val="none" w:sz="0" w:space="0" w:color="auto"/>
        <w:right w:val="none" w:sz="0" w:space="0" w:color="auto"/>
      </w:divBdr>
    </w:div>
    <w:div w:id="1956594278">
      <w:marLeft w:val="0"/>
      <w:marRight w:val="0"/>
      <w:marTop w:val="0"/>
      <w:marBottom w:val="0"/>
      <w:divBdr>
        <w:top w:val="none" w:sz="0" w:space="0" w:color="auto"/>
        <w:left w:val="none" w:sz="0" w:space="0" w:color="auto"/>
        <w:bottom w:val="none" w:sz="0" w:space="0" w:color="auto"/>
        <w:right w:val="none" w:sz="0" w:space="0" w:color="auto"/>
      </w:divBdr>
      <w:divsChild>
        <w:div w:id="1642804050">
          <w:marLeft w:val="0"/>
          <w:marRight w:val="0"/>
          <w:marTop w:val="0"/>
          <w:marBottom w:val="0"/>
          <w:divBdr>
            <w:top w:val="none" w:sz="0" w:space="0" w:color="auto"/>
            <w:left w:val="none" w:sz="0" w:space="0" w:color="auto"/>
            <w:bottom w:val="none" w:sz="0" w:space="0" w:color="auto"/>
            <w:right w:val="none" w:sz="0" w:space="0" w:color="auto"/>
          </w:divBdr>
        </w:div>
      </w:divsChild>
    </w:div>
    <w:div w:id="1956597968">
      <w:marLeft w:val="0"/>
      <w:marRight w:val="0"/>
      <w:marTop w:val="200"/>
      <w:marBottom w:val="0"/>
      <w:divBdr>
        <w:top w:val="none" w:sz="0" w:space="0" w:color="auto"/>
        <w:left w:val="none" w:sz="0" w:space="0" w:color="auto"/>
        <w:bottom w:val="none" w:sz="0" w:space="0" w:color="auto"/>
        <w:right w:val="none" w:sz="0" w:space="0" w:color="auto"/>
      </w:divBdr>
    </w:div>
    <w:div w:id="1956982648">
      <w:marLeft w:val="0"/>
      <w:marRight w:val="0"/>
      <w:marTop w:val="120"/>
      <w:marBottom w:val="0"/>
      <w:divBdr>
        <w:top w:val="none" w:sz="0" w:space="0" w:color="auto"/>
        <w:left w:val="none" w:sz="0" w:space="0" w:color="auto"/>
        <w:bottom w:val="none" w:sz="0" w:space="0" w:color="auto"/>
        <w:right w:val="none" w:sz="0" w:space="0" w:color="auto"/>
      </w:divBdr>
    </w:div>
    <w:div w:id="1962228574">
      <w:marLeft w:val="0"/>
      <w:marRight w:val="0"/>
      <w:marTop w:val="200"/>
      <w:marBottom w:val="0"/>
      <w:divBdr>
        <w:top w:val="none" w:sz="0" w:space="0" w:color="auto"/>
        <w:left w:val="none" w:sz="0" w:space="0" w:color="auto"/>
        <w:bottom w:val="none" w:sz="0" w:space="0" w:color="auto"/>
        <w:right w:val="none" w:sz="0" w:space="0" w:color="auto"/>
      </w:divBdr>
    </w:div>
    <w:div w:id="1963605930">
      <w:marLeft w:val="0"/>
      <w:marRight w:val="0"/>
      <w:marTop w:val="0"/>
      <w:marBottom w:val="0"/>
      <w:divBdr>
        <w:top w:val="none" w:sz="0" w:space="0" w:color="auto"/>
        <w:left w:val="none" w:sz="0" w:space="0" w:color="auto"/>
        <w:bottom w:val="none" w:sz="0" w:space="0" w:color="auto"/>
        <w:right w:val="none" w:sz="0" w:space="0" w:color="auto"/>
      </w:divBdr>
      <w:divsChild>
        <w:div w:id="1706907157">
          <w:marLeft w:val="0"/>
          <w:marRight w:val="0"/>
          <w:marTop w:val="0"/>
          <w:marBottom w:val="0"/>
          <w:divBdr>
            <w:top w:val="none" w:sz="0" w:space="0" w:color="auto"/>
            <w:left w:val="none" w:sz="0" w:space="0" w:color="auto"/>
            <w:bottom w:val="none" w:sz="0" w:space="0" w:color="auto"/>
            <w:right w:val="none" w:sz="0" w:space="0" w:color="auto"/>
          </w:divBdr>
        </w:div>
      </w:divsChild>
    </w:div>
    <w:div w:id="1963609948">
      <w:marLeft w:val="0"/>
      <w:marRight w:val="0"/>
      <w:marTop w:val="200"/>
      <w:marBottom w:val="0"/>
      <w:divBdr>
        <w:top w:val="none" w:sz="0" w:space="0" w:color="auto"/>
        <w:left w:val="none" w:sz="0" w:space="0" w:color="auto"/>
        <w:bottom w:val="none" w:sz="0" w:space="0" w:color="auto"/>
        <w:right w:val="none" w:sz="0" w:space="0" w:color="auto"/>
      </w:divBdr>
    </w:div>
    <w:div w:id="1965572201">
      <w:marLeft w:val="0"/>
      <w:marRight w:val="0"/>
      <w:marTop w:val="200"/>
      <w:marBottom w:val="0"/>
      <w:divBdr>
        <w:top w:val="none" w:sz="0" w:space="0" w:color="auto"/>
        <w:left w:val="none" w:sz="0" w:space="0" w:color="auto"/>
        <w:bottom w:val="none" w:sz="0" w:space="0" w:color="auto"/>
        <w:right w:val="none" w:sz="0" w:space="0" w:color="auto"/>
      </w:divBdr>
    </w:div>
    <w:div w:id="1965966178">
      <w:marLeft w:val="0"/>
      <w:marRight w:val="0"/>
      <w:marTop w:val="120"/>
      <w:marBottom w:val="0"/>
      <w:divBdr>
        <w:top w:val="none" w:sz="0" w:space="0" w:color="auto"/>
        <w:left w:val="none" w:sz="0" w:space="0" w:color="auto"/>
        <w:bottom w:val="none" w:sz="0" w:space="0" w:color="auto"/>
        <w:right w:val="none" w:sz="0" w:space="0" w:color="auto"/>
      </w:divBdr>
    </w:div>
    <w:div w:id="1966691389">
      <w:marLeft w:val="0"/>
      <w:marRight w:val="0"/>
      <w:marTop w:val="200"/>
      <w:marBottom w:val="0"/>
      <w:divBdr>
        <w:top w:val="none" w:sz="0" w:space="0" w:color="auto"/>
        <w:left w:val="none" w:sz="0" w:space="0" w:color="auto"/>
        <w:bottom w:val="none" w:sz="0" w:space="0" w:color="auto"/>
        <w:right w:val="none" w:sz="0" w:space="0" w:color="auto"/>
      </w:divBdr>
    </w:div>
    <w:div w:id="1966963713">
      <w:marLeft w:val="0"/>
      <w:marRight w:val="0"/>
      <w:marTop w:val="200"/>
      <w:marBottom w:val="0"/>
      <w:divBdr>
        <w:top w:val="none" w:sz="0" w:space="0" w:color="auto"/>
        <w:left w:val="none" w:sz="0" w:space="0" w:color="auto"/>
        <w:bottom w:val="none" w:sz="0" w:space="0" w:color="auto"/>
        <w:right w:val="none" w:sz="0" w:space="0" w:color="auto"/>
      </w:divBdr>
    </w:div>
    <w:div w:id="1969966092">
      <w:marLeft w:val="0"/>
      <w:marRight w:val="0"/>
      <w:marTop w:val="200"/>
      <w:marBottom w:val="0"/>
      <w:divBdr>
        <w:top w:val="none" w:sz="0" w:space="0" w:color="auto"/>
        <w:left w:val="none" w:sz="0" w:space="0" w:color="auto"/>
        <w:bottom w:val="none" w:sz="0" w:space="0" w:color="auto"/>
        <w:right w:val="none" w:sz="0" w:space="0" w:color="auto"/>
      </w:divBdr>
    </w:div>
    <w:div w:id="1975520987">
      <w:marLeft w:val="0"/>
      <w:marRight w:val="0"/>
      <w:marTop w:val="200"/>
      <w:marBottom w:val="0"/>
      <w:divBdr>
        <w:top w:val="none" w:sz="0" w:space="0" w:color="auto"/>
        <w:left w:val="none" w:sz="0" w:space="0" w:color="auto"/>
        <w:bottom w:val="none" w:sz="0" w:space="0" w:color="auto"/>
        <w:right w:val="none" w:sz="0" w:space="0" w:color="auto"/>
      </w:divBdr>
    </w:div>
    <w:div w:id="1976058762">
      <w:marLeft w:val="0"/>
      <w:marRight w:val="0"/>
      <w:marTop w:val="200"/>
      <w:marBottom w:val="0"/>
      <w:divBdr>
        <w:top w:val="none" w:sz="0" w:space="0" w:color="auto"/>
        <w:left w:val="none" w:sz="0" w:space="0" w:color="auto"/>
        <w:bottom w:val="none" w:sz="0" w:space="0" w:color="auto"/>
        <w:right w:val="none" w:sz="0" w:space="0" w:color="auto"/>
      </w:divBdr>
    </w:div>
    <w:div w:id="1977880393">
      <w:marLeft w:val="0"/>
      <w:marRight w:val="0"/>
      <w:marTop w:val="120"/>
      <w:marBottom w:val="0"/>
      <w:divBdr>
        <w:top w:val="none" w:sz="0" w:space="0" w:color="auto"/>
        <w:left w:val="none" w:sz="0" w:space="0" w:color="auto"/>
        <w:bottom w:val="none" w:sz="0" w:space="0" w:color="auto"/>
        <w:right w:val="none" w:sz="0" w:space="0" w:color="auto"/>
      </w:divBdr>
    </w:div>
    <w:div w:id="1978561273">
      <w:marLeft w:val="0"/>
      <w:marRight w:val="0"/>
      <w:marTop w:val="200"/>
      <w:marBottom w:val="0"/>
      <w:divBdr>
        <w:top w:val="none" w:sz="0" w:space="0" w:color="auto"/>
        <w:left w:val="none" w:sz="0" w:space="0" w:color="auto"/>
        <w:bottom w:val="none" w:sz="0" w:space="0" w:color="auto"/>
        <w:right w:val="none" w:sz="0" w:space="0" w:color="auto"/>
      </w:divBdr>
    </w:div>
    <w:div w:id="1978561312">
      <w:marLeft w:val="0"/>
      <w:marRight w:val="0"/>
      <w:marTop w:val="240"/>
      <w:marBottom w:val="0"/>
      <w:divBdr>
        <w:top w:val="none" w:sz="0" w:space="0" w:color="auto"/>
        <w:left w:val="none" w:sz="0" w:space="0" w:color="auto"/>
        <w:bottom w:val="none" w:sz="0" w:space="0" w:color="auto"/>
        <w:right w:val="none" w:sz="0" w:space="0" w:color="auto"/>
      </w:divBdr>
    </w:div>
    <w:div w:id="1980572434">
      <w:marLeft w:val="0"/>
      <w:marRight w:val="0"/>
      <w:marTop w:val="100"/>
      <w:marBottom w:val="0"/>
      <w:divBdr>
        <w:top w:val="none" w:sz="0" w:space="0" w:color="auto"/>
        <w:left w:val="none" w:sz="0" w:space="0" w:color="auto"/>
        <w:bottom w:val="none" w:sz="0" w:space="0" w:color="auto"/>
        <w:right w:val="none" w:sz="0" w:space="0" w:color="auto"/>
      </w:divBdr>
      <w:divsChild>
        <w:div w:id="523714685">
          <w:marLeft w:val="0"/>
          <w:marRight w:val="0"/>
          <w:marTop w:val="0"/>
          <w:marBottom w:val="0"/>
          <w:divBdr>
            <w:top w:val="none" w:sz="0" w:space="0" w:color="auto"/>
            <w:left w:val="none" w:sz="0" w:space="0" w:color="auto"/>
            <w:bottom w:val="none" w:sz="0" w:space="0" w:color="auto"/>
            <w:right w:val="none" w:sz="0" w:space="0" w:color="auto"/>
          </w:divBdr>
        </w:div>
        <w:div w:id="599794518">
          <w:marLeft w:val="0"/>
          <w:marRight w:val="0"/>
          <w:marTop w:val="0"/>
          <w:marBottom w:val="0"/>
          <w:divBdr>
            <w:top w:val="none" w:sz="0" w:space="0" w:color="auto"/>
            <w:left w:val="none" w:sz="0" w:space="0" w:color="auto"/>
            <w:bottom w:val="none" w:sz="0" w:space="0" w:color="auto"/>
            <w:right w:val="none" w:sz="0" w:space="0" w:color="auto"/>
          </w:divBdr>
        </w:div>
        <w:div w:id="818690060">
          <w:marLeft w:val="0"/>
          <w:marRight w:val="0"/>
          <w:marTop w:val="0"/>
          <w:marBottom w:val="0"/>
          <w:divBdr>
            <w:top w:val="none" w:sz="0" w:space="0" w:color="auto"/>
            <w:left w:val="none" w:sz="0" w:space="0" w:color="auto"/>
            <w:bottom w:val="none" w:sz="0" w:space="0" w:color="auto"/>
            <w:right w:val="none" w:sz="0" w:space="0" w:color="auto"/>
          </w:divBdr>
        </w:div>
        <w:div w:id="1320427547">
          <w:marLeft w:val="0"/>
          <w:marRight w:val="0"/>
          <w:marTop w:val="0"/>
          <w:marBottom w:val="0"/>
          <w:divBdr>
            <w:top w:val="none" w:sz="0" w:space="0" w:color="auto"/>
            <w:left w:val="none" w:sz="0" w:space="0" w:color="auto"/>
            <w:bottom w:val="none" w:sz="0" w:space="0" w:color="auto"/>
            <w:right w:val="none" w:sz="0" w:space="0" w:color="auto"/>
          </w:divBdr>
        </w:div>
        <w:div w:id="1222134219">
          <w:marLeft w:val="0"/>
          <w:marRight w:val="0"/>
          <w:marTop w:val="0"/>
          <w:marBottom w:val="0"/>
          <w:divBdr>
            <w:top w:val="none" w:sz="0" w:space="0" w:color="auto"/>
            <w:left w:val="none" w:sz="0" w:space="0" w:color="auto"/>
            <w:bottom w:val="none" w:sz="0" w:space="0" w:color="auto"/>
            <w:right w:val="none" w:sz="0" w:space="0" w:color="auto"/>
          </w:divBdr>
        </w:div>
        <w:div w:id="114450684">
          <w:marLeft w:val="0"/>
          <w:marRight w:val="0"/>
          <w:marTop w:val="0"/>
          <w:marBottom w:val="0"/>
          <w:divBdr>
            <w:top w:val="none" w:sz="0" w:space="0" w:color="auto"/>
            <w:left w:val="none" w:sz="0" w:space="0" w:color="auto"/>
            <w:bottom w:val="none" w:sz="0" w:space="0" w:color="auto"/>
            <w:right w:val="none" w:sz="0" w:space="0" w:color="auto"/>
          </w:divBdr>
        </w:div>
        <w:div w:id="1521385314">
          <w:marLeft w:val="0"/>
          <w:marRight w:val="0"/>
          <w:marTop w:val="0"/>
          <w:marBottom w:val="0"/>
          <w:divBdr>
            <w:top w:val="none" w:sz="0" w:space="0" w:color="auto"/>
            <w:left w:val="none" w:sz="0" w:space="0" w:color="auto"/>
            <w:bottom w:val="none" w:sz="0" w:space="0" w:color="auto"/>
            <w:right w:val="none" w:sz="0" w:space="0" w:color="auto"/>
          </w:divBdr>
        </w:div>
        <w:div w:id="2101753699">
          <w:marLeft w:val="0"/>
          <w:marRight w:val="0"/>
          <w:marTop w:val="0"/>
          <w:marBottom w:val="0"/>
          <w:divBdr>
            <w:top w:val="none" w:sz="0" w:space="0" w:color="auto"/>
            <w:left w:val="none" w:sz="0" w:space="0" w:color="auto"/>
            <w:bottom w:val="none" w:sz="0" w:space="0" w:color="auto"/>
            <w:right w:val="none" w:sz="0" w:space="0" w:color="auto"/>
          </w:divBdr>
        </w:div>
        <w:div w:id="1849371825">
          <w:marLeft w:val="0"/>
          <w:marRight w:val="0"/>
          <w:marTop w:val="0"/>
          <w:marBottom w:val="0"/>
          <w:divBdr>
            <w:top w:val="none" w:sz="0" w:space="0" w:color="auto"/>
            <w:left w:val="none" w:sz="0" w:space="0" w:color="auto"/>
            <w:bottom w:val="none" w:sz="0" w:space="0" w:color="auto"/>
            <w:right w:val="none" w:sz="0" w:space="0" w:color="auto"/>
          </w:divBdr>
        </w:div>
        <w:div w:id="109470699">
          <w:marLeft w:val="0"/>
          <w:marRight w:val="0"/>
          <w:marTop w:val="0"/>
          <w:marBottom w:val="0"/>
          <w:divBdr>
            <w:top w:val="none" w:sz="0" w:space="0" w:color="auto"/>
            <w:left w:val="none" w:sz="0" w:space="0" w:color="auto"/>
            <w:bottom w:val="none" w:sz="0" w:space="0" w:color="auto"/>
            <w:right w:val="none" w:sz="0" w:space="0" w:color="auto"/>
          </w:divBdr>
        </w:div>
        <w:div w:id="1264652363">
          <w:marLeft w:val="0"/>
          <w:marRight w:val="0"/>
          <w:marTop w:val="0"/>
          <w:marBottom w:val="0"/>
          <w:divBdr>
            <w:top w:val="none" w:sz="0" w:space="0" w:color="auto"/>
            <w:left w:val="none" w:sz="0" w:space="0" w:color="auto"/>
            <w:bottom w:val="none" w:sz="0" w:space="0" w:color="auto"/>
            <w:right w:val="none" w:sz="0" w:space="0" w:color="auto"/>
          </w:divBdr>
        </w:div>
        <w:div w:id="427965688">
          <w:marLeft w:val="0"/>
          <w:marRight w:val="0"/>
          <w:marTop w:val="0"/>
          <w:marBottom w:val="0"/>
          <w:divBdr>
            <w:top w:val="none" w:sz="0" w:space="0" w:color="auto"/>
            <w:left w:val="none" w:sz="0" w:space="0" w:color="auto"/>
            <w:bottom w:val="none" w:sz="0" w:space="0" w:color="auto"/>
            <w:right w:val="none" w:sz="0" w:space="0" w:color="auto"/>
          </w:divBdr>
        </w:div>
        <w:div w:id="245923179">
          <w:marLeft w:val="0"/>
          <w:marRight w:val="0"/>
          <w:marTop w:val="0"/>
          <w:marBottom w:val="0"/>
          <w:divBdr>
            <w:top w:val="none" w:sz="0" w:space="0" w:color="auto"/>
            <w:left w:val="none" w:sz="0" w:space="0" w:color="auto"/>
            <w:bottom w:val="none" w:sz="0" w:space="0" w:color="auto"/>
            <w:right w:val="none" w:sz="0" w:space="0" w:color="auto"/>
          </w:divBdr>
        </w:div>
        <w:div w:id="803697035">
          <w:marLeft w:val="0"/>
          <w:marRight w:val="0"/>
          <w:marTop w:val="0"/>
          <w:marBottom w:val="0"/>
          <w:divBdr>
            <w:top w:val="none" w:sz="0" w:space="0" w:color="auto"/>
            <w:left w:val="none" w:sz="0" w:space="0" w:color="auto"/>
            <w:bottom w:val="none" w:sz="0" w:space="0" w:color="auto"/>
            <w:right w:val="none" w:sz="0" w:space="0" w:color="auto"/>
          </w:divBdr>
        </w:div>
        <w:div w:id="350453035">
          <w:marLeft w:val="0"/>
          <w:marRight w:val="0"/>
          <w:marTop w:val="0"/>
          <w:marBottom w:val="0"/>
          <w:divBdr>
            <w:top w:val="none" w:sz="0" w:space="0" w:color="auto"/>
            <w:left w:val="none" w:sz="0" w:space="0" w:color="auto"/>
            <w:bottom w:val="none" w:sz="0" w:space="0" w:color="auto"/>
            <w:right w:val="none" w:sz="0" w:space="0" w:color="auto"/>
          </w:divBdr>
        </w:div>
        <w:div w:id="410735217">
          <w:marLeft w:val="0"/>
          <w:marRight w:val="0"/>
          <w:marTop w:val="0"/>
          <w:marBottom w:val="0"/>
          <w:divBdr>
            <w:top w:val="none" w:sz="0" w:space="0" w:color="auto"/>
            <w:left w:val="none" w:sz="0" w:space="0" w:color="auto"/>
            <w:bottom w:val="none" w:sz="0" w:space="0" w:color="auto"/>
            <w:right w:val="none" w:sz="0" w:space="0" w:color="auto"/>
          </w:divBdr>
        </w:div>
        <w:div w:id="1502693591">
          <w:marLeft w:val="0"/>
          <w:marRight w:val="0"/>
          <w:marTop w:val="0"/>
          <w:marBottom w:val="0"/>
          <w:divBdr>
            <w:top w:val="none" w:sz="0" w:space="0" w:color="auto"/>
            <w:left w:val="none" w:sz="0" w:space="0" w:color="auto"/>
            <w:bottom w:val="none" w:sz="0" w:space="0" w:color="auto"/>
            <w:right w:val="none" w:sz="0" w:space="0" w:color="auto"/>
          </w:divBdr>
        </w:div>
        <w:div w:id="1883133208">
          <w:marLeft w:val="0"/>
          <w:marRight w:val="0"/>
          <w:marTop w:val="0"/>
          <w:marBottom w:val="0"/>
          <w:divBdr>
            <w:top w:val="none" w:sz="0" w:space="0" w:color="auto"/>
            <w:left w:val="none" w:sz="0" w:space="0" w:color="auto"/>
            <w:bottom w:val="none" w:sz="0" w:space="0" w:color="auto"/>
            <w:right w:val="none" w:sz="0" w:space="0" w:color="auto"/>
          </w:divBdr>
        </w:div>
        <w:div w:id="387656700">
          <w:marLeft w:val="0"/>
          <w:marRight w:val="0"/>
          <w:marTop w:val="0"/>
          <w:marBottom w:val="0"/>
          <w:divBdr>
            <w:top w:val="none" w:sz="0" w:space="0" w:color="auto"/>
            <w:left w:val="none" w:sz="0" w:space="0" w:color="auto"/>
            <w:bottom w:val="none" w:sz="0" w:space="0" w:color="auto"/>
            <w:right w:val="none" w:sz="0" w:space="0" w:color="auto"/>
          </w:divBdr>
        </w:div>
        <w:div w:id="6295633">
          <w:marLeft w:val="0"/>
          <w:marRight w:val="0"/>
          <w:marTop w:val="0"/>
          <w:marBottom w:val="0"/>
          <w:divBdr>
            <w:top w:val="none" w:sz="0" w:space="0" w:color="auto"/>
            <w:left w:val="none" w:sz="0" w:space="0" w:color="auto"/>
            <w:bottom w:val="none" w:sz="0" w:space="0" w:color="auto"/>
            <w:right w:val="none" w:sz="0" w:space="0" w:color="auto"/>
          </w:divBdr>
        </w:div>
        <w:div w:id="148137233">
          <w:marLeft w:val="0"/>
          <w:marRight w:val="0"/>
          <w:marTop w:val="0"/>
          <w:marBottom w:val="0"/>
          <w:divBdr>
            <w:top w:val="none" w:sz="0" w:space="0" w:color="auto"/>
            <w:left w:val="none" w:sz="0" w:space="0" w:color="auto"/>
            <w:bottom w:val="none" w:sz="0" w:space="0" w:color="auto"/>
            <w:right w:val="none" w:sz="0" w:space="0" w:color="auto"/>
          </w:divBdr>
        </w:div>
        <w:div w:id="1578904429">
          <w:marLeft w:val="0"/>
          <w:marRight w:val="0"/>
          <w:marTop w:val="0"/>
          <w:marBottom w:val="0"/>
          <w:divBdr>
            <w:top w:val="none" w:sz="0" w:space="0" w:color="auto"/>
            <w:left w:val="none" w:sz="0" w:space="0" w:color="auto"/>
            <w:bottom w:val="none" w:sz="0" w:space="0" w:color="auto"/>
            <w:right w:val="none" w:sz="0" w:space="0" w:color="auto"/>
          </w:divBdr>
        </w:div>
        <w:div w:id="31923971">
          <w:marLeft w:val="0"/>
          <w:marRight w:val="0"/>
          <w:marTop w:val="0"/>
          <w:marBottom w:val="0"/>
          <w:divBdr>
            <w:top w:val="none" w:sz="0" w:space="0" w:color="auto"/>
            <w:left w:val="none" w:sz="0" w:space="0" w:color="auto"/>
            <w:bottom w:val="none" w:sz="0" w:space="0" w:color="auto"/>
            <w:right w:val="none" w:sz="0" w:space="0" w:color="auto"/>
          </w:divBdr>
        </w:div>
        <w:div w:id="1189830120">
          <w:marLeft w:val="0"/>
          <w:marRight w:val="0"/>
          <w:marTop w:val="0"/>
          <w:marBottom w:val="0"/>
          <w:divBdr>
            <w:top w:val="none" w:sz="0" w:space="0" w:color="auto"/>
            <w:left w:val="none" w:sz="0" w:space="0" w:color="auto"/>
            <w:bottom w:val="none" w:sz="0" w:space="0" w:color="auto"/>
            <w:right w:val="none" w:sz="0" w:space="0" w:color="auto"/>
          </w:divBdr>
        </w:div>
        <w:div w:id="551772536">
          <w:marLeft w:val="0"/>
          <w:marRight w:val="0"/>
          <w:marTop w:val="0"/>
          <w:marBottom w:val="0"/>
          <w:divBdr>
            <w:top w:val="none" w:sz="0" w:space="0" w:color="auto"/>
            <w:left w:val="none" w:sz="0" w:space="0" w:color="auto"/>
            <w:bottom w:val="none" w:sz="0" w:space="0" w:color="auto"/>
            <w:right w:val="none" w:sz="0" w:space="0" w:color="auto"/>
          </w:divBdr>
        </w:div>
        <w:div w:id="1536698143">
          <w:marLeft w:val="0"/>
          <w:marRight w:val="0"/>
          <w:marTop w:val="0"/>
          <w:marBottom w:val="0"/>
          <w:divBdr>
            <w:top w:val="none" w:sz="0" w:space="0" w:color="auto"/>
            <w:left w:val="none" w:sz="0" w:space="0" w:color="auto"/>
            <w:bottom w:val="none" w:sz="0" w:space="0" w:color="auto"/>
            <w:right w:val="none" w:sz="0" w:space="0" w:color="auto"/>
          </w:divBdr>
        </w:div>
        <w:div w:id="1745374504">
          <w:marLeft w:val="0"/>
          <w:marRight w:val="0"/>
          <w:marTop w:val="0"/>
          <w:marBottom w:val="0"/>
          <w:divBdr>
            <w:top w:val="none" w:sz="0" w:space="0" w:color="auto"/>
            <w:left w:val="none" w:sz="0" w:space="0" w:color="auto"/>
            <w:bottom w:val="none" w:sz="0" w:space="0" w:color="auto"/>
            <w:right w:val="none" w:sz="0" w:space="0" w:color="auto"/>
          </w:divBdr>
        </w:div>
        <w:div w:id="209077878">
          <w:marLeft w:val="0"/>
          <w:marRight w:val="0"/>
          <w:marTop w:val="0"/>
          <w:marBottom w:val="0"/>
          <w:divBdr>
            <w:top w:val="none" w:sz="0" w:space="0" w:color="auto"/>
            <w:left w:val="none" w:sz="0" w:space="0" w:color="auto"/>
            <w:bottom w:val="none" w:sz="0" w:space="0" w:color="auto"/>
            <w:right w:val="none" w:sz="0" w:space="0" w:color="auto"/>
          </w:divBdr>
        </w:div>
        <w:div w:id="1200900399">
          <w:marLeft w:val="0"/>
          <w:marRight w:val="0"/>
          <w:marTop w:val="0"/>
          <w:marBottom w:val="0"/>
          <w:divBdr>
            <w:top w:val="none" w:sz="0" w:space="0" w:color="auto"/>
            <w:left w:val="none" w:sz="0" w:space="0" w:color="auto"/>
            <w:bottom w:val="none" w:sz="0" w:space="0" w:color="auto"/>
            <w:right w:val="none" w:sz="0" w:space="0" w:color="auto"/>
          </w:divBdr>
        </w:div>
        <w:div w:id="769617917">
          <w:marLeft w:val="0"/>
          <w:marRight w:val="0"/>
          <w:marTop w:val="0"/>
          <w:marBottom w:val="0"/>
          <w:divBdr>
            <w:top w:val="none" w:sz="0" w:space="0" w:color="auto"/>
            <w:left w:val="none" w:sz="0" w:space="0" w:color="auto"/>
            <w:bottom w:val="none" w:sz="0" w:space="0" w:color="auto"/>
            <w:right w:val="none" w:sz="0" w:space="0" w:color="auto"/>
          </w:divBdr>
        </w:div>
        <w:div w:id="1862889732">
          <w:marLeft w:val="0"/>
          <w:marRight w:val="0"/>
          <w:marTop w:val="0"/>
          <w:marBottom w:val="0"/>
          <w:divBdr>
            <w:top w:val="none" w:sz="0" w:space="0" w:color="auto"/>
            <w:left w:val="none" w:sz="0" w:space="0" w:color="auto"/>
            <w:bottom w:val="none" w:sz="0" w:space="0" w:color="auto"/>
            <w:right w:val="none" w:sz="0" w:space="0" w:color="auto"/>
          </w:divBdr>
        </w:div>
        <w:div w:id="1200359898">
          <w:marLeft w:val="0"/>
          <w:marRight w:val="0"/>
          <w:marTop w:val="0"/>
          <w:marBottom w:val="0"/>
          <w:divBdr>
            <w:top w:val="none" w:sz="0" w:space="0" w:color="auto"/>
            <w:left w:val="none" w:sz="0" w:space="0" w:color="auto"/>
            <w:bottom w:val="none" w:sz="0" w:space="0" w:color="auto"/>
            <w:right w:val="none" w:sz="0" w:space="0" w:color="auto"/>
          </w:divBdr>
        </w:div>
      </w:divsChild>
    </w:div>
    <w:div w:id="1982036850">
      <w:marLeft w:val="0"/>
      <w:marRight w:val="0"/>
      <w:marTop w:val="0"/>
      <w:marBottom w:val="0"/>
      <w:divBdr>
        <w:top w:val="none" w:sz="0" w:space="0" w:color="auto"/>
        <w:left w:val="none" w:sz="0" w:space="0" w:color="auto"/>
        <w:bottom w:val="none" w:sz="0" w:space="0" w:color="auto"/>
        <w:right w:val="none" w:sz="0" w:space="0" w:color="auto"/>
      </w:divBdr>
      <w:divsChild>
        <w:div w:id="570623229">
          <w:marLeft w:val="0"/>
          <w:marRight w:val="0"/>
          <w:marTop w:val="0"/>
          <w:marBottom w:val="0"/>
          <w:divBdr>
            <w:top w:val="none" w:sz="0" w:space="0" w:color="auto"/>
            <w:left w:val="none" w:sz="0" w:space="0" w:color="auto"/>
            <w:bottom w:val="none" w:sz="0" w:space="0" w:color="auto"/>
            <w:right w:val="none" w:sz="0" w:space="0" w:color="auto"/>
          </w:divBdr>
        </w:div>
      </w:divsChild>
    </w:div>
    <w:div w:id="1985624120">
      <w:marLeft w:val="0"/>
      <w:marRight w:val="0"/>
      <w:marTop w:val="200"/>
      <w:marBottom w:val="0"/>
      <w:divBdr>
        <w:top w:val="none" w:sz="0" w:space="0" w:color="auto"/>
        <w:left w:val="none" w:sz="0" w:space="0" w:color="auto"/>
        <w:bottom w:val="none" w:sz="0" w:space="0" w:color="auto"/>
        <w:right w:val="none" w:sz="0" w:space="0" w:color="auto"/>
      </w:divBdr>
    </w:div>
    <w:div w:id="1987002374">
      <w:marLeft w:val="0"/>
      <w:marRight w:val="0"/>
      <w:marTop w:val="200"/>
      <w:marBottom w:val="0"/>
      <w:divBdr>
        <w:top w:val="none" w:sz="0" w:space="0" w:color="auto"/>
        <w:left w:val="none" w:sz="0" w:space="0" w:color="auto"/>
        <w:bottom w:val="none" w:sz="0" w:space="0" w:color="auto"/>
        <w:right w:val="none" w:sz="0" w:space="0" w:color="auto"/>
      </w:divBdr>
    </w:div>
    <w:div w:id="1989549232">
      <w:marLeft w:val="0"/>
      <w:marRight w:val="0"/>
      <w:marTop w:val="0"/>
      <w:marBottom w:val="0"/>
      <w:divBdr>
        <w:top w:val="none" w:sz="0" w:space="0" w:color="auto"/>
        <w:left w:val="none" w:sz="0" w:space="0" w:color="auto"/>
        <w:bottom w:val="none" w:sz="0" w:space="0" w:color="auto"/>
        <w:right w:val="none" w:sz="0" w:space="0" w:color="auto"/>
      </w:divBdr>
      <w:divsChild>
        <w:div w:id="1569729345">
          <w:marLeft w:val="0"/>
          <w:marRight w:val="0"/>
          <w:marTop w:val="0"/>
          <w:marBottom w:val="0"/>
          <w:divBdr>
            <w:top w:val="none" w:sz="0" w:space="0" w:color="auto"/>
            <w:left w:val="none" w:sz="0" w:space="0" w:color="auto"/>
            <w:bottom w:val="none" w:sz="0" w:space="0" w:color="auto"/>
            <w:right w:val="none" w:sz="0" w:space="0" w:color="auto"/>
          </w:divBdr>
        </w:div>
      </w:divsChild>
    </w:div>
    <w:div w:id="1992325067">
      <w:marLeft w:val="0"/>
      <w:marRight w:val="0"/>
      <w:marTop w:val="100"/>
      <w:marBottom w:val="0"/>
      <w:divBdr>
        <w:top w:val="none" w:sz="0" w:space="0" w:color="auto"/>
        <w:left w:val="none" w:sz="0" w:space="0" w:color="auto"/>
        <w:bottom w:val="none" w:sz="0" w:space="0" w:color="auto"/>
        <w:right w:val="none" w:sz="0" w:space="0" w:color="auto"/>
      </w:divBdr>
    </w:div>
    <w:div w:id="1996297542">
      <w:marLeft w:val="0"/>
      <w:marRight w:val="0"/>
      <w:marTop w:val="120"/>
      <w:marBottom w:val="0"/>
      <w:divBdr>
        <w:top w:val="none" w:sz="0" w:space="0" w:color="auto"/>
        <w:left w:val="none" w:sz="0" w:space="0" w:color="auto"/>
        <w:bottom w:val="none" w:sz="0" w:space="0" w:color="auto"/>
        <w:right w:val="none" w:sz="0" w:space="0" w:color="auto"/>
      </w:divBdr>
    </w:div>
    <w:div w:id="1999771114">
      <w:marLeft w:val="0"/>
      <w:marRight w:val="0"/>
      <w:marTop w:val="120"/>
      <w:marBottom w:val="0"/>
      <w:divBdr>
        <w:top w:val="none" w:sz="0" w:space="0" w:color="auto"/>
        <w:left w:val="none" w:sz="0" w:space="0" w:color="auto"/>
        <w:bottom w:val="none" w:sz="0" w:space="0" w:color="auto"/>
        <w:right w:val="none" w:sz="0" w:space="0" w:color="auto"/>
      </w:divBdr>
    </w:div>
    <w:div w:id="2004772429">
      <w:marLeft w:val="0"/>
      <w:marRight w:val="0"/>
      <w:marTop w:val="200"/>
      <w:marBottom w:val="0"/>
      <w:divBdr>
        <w:top w:val="none" w:sz="0" w:space="0" w:color="auto"/>
        <w:left w:val="none" w:sz="0" w:space="0" w:color="auto"/>
        <w:bottom w:val="none" w:sz="0" w:space="0" w:color="auto"/>
        <w:right w:val="none" w:sz="0" w:space="0" w:color="auto"/>
      </w:divBdr>
    </w:div>
    <w:div w:id="2004888808">
      <w:marLeft w:val="0"/>
      <w:marRight w:val="0"/>
      <w:marTop w:val="0"/>
      <w:marBottom w:val="0"/>
      <w:divBdr>
        <w:top w:val="none" w:sz="0" w:space="0" w:color="auto"/>
        <w:left w:val="none" w:sz="0" w:space="0" w:color="auto"/>
        <w:bottom w:val="none" w:sz="0" w:space="0" w:color="auto"/>
        <w:right w:val="none" w:sz="0" w:space="0" w:color="auto"/>
      </w:divBdr>
      <w:divsChild>
        <w:div w:id="459345140">
          <w:marLeft w:val="0"/>
          <w:marRight w:val="0"/>
          <w:marTop w:val="0"/>
          <w:marBottom w:val="0"/>
          <w:divBdr>
            <w:top w:val="none" w:sz="0" w:space="0" w:color="auto"/>
            <w:left w:val="none" w:sz="0" w:space="0" w:color="auto"/>
            <w:bottom w:val="none" w:sz="0" w:space="0" w:color="auto"/>
            <w:right w:val="none" w:sz="0" w:space="0" w:color="auto"/>
          </w:divBdr>
        </w:div>
      </w:divsChild>
    </w:div>
    <w:div w:id="2005469658">
      <w:marLeft w:val="0"/>
      <w:marRight w:val="0"/>
      <w:marTop w:val="200"/>
      <w:marBottom w:val="0"/>
      <w:divBdr>
        <w:top w:val="none" w:sz="0" w:space="0" w:color="auto"/>
        <w:left w:val="none" w:sz="0" w:space="0" w:color="auto"/>
        <w:bottom w:val="none" w:sz="0" w:space="0" w:color="auto"/>
        <w:right w:val="none" w:sz="0" w:space="0" w:color="auto"/>
      </w:divBdr>
    </w:div>
    <w:div w:id="2007858091">
      <w:marLeft w:val="0"/>
      <w:marRight w:val="0"/>
      <w:marTop w:val="200"/>
      <w:marBottom w:val="0"/>
      <w:divBdr>
        <w:top w:val="none" w:sz="0" w:space="0" w:color="auto"/>
        <w:left w:val="none" w:sz="0" w:space="0" w:color="auto"/>
        <w:bottom w:val="none" w:sz="0" w:space="0" w:color="auto"/>
        <w:right w:val="none" w:sz="0" w:space="0" w:color="auto"/>
      </w:divBdr>
    </w:div>
    <w:div w:id="2009021135">
      <w:marLeft w:val="0"/>
      <w:marRight w:val="0"/>
      <w:marTop w:val="120"/>
      <w:marBottom w:val="0"/>
      <w:divBdr>
        <w:top w:val="none" w:sz="0" w:space="0" w:color="auto"/>
        <w:left w:val="none" w:sz="0" w:space="0" w:color="auto"/>
        <w:bottom w:val="none" w:sz="0" w:space="0" w:color="auto"/>
        <w:right w:val="none" w:sz="0" w:space="0" w:color="auto"/>
      </w:divBdr>
    </w:div>
    <w:div w:id="2012566294">
      <w:marLeft w:val="0"/>
      <w:marRight w:val="0"/>
      <w:marTop w:val="200"/>
      <w:marBottom w:val="0"/>
      <w:divBdr>
        <w:top w:val="none" w:sz="0" w:space="0" w:color="auto"/>
        <w:left w:val="none" w:sz="0" w:space="0" w:color="auto"/>
        <w:bottom w:val="none" w:sz="0" w:space="0" w:color="auto"/>
        <w:right w:val="none" w:sz="0" w:space="0" w:color="auto"/>
      </w:divBdr>
    </w:div>
    <w:div w:id="2014256963">
      <w:marLeft w:val="0"/>
      <w:marRight w:val="0"/>
      <w:marTop w:val="120"/>
      <w:marBottom w:val="0"/>
      <w:divBdr>
        <w:top w:val="none" w:sz="0" w:space="0" w:color="auto"/>
        <w:left w:val="none" w:sz="0" w:space="0" w:color="auto"/>
        <w:bottom w:val="none" w:sz="0" w:space="0" w:color="auto"/>
        <w:right w:val="none" w:sz="0" w:space="0" w:color="auto"/>
      </w:divBdr>
    </w:div>
    <w:div w:id="2015691916">
      <w:marLeft w:val="0"/>
      <w:marRight w:val="0"/>
      <w:marTop w:val="360"/>
      <w:marBottom w:val="0"/>
      <w:divBdr>
        <w:top w:val="none" w:sz="0" w:space="0" w:color="auto"/>
        <w:left w:val="none" w:sz="0" w:space="0" w:color="auto"/>
        <w:bottom w:val="none" w:sz="0" w:space="0" w:color="auto"/>
        <w:right w:val="none" w:sz="0" w:space="0" w:color="auto"/>
      </w:divBdr>
    </w:div>
    <w:div w:id="2015956350">
      <w:marLeft w:val="0"/>
      <w:marRight w:val="0"/>
      <w:marTop w:val="240"/>
      <w:marBottom w:val="0"/>
      <w:divBdr>
        <w:top w:val="none" w:sz="0" w:space="0" w:color="auto"/>
        <w:left w:val="none" w:sz="0" w:space="0" w:color="auto"/>
        <w:bottom w:val="none" w:sz="0" w:space="0" w:color="auto"/>
        <w:right w:val="none" w:sz="0" w:space="0" w:color="auto"/>
      </w:divBdr>
    </w:div>
    <w:div w:id="2017926145">
      <w:marLeft w:val="0"/>
      <w:marRight w:val="0"/>
      <w:marTop w:val="0"/>
      <w:marBottom w:val="0"/>
      <w:divBdr>
        <w:top w:val="none" w:sz="0" w:space="0" w:color="auto"/>
        <w:left w:val="none" w:sz="0" w:space="0" w:color="auto"/>
        <w:bottom w:val="none" w:sz="0" w:space="0" w:color="auto"/>
        <w:right w:val="none" w:sz="0" w:space="0" w:color="auto"/>
      </w:divBdr>
      <w:divsChild>
        <w:div w:id="178546064">
          <w:marLeft w:val="0"/>
          <w:marRight w:val="0"/>
          <w:marTop w:val="0"/>
          <w:marBottom w:val="0"/>
          <w:divBdr>
            <w:top w:val="none" w:sz="0" w:space="0" w:color="auto"/>
            <w:left w:val="none" w:sz="0" w:space="0" w:color="auto"/>
            <w:bottom w:val="none" w:sz="0" w:space="0" w:color="auto"/>
            <w:right w:val="none" w:sz="0" w:space="0" w:color="auto"/>
          </w:divBdr>
        </w:div>
      </w:divsChild>
    </w:div>
    <w:div w:id="2018264941">
      <w:marLeft w:val="0"/>
      <w:marRight w:val="0"/>
      <w:marTop w:val="200"/>
      <w:marBottom w:val="0"/>
      <w:divBdr>
        <w:top w:val="none" w:sz="0" w:space="0" w:color="auto"/>
        <w:left w:val="none" w:sz="0" w:space="0" w:color="auto"/>
        <w:bottom w:val="none" w:sz="0" w:space="0" w:color="auto"/>
        <w:right w:val="none" w:sz="0" w:space="0" w:color="auto"/>
      </w:divBdr>
    </w:div>
    <w:div w:id="2022733390">
      <w:marLeft w:val="0"/>
      <w:marRight w:val="0"/>
      <w:marTop w:val="120"/>
      <w:marBottom w:val="0"/>
      <w:divBdr>
        <w:top w:val="none" w:sz="0" w:space="0" w:color="auto"/>
        <w:left w:val="none" w:sz="0" w:space="0" w:color="auto"/>
        <w:bottom w:val="none" w:sz="0" w:space="0" w:color="auto"/>
        <w:right w:val="none" w:sz="0" w:space="0" w:color="auto"/>
      </w:divBdr>
    </w:div>
    <w:div w:id="2024159919">
      <w:marLeft w:val="0"/>
      <w:marRight w:val="0"/>
      <w:marTop w:val="0"/>
      <w:marBottom w:val="0"/>
      <w:divBdr>
        <w:top w:val="none" w:sz="0" w:space="0" w:color="auto"/>
        <w:left w:val="none" w:sz="0" w:space="0" w:color="auto"/>
        <w:bottom w:val="none" w:sz="0" w:space="0" w:color="auto"/>
        <w:right w:val="none" w:sz="0" w:space="0" w:color="auto"/>
      </w:divBdr>
      <w:divsChild>
        <w:div w:id="1953782453">
          <w:marLeft w:val="0"/>
          <w:marRight w:val="0"/>
          <w:marTop w:val="0"/>
          <w:marBottom w:val="0"/>
          <w:divBdr>
            <w:top w:val="none" w:sz="0" w:space="0" w:color="auto"/>
            <w:left w:val="none" w:sz="0" w:space="0" w:color="auto"/>
            <w:bottom w:val="none" w:sz="0" w:space="0" w:color="auto"/>
            <w:right w:val="none" w:sz="0" w:space="0" w:color="auto"/>
          </w:divBdr>
        </w:div>
      </w:divsChild>
    </w:div>
    <w:div w:id="2024744300">
      <w:marLeft w:val="0"/>
      <w:marRight w:val="0"/>
      <w:marTop w:val="100"/>
      <w:marBottom w:val="0"/>
      <w:divBdr>
        <w:top w:val="none" w:sz="0" w:space="0" w:color="auto"/>
        <w:left w:val="none" w:sz="0" w:space="0" w:color="auto"/>
        <w:bottom w:val="none" w:sz="0" w:space="0" w:color="auto"/>
        <w:right w:val="none" w:sz="0" w:space="0" w:color="auto"/>
      </w:divBdr>
      <w:divsChild>
        <w:div w:id="203834217">
          <w:marLeft w:val="0"/>
          <w:marRight w:val="0"/>
          <w:marTop w:val="0"/>
          <w:marBottom w:val="0"/>
          <w:divBdr>
            <w:top w:val="none" w:sz="0" w:space="0" w:color="auto"/>
            <w:left w:val="none" w:sz="0" w:space="0" w:color="auto"/>
            <w:bottom w:val="none" w:sz="0" w:space="0" w:color="auto"/>
            <w:right w:val="none" w:sz="0" w:space="0" w:color="auto"/>
          </w:divBdr>
        </w:div>
      </w:divsChild>
    </w:div>
    <w:div w:id="2030252207">
      <w:marLeft w:val="0"/>
      <w:marRight w:val="0"/>
      <w:marTop w:val="0"/>
      <w:marBottom w:val="0"/>
      <w:divBdr>
        <w:top w:val="none" w:sz="0" w:space="0" w:color="auto"/>
        <w:left w:val="none" w:sz="0" w:space="0" w:color="auto"/>
        <w:bottom w:val="none" w:sz="0" w:space="0" w:color="auto"/>
        <w:right w:val="none" w:sz="0" w:space="0" w:color="auto"/>
      </w:divBdr>
    </w:div>
    <w:div w:id="2033024442">
      <w:marLeft w:val="0"/>
      <w:marRight w:val="0"/>
      <w:marTop w:val="200"/>
      <w:marBottom w:val="0"/>
      <w:divBdr>
        <w:top w:val="none" w:sz="0" w:space="0" w:color="auto"/>
        <w:left w:val="none" w:sz="0" w:space="0" w:color="auto"/>
        <w:bottom w:val="none" w:sz="0" w:space="0" w:color="auto"/>
        <w:right w:val="none" w:sz="0" w:space="0" w:color="auto"/>
      </w:divBdr>
    </w:div>
    <w:div w:id="2035227037">
      <w:marLeft w:val="0"/>
      <w:marRight w:val="0"/>
      <w:marTop w:val="210"/>
      <w:marBottom w:val="0"/>
      <w:divBdr>
        <w:top w:val="none" w:sz="0" w:space="0" w:color="auto"/>
        <w:left w:val="none" w:sz="0" w:space="0" w:color="auto"/>
        <w:bottom w:val="none" w:sz="0" w:space="0" w:color="auto"/>
        <w:right w:val="none" w:sz="0" w:space="0" w:color="auto"/>
      </w:divBdr>
    </w:div>
    <w:div w:id="2035228809">
      <w:marLeft w:val="0"/>
      <w:marRight w:val="0"/>
      <w:marTop w:val="120"/>
      <w:marBottom w:val="0"/>
      <w:divBdr>
        <w:top w:val="none" w:sz="0" w:space="0" w:color="auto"/>
        <w:left w:val="none" w:sz="0" w:space="0" w:color="auto"/>
        <w:bottom w:val="none" w:sz="0" w:space="0" w:color="auto"/>
        <w:right w:val="none" w:sz="0" w:space="0" w:color="auto"/>
      </w:divBdr>
    </w:div>
    <w:div w:id="2035382714">
      <w:marLeft w:val="0"/>
      <w:marRight w:val="0"/>
      <w:marTop w:val="100"/>
      <w:marBottom w:val="0"/>
      <w:divBdr>
        <w:top w:val="none" w:sz="0" w:space="0" w:color="auto"/>
        <w:left w:val="none" w:sz="0" w:space="0" w:color="auto"/>
        <w:bottom w:val="none" w:sz="0" w:space="0" w:color="auto"/>
        <w:right w:val="none" w:sz="0" w:space="0" w:color="auto"/>
      </w:divBdr>
      <w:divsChild>
        <w:div w:id="1141506053">
          <w:marLeft w:val="0"/>
          <w:marRight w:val="0"/>
          <w:marTop w:val="0"/>
          <w:marBottom w:val="0"/>
          <w:divBdr>
            <w:top w:val="none" w:sz="0" w:space="0" w:color="auto"/>
            <w:left w:val="none" w:sz="0" w:space="0" w:color="auto"/>
            <w:bottom w:val="none" w:sz="0" w:space="0" w:color="auto"/>
            <w:right w:val="none" w:sz="0" w:space="0" w:color="auto"/>
          </w:divBdr>
        </w:div>
      </w:divsChild>
    </w:div>
    <w:div w:id="2035573375">
      <w:marLeft w:val="0"/>
      <w:marRight w:val="0"/>
      <w:marTop w:val="120"/>
      <w:marBottom w:val="0"/>
      <w:divBdr>
        <w:top w:val="none" w:sz="0" w:space="0" w:color="auto"/>
        <w:left w:val="none" w:sz="0" w:space="0" w:color="auto"/>
        <w:bottom w:val="none" w:sz="0" w:space="0" w:color="auto"/>
        <w:right w:val="none" w:sz="0" w:space="0" w:color="auto"/>
      </w:divBdr>
    </w:div>
    <w:div w:id="2036804648">
      <w:marLeft w:val="0"/>
      <w:marRight w:val="0"/>
      <w:marTop w:val="200"/>
      <w:marBottom w:val="0"/>
      <w:divBdr>
        <w:top w:val="none" w:sz="0" w:space="0" w:color="auto"/>
        <w:left w:val="none" w:sz="0" w:space="0" w:color="auto"/>
        <w:bottom w:val="none" w:sz="0" w:space="0" w:color="auto"/>
        <w:right w:val="none" w:sz="0" w:space="0" w:color="auto"/>
      </w:divBdr>
    </w:div>
    <w:div w:id="2037196965">
      <w:marLeft w:val="0"/>
      <w:marRight w:val="0"/>
      <w:marTop w:val="210"/>
      <w:marBottom w:val="0"/>
      <w:divBdr>
        <w:top w:val="none" w:sz="0" w:space="0" w:color="auto"/>
        <w:left w:val="none" w:sz="0" w:space="0" w:color="auto"/>
        <w:bottom w:val="none" w:sz="0" w:space="0" w:color="auto"/>
        <w:right w:val="none" w:sz="0" w:space="0" w:color="auto"/>
      </w:divBdr>
    </w:div>
    <w:div w:id="2040742620">
      <w:marLeft w:val="0"/>
      <w:marRight w:val="0"/>
      <w:marTop w:val="200"/>
      <w:marBottom w:val="0"/>
      <w:divBdr>
        <w:top w:val="none" w:sz="0" w:space="0" w:color="auto"/>
        <w:left w:val="none" w:sz="0" w:space="0" w:color="auto"/>
        <w:bottom w:val="none" w:sz="0" w:space="0" w:color="auto"/>
        <w:right w:val="none" w:sz="0" w:space="0" w:color="auto"/>
      </w:divBdr>
    </w:div>
    <w:div w:id="2041590464">
      <w:marLeft w:val="0"/>
      <w:marRight w:val="0"/>
      <w:marTop w:val="240"/>
      <w:marBottom w:val="0"/>
      <w:divBdr>
        <w:top w:val="none" w:sz="0" w:space="0" w:color="auto"/>
        <w:left w:val="none" w:sz="0" w:space="0" w:color="auto"/>
        <w:bottom w:val="none" w:sz="0" w:space="0" w:color="auto"/>
        <w:right w:val="none" w:sz="0" w:space="0" w:color="auto"/>
      </w:divBdr>
    </w:div>
    <w:div w:id="2041735752">
      <w:marLeft w:val="0"/>
      <w:marRight w:val="0"/>
      <w:marTop w:val="360"/>
      <w:marBottom w:val="0"/>
      <w:divBdr>
        <w:top w:val="none" w:sz="0" w:space="0" w:color="auto"/>
        <w:left w:val="none" w:sz="0" w:space="0" w:color="auto"/>
        <w:bottom w:val="none" w:sz="0" w:space="0" w:color="auto"/>
        <w:right w:val="none" w:sz="0" w:space="0" w:color="auto"/>
      </w:divBdr>
    </w:div>
    <w:div w:id="2042048801">
      <w:marLeft w:val="0"/>
      <w:marRight w:val="0"/>
      <w:marTop w:val="200"/>
      <w:marBottom w:val="0"/>
      <w:divBdr>
        <w:top w:val="none" w:sz="0" w:space="0" w:color="auto"/>
        <w:left w:val="none" w:sz="0" w:space="0" w:color="auto"/>
        <w:bottom w:val="none" w:sz="0" w:space="0" w:color="auto"/>
        <w:right w:val="none" w:sz="0" w:space="0" w:color="auto"/>
      </w:divBdr>
    </w:div>
    <w:div w:id="2042627739">
      <w:marLeft w:val="0"/>
      <w:marRight w:val="0"/>
      <w:marTop w:val="200"/>
      <w:marBottom w:val="0"/>
      <w:divBdr>
        <w:top w:val="none" w:sz="0" w:space="0" w:color="auto"/>
        <w:left w:val="none" w:sz="0" w:space="0" w:color="auto"/>
        <w:bottom w:val="none" w:sz="0" w:space="0" w:color="auto"/>
        <w:right w:val="none" w:sz="0" w:space="0" w:color="auto"/>
      </w:divBdr>
    </w:div>
    <w:div w:id="2043703922">
      <w:marLeft w:val="0"/>
      <w:marRight w:val="0"/>
      <w:marTop w:val="0"/>
      <w:marBottom w:val="0"/>
      <w:divBdr>
        <w:top w:val="none" w:sz="0" w:space="0" w:color="auto"/>
        <w:left w:val="none" w:sz="0" w:space="0" w:color="auto"/>
        <w:bottom w:val="none" w:sz="0" w:space="0" w:color="auto"/>
        <w:right w:val="none" w:sz="0" w:space="0" w:color="auto"/>
      </w:divBdr>
    </w:div>
    <w:div w:id="2045517633">
      <w:marLeft w:val="0"/>
      <w:marRight w:val="0"/>
      <w:marTop w:val="200"/>
      <w:marBottom w:val="0"/>
      <w:divBdr>
        <w:top w:val="none" w:sz="0" w:space="0" w:color="auto"/>
        <w:left w:val="none" w:sz="0" w:space="0" w:color="auto"/>
        <w:bottom w:val="none" w:sz="0" w:space="0" w:color="auto"/>
        <w:right w:val="none" w:sz="0" w:space="0" w:color="auto"/>
      </w:divBdr>
    </w:div>
    <w:div w:id="2046560245">
      <w:marLeft w:val="0"/>
      <w:marRight w:val="0"/>
      <w:marTop w:val="200"/>
      <w:marBottom w:val="0"/>
      <w:divBdr>
        <w:top w:val="none" w:sz="0" w:space="0" w:color="auto"/>
        <w:left w:val="none" w:sz="0" w:space="0" w:color="auto"/>
        <w:bottom w:val="none" w:sz="0" w:space="0" w:color="auto"/>
        <w:right w:val="none" w:sz="0" w:space="0" w:color="auto"/>
      </w:divBdr>
    </w:div>
    <w:div w:id="2048752635">
      <w:marLeft w:val="0"/>
      <w:marRight w:val="0"/>
      <w:marTop w:val="200"/>
      <w:marBottom w:val="0"/>
      <w:divBdr>
        <w:top w:val="none" w:sz="0" w:space="0" w:color="auto"/>
        <w:left w:val="none" w:sz="0" w:space="0" w:color="auto"/>
        <w:bottom w:val="none" w:sz="0" w:space="0" w:color="auto"/>
        <w:right w:val="none" w:sz="0" w:space="0" w:color="auto"/>
      </w:divBdr>
    </w:div>
    <w:div w:id="2049256888">
      <w:marLeft w:val="0"/>
      <w:marRight w:val="0"/>
      <w:marTop w:val="200"/>
      <w:marBottom w:val="0"/>
      <w:divBdr>
        <w:top w:val="none" w:sz="0" w:space="0" w:color="auto"/>
        <w:left w:val="none" w:sz="0" w:space="0" w:color="auto"/>
        <w:bottom w:val="none" w:sz="0" w:space="0" w:color="auto"/>
        <w:right w:val="none" w:sz="0" w:space="0" w:color="auto"/>
      </w:divBdr>
    </w:div>
    <w:div w:id="2051418635">
      <w:marLeft w:val="0"/>
      <w:marRight w:val="0"/>
      <w:marTop w:val="0"/>
      <w:marBottom w:val="0"/>
      <w:divBdr>
        <w:top w:val="none" w:sz="0" w:space="0" w:color="auto"/>
        <w:left w:val="none" w:sz="0" w:space="0" w:color="auto"/>
        <w:bottom w:val="none" w:sz="0" w:space="0" w:color="auto"/>
        <w:right w:val="none" w:sz="0" w:space="0" w:color="auto"/>
      </w:divBdr>
      <w:divsChild>
        <w:div w:id="2120248844">
          <w:marLeft w:val="0"/>
          <w:marRight w:val="0"/>
          <w:marTop w:val="0"/>
          <w:marBottom w:val="0"/>
          <w:divBdr>
            <w:top w:val="none" w:sz="0" w:space="0" w:color="auto"/>
            <w:left w:val="none" w:sz="0" w:space="0" w:color="auto"/>
            <w:bottom w:val="none" w:sz="0" w:space="0" w:color="auto"/>
            <w:right w:val="none" w:sz="0" w:space="0" w:color="auto"/>
          </w:divBdr>
        </w:div>
      </w:divsChild>
    </w:div>
    <w:div w:id="2052463290">
      <w:marLeft w:val="0"/>
      <w:marRight w:val="0"/>
      <w:marTop w:val="0"/>
      <w:marBottom w:val="0"/>
      <w:divBdr>
        <w:top w:val="none" w:sz="0" w:space="0" w:color="auto"/>
        <w:left w:val="none" w:sz="0" w:space="0" w:color="auto"/>
        <w:bottom w:val="none" w:sz="0" w:space="0" w:color="auto"/>
        <w:right w:val="none" w:sz="0" w:space="0" w:color="auto"/>
      </w:divBdr>
      <w:divsChild>
        <w:div w:id="793329078">
          <w:marLeft w:val="0"/>
          <w:marRight w:val="0"/>
          <w:marTop w:val="0"/>
          <w:marBottom w:val="0"/>
          <w:divBdr>
            <w:top w:val="none" w:sz="0" w:space="0" w:color="auto"/>
            <w:left w:val="none" w:sz="0" w:space="0" w:color="auto"/>
            <w:bottom w:val="none" w:sz="0" w:space="0" w:color="auto"/>
            <w:right w:val="none" w:sz="0" w:space="0" w:color="auto"/>
          </w:divBdr>
        </w:div>
      </w:divsChild>
    </w:div>
    <w:div w:id="2057776008">
      <w:marLeft w:val="0"/>
      <w:marRight w:val="0"/>
      <w:marTop w:val="120"/>
      <w:marBottom w:val="0"/>
      <w:divBdr>
        <w:top w:val="none" w:sz="0" w:space="0" w:color="auto"/>
        <w:left w:val="none" w:sz="0" w:space="0" w:color="auto"/>
        <w:bottom w:val="none" w:sz="0" w:space="0" w:color="auto"/>
        <w:right w:val="none" w:sz="0" w:space="0" w:color="auto"/>
      </w:divBdr>
    </w:div>
    <w:div w:id="2064057837">
      <w:marLeft w:val="0"/>
      <w:marRight w:val="0"/>
      <w:marTop w:val="200"/>
      <w:marBottom w:val="0"/>
      <w:divBdr>
        <w:top w:val="none" w:sz="0" w:space="0" w:color="auto"/>
        <w:left w:val="none" w:sz="0" w:space="0" w:color="auto"/>
        <w:bottom w:val="none" w:sz="0" w:space="0" w:color="auto"/>
        <w:right w:val="none" w:sz="0" w:space="0" w:color="auto"/>
      </w:divBdr>
    </w:div>
    <w:div w:id="2066484807">
      <w:marLeft w:val="0"/>
      <w:marRight w:val="0"/>
      <w:marTop w:val="120"/>
      <w:marBottom w:val="0"/>
      <w:divBdr>
        <w:top w:val="none" w:sz="0" w:space="0" w:color="auto"/>
        <w:left w:val="none" w:sz="0" w:space="0" w:color="auto"/>
        <w:bottom w:val="none" w:sz="0" w:space="0" w:color="auto"/>
        <w:right w:val="none" w:sz="0" w:space="0" w:color="auto"/>
      </w:divBdr>
    </w:div>
    <w:div w:id="2066833739">
      <w:marLeft w:val="0"/>
      <w:marRight w:val="0"/>
      <w:marTop w:val="200"/>
      <w:marBottom w:val="0"/>
      <w:divBdr>
        <w:top w:val="none" w:sz="0" w:space="0" w:color="auto"/>
        <w:left w:val="none" w:sz="0" w:space="0" w:color="auto"/>
        <w:bottom w:val="none" w:sz="0" w:space="0" w:color="auto"/>
        <w:right w:val="none" w:sz="0" w:space="0" w:color="auto"/>
      </w:divBdr>
    </w:div>
    <w:div w:id="2068872884">
      <w:marLeft w:val="0"/>
      <w:marRight w:val="0"/>
      <w:marTop w:val="360"/>
      <w:marBottom w:val="0"/>
      <w:divBdr>
        <w:top w:val="none" w:sz="0" w:space="0" w:color="auto"/>
        <w:left w:val="none" w:sz="0" w:space="0" w:color="auto"/>
        <w:bottom w:val="none" w:sz="0" w:space="0" w:color="auto"/>
        <w:right w:val="none" w:sz="0" w:space="0" w:color="auto"/>
      </w:divBdr>
    </w:div>
    <w:div w:id="2074812588">
      <w:marLeft w:val="0"/>
      <w:marRight w:val="0"/>
      <w:marTop w:val="120"/>
      <w:marBottom w:val="0"/>
      <w:divBdr>
        <w:top w:val="none" w:sz="0" w:space="0" w:color="auto"/>
        <w:left w:val="none" w:sz="0" w:space="0" w:color="auto"/>
        <w:bottom w:val="none" w:sz="0" w:space="0" w:color="auto"/>
        <w:right w:val="none" w:sz="0" w:space="0" w:color="auto"/>
      </w:divBdr>
    </w:div>
    <w:div w:id="2076779603">
      <w:marLeft w:val="0"/>
      <w:marRight w:val="0"/>
      <w:marTop w:val="200"/>
      <w:marBottom w:val="0"/>
      <w:divBdr>
        <w:top w:val="none" w:sz="0" w:space="0" w:color="auto"/>
        <w:left w:val="none" w:sz="0" w:space="0" w:color="auto"/>
        <w:bottom w:val="none" w:sz="0" w:space="0" w:color="auto"/>
        <w:right w:val="none" w:sz="0" w:space="0" w:color="auto"/>
      </w:divBdr>
    </w:div>
    <w:div w:id="2076855217">
      <w:marLeft w:val="0"/>
      <w:marRight w:val="0"/>
      <w:marTop w:val="360"/>
      <w:marBottom w:val="0"/>
      <w:divBdr>
        <w:top w:val="none" w:sz="0" w:space="0" w:color="auto"/>
        <w:left w:val="none" w:sz="0" w:space="0" w:color="auto"/>
        <w:bottom w:val="none" w:sz="0" w:space="0" w:color="auto"/>
        <w:right w:val="none" w:sz="0" w:space="0" w:color="auto"/>
      </w:divBdr>
    </w:div>
    <w:div w:id="2083403973">
      <w:marLeft w:val="0"/>
      <w:marRight w:val="0"/>
      <w:marTop w:val="200"/>
      <w:marBottom w:val="0"/>
      <w:divBdr>
        <w:top w:val="none" w:sz="0" w:space="0" w:color="auto"/>
        <w:left w:val="none" w:sz="0" w:space="0" w:color="auto"/>
        <w:bottom w:val="none" w:sz="0" w:space="0" w:color="auto"/>
        <w:right w:val="none" w:sz="0" w:space="0" w:color="auto"/>
      </w:divBdr>
    </w:div>
    <w:div w:id="2084986244">
      <w:marLeft w:val="0"/>
      <w:marRight w:val="0"/>
      <w:marTop w:val="200"/>
      <w:marBottom w:val="0"/>
      <w:divBdr>
        <w:top w:val="none" w:sz="0" w:space="0" w:color="auto"/>
        <w:left w:val="none" w:sz="0" w:space="0" w:color="auto"/>
        <w:bottom w:val="none" w:sz="0" w:space="0" w:color="auto"/>
        <w:right w:val="none" w:sz="0" w:space="0" w:color="auto"/>
      </w:divBdr>
    </w:div>
    <w:div w:id="2085178216">
      <w:marLeft w:val="0"/>
      <w:marRight w:val="0"/>
      <w:marTop w:val="120"/>
      <w:marBottom w:val="0"/>
      <w:divBdr>
        <w:top w:val="none" w:sz="0" w:space="0" w:color="auto"/>
        <w:left w:val="none" w:sz="0" w:space="0" w:color="auto"/>
        <w:bottom w:val="none" w:sz="0" w:space="0" w:color="auto"/>
        <w:right w:val="none" w:sz="0" w:space="0" w:color="auto"/>
      </w:divBdr>
    </w:div>
    <w:div w:id="2088191099">
      <w:marLeft w:val="0"/>
      <w:marRight w:val="0"/>
      <w:marTop w:val="200"/>
      <w:marBottom w:val="0"/>
      <w:divBdr>
        <w:top w:val="none" w:sz="0" w:space="0" w:color="auto"/>
        <w:left w:val="none" w:sz="0" w:space="0" w:color="auto"/>
        <w:bottom w:val="none" w:sz="0" w:space="0" w:color="auto"/>
        <w:right w:val="none" w:sz="0" w:space="0" w:color="auto"/>
      </w:divBdr>
    </w:div>
    <w:div w:id="2090273152">
      <w:marLeft w:val="0"/>
      <w:marRight w:val="0"/>
      <w:marTop w:val="210"/>
      <w:marBottom w:val="0"/>
      <w:divBdr>
        <w:top w:val="none" w:sz="0" w:space="0" w:color="auto"/>
        <w:left w:val="none" w:sz="0" w:space="0" w:color="auto"/>
        <w:bottom w:val="none" w:sz="0" w:space="0" w:color="auto"/>
        <w:right w:val="none" w:sz="0" w:space="0" w:color="auto"/>
      </w:divBdr>
    </w:div>
    <w:div w:id="2091385318">
      <w:marLeft w:val="0"/>
      <w:marRight w:val="0"/>
      <w:marTop w:val="120"/>
      <w:marBottom w:val="0"/>
      <w:divBdr>
        <w:top w:val="none" w:sz="0" w:space="0" w:color="auto"/>
        <w:left w:val="none" w:sz="0" w:space="0" w:color="auto"/>
        <w:bottom w:val="none" w:sz="0" w:space="0" w:color="auto"/>
        <w:right w:val="none" w:sz="0" w:space="0" w:color="auto"/>
      </w:divBdr>
    </w:div>
    <w:div w:id="2093113564">
      <w:marLeft w:val="0"/>
      <w:marRight w:val="0"/>
      <w:marTop w:val="200"/>
      <w:marBottom w:val="0"/>
      <w:divBdr>
        <w:top w:val="none" w:sz="0" w:space="0" w:color="auto"/>
        <w:left w:val="none" w:sz="0" w:space="0" w:color="auto"/>
        <w:bottom w:val="none" w:sz="0" w:space="0" w:color="auto"/>
        <w:right w:val="none" w:sz="0" w:space="0" w:color="auto"/>
      </w:divBdr>
    </w:div>
    <w:div w:id="2095516305">
      <w:marLeft w:val="0"/>
      <w:marRight w:val="0"/>
      <w:marTop w:val="120"/>
      <w:marBottom w:val="0"/>
      <w:divBdr>
        <w:top w:val="none" w:sz="0" w:space="0" w:color="auto"/>
        <w:left w:val="none" w:sz="0" w:space="0" w:color="auto"/>
        <w:bottom w:val="none" w:sz="0" w:space="0" w:color="auto"/>
        <w:right w:val="none" w:sz="0" w:space="0" w:color="auto"/>
      </w:divBdr>
    </w:div>
    <w:div w:id="2096977941">
      <w:marLeft w:val="0"/>
      <w:marRight w:val="0"/>
      <w:marTop w:val="120"/>
      <w:marBottom w:val="0"/>
      <w:divBdr>
        <w:top w:val="none" w:sz="0" w:space="0" w:color="auto"/>
        <w:left w:val="none" w:sz="0" w:space="0" w:color="auto"/>
        <w:bottom w:val="none" w:sz="0" w:space="0" w:color="auto"/>
        <w:right w:val="none" w:sz="0" w:space="0" w:color="auto"/>
      </w:divBdr>
    </w:div>
    <w:div w:id="2099591383">
      <w:marLeft w:val="0"/>
      <w:marRight w:val="0"/>
      <w:marTop w:val="200"/>
      <w:marBottom w:val="0"/>
      <w:divBdr>
        <w:top w:val="none" w:sz="0" w:space="0" w:color="auto"/>
        <w:left w:val="none" w:sz="0" w:space="0" w:color="auto"/>
        <w:bottom w:val="none" w:sz="0" w:space="0" w:color="auto"/>
        <w:right w:val="none" w:sz="0" w:space="0" w:color="auto"/>
      </w:divBdr>
    </w:div>
    <w:div w:id="2104452019">
      <w:marLeft w:val="0"/>
      <w:marRight w:val="0"/>
      <w:marTop w:val="200"/>
      <w:marBottom w:val="0"/>
      <w:divBdr>
        <w:top w:val="none" w:sz="0" w:space="0" w:color="auto"/>
        <w:left w:val="none" w:sz="0" w:space="0" w:color="auto"/>
        <w:bottom w:val="none" w:sz="0" w:space="0" w:color="auto"/>
        <w:right w:val="none" w:sz="0" w:space="0" w:color="auto"/>
      </w:divBdr>
    </w:div>
    <w:div w:id="2106071738">
      <w:marLeft w:val="0"/>
      <w:marRight w:val="0"/>
      <w:marTop w:val="120"/>
      <w:marBottom w:val="0"/>
      <w:divBdr>
        <w:top w:val="none" w:sz="0" w:space="0" w:color="auto"/>
        <w:left w:val="none" w:sz="0" w:space="0" w:color="auto"/>
        <w:bottom w:val="none" w:sz="0" w:space="0" w:color="auto"/>
        <w:right w:val="none" w:sz="0" w:space="0" w:color="auto"/>
      </w:divBdr>
    </w:div>
    <w:div w:id="2107724344">
      <w:marLeft w:val="0"/>
      <w:marRight w:val="0"/>
      <w:marTop w:val="0"/>
      <w:marBottom w:val="0"/>
      <w:divBdr>
        <w:top w:val="none" w:sz="0" w:space="0" w:color="auto"/>
        <w:left w:val="none" w:sz="0" w:space="0" w:color="auto"/>
        <w:bottom w:val="none" w:sz="0" w:space="0" w:color="auto"/>
        <w:right w:val="none" w:sz="0" w:space="0" w:color="auto"/>
      </w:divBdr>
      <w:divsChild>
        <w:div w:id="1938517670">
          <w:marLeft w:val="0"/>
          <w:marRight w:val="0"/>
          <w:marTop w:val="0"/>
          <w:marBottom w:val="0"/>
          <w:divBdr>
            <w:top w:val="none" w:sz="0" w:space="0" w:color="auto"/>
            <w:left w:val="none" w:sz="0" w:space="0" w:color="auto"/>
            <w:bottom w:val="none" w:sz="0" w:space="0" w:color="auto"/>
            <w:right w:val="none" w:sz="0" w:space="0" w:color="auto"/>
          </w:divBdr>
        </w:div>
      </w:divsChild>
    </w:div>
    <w:div w:id="2108230029">
      <w:marLeft w:val="0"/>
      <w:marRight w:val="0"/>
      <w:marTop w:val="200"/>
      <w:marBottom w:val="0"/>
      <w:divBdr>
        <w:top w:val="none" w:sz="0" w:space="0" w:color="auto"/>
        <w:left w:val="none" w:sz="0" w:space="0" w:color="auto"/>
        <w:bottom w:val="none" w:sz="0" w:space="0" w:color="auto"/>
        <w:right w:val="none" w:sz="0" w:space="0" w:color="auto"/>
      </w:divBdr>
    </w:div>
    <w:div w:id="2112898511">
      <w:marLeft w:val="0"/>
      <w:marRight w:val="0"/>
      <w:marTop w:val="100"/>
      <w:marBottom w:val="0"/>
      <w:divBdr>
        <w:top w:val="none" w:sz="0" w:space="0" w:color="auto"/>
        <w:left w:val="none" w:sz="0" w:space="0" w:color="auto"/>
        <w:bottom w:val="none" w:sz="0" w:space="0" w:color="auto"/>
        <w:right w:val="none" w:sz="0" w:space="0" w:color="auto"/>
      </w:divBdr>
    </w:div>
    <w:div w:id="2114859984">
      <w:marLeft w:val="0"/>
      <w:marRight w:val="0"/>
      <w:marTop w:val="0"/>
      <w:marBottom w:val="0"/>
      <w:divBdr>
        <w:top w:val="none" w:sz="0" w:space="0" w:color="auto"/>
        <w:left w:val="none" w:sz="0" w:space="0" w:color="auto"/>
        <w:bottom w:val="none" w:sz="0" w:space="0" w:color="auto"/>
        <w:right w:val="none" w:sz="0" w:space="0" w:color="auto"/>
      </w:divBdr>
      <w:divsChild>
        <w:div w:id="1945527670">
          <w:marLeft w:val="0"/>
          <w:marRight w:val="0"/>
          <w:marTop w:val="0"/>
          <w:marBottom w:val="0"/>
          <w:divBdr>
            <w:top w:val="none" w:sz="0" w:space="0" w:color="auto"/>
            <w:left w:val="none" w:sz="0" w:space="0" w:color="auto"/>
            <w:bottom w:val="none" w:sz="0" w:space="0" w:color="auto"/>
            <w:right w:val="none" w:sz="0" w:space="0" w:color="auto"/>
          </w:divBdr>
        </w:div>
      </w:divsChild>
    </w:div>
    <w:div w:id="2115249556">
      <w:marLeft w:val="0"/>
      <w:marRight w:val="0"/>
      <w:marTop w:val="200"/>
      <w:marBottom w:val="0"/>
      <w:divBdr>
        <w:top w:val="none" w:sz="0" w:space="0" w:color="auto"/>
        <w:left w:val="none" w:sz="0" w:space="0" w:color="auto"/>
        <w:bottom w:val="none" w:sz="0" w:space="0" w:color="auto"/>
        <w:right w:val="none" w:sz="0" w:space="0" w:color="auto"/>
      </w:divBdr>
    </w:div>
    <w:div w:id="2116511973">
      <w:marLeft w:val="0"/>
      <w:marRight w:val="0"/>
      <w:marTop w:val="200"/>
      <w:marBottom w:val="0"/>
      <w:divBdr>
        <w:top w:val="none" w:sz="0" w:space="0" w:color="auto"/>
        <w:left w:val="none" w:sz="0" w:space="0" w:color="auto"/>
        <w:bottom w:val="none" w:sz="0" w:space="0" w:color="auto"/>
        <w:right w:val="none" w:sz="0" w:space="0" w:color="auto"/>
      </w:divBdr>
    </w:div>
    <w:div w:id="2117482140">
      <w:marLeft w:val="0"/>
      <w:marRight w:val="0"/>
      <w:marTop w:val="200"/>
      <w:marBottom w:val="0"/>
      <w:divBdr>
        <w:top w:val="none" w:sz="0" w:space="0" w:color="auto"/>
        <w:left w:val="none" w:sz="0" w:space="0" w:color="auto"/>
        <w:bottom w:val="none" w:sz="0" w:space="0" w:color="auto"/>
        <w:right w:val="none" w:sz="0" w:space="0" w:color="auto"/>
      </w:divBdr>
    </w:div>
    <w:div w:id="2118406733">
      <w:marLeft w:val="0"/>
      <w:marRight w:val="0"/>
      <w:marTop w:val="200"/>
      <w:marBottom w:val="0"/>
      <w:divBdr>
        <w:top w:val="none" w:sz="0" w:space="0" w:color="auto"/>
        <w:left w:val="none" w:sz="0" w:space="0" w:color="auto"/>
        <w:bottom w:val="none" w:sz="0" w:space="0" w:color="auto"/>
        <w:right w:val="none" w:sz="0" w:space="0" w:color="auto"/>
      </w:divBdr>
    </w:div>
    <w:div w:id="2120876425">
      <w:marLeft w:val="0"/>
      <w:marRight w:val="0"/>
      <w:marTop w:val="200"/>
      <w:marBottom w:val="0"/>
      <w:divBdr>
        <w:top w:val="none" w:sz="0" w:space="0" w:color="auto"/>
        <w:left w:val="none" w:sz="0" w:space="0" w:color="auto"/>
        <w:bottom w:val="none" w:sz="0" w:space="0" w:color="auto"/>
        <w:right w:val="none" w:sz="0" w:space="0" w:color="auto"/>
      </w:divBdr>
    </w:div>
    <w:div w:id="2124420417">
      <w:marLeft w:val="0"/>
      <w:marRight w:val="0"/>
      <w:marTop w:val="0"/>
      <w:marBottom w:val="0"/>
      <w:divBdr>
        <w:top w:val="none" w:sz="0" w:space="0" w:color="auto"/>
        <w:left w:val="none" w:sz="0" w:space="0" w:color="auto"/>
        <w:bottom w:val="none" w:sz="0" w:space="0" w:color="auto"/>
        <w:right w:val="none" w:sz="0" w:space="0" w:color="auto"/>
      </w:divBdr>
      <w:divsChild>
        <w:div w:id="1154024675">
          <w:marLeft w:val="0"/>
          <w:marRight w:val="0"/>
          <w:marTop w:val="0"/>
          <w:marBottom w:val="0"/>
          <w:divBdr>
            <w:top w:val="none" w:sz="0" w:space="0" w:color="auto"/>
            <w:left w:val="none" w:sz="0" w:space="0" w:color="auto"/>
            <w:bottom w:val="none" w:sz="0" w:space="0" w:color="auto"/>
            <w:right w:val="none" w:sz="0" w:space="0" w:color="auto"/>
          </w:divBdr>
        </w:div>
      </w:divsChild>
    </w:div>
    <w:div w:id="2125153274">
      <w:marLeft w:val="0"/>
      <w:marRight w:val="0"/>
      <w:marTop w:val="120"/>
      <w:marBottom w:val="0"/>
      <w:divBdr>
        <w:top w:val="none" w:sz="0" w:space="0" w:color="auto"/>
        <w:left w:val="none" w:sz="0" w:space="0" w:color="auto"/>
        <w:bottom w:val="none" w:sz="0" w:space="0" w:color="auto"/>
        <w:right w:val="none" w:sz="0" w:space="0" w:color="auto"/>
      </w:divBdr>
    </w:div>
    <w:div w:id="2128085683">
      <w:marLeft w:val="0"/>
      <w:marRight w:val="0"/>
      <w:marTop w:val="120"/>
      <w:marBottom w:val="0"/>
      <w:divBdr>
        <w:top w:val="none" w:sz="0" w:space="0" w:color="auto"/>
        <w:left w:val="none" w:sz="0" w:space="0" w:color="auto"/>
        <w:bottom w:val="none" w:sz="0" w:space="0" w:color="auto"/>
        <w:right w:val="none" w:sz="0" w:space="0" w:color="auto"/>
      </w:divBdr>
    </w:div>
    <w:div w:id="2134513702">
      <w:marLeft w:val="0"/>
      <w:marRight w:val="0"/>
      <w:marTop w:val="200"/>
      <w:marBottom w:val="0"/>
      <w:divBdr>
        <w:top w:val="none" w:sz="0" w:space="0" w:color="auto"/>
        <w:left w:val="none" w:sz="0" w:space="0" w:color="auto"/>
        <w:bottom w:val="none" w:sz="0" w:space="0" w:color="auto"/>
        <w:right w:val="none" w:sz="0" w:space="0" w:color="auto"/>
      </w:divBdr>
    </w:div>
    <w:div w:id="2136753695">
      <w:marLeft w:val="0"/>
      <w:marRight w:val="0"/>
      <w:marTop w:val="200"/>
      <w:marBottom w:val="0"/>
      <w:divBdr>
        <w:top w:val="none" w:sz="0" w:space="0" w:color="auto"/>
        <w:left w:val="none" w:sz="0" w:space="0" w:color="auto"/>
        <w:bottom w:val="none" w:sz="0" w:space="0" w:color="auto"/>
        <w:right w:val="none" w:sz="0" w:space="0" w:color="auto"/>
      </w:divBdr>
    </w:div>
    <w:div w:id="2136873695">
      <w:marLeft w:val="0"/>
      <w:marRight w:val="0"/>
      <w:marTop w:val="200"/>
      <w:marBottom w:val="0"/>
      <w:divBdr>
        <w:top w:val="none" w:sz="0" w:space="0" w:color="auto"/>
        <w:left w:val="none" w:sz="0" w:space="0" w:color="auto"/>
        <w:bottom w:val="none" w:sz="0" w:space="0" w:color="auto"/>
        <w:right w:val="none" w:sz="0" w:space="0" w:color="auto"/>
      </w:divBdr>
    </w:div>
    <w:div w:id="2138180411">
      <w:marLeft w:val="0"/>
      <w:marRight w:val="0"/>
      <w:marTop w:val="200"/>
      <w:marBottom w:val="0"/>
      <w:divBdr>
        <w:top w:val="none" w:sz="0" w:space="0" w:color="auto"/>
        <w:left w:val="none" w:sz="0" w:space="0" w:color="auto"/>
        <w:bottom w:val="none" w:sz="0" w:space="0" w:color="auto"/>
        <w:right w:val="none" w:sz="0" w:space="0" w:color="auto"/>
      </w:divBdr>
    </w:div>
    <w:div w:id="2141459783">
      <w:marLeft w:val="0"/>
      <w:marRight w:val="0"/>
      <w:marTop w:val="200"/>
      <w:marBottom w:val="0"/>
      <w:divBdr>
        <w:top w:val="none" w:sz="0" w:space="0" w:color="auto"/>
        <w:left w:val="none" w:sz="0" w:space="0" w:color="auto"/>
        <w:bottom w:val="none" w:sz="0" w:space="0" w:color="auto"/>
        <w:right w:val="none" w:sz="0" w:space="0" w:color="auto"/>
      </w:divBdr>
    </w:div>
    <w:div w:id="2141460575">
      <w:marLeft w:val="0"/>
      <w:marRight w:val="0"/>
      <w:marTop w:val="200"/>
      <w:marBottom w:val="0"/>
      <w:divBdr>
        <w:top w:val="none" w:sz="0" w:space="0" w:color="auto"/>
        <w:left w:val="none" w:sz="0" w:space="0" w:color="auto"/>
        <w:bottom w:val="none" w:sz="0" w:space="0" w:color="auto"/>
        <w:right w:val="none" w:sz="0" w:space="0" w:color="auto"/>
      </w:divBdr>
    </w:div>
    <w:div w:id="2142913747">
      <w:marLeft w:val="0"/>
      <w:marRight w:val="0"/>
      <w:marTop w:val="200"/>
      <w:marBottom w:val="0"/>
      <w:divBdr>
        <w:top w:val="none" w:sz="0" w:space="0" w:color="auto"/>
        <w:left w:val="none" w:sz="0" w:space="0" w:color="auto"/>
        <w:bottom w:val="none" w:sz="0" w:space="0" w:color="auto"/>
        <w:right w:val="none" w:sz="0" w:space="0" w:color="auto"/>
      </w:divBdr>
    </w:div>
    <w:div w:id="2145269892">
      <w:marLeft w:val="0"/>
      <w:marRight w:val="0"/>
      <w:marTop w:val="10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lrx-20210331xex311.htm" TargetMode="External"/><Relationship Id="rId3" Type="http://schemas.openxmlformats.org/officeDocument/2006/relationships/webSettings" Target="webSettings.xml"/><Relationship Id="rId7" Type="http://schemas.openxmlformats.org/officeDocument/2006/relationships/hyperlink" Target="https://www.sec.gov/Archives/edgar/data/0001746473/000119312520150643/d729258dex41.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0001746473/000119312520150643/d729258dex41.htm" TargetMode="External"/><Relationship Id="rId11" Type="http://schemas.openxmlformats.org/officeDocument/2006/relationships/fontTable" Target="fontTable.xml"/><Relationship Id="rId5" Type="http://schemas.openxmlformats.org/officeDocument/2006/relationships/hyperlink" Target="https://www.sec.gov/Archives/edgar/data/0001746473/000119312520322128/d61993dex31.htm" TargetMode="External"/><Relationship Id="rId10" Type="http://schemas.openxmlformats.org/officeDocument/2006/relationships/hyperlink" Target="plrx-20210331xex321.htm" TargetMode="External"/><Relationship Id="rId4" Type="http://schemas.openxmlformats.org/officeDocument/2006/relationships/hyperlink" Target="https://www.sec.gov/Archives/edgar/data/0001746473/000156459020039327/plrx-ex31_301.htm" TargetMode="External"/><Relationship Id="rId9" Type="http://schemas.openxmlformats.org/officeDocument/2006/relationships/hyperlink" Target="plrx-20210331xex31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56445</Words>
  <Characters>321741</Characters>
  <Application>Microsoft Office Word</Application>
  <DocSecurity>0</DocSecurity>
  <Lines>2681</Lines>
  <Paragraphs>754</Paragraphs>
  <ScaleCrop>false</ScaleCrop>
  <Company/>
  <LinksUpToDate>false</LinksUpToDate>
  <CharactersWithSpaces>377432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plrx-20210331</dc:title>
  <dc:subject/>
  <dc:creator>Chongjian.Yue</dc:creator>
  <cp:keywords/>
  <dc:description/>
  <cp:lastModifiedBy>Yue Chongjian</cp:lastModifiedBy>
  <cp:revision>1</cp:revision>
  <dcterms:created xsi:type="dcterms:W3CDTF">2024-01-04T15:57:00Z</dcterms:created>
  <dcterms:modified xsi:type="dcterms:W3CDTF">2024-01-04T15:57:00Z</dcterms:modified>
</cp:coreProperties>
</file>