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FD7D3C">
      <w:pPr>
        <w:divId w:val="719747394"/>
        <w:rPr>
          <w:rFonts w:eastAsia="Times New Roman"/>
          <w:vanish/>
        </w:rPr>
      </w:pPr>
      <w:r>
        <w:rPr>
          <w:rFonts w:eastAsia="Times New Roman"/>
          <w:vanish/>
        </w:rPr>
        <w:t>false2021FY00017464730.13986014P1YP4Y03http://fasb.org/us-gaap/2021-01-31#RetirementPlanNameOtherMemberhttp://fasb.org/us-gaap/2021-01-31#RetirementPlanNameOtherMember00017464732021-01-012021-12-3100017464732021-06-30iso4217:USD0001746473</w:t>
      </w:r>
      <w:r>
        <w:rPr>
          <w:rFonts w:eastAsia="Times New Roman"/>
          <w:vanish/>
        </w:rPr>
        <w:t>2022-02-25xbrli:shares00017464732021-12-3100017464732020-12-31iso4217:USDxbrli:shares00017464732020-01-012020-12-3100017464732019-01-012019-12-310001746473plrx:SeriesARedeemableConvertiblePreferredStockMember2020-12-310001746473plrx:SeriesBRedeemableConver</w:t>
      </w:r>
      <w:r>
        <w:rPr>
          <w:rFonts w:eastAsia="Times New Roman"/>
          <w:vanish/>
        </w:rPr>
        <w:t>tiblePreferredStockMember2020-12-310001746473plrx:SeriesCRedeemableConvertiblePreferredStockMember2020-12-310001746473us-gaap:CommonStockMember2020-12-310001746473us-gaap:AdditionalPaidInCapitalMember2020-12-310001746473us-gaap:AccumulatedOtherComprehensiv</w:t>
      </w:r>
      <w:r>
        <w:rPr>
          <w:rFonts w:eastAsia="Times New Roman"/>
          <w:vanish/>
        </w:rPr>
        <w:t>eIncomeMember2020-12-310001746473us-gaap:RetainedEarningsMember2020-12-310001746473us-gaap:CommonStockMember2021-01-012021-12-310001746473us-gaap:AdditionalPaidInCapitalMember2021-01-012021-12-310001746473us-gaap:AccumulatedOtherComprehensiveIncomeMember20</w:t>
      </w:r>
      <w:r>
        <w:rPr>
          <w:rFonts w:eastAsia="Times New Roman"/>
          <w:vanish/>
        </w:rPr>
        <w:t>21-01-012021-12-310001746473us-gaap:RetainedEarningsMember2021-01-012021-12-310001746473plrx:SeriesARedeemableConvertiblePreferredStockMember2021-12-310001746473plrx:SeriesBRedeemableConvertiblePreferredStockMember2021-12-310001746473plrx:SeriesCRedeemable</w:t>
      </w:r>
      <w:r>
        <w:rPr>
          <w:rFonts w:eastAsia="Times New Roman"/>
          <w:vanish/>
        </w:rPr>
        <w:t>ConvertiblePreferredStockMember2021-12-310001746473us-gaap:CommonStockMember2021-12-310001746473us-gaap:AdditionalPaidInCapitalMember2021-12-310001746473us-gaap:AccumulatedOtherComprehensiveIncomeMember2021-12-310001746473us-gaap:RetainedEarningsMember2021</w:t>
      </w:r>
      <w:r>
        <w:rPr>
          <w:rFonts w:eastAsia="Times New Roman"/>
          <w:vanish/>
        </w:rPr>
        <w:t>-12-310001746473plrx:SeriesARedeemableConvertiblePreferredStockMember2019-12-310001746473plrx:SeriesBRedeemableConvertiblePreferredStockMember2019-12-310001746473plrx:SeriesCRedeemableConvertiblePreferredStockMember2019-12-310001746473us-gaap:CommonStockMe</w:t>
      </w:r>
      <w:r>
        <w:rPr>
          <w:rFonts w:eastAsia="Times New Roman"/>
          <w:vanish/>
        </w:rPr>
        <w:t>mber2019-12-310001746473us-gaap:AdditionalPaidInCapitalMember2019-12-310001746473us-gaap:AccumulatedOtherComprehensiveIncomeMember2019-12-310001746473us-gaap:RetainedEarningsMember2019-12-3100017464732019-12-310001746473plrx:SeriesCRedeemableConvertiblePre</w:t>
      </w:r>
      <w:r>
        <w:rPr>
          <w:rFonts w:eastAsia="Times New Roman"/>
          <w:vanish/>
        </w:rPr>
        <w:t>ferredStockMember2020-01-012020-12-310001746473us-gaap:IPOMemberus-gaap:CommonStockMember2020-01-012020-12-310001746473us-gaap:IPOMemberus-gaap:AdditionalPaidInCapitalMember2020-01-012020-12-310001746473us-gaap:IPOMember2020-01-012020-12-310001746473us-gaa</w:t>
      </w:r>
      <w:r>
        <w:rPr>
          <w:rFonts w:eastAsia="Times New Roman"/>
          <w:vanish/>
        </w:rPr>
        <w:t>p:CommonStockMemberus-gaap:PrivatePlacementMember2020-01-012020-12-310001746473us-gaap:AdditionalPaidInCapitalMemberus-gaap:PrivatePlacementMember2020-01-012020-12-310001746473us-gaap:PrivatePlacementMember2020-01-012020-12-310001746473plrx:SeriesARedeemab</w:t>
      </w:r>
      <w:r>
        <w:rPr>
          <w:rFonts w:eastAsia="Times New Roman"/>
          <w:vanish/>
        </w:rPr>
        <w:t>leConvertiblePreferredStockMember2020-01-012020-12-310001746473plrx:SeriesBRedeemableConvertiblePreferredStockMember2020-01-012020-12-310001746473us-gaap:CommonStockMember2020-01-012020-12-310001746473us-gaap:AdditionalPaidInCapitalMember2020-01-012020-12-</w:t>
      </w:r>
      <w:r>
        <w:rPr>
          <w:rFonts w:eastAsia="Times New Roman"/>
          <w:vanish/>
        </w:rPr>
        <w:t>310001746473us-gaap:RetainedEarningsMember2020-01-012020-12-310001746473us-gaap:AccumulatedOtherComprehensiveIncomeMember2020-01-012020-12-310001746473plrx:SeriesARedeemableConvertiblePreferredStockMember2018-12-310001746473plrx:SeriesBRedeemableConvertibl</w:t>
      </w:r>
      <w:r>
        <w:rPr>
          <w:rFonts w:eastAsia="Times New Roman"/>
          <w:vanish/>
        </w:rPr>
        <w:t>ePreferredStockMember2018-12-310001746473plrx:SeriesCRedeemableConvertiblePreferredStockMember2018-12-310001746473us-gaap:CommonStockMember2018-12-310001746473us-gaap:AdditionalPaidInCapitalMember2018-12-310001746473us-gaap:AccumulatedOtherComprehensiveInc</w:t>
      </w:r>
      <w:r>
        <w:rPr>
          <w:rFonts w:eastAsia="Times New Roman"/>
          <w:vanish/>
        </w:rPr>
        <w:t>omeMember2018-12-310001746473us-gaap:RetainedEarningsMember2018-12-3100017464732018-12-310001746473plrx:SeriesCRedeemableConvertiblePreferredStockMember2019-01-012019-12-310001746473us-gaap:CommonStockMember2019-01-012019-12-310001746473us-gaap:AdditionalP</w:t>
      </w:r>
      <w:r>
        <w:rPr>
          <w:rFonts w:eastAsia="Times New Roman"/>
          <w:vanish/>
        </w:rPr>
        <w:t>aidInCapitalMember2019-01-012019-12-310001746473plrx:SeriesARedeemableConvertiblePreferredStockMember2019-01-012019-12-310001746473plrx:SeriesBRedeemableConvertiblePreferredStockMember2019-01-012019-12-310001746473us-gaap:RetainedEarningsMember2019-01-0120</w:t>
      </w:r>
      <w:r>
        <w:rPr>
          <w:rFonts w:eastAsia="Times New Roman"/>
          <w:vanish/>
        </w:rPr>
        <w:t>19-12-310001746473us-gaap:AccumulatedOtherComprehensiveIncomeMember2019-01-012019-12-310001746473us-gaap:IPOMember2020-06-012020-06-300001746473us-gaap:IPOMemberus-gaap:CommonStockMember2020-06-012020-06-300001746473us-gaap:IPOMemberplrx:UnderwritersMember</w:t>
      </w:r>
      <w:r>
        <w:rPr>
          <w:rFonts w:eastAsia="Times New Roman"/>
          <w:vanish/>
        </w:rPr>
        <w:t>2020-06-012020-06-300001746473us-gaap:IPOMember2020-06-30xbrli:pure0001746473plrx:NovartisMemberus-gaap:PrivatePlacementMember2020-06-300001746473plrx:NovartisMemberus-gaap:PrivatePlacementMember2020-06-012020-06-300001746473plrx:PliantTherapeuticsIncMembe</w:t>
      </w:r>
      <w:r>
        <w:rPr>
          <w:rFonts w:eastAsia="Times New Roman"/>
          <w:vanish/>
        </w:rPr>
        <w:t>rplrx:NovartisMemberus-gaap:PrivatePlacementMember2020-06-3000017464732020-05-222020-05-220001746473plrx:NovartisAgreementMember2021-01-012021-12-31plrx:segment0001746473us-gaap:EquipmentMember2021-01-012021-12-310001746473plrx:ComputerEquipmentAndSoftware</w:t>
      </w:r>
      <w:r>
        <w:rPr>
          <w:rFonts w:eastAsia="Times New Roman"/>
          <w:vanish/>
        </w:rPr>
        <w:t>Member2021-01-012021-12-310001746473us-gaap:AccountingStandardsUpdate201602Member2021-01-010001746473us-gaap:FairValueInputsLevel1Memberus-gaap:MoneyMarketFundsMember2021-12-310001746473us-gaap:FairValueInputsLevel1Memberus-gaap:MoneyMarketFundsMember2021-</w:t>
      </w:r>
      <w:r>
        <w:rPr>
          <w:rFonts w:eastAsia="Times New Roman"/>
          <w:vanish/>
        </w:rPr>
        <w:t>01-012021-12-310001746473us-gaap:USGovernmentCorporationsAndAgenciesSecuritiesMemberus-gaap:FairValueInputsLevel2Member2021-12-310001746473us-gaap:USGovernmentCorporationsAndAgenciesSecuritiesMemberus-gaap:FairValueInputsLevel2Member2021-01-012021-12-31000</w:t>
      </w:r>
      <w:r>
        <w:rPr>
          <w:rFonts w:eastAsia="Times New Roman"/>
          <w:vanish/>
        </w:rPr>
        <w:t>1746473us-gaap:CorporateDebtSecuritiesMemberus-gaap:FairValueInputsLevel2Member2021-12-310001746473us-gaap:CorporateDebtSecuritiesMemberus-gaap:FairValueInputsLevel2Member2021-01-012021-12-310001746473us-gaap:FairValueInputsLevel1Memberus-gaap:MoneyMarketF</w:t>
      </w:r>
      <w:r>
        <w:rPr>
          <w:rFonts w:eastAsia="Times New Roman"/>
          <w:vanish/>
        </w:rPr>
        <w:t>undsMember2020-12-310001746473us-gaap:FairValueInputsLevel1Memberus-gaap:MoneyMarketFundsMember2020-01-012020-12-310001746473us-gaap:FairValueInputsLevel2Memberus-gaap:USTreasurySecuritiesMember2020-12-310001746473us-gaap:FairValueInputsLevel2Memberus-gaap</w:t>
      </w:r>
      <w:r>
        <w:rPr>
          <w:rFonts w:eastAsia="Times New Roman"/>
          <w:vanish/>
        </w:rPr>
        <w:t>:USTreasurySecuritiesMember2020-01-012020-12-310001746473us-gaap:USGovernmentCorporationsAndAgenciesSecuritiesMemberus-gaap:FairValueInputsLevel2Member2020-12-310001746473us-gaap:USGovernmentCorporationsAndAgenciesSecuritiesMemberus-gaap:FairValueInputsLev</w:t>
      </w:r>
      <w:r>
        <w:rPr>
          <w:rFonts w:eastAsia="Times New Roman"/>
          <w:vanish/>
        </w:rPr>
        <w:t>el2Member2020-01-012020-12-310001746473us-gaap:CorporateDebtSecuritiesMemberus-gaap:FairValueInputsLevel2Member2020-12-310001746473us-gaap:CorporateDebtSecuritiesMemberus-gaap:FairValueInputsLevel2Member2020-01-012020-12-310001746473plrx:MatureInOneYearOrL</w:t>
      </w:r>
      <w:r>
        <w:rPr>
          <w:rFonts w:eastAsia="Times New Roman"/>
          <w:vanish/>
        </w:rPr>
        <w:t>essMemberus-gaap:ShortTermInvestmentsMember2021-12-310001746473plrx:MatureInOneToTwoYearsMemberus-gaap:ShortTermInvestmentsMember2021-12-310001746473us-gaap:ShortTermInvestmentsMember2021-12-310001746473us-gaap:FairValueMeasurementsRecurringMember2020-12-3</w:t>
      </w:r>
      <w:r>
        <w:rPr>
          <w:rFonts w:eastAsia="Times New Roman"/>
          <w:vanish/>
        </w:rPr>
        <w:t>10001746473us-gaap:FairValueMeasurementsRecurringMember2021-12-310001746473us-gaap:FairValueMeasurementsNonrecurringMember2020-12-310001746473us-gaap:FairValueMeasurementsNonrecurringMember2021-12-310001746473us-gaap:EquipmentMember2021-12-310001746473us-g</w:t>
      </w:r>
      <w:r>
        <w:rPr>
          <w:rFonts w:eastAsia="Times New Roman"/>
          <w:vanish/>
        </w:rPr>
        <w:t>aap:EquipmentMember2020-12-310001746473us-gaap:LeaseholdImprovementsMember2021-12-310001746473us-gaap:LeaseholdImprovementsMember2020-12-310001746473us-gaap:ConstructionInProgressMember2021-12-310001746473us-gaap:ConstructionInProgressMember2020-12-3100017</w:t>
      </w:r>
      <w:r>
        <w:rPr>
          <w:rFonts w:eastAsia="Times New Roman"/>
          <w:vanish/>
        </w:rPr>
        <w:t>46473plrx:ComputerEquipmentAndSoftwareMember2021-12-310001746473plrx:ComputerEquipmentAndSoftwareMember2020-12-310001746473srt:MaximumMemberplrx:NovartisMemberplrx:NovartisAgreementMember2019-01-012019-12-31plrx:research0001746473plrx:NovartisMemberplrx:No</w:t>
      </w:r>
      <w:r>
        <w:rPr>
          <w:rFonts w:eastAsia="Times New Roman"/>
          <w:vanish/>
        </w:rPr>
        <w:t>vartisAgreementMember2019-01-012019-12-310001746473plrx:NovartisAgreementRDForPLN1474Memberplrx:NovartisMember2019-01-012019-12-310001746473plrx:NovartisAgreementRDForIntegrinResearchTargetsMemberplrx:NovartisMemberus-gaap:ResearchAndDevelopmentExpenseMemb</w:t>
      </w:r>
      <w:r>
        <w:rPr>
          <w:rFonts w:eastAsia="Times New Roman"/>
          <w:vanish/>
        </w:rPr>
        <w:t>er2019-01-012019-12-310001746473plrx:NovartisAgreementRDForPLN1474Memberplrx:NovartisMember2021-01-012021-12-310001746473plrx:NovartisAgreementRDForIntegrinResearchTargetsMemberplrx:NovartisMemberus-gaap:ResearchAndDevelopmentExpenseMember2021-01-012021-12</w:t>
      </w:r>
      <w:r>
        <w:rPr>
          <w:rFonts w:eastAsia="Times New Roman"/>
          <w:vanish/>
        </w:rPr>
        <w:t>-310001746473plrx:NovartisMemberplrx:NovartisAgreementMember2021-01-012021-12-310001746473plrx:NovartisMemberplrx:NovartisAgreementMemberplrx:AchievementOfFirstPatientDosingMilestoneMember2021-01-012021-12-310001746473plrx:NovartisMemberplrx:NovartisAgreem</w:t>
      </w:r>
      <w:r>
        <w:rPr>
          <w:rFonts w:eastAsia="Times New Roman"/>
          <w:vanish/>
        </w:rPr>
        <w:t>entMemberus-gaap:ResearchAndDevelopmentExpenseMember2021-01-012021-12-310001746473plrx:NovartisMemberplrx:NovartisAgreementMember2020-01-012020-12-310001746473plrx:NovartisMemberplrx:NovartisAgreementMemberplrx:AchievementOfFirstPatientDosingMilestoneMembe</w:t>
      </w:r>
      <w:r>
        <w:rPr>
          <w:rFonts w:eastAsia="Times New Roman"/>
          <w:vanish/>
        </w:rPr>
        <w:t>r2020-01-012020-12-310001746473plrx:NovartisMemberplrx:NovartisAgreementMemberus-gaap:ResearchAndDevelopmentExpenseMember2020-01-012020-03-310001746473plrx:NovartisMemberplrx:LicenseFeeMemberplrx:NovartisAgreementMember2019-01-012019-12-310001746473plrx:No</w:t>
      </w:r>
      <w:r>
        <w:rPr>
          <w:rFonts w:eastAsia="Times New Roman"/>
          <w:vanish/>
        </w:rPr>
        <w:t>vartisMemberplrx:NovartisAgreementMemberus-gaap:ResearchAndDevelopmentExpenseMember2019-01-012019-12-310001746473plrx:NovartisMemberplrx:NovartisAgreementMember2021-12-310001746473plrx:NovartisMemberplrx:NovartisAgreementMember2020-12-310001746473us-gaap:L</w:t>
      </w:r>
      <w:r>
        <w:rPr>
          <w:rFonts w:eastAsia="Times New Roman"/>
          <w:vanish/>
        </w:rPr>
        <w:t>icensingAgreementsMemberplrx:UCRegentsMember2020-06-012020-06-300001746473plrx:AdimabAgreementMemberplrx:FullTimeEmployeeCostMember2021-01-012021-12-310001746473plrx:AdimabAgreementMemberplrx:FullTimeEmployeeCostMember2020-01-012020-12-310001746473plrx:Adi</w:t>
      </w:r>
      <w:r>
        <w:rPr>
          <w:rFonts w:eastAsia="Times New Roman"/>
          <w:vanish/>
        </w:rPr>
        <w:t>mabAgreementMemberplrx:FullTimeEmployeeCostMember2019-01-012019-12-310001746473us-gaap:RedeemableConvertiblePreferredStockMember2021-12-31plrx:vote0001746473us-gaap:EmployeeStockOptionMember2021-12-310001746473us-gaap:EmployeeStockOptionMember2020-12-31000</w:t>
      </w:r>
      <w:r>
        <w:rPr>
          <w:rFonts w:eastAsia="Times New Roman"/>
          <w:vanish/>
        </w:rPr>
        <w:t>1746473plrx:TwoThousandTwentyEquityIncentivePlanMember2021-12-310001746473plrx:TwoThousandTwentyEquityIncentivePlanMember2020-12-310001746473plrx:TwoThousandAndTwentyEmployeeStockPurchasePlanMember2021-12-310001746473plrx:TwoThousandAndTwentyEmployeeStockP</w:t>
      </w:r>
      <w:r>
        <w:rPr>
          <w:rFonts w:eastAsia="Times New Roman"/>
          <w:vanish/>
        </w:rPr>
        <w:t>urchasePlanMember2020-12-310001746473plrx:TwoThousandTwentyEquityIncentivePlanMember2020-05-012020-05-310001746473srt:MaximumMemberplrx:TwoThousandTwentyEquityIncentivePlanMember2020-05-012020-05-310001746473srt:MinimumMemberplrx:RestrictedCommonStockAward</w:t>
      </w:r>
      <w:r>
        <w:rPr>
          <w:rFonts w:eastAsia="Times New Roman"/>
          <w:vanish/>
        </w:rPr>
        <w:t>sMember2020-05-012020-05-310001746473srt:MaximumMemberplrx:RestrictedCommonStockAwardsMember2020-05-012020-05-310001746473plrx:AccruedExpensesAndOtherLiabilitiesMemberplrx:RestrictedCommonStockAwardsMember2021-12-310001746473plrx:AccruedExpensesAndOtherLia</w:t>
      </w:r>
      <w:r>
        <w:rPr>
          <w:rFonts w:eastAsia="Times New Roman"/>
          <w:vanish/>
        </w:rPr>
        <w:t>bilitiesMemberplrx:RestrictedCommonStockAwardsMember2020-12-310001746473plrx:RestrictedCommonStockAwardsMember2021-01-012021-12-310001746473plrx:RestrictedCommonStockAwardsMember2020-12-310001746473plrx:RestrictedCommonStockAwardsMember2021-12-310001746473</w:t>
      </w:r>
      <w:r>
        <w:rPr>
          <w:rFonts w:eastAsia="Times New Roman"/>
          <w:vanish/>
        </w:rPr>
        <w:t>plrx:RestrictedCommonStockAwardsMember2020-01-012020-12-310001746473plrx:TwoThousandFifteenAndTwoThousandTwentyEquityIncentivePlanMember2021-01-012021-12-310001746473plrx:IncentiveStockOptionsAndNonqualifiedStockOptionsMember2021-01-012021-12-310001746473p</w:t>
      </w:r>
      <w:r>
        <w:rPr>
          <w:rFonts w:eastAsia="Times New Roman"/>
          <w:vanish/>
        </w:rPr>
        <w:t>lrx:IncentiveStockOptionsAndNonqualifiedStockOptionsMember2020-01-012020-12-310001746473plrx:IncentiveStockOptionsAndNonqualifiedStockOptionsMember2019-01-012019-12-310001746473plrx:IncentiveStockOptionsAndNonqualifiedStockOptionsMembersrt:MinimumMember202</w:t>
      </w:r>
      <w:r>
        <w:rPr>
          <w:rFonts w:eastAsia="Times New Roman"/>
          <w:vanish/>
        </w:rPr>
        <w:t>1-01-012021-12-310001746473srt:MaximumMemberplrx:IncentiveStockOptionsAndNonqualifiedStockOptionsMember2021-01-012021-12-310001746473plrx:IncentiveStockOptionsAndNonqualifiedStockOptionsMembersrt:MinimumMember2020-01-012020-12-310001746473srt:MaximumMember</w:t>
      </w:r>
      <w:r>
        <w:rPr>
          <w:rFonts w:eastAsia="Times New Roman"/>
          <w:vanish/>
        </w:rPr>
        <w:t>plrx:IncentiveStockOptionsAndNonqualifiedStockOptionsMember2020-01-012020-12-310001746473plrx:IncentiveStockOptionsAndNonqualifiedStockOptionsMembersrt:MinimumMember2019-01-012019-12-310001746473srt:MaximumMemberplrx:IncentiveStockOptionsAndNonqualifiedSto</w:t>
      </w:r>
      <w:r>
        <w:rPr>
          <w:rFonts w:eastAsia="Times New Roman"/>
          <w:vanish/>
        </w:rPr>
        <w:t>ckOptionsMember2019-01-012019-12-310001746473plrx:TwoThousandFifteenAndTwoThousandTwentyEquityIncentivePlanMemberplrx:IncentiveStockOptionsAndNonqualifiedStockOptionsMember2020-12-310001746473plrx:TwoThousandFifteenAndTwoThousandTwentyEquityIncentivePlanMe</w:t>
      </w:r>
      <w:r>
        <w:rPr>
          <w:rFonts w:eastAsia="Times New Roman"/>
          <w:vanish/>
        </w:rPr>
        <w:t>mberplrx:IncentiveStockOptionsAndNonqualifiedStockOptionsMember2020-01-012020-12-310001746473plrx:TwoThousandFifteenAndTwoThousandTwentyEquityIncentivePlanMemberplrx:IncentiveStockOptionsAndNonqualifiedStockOptionsMember2021-01-012021-12-310001746473plrx:T</w:t>
      </w:r>
      <w:r>
        <w:rPr>
          <w:rFonts w:eastAsia="Times New Roman"/>
          <w:vanish/>
        </w:rPr>
        <w:t>woThousandFifteenAndTwoThousandTwentyEquityIncentivePlanMemberplrx:IncentiveStockOptionsAndNonqualifiedStockOptionsMember2021-12-310001746473plrx:TwoThousandAndTwentyEmployeeStockPurchasePlanMember2020-06-300001746473plrx:TwoThousandAndTwentyEmployeeStockP</w:t>
      </w:r>
      <w:r>
        <w:rPr>
          <w:rFonts w:eastAsia="Times New Roman"/>
          <w:vanish/>
        </w:rPr>
        <w:t>urchasePlanMember2020-06-012020-06-300001746473plrx:TwoThousandAndTwentyEmployeeStockPurchasePlanMember2020-12-310001746473plrx:TwoThousandAndTwentyEmployeeStockPurchasePlanMember2021-01-012021-12-310001746473plrx:TwoThousandAndTwentyEmployeeStockPurchaseP</w:t>
      </w:r>
      <w:r>
        <w:rPr>
          <w:rFonts w:eastAsia="Times New Roman"/>
          <w:vanish/>
        </w:rPr>
        <w:t>lanMember2020-01-012020-12-310001746473plrx:TwoThousandAndTwentyEmployeeStockPurchasePlanMember2019-01-012019-12-310001746473srt:MinimumMemberplrx:TwoThousandAndTwentyEmployeeStockPurchasePlanMember2021-01-012021-12-310001746473srt:MaximumMemberplrx:TwoTho</w:t>
      </w:r>
      <w:r>
        <w:rPr>
          <w:rFonts w:eastAsia="Times New Roman"/>
          <w:vanish/>
        </w:rPr>
        <w:t>usandAndTwentyEmployeeStockPurchasePlanMember2021-01-012021-12-310001746473us-gaap:ResearchAndDevelopmentExpenseMember2021-01-012021-12-310001746473us-gaap:ResearchAndDevelopmentExpenseMember2020-01-012020-12-310001746473us-gaap:ResearchAndDevelopmentExpen</w:t>
      </w:r>
      <w:r>
        <w:rPr>
          <w:rFonts w:eastAsia="Times New Roman"/>
          <w:vanish/>
        </w:rPr>
        <w:t>seMember2019-01-012019-12-310001746473us-gaap:GeneralAndAdministrativeExpenseMember2021-01-012021-12-310001746473us-gaap:GeneralAndAdministrativeExpenseMember2020-01-012020-12-310001746473us-gaap:GeneralAndAdministrativeExpenseMember2019-01-012019-12-31000</w:t>
      </w:r>
      <w:r>
        <w:rPr>
          <w:rFonts w:eastAsia="Times New Roman"/>
          <w:vanish/>
        </w:rPr>
        <w:t>1746473plrx:RestrictedStockAwardsMember2021-12-310001746473plrx:RestrictedStockAwardsMember2021-01-012021-12-310001746473us-gaap:EmployeeStockOptionMember2021-01-012021-12-310001746473us-gaap:DomesticCountryMemberplrx:StartingFromJanuary12018Member2021-12-</w:t>
      </w:r>
      <w:r>
        <w:rPr>
          <w:rFonts w:eastAsia="Times New Roman"/>
          <w:vanish/>
        </w:rPr>
        <w:t>310001746473us-gaap:DomesticCountryMemberplrx:BeforeJanuary12018Member2021-12-310001746473us-gaap:DomesticCountryMemberus-gaap:EarliestTaxYearMember2021-01-012021-12-310001746473us-gaap:DomesticCountryMemberus-gaap:LatestTaxYearMember2021-01-012021-12-3100</w:t>
      </w:r>
      <w:r>
        <w:rPr>
          <w:rFonts w:eastAsia="Times New Roman"/>
          <w:vanish/>
        </w:rPr>
        <w:t>01746473us-gaap:StateAndLocalJurisdictionMember2021-12-310001746473us-gaap:EarliestTaxYearMemberus-gaap:StateAndLocalJurisdictionMember2021-01-012021-12-310001746473us-gaap:LatestTaxYearMemberus-gaap:StateAndLocalJurisdictionMember2021-01-012021-12-3100017</w:t>
      </w:r>
      <w:r>
        <w:rPr>
          <w:rFonts w:eastAsia="Times New Roman"/>
          <w:vanish/>
        </w:rPr>
        <w:t>46473us-gaap:DomesticCountryMember2021-12-31plrx:taxExamination0001746473stpr:CA2018-02-012018-02-28utr:sqft0001746473stpr:CA2018-02-2800017464732018-02-012018-02-280001746473stpr:CAus-gaap:OtherNoncurrentAssetsMember2021-12-310001746473stpr:CAus-gaap:Othe</w:t>
      </w:r>
      <w:r>
        <w:rPr>
          <w:rFonts w:eastAsia="Times New Roman"/>
          <w:vanish/>
        </w:rPr>
        <w:t>rNoncurrentAssetsMember2020-12-310001746473stpr:CA2021-12-310001746473stpr:CAsrt:MinimumMember2018-02-012018-02-280001746473srt:MaximumMemberstpr:CA2018-02-012018-02-280001746473us-gaap:GeneralAndAdministrativeExpenseMemberplrx:ThirdRockVenturesMember2021-</w:t>
      </w:r>
      <w:r>
        <w:rPr>
          <w:rFonts w:eastAsia="Times New Roman"/>
          <w:vanish/>
        </w:rPr>
        <w:t>01-012021-12-310001746473us-gaap:GeneralAndAdministrativeExpenseMemberplrx:ThirdRockVenturesMember2020-01-012020-12-310001746473us-gaap:EmployeeStockOptionMember2021-06-012021-06-300001746473plrx:NonemployeeDirectorMemberus-gaap:EmployeeStockOptionMemberpl</w:t>
      </w:r>
      <w:r>
        <w:rPr>
          <w:rFonts w:eastAsia="Times New Roman"/>
          <w:vanish/>
        </w:rPr>
        <w:t>rx:ThirdRockVenturesMember2020-03-012020-03-310001746473plrx:NonemployeeDirectorMemberus-gaap:EmployeeStockOptionMemberplrx:ThirdRockVenturesMember2021-01-012021-12-310001746473us-gaap:RedeemableConvertiblePreferredStockMember2021-01-012021-12-310001746473</w:t>
      </w:r>
      <w:r>
        <w:rPr>
          <w:rFonts w:eastAsia="Times New Roman"/>
          <w:vanish/>
        </w:rPr>
        <w:t>us-gaap:RedeemableConvertiblePreferredStockMember2020-01-012020-12-310001746473us-gaap:RedeemableConvertiblePreferredStockMember2019-01-012019-12-310001746473us-gaap:EmployeeStockOptionMember2021-01-012021-12-310001746473us-gaap:EmployeeStockOptionMember20</w:t>
      </w:r>
      <w:r>
        <w:rPr>
          <w:rFonts w:eastAsia="Times New Roman"/>
          <w:vanish/>
        </w:rPr>
        <w:t>20-01-012020-12-310001746473us-gaap:EmployeeStockOptionMember2019-01-012019-12-310001746473plrx:RestrictedStockAwardsGrantedAndNotPurchasedMember2021-01-012021-12-310001746473plrx:RestrictedStockAwardsGrantedAndNotPurchasedMember2020-01-012020-12-310001746</w:t>
      </w:r>
      <w:r>
        <w:rPr>
          <w:rFonts w:eastAsia="Times New Roman"/>
          <w:vanish/>
        </w:rPr>
        <w:t>473plrx:RestrictedStockAwardsGrantedAndNotPurchasedMember2019-01-012019-12-310001746473us-gaap:RestrictedStockMember2021-01-012021-12-310001746473us-gaap:RestrictedStockMember2020-01-012020-12-310001746473us-gaap:RestrictedStockMember2019-01-012019-12-31</w:t>
      </w:r>
    </w:p>
    <w:p w:rsidR="00000000" w:rsidRDefault="00FD7D3C">
      <w:pPr>
        <w:divId w:val="1938556900"/>
        <w:rPr>
          <w:rFonts w:eastAsia="Times New Roman"/>
        </w:rPr>
      </w:pPr>
      <w:hyperlink w:anchor="i988625df783e4cc0a27bd76df388da57_7" w:history="1">
        <w:r>
          <w:rPr>
            <w:rStyle w:val="a3"/>
            <w:rFonts w:eastAsia="Times New Roman"/>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861312486"/>
        </w:trPr>
        <w:tc>
          <w:tcPr>
            <w:tcW w:w="50" w:type="pct"/>
            <w:vAlign w:val="center"/>
            <w:hideMark/>
          </w:tcPr>
          <w:p w:rsidR="00000000" w:rsidRDefault="00FD7D3C">
            <w:pPr>
              <w:rPr>
                <w:rFonts w:eastAsia="Times New Roman"/>
              </w:rPr>
            </w:pPr>
          </w:p>
        </w:tc>
        <w:tc>
          <w:tcPr>
            <w:tcW w:w="494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r>
      <w:tr w:rsidR="00000000">
        <w:trPr>
          <w:divId w:val="1861312486"/>
          <w:trHeight w:val="60"/>
        </w:trPr>
        <w:tc>
          <w:tcPr>
            <w:tcW w:w="0" w:type="auto"/>
            <w:gridSpan w:val="3"/>
            <w:tcBorders>
              <w:bottom w:val="double" w:sz="6" w:space="0" w:color="000000"/>
            </w:tcBorders>
            <w:tcMar>
              <w:top w:w="0" w:type="dxa"/>
              <w:left w:w="20" w:type="dxa"/>
              <w:bottom w:w="0" w:type="dxa"/>
              <w:right w:w="20" w:type="dxa"/>
            </w:tcMar>
            <w:vAlign w:val="center"/>
            <w:hideMark/>
          </w:tcPr>
          <w:p w:rsidR="00000000" w:rsidRDefault="00FD7D3C">
            <w:pPr>
              <w:spacing w:after="100"/>
              <w:rPr>
                <w:rFonts w:eastAsia="Times New Roman"/>
                <w:sz w:val="20"/>
                <w:szCs w:val="20"/>
              </w:rPr>
            </w:pPr>
          </w:p>
        </w:tc>
      </w:tr>
    </w:tbl>
    <w:p w:rsidR="00000000" w:rsidRDefault="00FD7D3C">
      <w:pPr>
        <w:jc w:val="center"/>
        <w:divId w:val="414480652"/>
        <w:rPr>
          <w:rFonts w:eastAsia="Times New Roman"/>
        </w:rPr>
      </w:pPr>
      <w:r>
        <w:rPr>
          <w:rFonts w:eastAsia="Times New Roman"/>
          <w:b/>
          <w:bCs/>
          <w:color w:val="000000"/>
          <w:sz w:val="28"/>
          <w:szCs w:val="28"/>
        </w:rPr>
        <w:t>UNITED STATES</w:t>
      </w:r>
    </w:p>
    <w:p w:rsidR="00000000" w:rsidRDefault="00FD7D3C">
      <w:pPr>
        <w:jc w:val="center"/>
        <w:rPr>
          <w:rFonts w:eastAsia="Times New Roman"/>
        </w:rPr>
      </w:pPr>
      <w:r>
        <w:rPr>
          <w:rFonts w:eastAsia="Times New Roman"/>
          <w:b/>
          <w:bCs/>
          <w:color w:val="000000"/>
          <w:sz w:val="28"/>
          <w:szCs w:val="28"/>
        </w:rPr>
        <w:t>SECURITIES AND EXCHANGE COMMISSION</w:t>
      </w:r>
    </w:p>
    <w:p w:rsidR="00000000" w:rsidRDefault="00FD7D3C">
      <w:pPr>
        <w:jc w:val="center"/>
        <w:rPr>
          <w:rFonts w:eastAsia="Times New Roman"/>
        </w:rPr>
      </w:pPr>
      <w:r>
        <w:rPr>
          <w:rFonts w:eastAsia="Times New Roman"/>
          <w:b/>
          <w:bCs/>
          <w:color w:val="000000"/>
          <w:sz w:val="20"/>
          <w:szCs w:val="20"/>
        </w:rPr>
        <w:t>Washington, D.C. 20549</w:t>
      </w:r>
    </w:p>
    <w:p w:rsidR="00000000" w:rsidRDefault="00FD7D3C">
      <w:pPr>
        <w:jc w:val="center"/>
        <w:rPr>
          <w:rFonts w:eastAsia="Times New Roman"/>
        </w:rPr>
      </w:pPr>
      <w:r>
        <w:rPr>
          <w:rFonts w:eastAsia="Times New Roman"/>
          <w:b/>
          <w:bCs/>
          <w:color w:val="000000"/>
          <w:sz w:val="12"/>
          <w:szCs w:val="12"/>
        </w:rPr>
        <w:t>_____________________________________________</w:t>
      </w:r>
    </w:p>
    <w:p w:rsidR="00000000" w:rsidRDefault="00FD7D3C">
      <w:pPr>
        <w:jc w:val="center"/>
        <w:divId w:val="1641570515"/>
        <w:rPr>
          <w:rFonts w:eastAsia="Times New Roman"/>
        </w:rPr>
      </w:pPr>
      <w:r>
        <w:rPr>
          <w:rFonts w:eastAsia="Times New Roman"/>
          <w:b/>
          <w:bCs/>
          <w:color w:val="000000"/>
          <w:sz w:val="30"/>
          <w:szCs w:val="30"/>
        </w:rPr>
        <w:t>FORM 10-K</w:t>
      </w:r>
    </w:p>
    <w:p w:rsidR="00000000" w:rsidRDefault="00FD7D3C">
      <w:pPr>
        <w:jc w:val="center"/>
        <w:rPr>
          <w:rFonts w:eastAsia="Times New Roman"/>
        </w:rPr>
      </w:pPr>
      <w:r>
        <w:rPr>
          <w:rFonts w:eastAsia="Times New Roman"/>
          <w:color w:val="000000"/>
          <w:sz w:val="12"/>
          <w:szCs w:val="12"/>
        </w:rPr>
        <w:t>_____________________________________________</w:t>
      </w:r>
    </w:p>
    <w:p w:rsidR="00000000" w:rsidRDefault="00FD7D3C">
      <w:pPr>
        <w:divId w:val="334921654"/>
        <w:rPr>
          <w:rFonts w:eastAsia="Times New Roman"/>
        </w:rPr>
      </w:pPr>
      <w:r>
        <w:rPr>
          <w:rFonts w:eastAsia="Times New Roman"/>
          <w:b/>
          <w:bCs/>
          <w:color w:val="000000"/>
          <w:sz w:val="16"/>
          <w:szCs w:val="16"/>
        </w:rPr>
        <w:t>(Mark One)</w:t>
      </w:r>
    </w:p>
    <w:tbl>
      <w:tblPr>
        <w:tblW w:w="5000" w:type="pct"/>
        <w:tblCellMar>
          <w:top w:w="15" w:type="dxa"/>
          <w:left w:w="15" w:type="dxa"/>
          <w:bottom w:w="15" w:type="dxa"/>
          <w:right w:w="15" w:type="dxa"/>
        </w:tblCellMar>
        <w:tblLook w:val="04A0" w:firstRow="1" w:lastRow="0" w:firstColumn="1" w:lastColumn="0" w:noHBand="0" w:noVBand="1"/>
      </w:tblPr>
      <w:tblGrid>
        <w:gridCol w:w="37"/>
        <w:gridCol w:w="193"/>
        <w:gridCol w:w="36"/>
        <w:gridCol w:w="37"/>
        <w:gridCol w:w="7967"/>
        <w:gridCol w:w="36"/>
      </w:tblGrid>
      <w:tr w:rsidR="00000000">
        <w:trPr>
          <w:divId w:val="1130975852"/>
        </w:trPr>
        <w:tc>
          <w:tcPr>
            <w:tcW w:w="5" w:type="pct"/>
            <w:vAlign w:val="center"/>
            <w:hideMark/>
          </w:tcPr>
          <w:p w:rsidR="00000000" w:rsidRDefault="00FD7D3C">
            <w:pPr>
              <w:rPr>
                <w:rFonts w:eastAsia="Times New Roman"/>
              </w:rPr>
            </w:pPr>
          </w:p>
        </w:tc>
        <w:tc>
          <w:tcPr>
            <w:tcW w:w="118"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4816"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r>
      <w:tr w:rsidR="00000000">
        <w:trPr>
          <w:divId w:val="1130975852"/>
        </w:trPr>
        <w:tc>
          <w:tcPr>
            <w:tcW w:w="0" w:type="auto"/>
            <w:gridSpan w:val="3"/>
            <w:tcMar>
              <w:top w:w="30" w:type="dxa"/>
              <w:left w:w="20" w:type="dxa"/>
              <w:bottom w:w="30" w:type="dxa"/>
              <w:right w:w="20" w:type="dxa"/>
            </w:tcMar>
            <w:hideMark/>
          </w:tcPr>
          <w:p w:rsidR="00000000" w:rsidRDefault="00FD7D3C">
            <w:pPr>
              <w:spacing w:after="100"/>
              <w:rPr>
                <w:rFonts w:eastAsia="Times New Roman"/>
              </w:rPr>
            </w:pPr>
            <w:r>
              <w:rPr>
                <w:rFonts w:ascii="Wingdings" w:eastAsia="Times New Roman" w:hAnsi="Wingdings"/>
                <w:color w:val="000000"/>
                <w:sz w:val="16"/>
                <w:szCs w:val="16"/>
              </w:rPr>
              <w:t>x</w:t>
            </w:r>
          </w:p>
        </w:tc>
        <w:tc>
          <w:tcPr>
            <w:tcW w:w="0" w:type="auto"/>
            <w:gridSpan w:val="3"/>
            <w:tcMar>
              <w:top w:w="30" w:type="dxa"/>
              <w:left w:w="20" w:type="dxa"/>
              <w:bottom w:w="30" w:type="dxa"/>
              <w:right w:w="20" w:type="dxa"/>
            </w:tcMar>
            <w:hideMark/>
          </w:tcPr>
          <w:p w:rsidR="00000000" w:rsidRDefault="00FD7D3C">
            <w:pPr>
              <w:spacing w:after="100"/>
              <w:rPr>
                <w:rFonts w:eastAsia="Times New Roman"/>
              </w:rPr>
            </w:pPr>
            <w:r>
              <w:rPr>
                <w:rFonts w:eastAsia="Times New Roman"/>
                <w:b/>
                <w:bCs/>
                <w:color w:val="000000"/>
                <w:sz w:val="16"/>
                <w:szCs w:val="16"/>
              </w:rPr>
              <w:t>ANNUAL REPORT PURSUANT TO SECTION 13 OR 15(d) OF THE SECURITIES EXCHANGE ACT OF 1934</w:t>
            </w:r>
          </w:p>
        </w:tc>
      </w:tr>
    </w:tbl>
    <w:p w:rsidR="00000000" w:rsidRDefault="00FD7D3C">
      <w:pPr>
        <w:jc w:val="center"/>
        <w:divId w:val="197545778"/>
        <w:rPr>
          <w:rFonts w:eastAsia="Times New Roman"/>
        </w:rPr>
      </w:pPr>
      <w:r>
        <w:rPr>
          <w:rFonts w:eastAsia="Times New Roman"/>
          <w:b/>
          <w:bCs/>
          <w:color w:val="000000"/>
          <w:sz w:val="20"/>
          <w:szCs w:val="20"/>
        </w:rPr>
        <w:t xml:space="preserve">For the fiscal year ended December 31, 2021 </w:t>
      </w:r>
    </w:p>
    <w:p w:rsidR="00000000" w:rsidRDefault="00FD7D3C">
      <w:pPr>
        <w:jc w:val="center"/>
        <w:divId w:val="1530949347"/>
        <w:rPr>
          <w:rFonts w:eastAsia="Times New Roman"/>
        </w:rPr>
      </w:pPr>
      <w:r>
        <w:rPr>
          <w:rFonts w:eastAsia="Times New Roman"/>
          <w:b/>
          <w:bCs/>
          <w:color w:val="000000"/>
          <w:sz w:val="20"/>
          <w:szCs w:val="20"/>
        </w:rPr>
        <w:t>OR</w:t>
      </w:r>
    </w:p>
    <w:tbl>
      <w:tblPr>
        <w:tblW w:w="5000" w:type="pct"/>
        <w:tblCellMar>
          <w:top w:w="15" w:type="dxa"/>
          <w:left w:w="15" w:type="dxa"/>
          <w:bottom w:w="15" w:type="dxa"/>
          <w:right w:w="15" w:type="dxa"/>
        </w:tblCellMar>
        <w:tblLook w:val="04A0" w:firstRow="1" w:lastRow="0" w:firstColumn="1" w:lastColumn="0" w:noHBand="0" w:noVBand="1"/>
      </w:tblPr>
      <w:tblGrid>
        <w:gridCol w:w="37"/>
        <w:gridCol w:w="193"/>
        <w:gridCol w:w="36"/>
        <w:gridCol w:w="55"/>
        <w:gridCol w:w="7949"/>
        <w:gridCol w:w="36"/>
      </w:tblGrid>
      <w:tr w:rsidR="00000000">
        <w:trPr>
          <w:divId w:val="2122064072"/>
        </w:trPr>
        <w:tc>
          <w:tcPr>
            <w:tcW w:w="5" w:type="pct"/>
            <w:vAlign w:val="center"/>
            <w:hideMark/>
          </w:tcPr>
          <w:p w:rsidR="00000000" w:rsidRDefault="00FD7D3C">
            <w:pPr>
              <w:jc w:val="center"/>
              <w:rPr>
                <w:rFonts w:eastAsia="Times New Roman"/>
              </w:rPr>
            </w:pPr>
          </w:p>
        </w:tc>
        <w:tc>
          <w:tcPr>
            <w:tcW w:w="133"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4801"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r>
      <w:tr w:rsidR="00000000">
        <w:trPr>
          <w:divId w:val="2122064072"/>
        </w:trPr>
        <w:tc>
          <w:tcPr>
            <w:tcW w:w="0" w:type="auto"/>
            <w:gridSpan w:val="3"/>
            <w:tcMar>
              <w:top w:w="30" w:type="dxa"/>
              <w:left w:w="20" w:type="dxa"/>
              <w:bottom w:w="30" w:type="dxa"/>
              <w:right w:w="20" w:type="dxa"/>
            </w:tcMar>
            <w:hideMark/>
          </w:tcPr>
          <w:p w:rsidR="00000000" w:rsidRDefault="00FD7D3C">
            <w:pPr>
              <w:spacing w:after="100"/>
              <w:rPr>
                <w:rFonts w:eastAsia="Times New Roman"/>
              </w:rPr>
            </w:pPr>
            <w:r>
              <w:rPr>
                <w:rFonts w:ascii="Wingdings" w:eastAsia="Times New Roman" w:hAnsi="Wingdings"/>
                <w:color w:val="000000"/>
                <w:sz w:val="16"/>
                <w:szCs w:val="16"/>
              </w:rPr>
              <w:t>¨</w:t>
            </w:r>
          </w:p>
        </w:tc>
        <w:tc>
          <w:tcPr>
            <w:tcW w:w="0" w:type="auto"/>
            <w:gridSpan w:val="3"/>
            <w:tcMar>
              <w:top w:w="30" w:type="dxa"/>
              <w:left w:w="20" w:type="dxa"/>
              <w:bottom w:w="30" w:type="dxa"/>
              <w:right w:w="20" w:type="dxa"/>
            </w:tcMar>
            <w:hideMark/>
          </w:tcPr>
          <w:p w:rsidR="00000000" w:rsidRDefault="00FD7D3C">
            <w:pPr>
              <w:spacing w:after="100"/>
              <w:rPr>
                <w:rFonts w:eastAsia="Times New Roman"/>
              </w:rPr>
            </w:pPr>
            <w:r>
              <w:rPr>
                <w:rFonts w:eastAsia="Times New Roman"/>
                <w:b/>
                <w:bCs/>
                <w:color w:val="000000"/>
                <w:sz w:val="16"/>
                <w:szCs w:val="16"/>
              </w:rPr>
              <w:t>TRANSITION REPORT PURSUANT TO SECTION 13 OR 15(d) OF THE SECURITIES EXCHANGE ACT OF 1934 FOR THE TRANSITION PERIOD FROM                      TO</w:t>
            </w:r>
          </w:p>
        </w:tc>
      </w:tr>
    </w:tbl>
    <w:p w:rsidR="00000000" w:rsidRDefault="00FD7D3C">
      <w:pPr>
        <w:jc w:val="center"/>
        <w:divId w:val="473715208"/>
        <w:rPr>
          <w:rFonts w:eastAsia="Times New Roman"/>
        </w:rPr>
      </w:pPr>
      <w:r>
        <w:rPr>
          <w:rFonts w:eastAsia="Times New Roman"/>
          <w:b/>
          <w:bCs/>
          <w:color w:val="000000"/>
          <w:sz w:val="20"/>
          <w:szCs w:val="20"/>
        </w:rPr>
        <w:t>Commission File Number </w:t>
      </w:r>
      <w:r>
        <w:rPr>
          <w:rFonts w:eastAsia="Times New Roman"/>
          <w:b/>
          <w:bCs/>
          <w:color w:val="000000"/>
          <w:sz w:val="18"/>
          <w:szCs w:val="18"/>
        </w:rPr>
        <w:t>001-39303</w:t>
      </w:r>
    </w:p>
    <w:p w:rsidR="00000000" w:rsidRDefault="00FD7D3C">
      <w:pPr>
        <w:jc w:val="center"/>
        <w:rPr>
          <w:rFonts w:eastAsia="Times New Roman"/>
        </w:rPr>
      </w:pPr>
      <w:r>
        <w:rPr>
          <w:rFonts w:eastAsia="Times New Roman"/>
          <w:color w:val="000000"/>
          <w:sz w:val="12"/>
          <w:szCs w:val="12"/>
        </w:rPr>
        <w:t>_____________________________________________</w:t>
      </w:r>
    </w:p>
    <w:p w:rsidR="00000000" w:rsidRDefault="00FD7D3C">
      <w:pPr>
        <w:jc w:val="center"/>
        <w:rPr>
          <w:rFonts w:eastAsia="Times New Roman"/>
        </w:rPr>
      </w:pPr>
      <w:r>
        <w:rPr>
          <w:rFonts w:eastAsia="Times New Roman"/>
          <w:b/>
          <w:bCs/>
          <w:color w:val="000000"/>
          <w:sz w:val="32"/>
          <w:szCs w:val="32"/>
        </w:rPr>
        <w:t>PLIANT THERAPEUTICS, INC.</w:t>
      </w:r>
    </w:p>
    <w:p w:rsidR="00000000" w:rsidRDefault="00FD7D3C">
      <w:pPr>
        <w:jc w:val="center"/>
        <w:divId w:val="418405342"/>
        <w:rPr>
          <w:rFonts w:eastAsia="Times New Roman"/>
        </w:rPr>
      </w:pPr>
      <w:r>
        <w:rPr>
          <w:rFonts w:eastAsia="Times New Roman"/>
          <w:b/>
          <w:bCs/>
          <w:color w:val="000000"/>
          <w:sz w:val="20"/>
          <w:szCs w:val="20"/>
        </w:rPr>
        <w:t>(Exact name of Registrant as specified in its Charter)</w:t>
      </w:r>
    </w:p>
    <w:p w:rsidR="00000000" w:rsidRDefault="00FD7D3C">
      <w:pPr>
        <w:jc w:val="center"/>
        <w:rPr>
          <w:rFonts w:eastAsia="Times New Roman"/>
        </w:rPr>
      </w:pPr>
      <w:r>
        <w:rPr>
          <w:rFonts w:eastAsia="Times New Roman"/>
          <w:color w:val="000000"/>
          <w:sz w:val="12"/>
          <w:szCs w:val="12"/>
        </w:rPr>
        <w:t>_____________________________________________</w:t>
      </w:r>
    </w:p>
    <w:tbl>
      <w:tblPr>
        <w:tblW w:w="4500" w:type="pct"/>
        <w:jc w:val="center"/>
        <w:tblCellMar>
          <w:top w:w="15" w:type="dxa"/>
          <w:left w:w="15" w:type="dxa"/>
          <w:bottom w:w="15" w:type="dxa"/>
          <w:right w:w="15" w:type="dxa"/>
        </w:tblCellMar>
        <w:tblLook w:val="04A0" w:firstRow="1" w:lastRow="0" w:firstColumn="1" w:lastColumn="0" w:noHBand="0" w:noVBand="1"/>
      </w:tblPr>
      <w:tblGrid>
        <w:gridCol w:w="53"/>
        <w:gridCol w:w="2075"/>
        <w:gridCol w:w="38"/>
        <w:gridCol w:w="37"/>
        <w:gridCol w:w="102"/>
        <w:gridCol w:w="36"/>
        <w:gridCol w:w="54"/>
        <w:gridCol w:w="1242"/>
        <w:gridCol w:w="36"/>
        <w:gridCol w:w="54"/>
        <w:gridCol w:w="3711"/>
        <w:gridCol w:w="37"/>
      </w:tblGrid>
      <w:tr w:rsidR="00000000">
        <w:trPr>
          <w:divId w:val="80958202"/>
          <w:jc w:val="center"/>
        </w:trPr>
        <w:tc>
          <w:tcPr>
            <w:tcW w:w="50" w:type="pct"/>
            <w:vAlign w:val="center"/>
            <w:hideMark/>
          </w:tcPr>
          <w:p w:rsidR="00000000" w:rsidRDefault="00FD7D3C">
            <w:pPr>
              <w:jc w:val="center"/>
              <w:rPr>
                <w:rFonts w:eastAsia="Times New Roman"/>
              </w:rPr>
            </w:pPr>
          </w:p>
        </w:tc>
        <w:tc>
          <w:tcPr>
            <w:tcW w:w="1401"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82"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84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249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r>
      <w:tr w:rsidR="00000000">
        <w:trPr>
          <w:divId w:val="80958202"/>
          <w:jc w:val="center"/>
        </w:trPr>
        <w:tc>
          <w:tcPr>
            <w:tcW w:w="0" w:type="auto"/>
            <w:gridSpan w:val="9"/>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20"/>
                <w:szCs w:val="20"/>
              </w:rPr>
              <w:t>Delaware</w:t>
            </w:r>
          </w:p>
        </w:tc>
        <w:tc>
          <w:tcPr>
            <w:tcW w:w="0" w:type="auto"/>
            <w:gridSpan w:val="3"/>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20"/>
                <w:szCs w:val="20"/>
              </w:rPr>
              <w:t>47-4272481</w:t>
            </w:r>
          </w:p>
        </w:tc>
      </w:tr>
      <w:tr w:rsidR="00000000">
        <w:trPr>
          <w:divId w:val="80958202"/>
          <w:jc w:val="center"/>
        </w:trPr>
        <w:tc>
          <w:tcPr>
            <w:tcW w:w="0" w:type="auto"/>
            <w:gridSpan w:val="9"/>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4"/>
                <w:szCs w:val="14"/>
              </w:rPr>
              <w:t>(State or other jurisdiction of</w:t>
            </w:r>
            <w:r>
              <w:rPr>
                <w:rFonts w:eastAsia="Times New Roman"/>
                <w:b/>
                <w:bCs/>
                <w:color w:val="000000"/>
                <w:sz w:val="14"/>
                <w:szCs w:val="14"/>
              </w:rPr>
              <w:br/>
              <w:t>incorporation or organization)</w:t>
            </w:r>
          </w:p>
        </w:tc>
        <w:tc>
          <w:tcPr>
            <w:tcW w:w="0" w:type="auto"/>
            <w:gridSpan w:val="3"/>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4"/>
                <w:szCs w:val="14"/>
              </w:rPr>
              <w:t>(I.R.S. Employer</w:t>
            </w:r>
            <w:r>
              <w:rPr>
                <w:rFonts w:eastAsia="Times New Roman"/>
                <w:b/>
                <w:bCs/>
                <w:color w:val="000000"/>
                <w:sz w:val="14"/>
                <w:szCs w:val="14"/>
              </w:rPr>
              <w:br/>
              <w:t>Identification No.)</w:t>
            </w:r>
          </w:p>
        </w:tc>
      </w:tr>
      <w:tr w:rsidR="00000000">
        <w:trPr>
          <w:divId w:val="80958202"/>
          <w:jc w:val="center"/>
        </w:trPr>
        <w:tc>
          <w:tcPr>
            <w:tcW w:w="0" w:type="auto"/>
            <w:gridSpan w:val="9"/>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8"/>
                <w:szCs w:val="18"/>
              </w:rPr>
              <w:t>260 Littlefield Avenue</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r>
      <w:tr w:rsidR="00000000">
        <w:trPr>
          <w:divId w:val="80958202"/>
          <w:jc w:val="center"/>
        </w:trPr>
        <w:tc>
          <w:tcPr>
            <w:tcW w:w="0" w:type="auto"/>
            <w:gridSpan w:val="3"/>
            <w:tcMar>
              <w:top w:w="30" w:type="dxa"/>
              <w:left w:w="20" w:type="dxa"/>
              <w:bottom w:w="30" w:type="dxa"/>
              <w:right w:w="20" w:type="dxa"/>
            </w:tcMar>
            <w:vAlign w:val="bottom"/>
            <w:hideMark/>
          </w:tcPr>
          <w:p w:rsidR="00000000" w:rsidRDefault="00FD7D3C">
            <w:pPr>
              <w:spacing w:after="100"/>
              <w:jc w:val="right"/>
              <w:rPr>
                <w:rFonts w:eastAsia="Times New Roman"/>
              </w:rPr>
            </w:pPr>
            <w:r>
              <w:rPr>
                <w:rFonts w:eastAsia="Times New Roman"/>
                <w:b/>
                <w:bCs/>
                <w:color w:val="000000"/>
                <w:sz w:val="18"/>
                <w:szCs w:val="18"/>
              </w:rPr>
              <w:t>South San Francisco</w:t>
            </w:r>
          </w:p>
        </w:tc>
        <w:tc>
          <w:tcPr>
            <w:tcW w:w="0" w:type="auto"/>
            <w:gridSpan w:val="3"/>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8"/>
                <w:szCs w:val="18"/>
              </w:rPr>
              <w:t>,</w:t>
            </w:r>
          </w:p>
        </w:tc>
        <w:tc>
          <w:tcPr>
            <w:tcW w:w="0" w:type="auto"/>
            <w:gridSpan w:val="3"/>
            <w:tcMar>
              <w:top w:w="30" w:type="dxa"/>
              <w:left w:w="20" w:type="dxa"/>
              <w:bottom w:w="30" w:type="dxa"/>
              <w:right w:w="20" w:type="dxa"/>
            </w:tcMar>
            <w:vAlign w:val="bottom"/>
            <w:hideMark/>
          </w:tcPr>
          <w:p w:rsidR="00000000" w:rsidRDefault="00FD7D3C">
            <w:pPr>
              <w:spacing w:after="100"/>
              <w:rPr>
                <w:rFonts w:eastAsia="Times New Roman"/>
              </w:rPr>
            </w:pPr>
            <w:r>
              <w:rPr>
                <w:rFonts w:eastAsia="Times New Roman"/>
                <w:b/>
                <w:bCs/>
                <w:color w:val="000000"/>
                <w:sz w:val="18"/>
                <w:szCs w:val="18"/>
              </w:rPr>
              <w:t>CA</w:t>
            </w:r>
          </w:p>
        </w:tc>
        <w:tc>
          <w:tcPr>
            <w:tcW w:w="0" w:type="auto"/>
            <w:gridSpan w:val="3"/>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20"/>
                <w:szCs w:val="20"/>
              </w:rPr>
              <w:t>94080</w:t>
            </w:r>
          </w:p>
        </w:tc>
      </w:tr>
      <w:tr w:rsidR="00000000">
        <w:trPr>
          <w:divId w:val="80958202"/>
          <w:jc w:val="center"/>
        </w:trPr>
        <w:tc>
          <w:tcPr>
            <w:tcW w:w="0" w:type="auto"/>
            <w:gridSpan w:val="9"/>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4"/>
                <w:szCs w:val="14"/>
              </w:rPr>
              <w:t>(Address of principal executive offices)</w:t>
            </w:r>
          </w:p>
        </w:tc>
        <w:tc>
          <w:tcPr>
            <w:tcW w:w="0" w:type="auto"/>
            <w:gridSpan w:val="3"/>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4"/>
                <w:szCs w:val="14"/>
              </w:rPr>
              <w:t>(Zip Code)</w:t>
            </w:r>
          </w:p>
        </w:tc>
      </w:tr>
    </w:tbl>
    <w:p w:rsidR="00000000" w:rsidRDefault="00FD7D3C">
      <w:pPr>
        <w:jc w:val="center"/>
        <w:divId w:val="1590624530"/>
        <w:rPr>
          <w:rFonts w:eastAsia="Times New Roman"/>
        </w:rPr>
      </w:pPr>
      <w:r>
        <w:rPr>
          <w:rFonts w:eastAsia="Times New Roman"/>
          <w:b/>
          <w:bCs/>
          <w:color w:val="000000"/>
          <w:sz w:val="20"/>
          <w:szCs w:val="20"/>
        </w:rPr>
        <w:t>Registrant’s telephone number, including area code: </w:t>
      </w:r>
      <w:r>
        <w:rPr>
          <w:rFonts w:eastAsia="Times New Roman"/>
          <w:b/>
          <w:bCs/>
          <w:color w:val="000000"/>
          <w:sz w:val="18"/>
          <w:szCs w:val="18"/>
        </w:rPr>
        <w:t>(650) 481-6770</w:t>
      </w:r>
    </w:p>
    <w:p w:rsidR="00000000" w:rsidRDefault="00FD7D3C">
      <w:pPr>
        <w:jc w:val="center"/>
        <w:rPr>
          <w:rFonts w:eastAsia="Times New Roman"/>
        </w:rPr>
      </w:pPr>
      <w:r>
        <w:rPr>
          <w:rFonts w:eastAsia="Times New Roman"/>
          <w:color w:val="000000"/>
          <w:sz w:val="12"/>
          <w:szCs w:val="12"/>
        </w:rPr>
        <w:t>_____________________________________________</w:t>
      </w:r>
    </w:p>
    <w:p w:rsidR="00000000" w:rsidRDefault="00FD7D3C">
      <w:pPr>
        <w:divId w:val="163085969"/>
        <w:rPr>
          <w:rFonts w:eastAsia="Times New Roman"/>
        </w:rPr>
      </w:pPr>
      <w:r>
        <w:rPr>
          <w:rFonts w:eastAsia="Times New Roman"/>
          <w:color w:val="000000"/>
          <w:sz w:val="17"/>
          <w:szCs w:val="17"/>
        </w:rPr>
        <w:t>Securities registered pursuant to Section 12(b) of the Act:</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662"/>
        <w:gridCol w:w="36"/>
        <w:gridCol w:w="69"/>
        <w:gridCol w:w="2563"/>
        <w:gridCol w:w="36"/>
        <w:gridCol w:w="69"/>
        <w:gridCol w:w="2765"/>
        <w:gridCol w:w="37"/>
      </w:tblGrid>
      <w:tr w:rsidR="00000000">
        <w:trPr>
          <w:divId w:val="1920747388"/>
          <w:jc w:val="center"/>
        </w:trPr>
        <w:tc>
          <w:tcPr>
            <w:tcW w:w="50" w:type="pct"/>
            <w:vAlign w:val="center"/>
            <w:hideMark/>
          </w:tcPr>
          <w:p w:rsidR="00000000" w:rsidRDefault="00FD7D3C">
            <w:pPr>
              <w:rPr>
                <w:rFonts w:eastAsia="Times New Roman"/>
              </w:rPr>
            </w:pPr>
          </w:p>
        </w:tc>
        <w:tc>
          <w:tcPr>
            <w:tcW w:w="1611"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1551"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1672"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r>
      <w:tr w:rsidR="00000000">
        <w:trPr>
          <w:divId w:val="1920747388"/>
          <w:jc w:val="center"/>
        </w:trPr>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Trading</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Name of Each Exchange on which Securities are</w:t>
            </w:r>
          </w:p>
        </w:tc>
      </w:tr>
      <w:tr w:rsidR="00000000">
        <w:trPr>
          <w:divId w:val="1920747388"/>
          <w:jc w:val="center"/>
        </w:trPr>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Title of Each Class of Securities Registered</w:t>
            </w:r>
          </w:p>
        </w:tc>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Symbol</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Registered</w:t>
            </w:r>
          </w:p>
        </w:tc>
      </w:tr>
      <w:tr w:rsidR="00000000">
        <w:trPr>
          <w:divId w:val="1920747388"/>
          <w:jc w:val="center"/>
        </w:trPr>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color w:val="000000"/>
                <w:sz w:val="16"/>
                <w:szCs w:val="16"/>
              </w:rPr>
              <w:t>Common Stock, par value $0.0001 per share</w:t>
            </w:r>
          </w:p>
        </w:tc>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color w:val="000000"/>
                <w:sz w:val="16"/>
                <w:szCs w:val="16"/>
              </w:rPr>
              <w:t>PLRX</w:t>
            </w: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color w:val="000000"/>
                <w:sz w:val="16"/>
                <w:szCs w:val="16"/>
              </w:rPr>
              <w:t>The Nasdaq Stock Market LLC</w:t>
            </w:r>
          </w:p>
        </w:tc>
      </w:tr>
    </w:tbl>
    <w:p w:rsidR="00000000" w:rsidRDefault="00FD7D3C">
      <w:pPr>
        <w:divId w:val="2073691236"/>
        <w:rPr>
          <w:rFonts w:eastAsia="Times New Roman"/>
        </w:rPr>
      </w:pPr>
      <w:r>
        <w:rPr>
          <w:rFonts w:eastAsia="Times New Roman"/>
          <w:color w:val="000000"/>
          <w:sz w:val="16"/>
          <w:szCs w:val="16"/>
        </w:rPr>
        <w:t>Securities registered pursuant to Section 12(g) of the Act: </w:t>
      </w:r>
      <w:r>
        <w:rPr>
          <w:rFonts w:eastAsia="Times New Roman"/>
          <w:b/>
          <w:bCs/>
          <w:color w:val="000000"/>
          <w:sz w:val="16"/>
          <w:szCs w:val="16"/>
        </w:rPr>
        <w:t>None</w:t>
      </w:r>
    </w:p>
    <w:p w:rsidR="00000000" w:rsidRDefault="00FD7D3C">
      <w:pPr>
        <w:divId w:val="2005011878"/>
        <w:rPr>
          <w:rFonts w:eastAsia="Times New Roman"/>
        </w:rPr>
      </w:pPr>
      <w:r>
        <w:rPr>
          <w:rFonts w:eastAsia="Times New Roman"/>
          <w:color w:val="000000"/>
          <w:sz w:val="16"/>
          <w:szCs w:val="16"/>
        </w:rPr>
        <w:t>Indicate by check mark if the Registrant is a well-known seasoned issuer, as defined in Rule 405 of the Securities Act. Yes </w:t>
      </w:r>
      <w:r>
        <w:rPr>
          <w:rFonts w:ascii="Wingdings" w:eastAsia="Times New Roman" w:hAnsi="Wingdings"/>
          <w:color w:val="000000"/>
          <w:sz w:val="16"/>
          <w:szCs w:val="16"/>
        </w:rPr>
        <w:t>¨</w:t>
      </w:r>
      <w:r>
        <w:rPr>
          <w:rFonts w:eastAsia="Times New Roman"/>
          <w:color w:val="000000"/>
          <w:sz w:val="16"/>
          <w:szCs w:val="16"/>
        </w:rPr>
        <w:t> No </w:t>
      </w:r>
      <w:r>
        <w:rPr>
          <w:rFonts w:ascii="Wingdings" w:eastAsia="Times New Roman" w:hAnsi="Wingdings"/>
          <w:color w:val="000000"/>
          <w:sz w:val="16"/>
          <w:szCs w:val="16"/>
        </w:rPr>
        <w:t>x</w:t>
      </w:r>
    </w:p>
    <w:p w:rsidR="00000000" w:rsidRDefault="00FD7D3C">
      <w:pPr>
        <w:divId w:val="900793772"/>
        <w:rPr>
          <w:rFonts w:eastAsia="Times New Roman"/>
        </w:rPr>
      </w:pPr>
      <w:r>
        <w:rPr>
          <w:rFonts w:eastAsia="Times New Roman"/>
          <w:color w:val="000000"/>
          <w:sz w:val="16"/>
          <w:szCs w:val="16"/>
        </w:rPr>
        <w:t>Indicate by check mark if the Registrant is not required to file reports pursuant to Section 13 or 15(d) of the Act.  Yes </w:t>
      </w:r>
      <w:r>
        <w:rPr>
          <w:rFonts w:ascii="Wingdings" w:eastAsia="Times New Roman" w:hAnsi="Wingdings"/>
          <w:color w:val="000000"/>
          <w:sz w:val="16"/>
          <w:szCs w:val="16"/>
        </w:rPr>
        <w:t>¨</w:t>
      </w:r>
      <w:r>
        <w:rPr>
          <w:rFonts w:eastAsia="Times New Roman"/>
          <w:color w:val="000000"/>
          <w:sz w:val="16"/>
          <w:szCs w:val="16"/>
        </w:rPr>
        <w:t> N</w:t>
      </w:r>
      <w:r>
        <w:rPr>
          <w:rFonts w:eastAsia="Times New Roman"/>
          <w:color w:val="000000"/>
          <w:sz w:val="16"/>
          <w:szCs w:val="16"/>
        </w:rPr>
        <w:t>o </w:t>
      </w:r>
      <w:r>
        <w:rPr>
          <w:rFonts w:ascii="Wingdings" w:eastAsia="Times New Roman" w:hAnsi="Wingdings"/>
          <w:color w:val="000000"/>
          <w:sz w:val="16"/>
          <w:szCs w:val="16"/>
        </w:rPr>
        <w:t>x</w:t>
      </w:r>
    </w:p>
    <w:p w:rsidR="00000000" w:rsidRDefault="00FD7D3C">
      <w:pPr>
        <w:divId w:val="354502012"/>
        <w:rPr>
          <w:rFonts w:eastAsia="Times New Roman"/>
        </w:rPr>
      </w:pPr>
      <w:r>
        <w:rPr>
          <w:rFonts w:eastAsia="Times New Roman"/>
          <w:color w:val="000000"/>
          <w:sz w:val="16"/>
          <w:szCs w:val="16"/>
        </w:rPr>
        <w:t>Indicate by check mark whether the Registrant: (1) has filed all reports required to be filed by Section 13 or 15(d) of the Securities Exchange Act of 1934 during the preceding 12 months (or for such shorter period that the Registrant was required to f</w:t>
      </w:r>
      <w:r>
        <w:rPr>
          <w:rFonts w:eastAsia="Times New Roman"/>
          <w:color w:val="000000"/>
          <w:sz w:val="16"/>
          <w:szCs w:val="16"/>
        </w:rPr>
        <w:t>ile such reports), and (2) has been subject to such filing requirements for the past 90 days.  Yes </w:t>
      </w:r>
      <w:r>
        <w:rPr>
          <w:rFonts w:ascii="Wingdings" w:eastAsia="Times New Roman" w:hAnsi="Wingdings"/>
          <w:color w:val="000000"/>
          <w:sz w:val="16"/>
          <w:szCs w:val="16"/>
        </w:rPr>
        <w:t>x</w:t>
      </w:r>
      <w:r>
        <w:rPr>
          <w:rFonts w:eastAsia="Times New Roman"/>
          <w:color w:val="000000"/>
          <w:sz w:val="16"/>
          <w:szCs w:val="16"/>
        </w:rPr>
        <w:t> No </w:t>
      </w:r>
      <w:r>
        <w:rPr>
          <w:rFonts w:ascii="Wingdings" w:eastAsia="Times New Roman" w:hAnsi="Wingdings"/>
          <w:color w:val="000000"/>
          <w:sz w:val="16"/>
          <w:szCs w:val="16"/>
        </w:rPr>
        <w:t>¨</w:t>
      </w:r>
    </w:p>
    <w:p w:rsidR="00000000" w:rsidRDefault="00FD7D3C">
      <w:pPr>
        <w:divId w:val="1156992656"/>
        <w:rPr>
          <w:rFonts w:eastAsia="Times New Roman"/>
        </w:rPr>
      </w:pPr>
      <w:r>
        <w:rPr>
          <w:rFonts w:eastAsia="Times New Roman"/>
          <w:color w:val="000000"/>
          <w:sz w:val="16"/>
          <w:szCs w:val="16"/>
        </w:rPr>
        <w:t>Indicate by check mark whether the Registrant has submitted electronically every Interactive Data File required to be submitted pursuant to Rule 405 o</w:t>
      </w:r>
      <w:r>
        <w:rPr>
          <w:rFonts w:eastAsia="Times New Roman"/>
          <w:color w:val="000000"/>
          <w:sz w:val="16"/>
          <w:szCs w:val="16"/>
        </w:rPr>
        <w:t>f Regulation S-T (§232.405 of this chapter) during the preceding 12 months (or for such shorter period that the Registrant was required to submit such files).  Yes </w:t>
      </w:r>
      <w:r>
        <w:rPr>
          <w:rFonts w:ascii="Wingdings" w:eastAsia="Times New Roman" w:hAnsi="Wingdings"/>
          <w:color w:val="000000"/>
          <w:sz w:val="16"/>
          <w:szCs w:val="16"/>
        </w:rPr>
        <w:t>x</w:t>
      </w:r>
      <w:r>
        <w:rPr>
          <w:rFonts w:eastAsia="Times New Roman"/>
          <w:color w:val="000000"/>
          <w:sz w:val="16"/>
          <w:szCs w:val="16"/>
        </w:rPr>
        <w:t> No </w:t>
      </w:r>
      <w:r>
        <w:rPr>
          <w:rFonts w:ascii="Wingdings" w:eastAsia="Times New Roman" w:hAnsi="Wingdings"/>
          <w:color w:val="000000"/>
          <w:sz w:val="16"/>
          <w:szCs w:val="16"/>
        </w:rPr>
        <w:t>¨</w:t>
      </w:r>
    </w:p>
    <w:p w:rsidR="00000000" w:rsidRDefault="00FD7D3C">
      <w:pPr>
        <w:divId w:val="133329282"/>
        <w:rPr>
          <w:rFonts w:eastAsia="Times New Roman"/>
        </w:rPr>
      </w:pPr>
      <w:r>
        <w:rPr>
          <w:rFonts w:eastAsia="Times New Roman"/>
          <w:color w:val="000000"/>
          <w:sz w:val="16"/>
          <w:szCs w:val="16"/>
        </w:rPr>
        <w:t>Indicate by check mark whether the registrant is a large accelerated filer, an accele</w:t>
      </w:r>
      <w:r>
        <w:rPr>
          <w:rFonts w:eastAsia="Times New Roman"/>
          <w:color w:val="000000"/>
          <w:sz w:val="16"/>
          <w:szCs w:val="16"/>
        </w:rPr>
        <w:t xml:space="preserve">rated filer, a non-accelerated filer, smaller reporting company, or an emerging growth company. See the definitions of “large accelerated filer,” “accelerated filer,” “smaller reporting company,” and “emerging growth company” in Rule 12b-2 of the Exchange </w:t>
      </w:r>
      <w:r>
        <w:rPr>
          <w:rFonts w:eastAsia="Times New Roman"/>
          <w:color w:val="000000"/>
          <w:sz w:val="16"/>
          <w:szCs w:val="16"/>
        </w:rPr>
        <w:t>Act.</w:t>
      </w:r>
    </w:p>
    <w:tbl>
      <w:tblPr>
        <w:tblW w:w="5000" w:type="pct"/>
        <w:jc w:val="center"/>
        <w:tblCellMar>
          <w:top w:w="15" w:type="dxa"/>
          <w:left w:w="15" w:type="dxa"/>
          <w:bottom w:w="15" w:type="dxa"/>
          <w:right w:w="15" w:type="dxa"/>
        </w:tblCellMar>
        <w:tblLook w:val="04A0" w:firstRow="1" w:lastRow="0" w:firstColumn="1" w:lastColumn="0" w:noHBand="0" w:noVBand="1"/>
      </w:tblPr>
      <w:tblGrid>
        <w:gridCol w:w="58"/>
        <w:gridCol w:w="3018"/>
        <w:gridCol w:w="36"/>
        <w:gridCol w:w="37"/>
        <w:gridCol w:w="193"/>
        <w:gridCol w:w="36"/>
        <w:gridCol w:w="37"/>
        <w:gridCol w:w="1496"/>
        <w:gridCol w:w="36"/>
        <w:gridCol w:w="59"/>
        <w:gridCol w:w="3019"/>
        <w:gridCol w:w="36"/>
        <w:gridCol w:w="37"/>
        <w:gridCol w:w="172"/>
        <w:gridCol w:w="36"/>
      </w:tblGrid>
      <w:tr w:rsidR="00000000">
        <w:trPr>
          <w:divId w:val="1007827251"/>
          <w:jc w:val="center"/>
        </w:trPr>
        <w:tc>
          <w:tcPr>
            <w:tcW w:w="50" w:type="pct"/>
            <w:vAlign w:val="center"/>
            <w:hideMark/>
          </w:tcPr>
          <w:p w:rsidR="00000000" w:rsidRDefault="00FD7D3C">
            <w:pPr>
              <w:rPr>
                <w:rFonts w:eastAsia="Times New Roman"/>
              </w:rPr>
            </w:pPr>
          </w:p>
        </w:tc>
        <w:tc>
          <w:tcPr>
            <w:tcW w:w="1831"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118"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914"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1831"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118"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r>
      <w:tr w:rsidR="00000000">
        <w:trPr>
          <w:divId w:val="1007827251"/>
          <w:jc w:val="center"/>
        </w:trPr>
        <w:tc>
          <w:tcPr>
            <w:tcW w:w="0" w:type="auto"/>
            <w:gridSpan w:val="3"/>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17"/>
                <w:szCs w:val="17"/>
              </w:rPr>
              <w:t>Large accelerated filer</w:t>
            </w:r>
          </w:p>
        </w:tc>
        <w:tc>
          <w:tcPr>
            <w:tcW w:w="0" w:type="auto"/>
            <w:gridSpan w:val="3"/>
            <w:tcMar>
              <w:top w:w="30" w:type="dxa"/>
              <w:left w:w="20" w:type="dxa"/>
              <w:bottom w:w="30" w:type="dxa"/>
              <w:right w:w="20" w:type="dxa"/>
            </w:tcMar>
            <w:hideMark/>
          </w:tcPr>
          <w:p w:rsidR="00000000" w:rsidRDefault="00FD7D3C">
            <w:pPr>
              <w:spacing w:after="100"/>
              <w:rPr>
                <w:rFonts w:eastAsia="Times New Roman"/>
              </w:rPr>
            </w:pPr>
            <w:r>
              <w:rPr>
                <w:rFonts w:ascii="Wingdings" w:eastAsia="Times New Roman" w:hAnsi="Wingdings"/>
                <w:color w:val="000000"/>
                <w:sz w:val="16"/>
                <w:szCs w:val="16"/>
              </w:rPr>
              <w:t>x</w:t>
            </w: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17"/>
                <w:szCs w:val="17"/>
              </w:rPr>
              <w:t>Accelerated filer</w:t>
            </w:r>
          </w:p>
        </w:tc>
        <w:tc>
          <w:tcPr>
            <w:tcW w:w="0" w:type="auto"/>
            <w:gridSpan w:val="3"/>
            <w:tcMar>
              <w:top w:w="30" w:type="dxa"/>
              <w:left w:w="20" w:type="dxa"/>
              <w:bottom w:w="30" w:type="dxa"/>
              <w:right w:w="20" w:type="dxa"/>
            </w:tcMar>
            <w:hideMark/>
          </w:tcPr>
          <w:p w:rsidR="00000000" w:rsidRDefault="00FD7D3C">
            <w:pPr>
              <w:spacing w:after="100"/>
              <w:rPr>
                <w:rFonts w:eastAsia="Times New Roman"/>
              </w:rPr>
            </w:pPr>
            <w:r>
              <w:rPr>
                <w:rFonts w:ascii="Wingdings" w:eastAsia="Times New Roman" w:hAnsi="Wingdings"/>
                <w:color w:val="000000"/>
                <w:sz w:val="16"/>
                <w:szCs w:val="16"/>
              </w:rPr>
              <w:t>¨</w:t>
            </w:r>
          </w:p>
        </w:tc>
      </w:tr>
      <w:tr w:rsidR="00000000">
        <w:trPr>
          <w:divId w:val="1007827251"/>
          <w:trHeight w:val="220"/>
          <w:jc w:val="center"/>
        </w:trPr>
        <w:tc>
          <w:tcPr>
            <w:tcW w:w="0" w:type="auto"/>
            <w:gridSpan w:val="3"/>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000000">
        <w:trPr>
          <w:divId w:val="1007827251"/>
          <w:jc w:val="center"/>
        </w:trPr>
        <w:tc>
          <w:tcPr>
            <w:tcW w:w="0" w:type="auto"/>
            <w:gridSpan w:val="3"/>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17"/>
                <w:szCs w:val="17"/>
              </w:rPr>
              <w:t>Non-accelerated filer</w:t>
            </w:r>
          </w:p>
        </w:tc>
        <w:tc>
          <w:tcPr>
            <w:tcW w:w="0" w:type="auto"/>
            <w:gridSpan w:val="3"/>
            <w:tcMar>
              <w:top w:w="30" w:type="dxa"/>
              <w:left w:w="20" w:type="dxa"/>
              <w:bottom w:w="30" w:type="dxa"/>
              <w:right w:w="20" w:type="dxa"/>
            </w:tcMar>
            <w:hideMark/>
          </w:tcPr>
          <w:p w:rsidR="00000000" w:rsidRDefault="00FD7D3C">
            <w:pPr>
              <w:spacing w:after="100"/>
              <w:rPr>
                <w:rFonts w:eastAsia="Times New Roman"/>
              </w:rPr>
            </w:pPr>
            <w:r>
              <w:rPr>
                <w:rFonts w:ascii="Wingdings" w:eastAsia="Times New Roman" w:hAnsi="Wingdings"/>
                <w:color w:val="000000"/>
                <w:sz w:val="16"/>
                <w:szCs w:val="16"/>
              </w:rPr>
              <w:t>¨</w:t>
            </w: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17"/>
                <w:szCs w:val="17"/>
              </w:rPr>
              <w:t>Smaller reporting company</w:t>
            </w:r>
          </w:p>
        </w:tc>
        <w:tc>
          <w:tcPr>
            <w:tcW w:w="0" w:type="auto"/>
            <w:gridSpan w:val="3"/>
            <w:tcMar>
              <w:top w:w="30" w:type="dxa"/>
              <w:left w:w="20" w:type="dxa"/>
              <w:bottom w:w="30" w:type="dxa"/>
              <w:right w:w="20" w:type="dxa"/>
            </w:tcMar>
            <w:hideMark/>
          </w:tcPr>
          <w:p w:rsidR="00000000" w:rsidRDefault="00FD7D3C">
            <w:pPr>
              <w:spacing w:after="100"/>
              <w:rPr>
                <w:rFonts w:eastAsia="Times New Roman"/>
              </w:rPr>
            </w:pPr>
            <w:r>
              <w:rPr>
                <w:rFonts w:ascii="Wingdings" w:eastAsia="Times New Roman" w:hAnsi="Wingdings"/>
                <w:color w:val="000000"/>
                <w:sz w:val="16"/>
                <w:szCs w:val="16"/>
              </w:rPr>
              <w:t>¨</w:t>
            </w:r>
          </w:p>
        </w:tc>
      </w:tr>
      <w:tr w:rsidR="00000000">
        <w:trPr>
          <w:divId w:val="1007827251"/>
          <w:trHeight w:val="240"/>
          <w:jc w:val="center"/>
        </w:trPr>
        <w:tc>
          <w:tcPr>
            <w:tcW w:w="0" w:type="auto"/>
            <w:gridSpan w:val="3"/>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000000">
        <w:trPr>
          <w:divId w:val="1007827251"/>
          <w:jc w:val="center"/>
        </w:trPr>
        <w:tc>
          <w:tcPr>
            <w:tcW w:w="0" w:type="auto"/>
            <w:gridSpan w:val="3"/>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17"/>
                <w:szCs w:val="17"/>
              </w:rPr>
              <w:lastRenderedPageBreak/>
              <w:t>Emerging growth company</w:t>
            </w:r>
          </w:p>
        </w:tc>
        <w:tc>
          <w:tcPr>
            <w:tcW w:w="0" w:type="auto"/>
            <w:gridSpan w:val="3"/>
            <w:tcMar>
              <w:top w:w="30" w:type="dxa"/>
              <w:left w:w="20" w:type="dxa"/>
              <w:bottom w:w="30" w:type="dxa"/>
              <w:right w:w="20" w:type="dxa"/>
            </w:tcMar>
            <w:hideMark/>
          </w:tcPr>
          <w:p w:rsidR="00000000" w:rsidRDefault="00FD7D3C">
            <w:pPr>
              <w:spacing w:after="100"/>
              <w:rPr>
                <w:rFonts w:eastAsia="Times New Roman"/>
              </w:rPr>
            </w:pPr>
            <w:r>
              <w:rPr>
                <w:rFonts w:ascii="Wingdings" w:eastAsia="Times New Roman" w:hAnsi="Wingdings"/>
                <w:color w:val="000000"/>
                <w:sz w:val="16"/>
                <w:szCs w:val="16"/>
              </w:rPr>
              <w:t>¨</w:t>
            </w: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r>
    </w:tbl>
    <w:p w:rsidR="00000000" w:rsidRDefault="00FD7D3C">
      <w:pPr>
        <w:divId w:val="403045"/>
        <w:rPr>
          <w:rFonts w:eastAsia="Times New Roman"/>
        </w:rPr>
      </w:pPr>
      <w:r>
        <w:rPr>
          <w:rFonts w:eastAsia="Times New Roman"/>
          <w:color w:val="000000"/>
          <w:sz w:val="16"/>
          <w:szCs w:val="16"/>
        </w:rPr>
        <w:t>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Times New Roman" w:hAnsi="Wingdings"/>
          <w:color w:val="000000"/>
          <w:sz w:val="16"/>
          <w:szCs w:val="16"/>
        </w:rPr>
        <w:t>¨</w:t>
      </w:r>
    </w:p>
    <w:p w:rsidR="00000000" w:rsidRDefault="00FD7D3C">
      <w:pPr>
        <w:divId w:val="2038464343"/>
        <w:rPr>
          <w:rFonts w:eastAsia="Times New Roman"/>
        </w:rPr>
      </w:pPr>
      <w:r>
        <w:rPr>
          <w:rFonts w:eastAsia="Times New Roman"/>
          <w:color w:val="000000"/>
          <w:sz w:val="16"/>
          <w:szCs w:val="16"/>
        </w:rPr>
        <w:t>Indicate by check mark whether the registrant has filed a report on and attestation to its management’s assessment of the effectiveness of its internal control over financial reporting under Section 404(b) of the Sarbanes-Oxley Act (15 U.S.C. 7262(b)) by t</w:t>
      </w:r>
      <w:r>
        <w:rPr>
          <w:rFonts w:eastAsia="Times New Roman"/>
          <w:color w:val="000000"/>
          <w:sz w:val="16"/>
          <w:szCs w:val="16"/>
        </w:rPr>
        <w:t>he registered public accounting firm that prepared or issued its audit report.  </w:t>
      </w:r>
      <w:r>
        <w:rPr>
          <w:rFonts w:ascii="Wingdings" w:eastAsia="Times New Roman" w:hAnsi="Wingdings"/>
          <w:color w:val="000000"/>
          <w:sz w:val="16"/>
          <w:szCs w:val="16"/>
        </w:rPr>
        <w:t>x</w:t>
      </w:r>
    </w:p>
    <w:p w:rsidR="00000000" w:rsidRDefault="00FD7D3C">
      <w:pPr>
        <w:divId w:val="1619993316"/>
        <w:rPr>
          <w:rFonts w:eastAsia="Times New Roman"/>
        </w:rPr>
      </w:pPr>
      <w:r>
        <w:rPr>
          <w:rFonts w:eastAsia="Times New Roman"/>
          <w:color w:val="000000"/>
          <w:sz w:val="16"/>
          <w:szCs w:val="16"/>
        </w:rPr>
        <w:t>Indicate by check mark whether the Registrant is a shell company (as defined in Rule 12b-2 of the Exchange Act).  Yes </w:t>
      </w:r>
      <w:r>
        <w:rPr>
          <w:rFonts w:ascii="Wingdings" w:eastAsia="Times New Roman" w:hAnsi="Wingdings"/>
          <w:color w:val="000000"/>
          <w:sz w:val="16"/>
          <w:szCs w:val="16"/>
        </w:rPr>
        <w:t>¨</w:t>
      </w:r>
      <w:r>
        <w:rPr>
          <w:rFonts w:eastAsia="Times New Roman"/>
          <w:color w:val="000000"/>
          <w:sz w:val="16"/>
          <w:szCs w:val="16"/>
        </w:rPr>
        <w:t> No </w:t>
      </w:r>
      <w:r>
        <w:rPr>
          <w:rFonts w:ascii="Wingdings" w:eastAsia="Times New Roman" w:hAnsi="Wingdings"/>
          <w:color w:val="000000"/>
          <w:sz w:val="16"/>
          <w:szCs w:val="16"/>
        </w:rPr>
        <w:t>x</w:t>
      </w:r>
    </w:p>
    <w:p w:rsidR="00000000" w:rsidRDefault="00FD7D3C">
      <w:pPr>
        <w:divId w:val="76947503"/>
        <w:rPr>
          <w:rFonts w:eastAsia="Times New Roman"/>
        </w:rPr>
      </w:pPr>
      <w:r>
        <w:rPr>
          <w:rFonts w:eastAsia="Times New Roman"/>
          <w:color w:val="000000"/>
          <w:sz w:val="16"/>
          <w:szCs w:val="16"/>
        </w:rPr>
        <w:t>The aggregate market value of the voting and non-</w:t>
      </w:r>
      <w:r>
        <w:rPr>
          <w:rFonts w:eastAsia="Times New Roman"/>
          <w:color w:val="000000"/>
          <w:sz w:val="16"/>
          <w:szCs w:val="16"/>
        </w:rPr>
        <w:t>voting common equity held by non-affiliates of the Registrant, based on the closing price of the shares of common stock on The NASDAQ Stock Market on June 30, 2021, was $751,814,002.</w:t>
      </w:r>
    </w:p>
    <w:p w:rsidR="00000000" w:rsidRDefault="00FD7D3C">
      <w:pPr>
        <w:divId w:val="1014649592"/>
        <w:rPr>
          <w:rFonts w:eastAsia="Times New Roman"/>
        </w:rPr>
      </w:pPr>
      <w:r>
        <w:rPr>
          <w:rFonts w:eastAsia="Times New Roman"/>
          <w:color w:val="000000"/>
          <w:sz w:val="16"/>
          <w:szCs w:val="16"/>
        </w:rPr>
        <w:t>The number of shares of Registrant’s Common Stock outstanding as of Febru</w:t>
      </w:r>
      <w:r>
        <w:rPr>
          <w:rFonts w:eastAsia="Times New Roman"/>
          <w:color w:val="000000"/>
          <w:sz w:val="16"/>
          <w:szCs w:val="16"/>
        </w:rPr>
        <w:t>ary 25, 2022 was 36,113,521.</w:t>
      </w:r>
    </w:p>
    <w:p w:rsidR="00000000" w:rsidRDefault="00FD7D3C">
      <w:pPr>
        <w:jc w:val="center"/>
        <w:divId w:val="636765838"/>
        <w:rPr>
          <w:rFonts w:eastAsia="Times New Roman"/>
        </w:rPr>
      </w:pPr>
      <w:r>
        <w:rPr>
          <w:rFonts w:eastAsia="Times New Roman"/>
          <w:color w:val="000000"/>
          <w:sz w:val="16"/>
          <w:szCs w:val="16"/>
        </w:rPr>
        <w:t>DOCUMENTS INCORPORATED BY REFERENCE</w:t>
      </w:r>
    </w:p>
    <w:p w:rsidR="00000000" w:rsidRDefault="00FD7D3C">
      <w:pPr>
        <w:divId w:val="1203397435"/>
        <w:rPr>
          <w:rFonts w:eastAsia="Times New Roman"/>
        </w:rPr>
      </w:pPr>
      <w:r>
        <w:rPr>
          <w:rFonts w:eastAsia="Times New Roman"/>
          <w:color w:val="000000"/>
          <w:sz w:val="16"/>
          <w:szCs w:val="16"/>
        </w:rPr>
        <w:t>Portions of the registrant’s definitive Proxy Statement for the 2022 Annual Meeting of Stockholders to be filed with the U.S. Securities and Exchange Commission pursuant to Regulation 14A not</w:t>
      </w:r>
      <w:r>
        <w:rPr>
          <w:rFonts w:eastAsia="Times New Roman"/>
          <w:color w:val="000000"/>
          <w:sz w:val="16"/>
          <w:szCs w:val="16"/>
        </w:rPr>
        <w:t xml:space="preserve"> later than 120 days after the end of the fiscal year covered by this Annual Report on Form 10-K are incorporated by reference in Part III, Items 10-14 of this Annual Report on Form 10-K</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917404333"/>
        </w:trPr>
        <w:tc>
          <w:tcPr>
            <w:tcW w:w="50" w:type="pct"/>
            <w:vAlign w:val="center"/>
            <w:hideMark/>
          </w:tcPr>
          <w:p w:rsidR="00000000" w:rsidRDefault="00FD7D3C">
            <w:pPr>
              <w:rPr>
                <w:rFonts w:eastAsia="Times New Roman"/>
              </w:rPr>
            </w:pPr>
          </w:p>
        </w:tc>
        <w:tc>
          <w:tcPr>
            <w:tcW w:w="494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r>
      <w:tr w:rsidR="00000000">
        <w:trPr>
          <w:divId w:val="917404333"/>
          <w:trHeight w:val="60"/>
        </w:trPr>
        <w:tc>
          <w:tcPr>
            <w:tcW w:w="0" w:type="auto"/>
            <w:gridSpan w:val="3"/>
            <w:tcBorders>
              <w:bottom w:val="double" w:sz="6" w:space="0" w:color="000000"/>
            </w:tcBorders>
            <w:tcMar>
              <w:top w:w="0" w:type="dxa"/>
              <w:left w:w="20" w:type="dxa"/>
              <w:bottom w:w="0" w:type="dxa"/>
              <w:right w:w="20" w:type="dxa"/>
            </w:tcMar>
            <w:vAlign w:val="center"/>
            <w:hideMark/>
          </w:tcPr>
          <w:p w:rsidR="00000000" w:rsidRDefault="00FD7D3C">
            <w:pPr>
              <w:spacing w:after="100"/>
              <w:rPr>
                <w:rFonts w:eastAsia="Times New Roman"/>
                <w:sz w:val="20"/>
                <w:szCs w:val="20"/>
              </w:rPr>
            </w:pPr>
          </w:p>
        </w:tc>
      </w:tr>
    </w:tbl>
    <w:p w:rsidR="00000000" w:rsidRDefault="00FD7D3C">
      <w:pPr>
        <w:divId w:val="1510680080"/>
        <w:rPr>
          <w:rFonts w:eastAsia="Times New Roman"/>
        </w:rPr>
      </w:pPr>
    </w:p>
    <w:p w:rsidR="00000000" w:rsidRDefault="00FD7D3C">
      <w:pPr>
        <w:divId w:val="1375428036"/>
        <w:rPr>
          <w:rFonts w:eastAsia="Times New Roman"/>
        </w:rPr>
      </w:pPr>
    </w:p>
    <w:p w:rsidR="00000000" w:rsidRDefault="00FD7D3C">
      <w:pPr>
        <w:rPr>
          <w:rFonts w:eastAsia="Times New Roman"/>
        </w:rPr>
      </w:pPr>
      <w:r>
        <w:rPr>
          <w:rFonts w:eastAsia="Times New Roman"/>
        </w:rPr>
        <w:pict>
          <v:rect id="_x0000_i1025" style="width:0;height:1.5pt" o:hralign="center" o:hrstd="t" o:hr="t" fillcolor="#a0a0a0" stroked="f"/>
        </w:pict>
      </w:r>
    </w:p>
    <w:p w:rsidR="00000000" w:rsidRDefault="00FD7D3C">
      <w:pPr>
        <w:divId w:val="624117504"/>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jc w:val="center"/>
        <w:rPr>
          <w:rFonts w:eastAsia="Times New Roman"/>
        </w:rPr>
      </w:pPr>
      <w:r>
        <w:rPr>
          <w:rFonts w:eastAsia="Times New Roman"/>
          <w:b/>
          <w:bCs/>
          <w:color w:val="000000"/>
          <w:sz w:val="20"/>
          <w:szCs w:val="20"/>
        </w:rPr>
        <w:t>Table of Contents</w:t>
      </w:r>
    </w:p>
    <w:tbl>
      <w:tblPr>
        <w:tblW w:w="5000" w:type="pct"/>
        <w:tblCellMar>
          <w:top w:w="15" w:type="dxa"/>
          <w:left w:w="15" w:type="dxa"/>
          <w:bottom w:w="15" w:type="dxa"/>
          <w:right w:w="15" w:type="dxa"/>
        </w:tblCellMar>
        <w:tblLook w:val="04A0" w:firstRow="1" w:lastRow="0" w:firstColumn="1" w:lastColumn="0" w:noHBand="0" w:noVBand="1"/>
      </w:tblPr>
      <w:tblGrid>
        <w:gridCol w:w="90"/>
        <w:gridCol w:w="770"/>
        <w:gridCol w:w="36"/>
        <w:gridCol w:w="39"/>
        <w:gridCol w:w="6853"/>
        <w:gridCol w:w="38"/>
        <w:gridCol w:w="77"/>
        <w:gridCol w:w="367"/>
        <w:gridCol w:w="36"/>
      </w:tblGrid>
      <w:tr w:rsidR="00000000">
        <w:trPr>
          <w:divId w:val="156307175"/>
        </w:trPr>
        <w:tc>
          <w:tcPr>
            <w:tcW w:w="50" w:type="pct"/>
            <w:vAlign w:val="center"/>
            <w:hideMark/>
          </w:tcPr>
          <w:p w:rsidR="00000000" w:rsidRDefault="00FD7D3C">
            <w:pPr>
              <w:jc w:val="center"/>
              <w:rPr>
                <w:rFonts w:eastAsia="Times New Roman"/>
              </w:rPr>
            </w:pPr>
          </w:p>
        </w:tc>
        <w:tc>
          <w:tcPr>
            <w:tcW w:w="429"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4164"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240"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r>
      <w:tr w:rsidR="00000000">
        <w:trPr>
          <w:divId w:val="156307175"/>
        </w:trPr>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FD7D3C">
            <w:pPr>
              <w:spacing w:after="100"/>
              <w:jc w:val="right"/>
              <w:rPr>
                <w:rFonts w:eastAsia="Times New Roman"/>
              </w:rPr>
            </w:pPr>
            <w:r>
              <w:rPr>
                <w:rFonts w:eastAsia="Times New Roman"/>
                <w:b/>
                <w:bCs/>
                <w:color w:val="000000"/>
                <w:sz w:val="20"/>
                <w:szCs w:val="20"/>
              </w:rPr>
              <w:t>Page</w:t>
            </w:r>
          </w:p>
        </w:tc>
      </w:tr>
      <w:tr w:rsidR="00000000">
        <w:trPr>
          <w:divId w:val="156307175"/>
          <w:trHeight w:val="180"/>
        </w:trPr>
        <w:tc>
          <w:tcPr>
            <w:tcW w:w="0" w:type="auto"/>
            <w:gridSpan w:val="3"/>
            <w:tcMar>
              <w:top w:w="0" w:type="dxa"/>
              <w:left w:w="20" w:type="dxa"/>
              <w:bottom w:w="0" w:type="dxa"/>
              <w:right w:w="20" w:type="dxa"/>
            </w:tcMar>
            <w:vAlign w:val="center"/>
            <w:hideMark/>
          </w:tcPr>
          <w:p w:rsidR="00000000" w:rsidRDefault="00FD7D3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000000">
        <w:trPr>
          <w:divId w:val="156307175"/>
        </w:trPr>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FD7D3C">
            <w:pPr>
              <w:spacing w:after="100"/>
              <w:divId w:val="668948447"/>
              <w:rPr>
                <w:rFonts w:eastAsia="Times New Roman"/>
              </w:rPr>
            </w:pPr>
            <w:hyperlink w:anchor="i988625df783e4cc0a27bd76df388da57_10" w:history="1">
              <w:r>
                <w:rPr>
                  <w:rStyle w:val="a3"/>
                  <w:rFonts w:eastAsia="Times New Roman"/>
                  <w:sz w:val="20"/>
                  <w:szCs w:val="20"/>
                </w:rPr>
                <w:t>Special Note Regarding Forward-Looking Statements</w:t>
              </w:r>
            </w:hyperlink>
          </w:p>
        </w:tc>
        <w:tc>
          <w:tcPr>
            <w:tcW w:w="0" w:type="auto"/>
            <w:gridSpan w:val="3"/>
            <w:tcMar>
              <w:top w:w="30" w:type="dxa"/>
              <w:left w:w="20" w:type="dxa"/>
              <w:bottom w:w="30" w:type="dxa"/>
              <w:right w:w="20" w:type="dxa"/>
            </w:tcMar>
            <w:vAlign w:val="bottom"/>
            <w:hideMark/>
          </w:tcPr>
          <w:p w:rsidR="00000000" w:rsidRDefault="00FD7D3C">
            <w:pPr>
              <w:spacing w:after="100"/>
              <w:jc w:val="right"/>
              <w:rPr>
                <w:rFonts w:eastAsia="Times New Roman"/>
              </w:rPr>
            </w:pPr>
            <w:hyperlink w:anchor="i988625df783e4cc0a27bd76df388da57_10" w:history="1">
              <w:r>
                <w:rPr>
                  <w:rStyle w:val="a3"/>
                  <w:rFonts w:eastAsia="Times New Roman"/>
                  <w:color w:val="000000"/>
                  <w:sz w:val="20"/>
                  <w:szCs w:val="20"/>
                  <w:u w:val="none"/>
                </w:rPr>
                <w:t>1</w:t>
              </w:r>
            </w:hyperlink>
          </w:p>
        </w:tc>
      </w:tr>
      <w:tr w:rsidR="00000000">
        <w:trPr>
          <w:divId w:val="156307175"/>
        </w:trPr>
        <w:tc>
          <w:tcPr>
            <w:tcW w:w="0" w:type="auto"/>
            <w:gridSpan w:val="3"/>
            <w:tcMar>
              <w:top w:w="0" w:type="dxa"/>
              <w:left w:w="20" w:type="dxa"/>
              <w:bottom w:w="0" w:type="dxa"/>
              <w:right w:w="20" w:type="dxa"/>
            </w:tcMar>
            <w:vAlign w:val="center"/>
            <w:hideMark/>
          </w:tcPr>
          <w:p w:rsidR="00000000" w:rsidRDefault="00FD7D3C">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FD7D3C">
            <w:pPr>
              <w:spacing w:after="100"/>
              <w:divId w:val="840661602"/>
              <w:rPr>
                <w:rFonts w:eastAsia="Times New Roman"/>
              </w:rPr>
            </w:pPr>
            <w:hyperlink w:anchor="i988625df783e4cc0a27bd76df388da57_13" w:history="1">
              <w:r>
                <w:rPr>
                  <w:rStyle w:val="a3"/>
                  <w:rFonts w:eastAsia="Times New Roman"/>
                  <w:sz w:val="20"/>
                  <w:szCs w:val="20"/>
                </w:rPr>
                <w:t>Summary of Risks Associated With Our Business</w:t>
              </w:r>
            </w:hyperlink>
          </w:p>
        </w:tc>
        <w:tc>
          <w:tcPr>
            <w:tcW w:w="0" w:type="auto"/>
            <w:gridSpan w:val="3"/>
            <w:tcMar>
              <w:top w:w="30" w:type="dxa"/>
              <w:left w:w="20" w:type="dxa"/>
              <w:bottom w:w="30" w:type="dxa"/>
              <w:right w:w="20" w:type="dxa"/>
            </w:tcMar>
            <w:vAlign w:val="bottom"/>
            <w:hideMark/>
          </w:tcPr>
          <w:p w:rsidR="00000000" w:rsidRDefault="00FD7D3C">
            <w:pPr>
              <w:spacing w:after="100"/>
              <w:jc w:val="right"/>
              <w:rPr>
                <w:rFonts w:eastAsia="Times New Roman"/>
              </w:rPr>
            </w:pPr>
            <w:hyperlink w:anchor="i988625df783e4cc0a27bd76df388da57_13" w:history="1">
              <w:r>
                <w:rPr>
                  <w:rStyle w:val="a3"/>
                  <w:rFonts w:eastAsia="Times New Roman"/>
                  <w:color w:val="000000"/>
                  <w:sz w:val="20"/>
                  <w:szCs w:val="20"/>
                  <w:u w:val="none"/>
                </w:rPr>
                <w:t>2</w:t>
              </w:r>
            </w:hyperlink>
          </w:p>
        </w:tc>
      </w:tr>
      <w:tr w:rsidR="00000000">
        <w:trPr>
          <w:divId w:val="156307175"/>
          <w:trHeight w:val="180"/>
        </w:trPr>
        <w:tc>
          <w:tcPr>
            <w:tcW w:w="0" w:type="auto"/>
            <w:gridSpan w:val="3"/>
            <w:tcMar>
              <w:top w:w="0" w:type="dxa"/>
              <w:left w:w="20" w:type="dxa"/>
              <w:bottom w:w="0" w:type="dxa"/>
              <w:right w:w="20" w:type="dxa"/>
            </w:tcMar>
            <w:vAlign w:val="center"/>
            <w:hideMark/>
          </w:tcPr>
          <w:p w:rsidR="00000000" w:rsidRDefault="00FD7D3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000000">
        <w:trPr>
          <w:divId w:val="156307175"/>
        </w:trPr>
        <w:tc>
          <w:tcPr>
            <w:tcW w:w="0" w:type="auto"/>
            <w:gridSpan w:val="3"/>
            <w:tcMar>
              <w:top w:w="30" w:type="dxa"/>
              <w:left w:w="20" w:type="dxa"/>
              <w:bottom w:w="30" w:type="dxa"/>
              <w:right w:w="20" w:type="dxa"/>
            </w:tcMar>
            <w:hideMark/>
          </w:tcPr>
          <w:p w:rsidR="00000000" w:rsidRDefault="00FD7D3C">
            <w:pPr>
              <w:spacing w:after="100"/>
              <w:divId w:val="1029061852"/>
              <w:rPr>
                <w:rFonts w:eastAsia="Times New Roman"/>
              </w:rPr>
            </w:pPr>
            <w:hyperlink w:anchor="i988625df783e4cc0a27bd76df388da57_16" w:history="1">
              <w:r>
                <w:rPr>
                  <w:rStyle w:val="a3"/>
                  <w:rFonts w:eastAsia="Times New Roman"/>
                  <w:b/>
                  <w:bCs/>
                  <w:sz w:val="20"/>
                  <w:szCs w:val="20"/>
                </w:rPr>
                <w:t>PART I</w:t>
              </w:r>
            </w:hyperlink>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000000">
        <w:trPr>
          <w:divId w:val="156307175"/>
        </w:trPr>
        <w:tc>
          <w:tcPr>
            <w:tcW w:w="0" w:type="auto"/>
            <w:gridSpan w:val="3"/>
            <w:tcMar>
              <w:top w:w="30" w:type="dxa"/>
              <w:left w:w="20" w:type="dxa"/>
              <w:bottom w:w="30" w:type="dxa"/>
              <w:right w:w="20" w:type="dxa"/>
            </w:tcMar>
            <w:hideMark/>
          </w:tcPr>
          <w:p w:rsidR="00000000" w:rsidRDefault="00FD7D3C">
            <w:pPr>
              <w:spacing w:after="100"/>
              <w:divId w:val="1345404570"/>
              <w:rPr>
                <w:rFonts w:eastAsia="Times New Roman"/>
              </w:rPr>
            </w:pPr>
            <w:hyperlink w:anchor="i988625df783e4cc0a27bd76df388da57_19" w:history="1">
              <w:r>
                <w:rPr>
                  <w:rStyle w:val="a3"/>
                  <w:rFonts w:eastAsia="Times New Roman"/>
                  <w:color w:val="000000"/>
                  <w:sz w:val="20"/>
                  <w:szCs w:val="20"/>
                  <w:u w:val="none"/>
                </w:rPr>
                <w:t>Item 1.</w:t>
              </w:r>
            </w:hyperlink>
          </w:p>
        </w:tc>
        <w:tc>
          <w:tcPr>
            <w:tcW w:w="0" w:type="auto"/>
            <w:gridSpan w:val="3"/>
            <w:tcMar>
              <w:top w:w="30" w:type="dxa"/>
              <w:left w:w="20" w:type="dxa"/>
              <w:bottom w:w="30" w:type="dxa"/>
              <w:right w:w="20" w:type="dxa"/>
            </w:tcMar>
            <w:vAlign w:val="bottom"/>
            <w:hideMark/>
          </w:tcPr>
          <w:p w:rsidR="00000000" w:rsidRDefault="00FD7D3C">
            <w:pPr>
              <w:spacing w:after="100"/>
              <w:divId w:val="1028063588"/>
              <w:rPr>
                <w:rFonts w:eastAsia="Times New Roman"/>
              </w:rPr>
            </w:pPr>
            <w:hyperlink w:anchor="i988625df783e4cc0a27bd76df388da57_19" w:history="1">
              <w:r>
                <w:rPr>
                  <w:rStyle w:val="a3"/>
                  <w:rFonts w:eastAsia="Times New Roman"/>
                  <w:sz w:val="20"/>
                  <w:szCs w:val="20"/>
                </w:rPr>
                <w:t>Business</w:t>
              </w:r>
            </w:hyperlink>
          </w:p>
        </w:tc>
        <w:tc>
          <w:tcPr>
            <w:tcW w:w="0" w:type="auto"/>
            <w:gridSpan w:val="3"/>
            <w:tcMar>
              <w:top w:w="30" w:type="dxa"/>
              <w:left w:w="20" w:type="dxa"/>
              <w:bottom w:w="30" w:type="dxa"/>
              <w:right w:w="20" w:type="dxa"/>
            </w:tcMar>
            <w:vAlign w:val="bottom"/>
            <w:hideMark/>
          </w:tcPr>
          <w:p w:rsidR="00000000" w:rsidRDefault="00FD7D3C">
            <w:pPr>
              <w:spacing w:after="100"/>
              <w:jc w:val="right"/>
              <w:rPr>
                <w:rFonts w:eastAsia="Times New Roman"/>
              </w:rPr>
            </w:pPr>
            <w:hyperlink w:anchor="i988625df783e4cc0a27bd76df388da57_19" w:history="1">
              <w:r>
                <w:rPr>
                  <w:rStyle w:val="a3"/>
                  <w:rFonts w:eastAsia="Times New Roman"/>
                  <w:color w:val="000000"/>
                  <w:sz w:val="20"/>
                  <w:szCs w:val="20"/>
                  <w:u w:val="none"/>
                </w:rPr>
                <w:t>4</w:t>
              </w:r>
            </w:hyperlink>
          </w:p>
        </w:tc>
      </w:tr>
      <w:tr w:rsidR="00000000">
        <w:trPr>
          <w:divId w:val="156307175"/>
        </w:trPr>
        <w:tc>
          <w:tcPr>
            <w:tcW w:w="0" w:type="auto"/>
            <w:gridSpan w:val="3"/>
            <w:tcMar>
              <w:top w:w="30" w:type="dxa"/>
              <w:left w:w="20" w:type="dxa"/>
              <w:bottom w:w="30" w:type="dxa"/>
              <w:right w:w="20" w:type="dxa"/>
            </w:tcMar>
            <w:hideMark/>
          </w:tcPr>
          <w:p w:rsidR="00000000" w:rsidRDefault="00FD7D3C">
            <w:pPr>
              <w:spacing w:after="100"/>
              <w:divId w:val="1455977875"/>
              <w:rPr>
                <w:rFonts w:eastAsia="Times New Roman"/>
              </w:rPr>
            </w:pPr>
            <w:r>
              <w:rPr>
                <w:rFonts w:eastAsia="Times New Roman"/>
                <w:color w:val="000000"/>
                <w:sz w:val="20"/>
                <w:szCs w:val="20"/>
              </w:rPr>
              <w:t>Item 1A.</w:t>
            </w:r>
          </w:p>
        </w:tc>
        <w:tc>
          <w:tcPr>
            <w:tcW w:w="0" w:type="auto"/>
            <w:gridSpan w:val="3"/>
            <w:tcMar>
              <w:top w:w="30" w:type="dxa"/>
              <w:left w:w="20" w:type="dxa"/>
              <w:bottom w:w="30" w:type="dxa"/>
              <w:right w:w="20" w:type="dxa"/>
            </w:tcMar>
            <w:vAlign w:val="bottom"/>
            <w:hideMark/>
          </w:tcPr>
          <w:p w:rsidR="00000000" w:rsidRDefault="00FD7D3C">
            <w:pPr>
              <w:spacing w:after="100"/>
              <w:divId w:val="910575765"/>
              <w:rPr>
                <w:rFonts w:eastAsia="Times New Roman"/>
              </w:rPr>
            </w:pPr>
            <w:r>
              <w:rPr>
                <w:rFonts w:eastAsia="Times New Roman"/>
                <w:color w:val="0000FF"/>
                <w:sz w:val="20"/>
                <w:szCs w:val="20"/>
                <w:u w:val="single"/>
              </w:rPr>
              <w:t>Risk Factors</w:t>
            </w:r>
          </w:p>
        </w:tc>
        <w:tc>
          <w:tcPr>
            <w:tcW w:w="0" w:type="auto"/>
            <w:gridSpan w:val="3"/>
            <w:tcMar>
              <w:top w:w="30" w:type="dxa"/>
              <w:left w:w="20" w:type="dxa"/>
              <w:bottom w:w="30" w:type="dxa"/>
              <w:right w:w="20" w:type="dxa"/>
            </w:tcMar>
            <w:vAlign w:val="bottom"/>
            <w:hideMark/>
          </w:tcPr>
          <w:p w:rsidR="00000000" w:rsidRDefault="00FD7D3C">
            <w:pPr>
              <w:spacing w:after="100"/>
              <w:jc w:val="right"/>
              <w:rPr>
                <w:rFonts w:eastAsia="Times New Roman"/>
              </w:rPr>
            </w:pPr>
            <w:r>
              <w:rPr>
                <w:rFonts w:eastAsia="Times New Roman"/>
                <w:color w:val="000000"/>
                <w:sz w:val="20"/>
                <w:szCs w:val="20"/>
              </w:rPr>
              <w:t>42</w:t>
            </w:r>
          </w:p>
        </w:tc>
      </w:tr>
      <w:tr w:rsidR="00000000">
        <w:trPr>
          <w:divId w:val="156307175"/>
        </w:trPr>
        <w:tc>
          <w:tcPr>
            <w:tcW w:w="0" w:type="auto"/>
            <w:gridSpan w:val="3"/>
            <w:tcMar>
              <w:top w:w="30" w:type="dxa"/>
              <w:left w:w="20" w:type="dxa"/>
              <w:bottom w:w="30" w:type="dxa"/>
              <w:right w:w="20" w:type="dxa"/>
            </w:tcMar>
            <w:hideMark/>
          </w:tcPr>
          <w:p w:rsidR="00000000" w:rsidRDefault="00FD7D3C">
            <w:pPr>
              <w:spacing w:after="100"/>
              <w:divId w:val="519705762"/>
              <w:rPr>
                <w:rFonts w:eastAsia="Times New Roman"/>
              </w:rPr>
            </w:pPr>
            <w:hyperlink w:anchor="i988625df783e4cc0a27bd76df388da57_25" w:history="1">
              <w:r>
                <w:rPr>
                  <w:rStyle w:val="a3"/>
                  <w:rFonts w:eastAsia="Times New Roman"/>
                  <w:color w:val="000000"/>
                  <w:sz w:val="20"/>
                  <w:szCs w:val="20"/>
                  <w:u w:val="none"/>
                </w:rPr>
                <w:t>Item 1B.</w:t>
              </w:r>
            </w:hyperlink>
          </w:p>
        </w:tc>
        <w:tc>
          <w:tcPr>
            <w:tcW w:w="0" w:type="auto"/>
            <w:gridSpan w:val="3"/>
            <w:tcMar>
              <w:top w:w="30" w:type="dxa"/>
              <w:left w:w="20" w:type="dxa"/>
              <w:bottom w:w="30" w:type="dxa"/>
              <w:right w:w="20" w:type="dxa"/>
            </w:tcMar>
            <w:vAlign w:val="bottom"/>
            <w:hideMark/>
          </w:tcPr>
          <w:p w:rsidR="00000000" w:rsidRDefault="00FD7D3C">
            <w:pPr>
              <w:spacing w:after="100"/>
              <w:divId w:val="383137231"/>
              <w:rPr>
                <w:rFonts w:eastAsia="Times New Roman"/>
              </w:rPr>
            </w:pPr>
            <w:hyperlink w:anchor="i988625df783e4cc0a27bd76df388da57_25" w:history="1">
              <w:r>
                <w:rPr>
                  <w:rStyle w:val="a3"/>
                  <w:rFonts w:eastAsia="Times New Roman"/>
                  <w:sz w:val="20"/>
                  <w:szCs w:val="20"/>
                </w:rPr>
                <w:t>Unresolved Staff Comments</w:t>
              </w:r>
            </w:hyperlink>
          </w:p>
        </w:tc>
        <w:tc>
          <w:tcPr>
            <w:tcW w:w="0" w:type="auto"/>
            <w:gridSpan w:val="3"/>
            <w:tcMar>
              <w:top w:w="30" w:type="dxa"/>
              <w:left w:w="20" w:type="dxa"/>
              <w:bottom w:w="30" w:type="dxa"/>
              <w:right w:w="20" w:type="dxa"/>
            </w:tcMar>
            <w:vAlign w:val="bottom"/>
            <w:hideMark/>
          </w:tcPr>
          <w:p w:rsidR="00000000" w:rsidRDefault="00FD7D3C">
            <w:pPr>
              <w:spacing w:after="100"/>
              <w:jc w:val="right"/>
              <w:rPr>
                <w:rFonts w:eastAsia="Times New Roman"/>
              </w:rPr>
            </w:pPr>
            <w:hyperlink w:anchor="i988625df783e4cc0a27bd76df388da57_25" w:history="1">
              <w:r>
                <w:rPr>
                  <w:rStyle w:val="a3"/>
                  <w:rFonts w:eastAsia="Times New Roman"/>
                  <w:color w:val="000000"/>
                  <w:sz w:val="20"/>
                  <w:szCs w:val="20"/>
                  <w:u w:val="none"/>
                </w:rPr>
                <w:t>92</w:t>
              </w:r>
            </w:hyperlink>
          </w:p>
        </w:tc>
      </w:tr>
      <w:tr w:rsidR="00000000">
        <w:trPr>
          <w:divId w:val="156307175"/>
        </w:trPr>
        <w:tc>
          <w:tcPr>
            <w:tcW w:w="0" w:type="auto"/>
            <w:gridSpan w:val="3"/>
            <w:tcMar>
              <w:top w:w="30" w:type="dxa"/>
              <w:left w:w="20" w:type="dxa"/>
              <w:bottom w:w="30" w:type="dxa"/>
              <w:right w:w="20" w:type="dxa"/>
            </w:tcMar>
            <w:hideMark/>
          </w:tcPr>
          <w:p w:rsidR="00000000" w:rsidRDefault="00FD7D3C">
            <w:pPr>
              <w:spacing w:after="100"/>
              <w:divId w:val="1892888799"/>
              <w:rPr>
                <w:rFonts w:eastAsia="Times New Roman"/>
              </w:rPr>
            </w:pPr>
            <w:hyperlink w:anchor="i988625df783e4cc0a27bd76df388da57_28" w:history="1">
              <w:r>
                <w:rPr>
                  <w:rStyle w:val="a3"/>
                  <w:rFonts w:eastAsia="Times New Roman"/>
                  <w:color w:val="000000"/>
                  <w:sz w:val="20"/>
                  <w:szCs w:val="20"/>
                  <w:u w:val="none"/>
                </w:rPr>
                <w:t>Item 2.</w:t>
              </w:r>
            </w:hyperlink>
          </w:p>
        </w:tc>
        <w:tc>
          <w:tcPr>
            <w:tcW w:w="0" w:type="auto"/>
            <w:gridSpan w:val="3"/>
            <w:tcMar>
              <w:top w:w="30" w:type="dxa"/>
              <w:left w:w="20" w:type="dxa"/>
              <w:bottom w:w="30" w:type="dxa"/>
              <w:right w:w="20" w:type="dxa"/>
            </w:tcMar>
            <w:vAlign w:val="bottom"/>
            <w:hideMark/>
          </w:tcPr>
          <w:p w:rsidR="00000000" w:rsidRDefault="00FD7D3C">
            <w:pPr>
              <w:spacing w:after="100"/>
              <w:divId w:val="1815098510"/>
              <w:rPr>
                <w:rFonts w:eastAsia="Times New Roman"/>
              </w:rPr>
            </w:pPr>
            <w:hyperlink w:anchor="i988625df783e4cc0a27bd76df388da57_28" w:history="1">
              <w:r>
                <w:rPr>
                  <w:rStyle w:val="a3"/>
                  <w:rFonts w:eastAsia="Times New Roman"/>
                  <w:sz w:val="20"/>
                  <w:szCs w:val="20"/>
                </w:rPr>
                <w:t>Properties</w:t>
              </w:r>
            </w:hyperlink>
          </w:p>
        </w:tc>
        <w:tc>
          <w:tcPr>
            <w:tcW w:w="0" w:type="auto"/>
            <w:gridSpan w:val="3"/>
            <w:tcMar>
              <w:top w:w="30" w:type="dxa"/>
              <w:left w:w="20" w:type="dxa"/>
              <w:bottom w:w="30" w:type="dxa"/>
              <w:right w:w="20" w:type="dxa"/>
            </w:tcMar>
            <w:vAlign w:val="bottom"/>
            <w:hideMark/>
          </w:tcPr>
          <w:p w:rsidR="00000000" w:rsidRDefault="00FD7D3C">
            <w:pPr>
              <w:spacing w:after="100"/>
              <w:jc w:val="right"/>
              <w:rPr>
                <w:rFonts w:eastAsia="Times New Roman"/>
              </w:rPr>
            </w:pPr>
            <w:hyperlink w:anchor="i988625df783e4cc0a27bd76df388da57_28" w:history="1">
              <w:r>
                <w:rPr>
                  <w:rStyle w:val="a3"/>
                  <w:rFonts w:eastAsia="Times New Roman"/>
                  <w:color w:val="000000"/>
                  <w:sz w:val="20"/>
                  <w:szCs w:val="20"/>
                  <w:u w:val="none"/>
                </w:rPr>
                <w:t>93</w:t>
              </w:r>
            </w:hyperlink>
          </w:p>
        </w:tc>
      </w:tr>
      <w:tr w:rsidR="00000000">
        <w:trPr>
          <w:divId w:val="156307175"/>
        </w:trPr>
        <w:tc>
          <w:tcPr>
            <w:tcW w:w="0" w:type="auto"/>
            <w:gridSpan w:val="3"/>
            <w:tcMar>
              <w:top w:w="30" w:type="dxa"/>
              <w:left w:w="20" w:type="dxa"/>
              <w:bottom w:w="30" w:type="dxa"/>
              <w:right w:w="20" w:type="dxa"/>
            </w:tcMar>
            <w:hideMark/>
          </w:tcPr>
          <w:p w:rsidR="00000000" w:rsidRDefault="00FD7D3C">
            <w:pPr>
              <w:spacing w:after="100"/>
              <w:divId w:val="828863456"/>
              <w:rPr>
                <w:rFonts w:eastAsia="Times New Roman"/>
              </w:rPr>
            </w:pPr>
            <w:hyperlink w:anchor="i988625df783e4cc0a27bd76df388da57_31" w:history="1">
              <w:r>
                <w:rPr>
                  <w:rStyle w:val="a3"/>
                  <w:rFonts w:eastAsia="Times New Roman"/>
                  <w:color w:val="000000"/>
                  <w:sz w:val="20"/>
                  <w:szCs w:val="20"/>
                  <w:u w:val="none"/>
                </w:rPr>
                <w:t>Item 3.</w:t>
              </w:r>
            </w:hyperlink>
          </w:p>
        </w:tc>
        <w:tc>
          <w:tcPr>
            <w:tcW w:w="0" w:type="auto"/>
            <w:gridSpan w:val="3"/>
            <w:tcMar>
              <w:top w:w="30" w:type="dxa"/>
              <w:left w:w="20" w:type="dxa"/>
              <w:bottom w:w="30" w:type="dxa"/>
              <w:right w:w="20" w:type="dxa"/>
            </w:tcMar>
            <w:vAlign w:val="bottom"/>
            <w:hideMark/>
          </w:tcPr>
          <w:p w:rsidR="00000000" w:rsidRDefault="00FD7D3C">
            <w:pPr>
              <w:spacing w:after="100"/>
              <w:divId w:val="333068884"/>
              <w:rPr>
                <w:rFonts w:eastAsia="Times New Roman"/>
              </w:rPr>
            </w:pPr>
            <w:hyperlink w:anchor="i988625df783e4cc0a27bd76df388da57_31" w:history="1">
              <w:r>
                <w:rPr>
                  <w:rStyle w:val="a3"/>
                  <w:rFonts w:eastAsia="Times New Roman"/>
                  <w:sz w:val="20"/>
                  <w:szCs w:val="20"/>
                </w:rPr>
                <w:t>Legal Proceedings</w:t>
              </w:r>
            </w:hyperlink>
          </w:p>
        </w:tc>
        <w:tc>
          <w:tcPr>
            <w:tcW w:w="0" w:type="auto"/>
            <w:gridSpan w:val="3"/>
            <w:tcMar>
              <w:top w:w="30" w:type="dxa"/>
              <w:left w:w="20" w:type="dxa"/>
              <w:bottom w:w="30" w:type="dxa"/>
              <w:right w:w="20" w:type="dxa"/>
            </w:tcMar>
            <w:vAlign w:val="bottom"/>
            <w:hideMark/>
          </w:tcPr>
          <w:p w:rsidR="00000000" w:rsidRDefault="00FD7D3C">
            <w:pPr>
              <w:spacing w:after="100"/>
              <w:jc w:val="right"/>
              <w:rPr>
                <w:rFonts w:eastAsia="Times New Roman"/>
              </w:rPr>
            </w:pPr>
            <w:hyperlink w:anchor="i988625df783e4cc0a27bd76df388da57_31" w:history="1">
              <w:r>
                <w:rPr>
                  <w:rStyle w:val="a3"/>
                  <w:rFonts w:eastAsia="Times New Roman"/>
                  <w:color w:val="000000"/>
                  <w:sz w:val="20"/>
                  <w:szCs w:val="20"/>
                  <w:u w:val="none"/>
                </w:rPr>
                <w:t>93</w:t>
              </w:r>
            </w:hyperlink>
          </w:p>
        </w:tc>
      </w:tr>
      <w:tr w:rsidR="00000000">
        <w:trPr>
          <w:divId w:val="156307175"/>
        </w:trPr>
        <w:tc>
          <w:tcPr>
            <w:tcW w:w="0" w:type="auto"/>
            <w:gridSpan w:val="3"/>
            <w:tcMar>
              <w:top w:w="30" w:type="dxa"/>
              <w:left w:w="20" w:type="dxa"/>
              <w:bottom w:w="30" w:type="dxa"/>
              <w:right w:w="20" w:type="dxa"/>
            </w:tcMar>
            <w:hideMark/>
          </w:tcPr>
          <w:p w:rsidR="00000000" w:rsidRDefault="00FD7D3C">
            <w:pPr>
              <w:spacing w:after="100"/>
              <w:divId w:val="1318533272"/>
              <w:rPr>
                <w:rFonts w:eastAsia="Times New Roman"/>
              </w:rPr>
            </w:pPr>
            <w:hyperlink w:anchor="i988625df783e4cc0a27bd76df388da57_34" w:history="1">
              <w:r>
                <w:rPr>
                  <w:rStyle w:val="a3"/>
                  <w:rFonts w:eastAsia="Times New Roman"/>
                  <w:color w:val="000000"/>
                  <w:sz w:val="20"/>
                  <w:szCs w:val="20"/>
                  <w:u w:val="none"/>
                </w:rPr>
                <w:t>Item 4.</w:t>
              </w:r>
            </w:hyperlink>
          </w:p>
        </w:tc>
        <w:tc>
          <w:tcPr>
            <w:tcW w:w="0" w:type="auto"/>
            <w:gridSpan w:val="3"/>
            <w:tcMar>
              <w:top w:w="30" w:type="dxa"/>
              <w:left w:w="20" w:type="dxa"/>
              <w:bottom w:w="30" w:type="dxa"/>
              <w:right w:w="20" w:type="dxa"/>
            </w:tcMar>
            <w:vAlign w:val="bottom"/>
            <w:hideMark/>
          </w:tcPr>
          <w:p w:rsidR="00000000" w:rsidRDefault="00FD7D3C">
            <w:pPr>
              <w:spacing w:after="100"/>
              <w:divId w:val="970138485"/>
              <w:rPr>
                <w:rFonts w:eastAsia="Times New Roman"/>
              </w:rPr>
            </w:pPr>
            <w:hyperlink w:anchor="i988625df783e4cc0a27bd76df388da57_34" w:history="1">
              <w:r>
                <w:rPr>
                  <w:rStyle w:val="a3"/>
                  <w:rFonts w:eastAsia="Times New Roman"/>
                  <w:sz w:val="20"/>
                  <w:szCs w:val="20"/>
                </w:rPr>
                <w:t>Mine Safety Disclosures</w:t>
              </w:r>
            </w:hyperlink>
          </w:p>
        </w:tc>
        <w:tc>
          <w:tcPr>
            <w:tcW w:w="0" w:type="auto"/>
            <w:gridSpan w:val="3"/>
            <w:tcMar>
              <w:top w:w="30" w:type="dxa"/>
              <w:left w:w="20" w:type="dxa"/>
              <w:bottom w:w="30" w:type="dxa"/>
              <w:right w:w="20" w:type="dxa"/>
            </w:tcMar>
            <w:vAlign w:val="bottom"/>
            <w:hideMark/>
          </w:tcPr>
          <w:p w:rsidR="00000000" w:rsidRDefault="00FD7D3C">
            <w:pPr>
              <w:spacing w:after="100"/>
              <w:jc w:val="right"/>
              <w:rPr>
                <w:rFonts w:eastAsia="Times New Roman"/>
              </w:rPr>
            </w:pPr>
            <w:hyperlink w:anchor="i988625df783e4cc0a27bd76df388da57_34" w:history="1">
              <w:r>
                <w:rPr>
                  <w:rStyle w:val="a3"/>
                  <w:rFonts w:eastAsia="Times New Roman"/>
                  <w:color w:val="000000"/>
                  <w:sz w:val="20"/>
                  <w:szCs w:val="20"/>
                  <w:u w:val="none"/>
                </w:rPr>
                <w:t>93</w:t>
              </w:r>
            </w:hyperlink>
          </w:p>
        </w:tc>
      </w:tr>
      <w:tr w:rsidR="00000000">
        <w:trPr>
          <w:divId w:val="156307175"/>
          <w:trHeight w:val="180"/>
        </w:trPr>
        <w:tc>
          <w:tcPr>
            <w:tcW w:w="0" w:type="auto"/>
            <w:gridSpan w:val="3"/>
            <w:tcMar>
              <w:top w:w="0" w:type="dxa"/>
              <w:left w:w="20" w:type="dxa"/>
              <w:bottom w:w="0" w:type="dxa"/>
              <w:right w:w="20" w:type="dxa"/>
            </w:tcMar>
            <w:vAlign w:val="center"/>
            <w:hideMark/>
          </w:tcPr>
          <w:p w:rsidR="00000000" w:rsidRDefault="00FD7D3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000000">
        <w:trPr>
          <w:divId w:val="156307175"/>
        </w:trPr>
        <w:tc>
          <w:tcPr>
            <w:tcW w:w="0" w:type="auto"/>
            <w:gridSpan w:val="3"/>
            <w:tcMar>
              <w:top w:w="30" w:type="dxa"/>
              <w:left w:w="20" w:type="dxa"/>
              <w:bottom w:w="30" w:type="dxa"/>
              <w:right w:w="20" w:type="dxa"/>
            </w:tcMar>
            <w:hideMark/>
          </w:tcPr>
          <w:p w:rsidR="00000000" w:rsidRDefault="00FD7D3C">
            <w:pPr>
              <w:spacing w:after="100"/>
              <w:divId w:val="1279726085"/>
              <w:rPr>
                <w:rFonts w:eastAsia="Times New Roman"/>
              </w:rPr>
            </w:pPr>
            <w:hyperlink w:anchor="i988625df783e4cc0a27bd76df388da57_37" w:history="1">
              <w:r>
                <w:rPr>
                  <w:rStyle w:val="a3"/>
                  <w:rFonts w:eastAsia="Times New Roman"/>
                  <w:b/>
                  <w:bCs/>
                  <w:sz w:val="20"/>
                  <w:szCs w:val="20"/>
                </w:rPr>
                <w:t>PART II</w:t>
              </w:r>
            </w:hyperlink>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000000">
        <w:trPr>
          <w:divId w:val="156307175"/>
        </w:trPr>
        <w:tc>
          <w:tcPr>
            <w:tcW w:w="0" w:type="auto"/>
            <w:gridSpan w:val="3"/>
            <w:tcMar>
              <w:top w:w="30" w:type="dxa"/>
              <w:left w:w="20" w:type="dxa"/>
              <w:bottom w:w="30" w:type="dxa"/>
              <w:right w:w="20" w:type="dxa"/>
            </w:tcMar>
            <w:hideMark/>
          </w:tcPr>
          <w:p w:rsidR="00000000" w:rsidRDefault="00FD7D3C">
            <w:pPr>
              <w:spacing w:after="100"/>
              <w:divId w:val="1704016981"/>
              <w:rPr>
                <w:rFonts w:eastAsia="Times New Roman"/>
              </w:rPr>
            </w:pPr>
            <w:hyperlink w:anchor="i988625df783e4cc0a27bd76df388da57_40" w:history="1">
              <w:r>
                <w:rPr>
                  <w:rStyle w:val="a3"/>
                  <w:rFonts w:eastAsia="Times New Roman"/>
                  <w:color w:val="000000"/>
                  <w:sz w:val="20"/>
                  <w:szCs w:val="20"/>
                  <w:u w:val="none"/>
                </w:rPr>
                <w:t>Item 5.</w:t>
              </w:r>
            </w:hyperlink>
          </w:p>
        </w:tc>
        <w:tc>
          <w:tcPr>
            <w:tcW w:w="0" w:type="auto"/>
            <w:gridSpan w:val="3"/>
            <w:tcMar>
              <w:top w:w="30" w:type="dxa"/>
              <w:left w:w="20" w:type="dxa"/>
              <w:bottom w:w="30" w:type="dxa"/>
              <w:right w:w="20" w:type="dxa"/>
            </w:tcMar>
            <w:vAlign w:val="bottom"/>
            <w:hideMark/>
          </w:tcPr>
          <w:p w:rsidR="00000000" w:rsidRDefault="00FD7D3C">
            <w:pPr>
              <w:spacing w:after="100"/>
              <w:divId w:val="842748323"/>
              <w:rPr>
                <w:rFonts w:eastAsia="Times New Roman"/>
              </w:rPr>
            </w:pPr>
            <w:hyperlink w:anchor="i988625df783e4cc0a27bd76df388da57_40" w:history="1">
              <w:r>
                <w:rPr>
                  <w:rStyle w:val="a3"/>
                  <w:rFonts w:eastAsia="Times New Roman"/>
                  <w:sz w:val="20"/>
                  <w:szCs w:val="20"/>
                </w:rPr>
                <w:t>Market for Registrant’</w:t>
              </w:r>
              <w:r>
                <w:rPr>
                  <w:rStyle w:val="a3"/>
                  <w:rFonts w:eastAsia="Times New Roman"/>
                  <w:sz w:val="20"/>
                  <w:szCs w:val="20"/>
                </w:rPr>
                <w:t>s Common Equity, Related Stockholder Matters and Issuer Purchases of Equity Securities</w:t>
              </w:r>
            </w:hyperlink>
          </w:p>
        </w:tc>
        <w:tc>
          <w:tcPr>
            <w:tcW w:w="0" w:type="auto"/>
            <w:gridSpan w:val="3"/>
            <w:tcMar>
              <w:top w:w="30" w:type="dxa"/>
              <w:left w:w="20" w:type="dxa"/>
              <w:bottom w:w="30" w:type="dxa"/>
              <w:right w:w="20" w:type="dxa"/>
            </w:tcMar>
            <w:vAlign w:val="bottom"/>
            <w:hideMark/>
          </w:tcPr>
          <w:p w:rsidR="00000000" w:rsidRDefault="00FD7D3C">
            <w:pPr>
              <w:spacing w:after="100"/>
              <w:jc w:val="right"/>
              <w:rPr>
                <w:rFonts w:eastAsia="Times New Roman"/>
              </w:rPr>
            </w:pPr>
            <w:hyperlink w:anchor="i988625df783e4cc0a27bd76df388da57_40" w:history="1">
              <w:r>
                <w:rPr>
                  <w:rStyle w:val="a3"/>
                  <w:rFonts w:eastAsia="Times New Roman"/>
                  <w:color w:val="000000"/>
                  <w:sz w:val="20"/>
                  <w:szCs w:val="20"/>
                  <w:u w:val="none"/>
                </w:rPr>
                <w:t>94</w:t>
              </w:r>
            </w:hyperlink>
          </w:p>
        </w:tc>
      </w:tr>
      <w:tr w:rsidR="00000000">
        <w:trPr>
          <w:divId w:val="156307175"/>
        </w:trPr>
        <w:tc>
          <w:tcPr>
            <w:tcW w:w="0" w:type="auto"/>
            <w:gridSpan w:val="3"/>
            <w:tcMar>
              <w:top w:w="30" w:type="dxa"/>
              <w:left w:w="20" w:type="dxa"/>
              <w:bottom w:w="30" w:type="dxa"/>
              <w:right w:w="20" w:type="dxa"/>
            </w:tcMar>
            <w:hideMark/>
          </w:tcPr>
          <w:p w:rsidR="00000000" w:rsidRDefault="00FD7D3C">
            <w:pPr>
              <w:spacing w:after="100"/>
              <w:divId w:val="2113819077"/>
              <w:rPr>
                <w:rFonts w:eastAsia="Times New Roman"/>
              </w:rPr>
            </w:pPr>
            <w:hyperlink w:anchor="i988625df783e4cc0a27bd76df388da57_43" w:history="1">
              <w:r>
                <w:rPr>
                  <w:rStyle w:val="a3"/>
                  <w:rFonts w:eastAsia="Times New Roman"/>
                  <w:color w:val="000000"/>
                  <w:sz w:val="20"/>
                  <w:szCs w:val="20"/>
                  <w:u w:val="none"/>
                </w:rPr>
                <w:t>Item 6.</w:t>
              </w:r>
            </w:hyperlink>
          </w:p>
        </w:tc>
        <w:tc>
          <w:tcPr>
            <w:tcW w:w="0" w:type="auto"/>
            <w:gridSpan w:val="3"/>
            <w:tcMar>
              <w:top w:w="30" w:type="dxa"/>
              <w:left w:w="20" w:type="dxa"/>
              <w:bottom w:w="30" w:type="dxa"/>
              <w:right w:w="20" w:type="dxa"/>
            </w:tcMar>
            <w:vAlign w:val="bottom"/>
            <w:hideMark/>
          </w:tcPr>
          <w:p w:rsidR="00000000" w:rsidRDefault="00FD7D3C">
            <w:pPr>
              <w:spacing w:after="100"/>
              <w:divId w:val="614480218"/>
              <w:rPr>
                <w:rFonts w:eastAsia="Times New Roman"/>
              </w:rPr>
            </w:pPr>
            <w:hyperlink w:anchor="i988625df783e4cc0a27bd76df388da57_43" w:history="1">
              <w:r>
                <w:rPr>
                  <w:rStyle w:val="a3"/>
                  <w:rFonts w:eastAsia="Times New Roman"/>
                  <w:sz w:val="20"/>
                  <w:szCs w:val="20"/>
                </w:rPr>
                <w:t>Reserved</w:t>
              </w:r>
            </w:hyperlink>
          </w:p>
        </w:tc>
        <w:tc>
          <w:tcPr>
            <w:tcW w:w="0" w:type="auto"/>
            <w:gridSpan w:val="3"/>
            <w:tcMar>
              <w:top w:w="30" w:type="dxa"/>
              <w:left w:w="20" w:type="dxa"/>
              <w:bottom w:w="30" w:type="dxa"/>
              <w:right w:w="20" w:type="dxa"/>
            </w:tcMar>
            <w:vAlign w:val="bottom"/>
            <w:hideMark/>
          </w:tcPr>
          <w:p w:rsidR="00000000" w:rsidRDefault="00FD7D3C">
            <w:pPr>
              <w:spacing w:after="100"/>
              <w:jc w:val="right"/>
              <w:rPr>
                <w:rFonts w:eastAsia="Times New Roman"/>
              </w:rPr>
            </w:pPr>
            <w:hyperlink w:anchor="i988625df783e4cc0a27bd76df388da57_43" w:history="1">
              <w:r>
                <w:rPr>
                  <w:rStyle w:val="a3"/>
                  <w:rFonts w:eastAsia="Times New Roman"/>
                  <w:color w:val="000000"/>
                  <w:sz w:val="20"/>
                  <w:szCs w:val="20"/>
                  <w:u w:val="none"/>
                </w:rPr>
                <w:t>95</w:t>
              </w:r>
            </w:hyperlink>
          </w:p>
        </w:tc>
      </w:tr>
      <w:tr w:rsidR="00000000">
        <w:trPr>
          <w:divId w:val="156307175"/>
        </w:trPr>
        <w:tc>
          <w:tcPr>
            <w:tcW w:w="0" w:type="auto"/>
            <w:gridSpan w:val="3"/>
            <w:tcMar>
              <w:top w:w="30" w:type="dxa"/>
              <w:left w:w="20" w:type="dxa"/>
              <w:bottom w:w="30" w:type="dxa"/>
              <w:right w:w="20" w:type="dxa"/>
            </w:tcMar>
            <w:hideMark/>
          </w:tcPr>
          <w:p w:rsidR="00000000" w:rsidRDefault="00FD7D3C">
            <w:pPr>
              <w:spacing w:after="100"/>
              <w:divId w:val="1302152541"/>
              <w:rPr>
                <w:rFonts w:eastAsia="Times New Roman"/>
              </w:rPr>
            </w:pPr>
            <w:hyperlink w:anchor="i988625df783e4cc0a27bd76df388da57_46" w:history="1">
              <w:r>
                <w:rPr>
                  <w:rStyle w:val="a3"/>
                  <w:rFonts w:eastAsia="Times New Roman"/>
                  <w:color w:val="000000"/>
                  <w:sz w:val="20"/>
                  <w:szCs w:val="20"/>
                  <w:u w:val="none"/>
                </w:rPr>
                <w:t>Item 7.</w:t>
              </w:r>
            </w:hyperlink>
          </w:p>
        </w:tc>
        <w:tc>
          <w:tcPr>
            <w:tcW w:w="0" w:type="auto"/>
            <w:gridSpan w:val="3"/>
            <w:tcMar>
              <w:top w:w="30" w:type="dxa"/>
              <w:left w:w="20" w:type="dxa"/>
              <w:bottom w:w="30" w:type="dxa"/>
              <w:right w:w="20" w:type="dxa"/>
            </w:tcMar>
            <w:vAlign w:val="bottom"/>
            <w:hideMark/>
          </w:tcPr>
          <w:p w:rsidR="00000000" w:rsidRDefault="00FD7D3C">
            <w:pPr>
              <w:spacing w:after="100"/>
              <w:divId w:val="814373411"/>
              <w:rPr>
                <w:rFonts w:eastAsia="Times New Roman"/>
              </w:rPr>
            </w:pPr>
            <w:hyperlink w:anchor="i988625df783e4cc0a27bd76df388da57_46" w:history="1">
              <w:r>
                <w:rPr>
                  <w:rStyle w:val="a3"/>
                  <w:rFonts w:eastAsia="Times New Roman"/>
                  <w:sz w:val="20"/>
                  <w:szCs w:val="20"/>
                </w:rPr>
                <w:t>Management’s Discussion and Analysis of Financial Condition and Results of Operations</w:t>
              </w:r>
            </w:hyperlink>
          </w:p>
        </w:tc>
        <w:tc>
          <w:tcPr>
            <w:tcW w:w="0" w:type="auto"/>
            <w:gridSpan w:val="3"/>
            <w:tcMar>
              <w:top w:w="30" w:type="dxa"/>
              <w:left w:w="20" w:type="dxa"/>
              <w:bottom w:w="30" w:type="dxa"/>
              <w:right w:w="20" w:type="dxa"/>
            </w:tcMar>
            <w:vAlign w:val="bottom"/>
            <w:hideMark/>
          </w:tcPr>
          <w:p w:rsidR="00000000" w:rsidRDefault="00FD7D3C">
            <w:pPr>
              <w:spacing w:after="100"/>
              <w:jc w:val="right"/>
              <w:rPr>
                <w:rFonts w:eastAsia="Times New Roman"/>
              </w:rPr>
            </w:pPr>
            <w:hyperlink w:anchor="i988625df783e4cc0a27bd76df388da57_46" w:history="1">
              <w:r>
                <w:rPr>
                  <w:rStyle w:val="a3"/>
                  <w:rFonts w:eastAsia="Times New Roman"/>
                  <w:color w:val="000000"/>
                  <w:sz w:val="20"/>
                  <w:szCs w:val="20"/>
                  <w:u w:val="none"/>
                </w:rPr>
                <w:t>95</w:t>
              </w:r>
            </w:hyperlink>
          </w:p>
        </w:tc>
      </w:tr>
      <w:tr w:rsidR="00000000">
        <w:trPr>
          <w:divId w:val="156307175"/>
        </w:trPr>
        <w:tc>
          <w:tcPr>
            <w:tcW w:w="0" w:type="auto"/>
            <w:gridSpan w:val="3"/>
            <w:tcMar>
              <w:top w:w="30" w:type="dxa"/>
              <w:left w:w="20" w:type="dxa"/>
              <w:bottom w:w="30" w:type="dxa"/>
              <w:right w:w="20" w:type="dxa"/>
            </w:tcMar>
            <w:hideMark/>
          </w:tcPr>
          <w:p w:rsidR="00000000" w:rsidRDefault="00FD7D3C">
            <w:pPr>
              <w:spacing w:after="100"/>
              <w:divId w:val="265038862"/>
              <w:rPr>
                <w:rFonts w:eastAsia="Times New Roman"/>
              </w:rPr>
            </w:pPr>
            <w:hyperlink w:anchor="i988625df783e4cc0a27bd76df388da57_76" w:history="1">
              <w:r>
                <w:rPr>
                  <w:rStyle w:val="a3"/>
                  <w:rFonts w:eastAsia="Times New Roman"/>
                  <w:color w:val="000000"/>
                  <w:sz w:val="20"/>
                  <w:szCs w:val="20"/>
                  <w:u w:val="none"/>
                </w:rPr>
                <w:t>Item 7A.</w:t>
              </w:r>
            </w:hyperlink>
          </w:p>
        </w:tc>
        <w:tc>
          <w:tcPr>
            <w:tcW w:w="0" w:type="auto"/>
            <w:gridSpan w:val="3"/>
            <w:tcMar>
              <w:top w:w="30" w:type="dxa"/>
              <w:left w:w="20" w:type="dxa"/>
              <w:bottom w:w="30" w:type="dxa"/>
              <w:right w:w="20" w:type="dxa"/>
            </w:tcMar>
            <w:vAlign w:val="bottom"/>
            <w:hideMark/>
          </w:tcPr>
          <w:p w:rsidR="00000000" w:rsidRDefault="00FD7D3C">
            <w:pPr>
              <w:spacing w:after="100"/>
              <w:divId w:val="389689063"/>
              <w:rPr>
                <w:rFonts w:eastAsia="Times New Roman"/>
              </w:rPr>
            </w:pPr>
            <w:hyperlink w:anchor="i988625df783e4cc0a27bd76df388da57_76" w:history="1">
              <w:r>
                <w:rPr>
                  <w:rStyle w:val="a3"/>
                  <w:rFonts w:eastAsia="Times New Roman"/>
                  <w:sz w:val="20"/>
                  <w:szCs w:val="20"/>
                </w:rPr>
                <w:t>Quantitative and Qualitative Disclosures About Market Risk</w:t>
              </w:r>
            </w:hyperlink>
          </w:p>
        </w:tc>
        <w:tc>
          <w:tcPr>
            <w:tcW w:w="0" w:type="auto"/>
            <w:gridSpan w:val="3"/>
            <w:tcMar>
              <w:top w:w="30" w:type="dxa"/>
              <w:left w:w="20" w:type="dxa"/>
              <w:bottom w:w="30" w:type="dxa"/>
              <w:right w:w="20" w:type="dxa"/>
            </w:tcMar>
            <w:vAlign w:val="bottom"/>
            <w:hideMark/>
          </w:tcPr>
          <w:p w:rsidR="00000000" w:rsidRDefault="00FD7D3C">
            <w:pPr>
              <w:spacing w:after="100"/>
              <w:jc w:val="right"/>
              <w:rPr>
                <w:rFonts w:eastAsia="Times New Roman"/>
              </w:rPr>
            </w:pPr>
            <w:hyperlink w:anchor="i988625df783e4cc0a27bd76df388da57_76" w:history="1">
              <w:r>
                <w:rPr>
                  <w:rStyle w:val="a3"/>
                  <w:rFonts w:eastAsia="Times New Roman"/>
                  <w:color w:val="000000"/>
                  <w:sz w:val="20"/>
                  <w:szCs w:val="20"/>
                  <w:u w:val="none"/>
                </w:rPr>
                <w:t>105</w:t>
              </w:r>
            </w:hyperlink>
          </w:p>
        </w:tc>
      </w:tr>
      <w:tr w:rsidR="00000000">
        <w:trPr>
          <w:divId w:val="156307175"/>
        </w:trPr>
        <w:tc>
          <w:tcPr>
            <w:tcW w:w="0" w:type="auto"/>
            <w:gridSpan w:val="3"/>
            <w:tcMar>
              <w:top w:w="30" w:type="dxa"/>
              <w:left w:w="20" w:type="dxa"/>
              <w:bottom w:w="30" w:type="dxa"/>
              <w:right w:w="20" w:type="dxa"/>
            </w:tcMar>
            <w:hideMark/>
          </w:tcPr>
          <w:p w:rsidR="00000000" w:rsidRDefault="00FD7D3C">
            <w:pPr>
              <w:spacing w:after="100"/>
              <w:divId w:val="1980718676"/>
              <w:rPr>
                <w:rFonts w:eastAsia="Times New Roman"/>
              </w:rPr>
            </w:pPr>
            <w:hyperlink w:anchor="i988625df783e4cc0a27bd76df388da57_79" w:history="1">
              <w:r>
                <w:rPr>
                  <w:rStyle w:val="a3"/>
                  <w:rFonts w:eastAsia="Times New Roman"/>
                  <w:color w:val="000000"/>
                  <w:sz w:val="20"/>
                  <w:szCs w:val="20"/>
                  <w:u w:val="none"/>
                </w:rPr>
                <w:t>Item 8.</w:t>
              </w:r>
            </w:hyperlink>
          </w:p>
        </w:tc>
        <w:tc>
          <w:tcPr>
            <w:tcW w:w="0" w:type="auto"/>
            <w:gridSpan w:val="3"/>
            <w:tcMar>
              <w:top w:w="30" w:type="dxa"/>
              <w:left w:w="20" w:type="dxa"/>
              <w:bottom w:w="30" w:type="dxa"/>
              <w:right w:w="20" w:type="dxa"/>
            </w:tcMar>
            <w:vAlign w:val="bottom"/>
            <w:hideMark/>
          </w:tcPr>
          <w:p w:rsidR="00000000" w:rsidRDefault="00FD7D3C">
            <w:pPr>
              <w:spacing w:after="100"/>
              <w:divId w:val="1616714971"/>
              <w:rPr>
                <w:rFonts w:eastAsia="Times New Roman"/>
              </w:rPr>
            </w:pPr>
            <w:hyperlink w:anchor="i988625df783e4cc0a27bd76df388da57_79" w:history="1">
              <w:r>
                <w:rPr>
                  <w:rStyle w:val="a3"/>
                  <w:rFonts w:eastAsia="Times New Roman"/>
                  <w:sz w:val="20"/>
                  <w:szCs w:val="20"/>
                </w:rPr>
                <w:t>Financial Statements and Supplementary Data</w:t>
              </w:r>
            </w:hyperlink>
          </w:p>
        </w:tc>
        <w:tc>
          <w:tcPr>
            <w:tcW w:w="0" w:type="auto"/>
            <w:gridSpan w:val="3"/>
            <w:tcMar>
              <w:top w:w="30" w:type="dxa"/>
              <w:left w:w="20" w:type="dxa"/>
              <w:bottom w:w="30" w:type="dxa"/>
              <w:right w:w="20" w:type="dxa"/>
            </w:tcMar>
            <w:vAlign w:val="bottom"/>
            <w:hideMark/>
          </w:tcPr>
          <w:p w:rsidR="00000000" w:rsidRDefault="00FD7D3C">
            <w:pPr>
              <w:spacing w:after="100"/>
              <w:jc w:val="right"/>
              <w:rPr>
                <w:rFonts w:eastAsia="Times New Roman"/>
              </w:rPr>
            </w:pPr>
            <w:hyperlink w:anchor="i988625df783e4cc0a27bd76df388da57_79" w:history="1">
              <w:r>
                <w:rPr>
                  <w:rStyle w:val="a3"/>
                  <w:rFonts w:eastAsia="Times New Roman"/>
                  <w:color w:val="000000"/>
                  <w:sz w:val="20"/>
                  <w:szCs w:val="20"/>
                  <w:u w:val="none"/>
                </w:rPr>
                <w:t>106</w:t>
              </w:r>
            </w:hyperlink>
          </w:p>
        </w:tc>
      </w:tr>
      <w:tr w:rsidR="00000000">
        <w:trPr>
          <w:divId w:val="156307175"/>
        </w:trPr>
        <w:tc>
          <w:tcPr>
            <w:tcW w:w="0" w:type="auto"/>
            <w:gridSpan w:val="3"/>
            <w:tcMar>
              <w:top w:w="30" w:type="dxa"/>
              <w:left w:w="20" w:type="dxa"/>
              <w:bottom w:w="30" w:type="dxa"/>
              <w:right w:w="20" w:type="dxa"/>
            </w:tcMar>
            <w:hideMark/>
          </w:tcPr>
          <w:p w:rsidR="00000000" w:rsidRDefault="00FD7D3C">
            <w:pPr>
              <w:spacing w:after="100"/>
              <w:divId w:val="362052904"/>
              <w:rPr>
                <w:rFonts w:eastAsia="Times New Roman"/>
              </w:rPr>
            </w:pPr>
            <w:hyperlink w:anchor="i988625df783e4cc0a27bd76df388da57_166" w:history="1">
              <w:r>
                <w:rPr>
                  <w:rStyle w:val="a3"/>
                  <w:rFonts w:eastAsia="Times New Roman"/>
                  <w:color w:val="000000"/>
                  <w:sz w:val="20"/>
                  <w:szCs w:val="20"/>
                  <w:u w:val="none"/>
                </w:rPr>
                <w:t>Item 9.</w:t>
              </w:r>
            </w:hyperlink>
          </w:p>
        </w:tc>
        <w:tc>
          <w:tcPr>
            <w:tcW w:w="0" w:type="auto"/>
            <w:gridSpan w:val="3"/>
            <w:tcMar>
              <w:top w:w="30" w:type="dxa"/>
              <w:left w:w="20" w:type="dxa"/>
              <w:bottom w:w="30" w:type="dxa"/>
              <w:right w:w="20" w:type="dxa"/>
            </w:tcMar>
            <w:vAlign w:val="bottom"/>
            <w:hideMark/>
          </w:tcPr>
          <w:p w:rsidR="00000000" w:rsidRDefault="00FD7D3C">
            <w:pPr>
              <w:spacing w:after="100"/>
              <w:divId w:val="278296319"/>
              <w:rPr>
                <w:rFonts w:eastAsia="Times New Roman"/>
              </w:rPr>
            </w:pPr>
            <w:hyperlink w:anchor="i988625df783e4cc0a27bd76df388da57_166" w:history="1">
              <w:r>
                <w:rPr>
                  <w:rStyle w:val="a3"/>
                  <w:rFonts w:eastAsia="Times New Roman"/>
                  <w:sz w:val="20"/>
                  <w:szCs w:val="20"/>
                </w:rPr>
                <w:t xml:space="preserve">Changes in and Disagreements With Accountants on Accounting </w:t>
              </w:r>
              <w:r>
                <w:rPr>
                  <w:rStyle w:val="a3"/>
                  <w:rFonts w:eastAsia="Times New Roman"/>
                  <w:sz w:val="20"/>
                  <w:szCs w:val="20"/>
                </w:rPr>
                <w:t>and Financial Disclosure</w:t>
              </w:r>
            </w:hyperlink>
          </w:p>
        </w:tc>
        <w:tc>
          <w:tcPr>
            <w:tcW w:w="0" w:type="auto"/>
            <w:gridSpan w:val="3"/>
            <w:tcMar>
              <w:top w:w="30" w:type="dxa"/>
              <w:left w:w="20" w:type="dxa"/>
              <w:bottom w:w="30" w:type="dxa"/>
              <w:right w:w="20" w:type="dxa"/>
            </w:tcMar>
            <w:vAlign w:val="bottom"/>
            <w:hideMark/>
          </w:tcPr>
          <w:p w:rsidR="00000000" w:rsidRDefault="00FD7D3C">
            <w:pPr>
              <w:spacing w:after="100"/>
              <w:jc w:val="right"/>
              <w:rPr>
                <w:rFonts w:eastAsia="Times New Roman"/>
              </w:rPr>
            </w:pPr>
            <w:hyperlink w:anchor="i988625df783e4cc0a27bd76df388da57_166" w:history="1">
              <w:r>
                <w:rPr>
                  <w:rStyle w:val="a3"/>
                  <w:rFonts w:eastAsia="Times New Roman"/>
                  <w:color w:val="000000"/>
                  <w:sz w:val="20"/>
                  <w:szCs w:val="20"/>
                  <w:u w:val="none"/>
                </w:rPr>
                <w:t>135</w:t>
              </w:r>
            </w:hyperlink>
          </w:p>
        </w:tc>
      </w:tr>
      <w:tr w:rsidR="00000000">
        <w:trPr>
          <w:divId w:val="156307175"/>
        </w:trPr>
        <w:tc>
          <w:tcPr>
            <w:tcW w:w="0" w:type="auto"/>
            <w:gridSpan w:val="3"/>
            <w:tcMar>
              <w:top w:w="30" w:type="dxa"/>
              <w:left w:w="20" w:type="dxa"/>
              <w:bottom w:w="30" w:type="dxa"/>
              <w:right w:w="20" w:type="dxa"/>
            </w:tcMar>
            <w:hideMark/>
          </w:tcPr>
          <w:p w:rsidR="00000000" w:rsidRDefault="00FD7D3C">
            <w:pPr>
              <w:spacing w:after="100"/>
              <w:divId w:val="886724025"/>
              <w:rPr>
                <w:rFonts w:eastAsia="Times New Roman"/>
              </w:rPr>
            </w:pPr>
            <w:hyperlink w:anchor="i988625df783e4cc0a27bd76df388da57_169" w:history="1">
              <w:r>
                <w:rPr>
                  <w:rStyle w:val="a3"/>
                  <w:rFonts w:eastAsia="Times New Roman"/>
                  <w:color w:val="000000"/>
                  <w:sz w:val="20"/>
                  <w:szCs w:val="20"/>
                  <w:u w:val="none"/>
                </w:rPr>
                <w:t>Item 9A.</w:t>
              </w:r>
            </w:hyperlink>
          </w:p>
        </w:tc>
        <w:tc>
          <w:tcPr>
            <w:tcW w:w="0" w:type="auto"/>
            <w:gridSpan w:val="3"/>
            <w:tcMar>
              <w:top w:w="30" w:type="dxa"/>
              <w:left w:w="20" w:type="dxa"/>
              <w:bottom w:w="30" w:type="dxa"/>
              <w:right w:w="20" w:type="dxa"/>
            </w:tcMar>
            <w:vAlign w:val="bottom"/>
            <w:hideMark/>
          </w:tcPr>
          <w:p w:rsidR="00000000" w:rsidRDefault="00FD7D3C">
            <w:pPr>
              <w:spacing w:after="100"/>
              <w:divId w:val="904148756"/>
              <w:rPr>
                <w:rFonts w:eastAsia="Times New Roman"/>
              </w:rPr>
            </w:pPr>
            <w:hyperlink w:anchor="i988625df783e4cc0a27bd76df388da57_169" w:history="1">
              <w:r>
                <w:rPr>
                  <w:rStyle w:val="a3"/>
                  <w:rFonts w:eastAsia="Times New Roman"/>
                  <w:sz w:val="20"/>
                  <w:szCs w:val="20"/>
                </w:rPr>
                <w:t>Controls and Procedures</w:t>
              </w:r>
            </w:hyperlink>
          </w:p>
        </w:tc>
        <w:tc>
          <w:tcPr>
            <w:tcW w:w="0" w:type="auto"/>
            <w:gridSpan w:val="3"/>
            <w:tcMar>
              <w:top w:w="30" w:type="dxa"/>
              <w:left w:w="20" w:type="dxa"/>
              <w:bottom w:w="30" w:type="dxa"/>
              <w:right w:w="20" w:type="dxa"/>
            </w:tcMar>
            <w:vAlign w:val="bottom"/>
            <w:hideMark/>
          </w:tcPr>
          <w:p w:rsidR="00000000" w:rsidRDefault="00FD7D3C">
            <w:pPr>
              <w:spacing w:after="100"/>
              <w:jc w:val="right"/>
              <w:rPr>
                <w:rFonts w:eastAsia="Times New Roman"/>
              </w:rPr>
            </w:pPr>
            <w:hyperlink w:anchor="i988625df783e4cc0a27bd76df388da57_169" w:history="1">
              <w:r>
                <w:rPr>
                  <w:rStyle w:val="a3"/>
                  <w:rFonts w:eastAsia="Times New Roman"/>
                  <w:color w:val="000000"/>
                  <w:sz w:val="20"/>
                  <w:szCs w:val="20"/>
                  <w:u w:val="none"/>
                </w:rPr>
                <w:t>135</w:t>
              </w:r>
            </w:hyperlink>
          </w:p>
        </w:tc>
      </w:tr>
      <w:tr w:rsidR="00000000">
        <w:trPr>
          <w:divId w:val="156307175"/>
        </w:trPr>
        <w:tc>
          <w:tcPr>
            <w:tcW w:w="0" w:type="auto"/>
            <w:gridSpan w:val="3"/>
            <w:tcMar>
              <w:top w:w="30" w:type="dxa"/>
              <w:left w:w="20" w:type="dxa"/>
              <w:bottom w:w="30" w:type="dxa"/>
              <w:right w:w="20" w:type="dxa"/>
            </w:tcMar>
            <w:hideMark/>
          </w:tcPr>
          <w:p w:rsidR="00000000" w:rsidRDefault="00FD7D3C">
            <w:pPr>
              <w:spacing w:after="100"/>
              <w:divId w:val="8914364"/>
              <w:rPr>
                <w:rFonts w:eastAsia="Times New Roman"/>
              </w:rPr>
            </w:pPr>
            <w:hyperlink w:anchor="i988625df783e4cc0a27bd76df388da57_172" w:history="1">
              <w:r>
                <w:rPr>
                  <w:rStyle w:val="a3"/>
                  <w:rFonts w:eastAsia="Times New Roman"/>
                  <w:color w:val="000000"/>
                  <w:sz w:val="20"/>
                  <w:szCs w:val="20"/>
                  <w:u w:val="none"/>
                </w:rPr>
                <w:t>Item 9B.</w:t>
              </w:r>
            </w:hyperlink>
          </w:p>
        </w:tc>
        <w:tc>
          <w:tcPr>
            <w:tcW w:w="0" w:type="auto"/>
            <w:gridSpan w:val="3"/>
            <w:tcMar>
              <w:top w:w="30" w:type="dxa"/>
              <w:left w:w="20" w:type="dxa"/>
              <w:bottom w:w="30" w:type="dxa"/>
              <w:right w:w="20" w:type="dxa"/>
            </w:tcMar>
            <w:vAlign w:val="bottom"/>
            <w:hideMark/>
          </w:tcPr>
          <w:p w:rsidR="00000000" w:rsidRDefault="00FD7D3C">
            <w:pPr>
              <w:spacing w:after="100"/>
              <w:divId w:val="145632376"/>
              <w:rPr>
                <w:rFonts w:eastAsia="Times New Roman"/>
              </w:rPr>
            </w:pPr>
            <w:hyperlink w:anchor="i988625df783e4cc0a27bd76df388da57_172" w:history="1">
              <w:r>
                <w:rPr>
                  <w:rStyle w:val="a3"/>
                  <w:rFonts w:eastAsia="Times New Roman"/>
                  <w:sz w:val="20"/>
                  <w:szCs w:val="20"/>
                </w:rPr>
                <w:t>Other Information</w:t>
              </w:r>
            </w:hyperlink>
          </w:p>
        </w:tc>
        <w:tc>
          <w:tcPr>
            <w:tcW w:w="0" w:type="auto"/>
            <w:gridSpan w:val="3"/>
            <w:tcMar>
              <w:top w:w="30" w:type="dxa"/>
              <w:left w:w="20" w:type="dxa"/>
              <w:bottom w:w="30" w:type="dxa"/>
              <w:right w:w="20" w:type="dxa"/>
            </w:tcMar>
            <w:vAlign w:val="bottom"/>
            <w:hideMark/>
          </w:tcPr>
          <w:p w:rsidR="00000000" w:rsidRDefault="00FD7D3C">
            <w:pPr>
              <w:spacing w:after="100"/>
              <w:jc w:val="right"/>
              <w:rPr>
                <w:rFonts w:eastAsia="Times New Roman"/>
              </w:rPr>
            </w:pPr>
            <w:hyperlink w:anchor="i988625df783e4cc0a27bd76df388da57_172" w:history="1">
              <w:r>
                <w:rPr>
                  <w:rStyle w:val="a3"/>
                  <w:rFonts w:eastAsia="Times New Roman"/>
                  <w:color w:val="000000"/>
                  <w:sz w:val="20"/>
                  <w:szCs w:val="20"/>
                  <w:u w:val="none"/>
                </w:rPr>
                <w:t>136</w:t>
              </w:r>
            </w:hyperlink>
          </w:p>
        </w:tc>
      </w:tr>
      <w:tr w:rsidR="00000000">
        <w:trPr>
          <w:divId w:val="156307175"/>
          <w:trHeight w:val="180"/>
        </w:trPr>
        <w:tc>
          <w:tcPr>
            <w:tcW w:w="0" w:type="auto"/>
            <w:gridSpan w:val="3"/>
            <w:tcMar>
              <w:top w:w="0" w:type="dxa"/>
              <w:left w:w="20" w:type="dxa"/>
              <w:bottom w:w="0" w:type="dxa"/>
              <w:right w:w="20" w:type="dxa"/>
            </w:tcMar>
            <w:vAlign w:val="center"/>
            <w:hideMark/>
          </w:tcPr>
          <w:p w:rsidR="00000000" w:rsidRDefault="00FD7D3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000000">
        <w:trPr>
          <w:divId w:val="156307175"/>
        </w:trPr>
        <w:tc>
          <w:tcPr>
            <w:tcW w:w="0" w:type="auto"/>
            <w:gridSpan w:val="3"/>
            <w:tcMar>
              <w:top w:w="30" w:type="dxa"/>
              <w:left w:w="20" w:type="dxa"/>
              <w:bottom w:w="30" w:type="dxa"/>
              <w:right w:w="20" w:type="dxa"/>
            </w:tcMar>
            <w:hideMark/>
          </w:tcPr>
          <w:p w:rsidR="00000000" w:rsidRDefault="00FD7D3C">
            <w:pPr>
              <w:spacing w:after="100"/>
              <w:divId w:val="152524764"/>
              <w:rPr>
                <w:rFonts w:eastAsia="Times New Roman"/>
              </w:rPr>
            </w:pPr>
            <w:hyperlink w:anchor="i988625df783e4cc0a27bd76df388da57_175" w:history="1">
              <w:r>
                <w:rPr>
                  <w:rStyle w:val="a3"/>
                  <w:rFonts w:eastAsia="Times New Roman"/>
                  <w:b/>
                  <w:bCs/>
                  <w:sz w:val="20"/>
                  <w:szCs w:val="20"/>
                </w:rPr>
                <w:t>PART III</w:t>
              </w:r>
            </w:hyperlink>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000000">
        <w:trPr>
          <w:divId w:val="156307175"/>
        </w:trPr>
        <w:tc>
          <w:tcPr>
            <w:tcW w:w="0" w:type="auto"/>
            <w:gridSpan w:val="3"/>
            <w:tcMar>
              <w:top w:w="30" w:type="dxa"/>
              <w:left w:w="20" w:type="dxa"/>
              <w:bottom w:w="30" w:type="dxa"/>
              <w:right w:w="20" w:type="dxa"/>
            </w:tcMar>
            <w:hideMark/>
          </w:tcPr>
          <w:p w:rsidR="00000000" w:rsidRDefault="00FD7D3C">
            <w:pPr>
              <w:spacing w:after="100"/>
              <w:divId w:val="1130592589"/>
              <w:rPr>
                <w:rFonts w:eastAsia="Times New Roman"/>
              </w:rPr>
            </w:pPr>
            <w:hyperlink w:anchor="i988625df783e4cc0a27bd76df388da57_178" w:history="1">
              <w:r>
                <w:rPr>
                  <w:rStyle w:val="a3"/>
                  <w:rFonts w:eastAsia="Times New Roman"/>
                  <w:color w:val="000000"/>
                  <w:sz w:val="20"/>
                  <w:szCs w:val="20"/>
                  <w:u w:val="none"/>
                </w:rPr>
                <w:t>Item 10.</w:t>
              </w:r>
            </w:hyperlink>
          </w:p>
        </w:tc>
        <w:tc>
          <w:tcPr>
            <w:tcW w:w="0" w:type="auto"/>
            <w:gridSpan w:val="3"/>
            <w:tcMar>
              <w:top w:w="30" w:type="dxa"/>
              <w:left w:w="20" w:type="dxa"/>
              <w:bottom w:w="30" w:type="dxa"/>
              <w:right w:w="20" w:type="dxa"/>
            </w:tcMar>
            <w:vAlign w:val="bottom"/>
            <w:hideMark/>
          </w:tcPr>
          <w:p w:rsidR="00000000" w:rsidRDefault="00FD7D3C">
            <w:pPr>
              <w:spacing w:after="100"/>
              <w:divId w:val="912205968"/>
              <w:rPr>
                <w:rFonts w:eastAsia="Times New Roman"/>
              </w:rPr>
            </w:pPr>
            <w:hyperlink w:anchor="i988625df783e4cc0a27bd76df388da57_178" w:history="1">
              <w:r>
                <w:rPr>
                  <w:rStyle w:val="a3"/>
                  <w:rFonts w:eastAsia="Times New Roman"/>
                  <w:sz w:val="20"/>
                  <w:szCs w:val="20"/>
                </w:rPr>
                <w:t>Directors, Executive Officers and Corporate Gov</w:t>
              </w:r>
              <w:r>
                <w:rPr>
                  <w:rStyle w:val="a3"/>
                  <w:rFonts w:eastAsia="Times New Roman"/>
                  <w:sz w:val="20"/>
                  <w:szCs w:val="20"/>
                </w:rPr>
                <w:t>ernance</w:t>
              </w:r>
            </w:hyperlink>
          </w:p>
        </w:tc>
        <w:tc>
          <w:tcPr>
            <w:tcW w:w="0" w:type="auto"/>
            <w:gridSpan w:val="3"/>
            <w:tcMar>
              <w:top w:w="30" w:type="dxa"/>
              <w:left w:w="20" w:type="dxa"/>
              <w:bottom w:w="30" w:type="dxa"/>
              <w:right w:w="20" w:type="dxa"/>
            </w:tcMar>
            <w:vAlign w:val="bottom"/>
            <w:hideMark/>
          </w:tcPr>
          <w:p w:rsidR="00000000" w:rsidRDefault="00FD7D3C">
            <w:pPr>
              <w:spacing w:after="100"/>
              <w:jc w:val="right"/>
              <w:rPr>
                <w:rFonts w:eastAsia="Times New Roman"/>
              </w:rPr>
            </w:pPr>
            <w:hyperlink w:anchor="i988625df783e4cc0a27bd76df388da57_178" w:history="1">
              <w:r>
                <w:rPr>
                  <w:rStyle w:val="a3"/>
                  <w:rFonts w:eastAsia="Times New Roman"/>
                  <w:color w:val="000000"/>
                  <w:sz w:val="20"/>
                  <w:szCs w:val="20"/>
                  <w:u w:val="none"/>
                </w:rPr>
                <w:t>137</w:t>
              </w:r>
            </w:hyperlink>
          </w:p>
        </w:tc>
      </w:tr>
      <w:tr w:rsidR="00000000">
        <w:trPr>
          <w:divId w:val="156307175"/>
        </w:trPr>
        <w:tc>
          <w:tcPr>
            <w:tcW w:w="0" w:type="auto"/>
            <w:gridSpan w:val="3"/>
            <w:tcMar>
              <w:top w:w="30" w:type="dxa"/>
              <w:left w:w="20" w:type="dxa"/>
              <w:bottom w:w="30" w:type="dxa"/>
              <w:right w:w="20" w:type="dxa"/>
            </w:tcMar>
            <w:hideMark/>
          </w:tcPr>
          <w:p w:rsidR="00000000" w:rsidRDefault="00FD7D3C">
            <w:pPr>
              <w:spacing w:after="100"/>
              <w:divId w:val="781191276"/>
              <w:rPr>
                <w:rFonts w:eastAsia="Times New Roman"/>
              </w:rPr>
            </w:pPr>
            <w:hyperlink w:anchor="i988625df783e4cc0a27bd76df388da57_181" w:history="1">
              <w:r>
                <w:rPr>
                  <w:rStyle w:val="a3"/>
                  <w:rFonts w:eastAsia="Times New Roman"/>
                  <w:color w:val="000000"/>
                  <w:sz w:val="20"/>
                  <w:szCs w:val="20"/>
                  <w:u w:val="none"/>
                </w:rPr>
                <w:t>Item 11.</w:t>
              </w:r>
            </w:hyperlink>
          </w:p>
        </w:tc>
        <w:tc>
          <w:tcPr>
            <w:tcW w:w="0" w:type="auto"/>
            <w:gridSpan w:val="3"/>
            <w:tcMar>
              <w:top w:w="30" w:type="dxa"/>
              <w:left w:w="20" w:type="dxa"/>
              <w:bottom w:w="30" w:type="dxa"/>
              <w:right w:w="20" w:type="dxa"/>
            </w:tcMar>
            <w:vAlign w:val="bottom"/>
            <w:hideMark/>
          </w:tcPr>
          <w:p w:rsidR="00000000" w:rsidRDefault="00FD7D3C">
            <w:pPr>
              <w:spacing w:after="100"/>
              <w:divId w:val="732964731"/>
              <w:rPr>
                <w:rFonts w:eastAsia="Times New Roman"/>
              </w:rPr>
            </w:pPr>
            <w:hyperlink w:anchor="i988625df783e4cc0a27bd76df388da57_181" w:history="1">
              <w:r>
                <w:rPr>
                  <w:rStyle w:val="a3"/>
                  <w:rFonts w:eastAsia="Times New Roman"/>
                  <w:sz w:val="20"/>
                  <w:szCs w:val="20"/>
                </w:rPr>
                <w:t>Executive Compensation</w:t>
              </w:r>
            </w:hyperlink>
          </w:p>
        </w:tc>
        <w:tc>
          <w:tcPr>
            <w:tcW w:w="0" w:type="auto"/>
            <w:gridSpan w:val="3"/>
            <w:tcMar>
              <w:top w:w="30" w:type="dxa"/>
              <w:left w:w="20" w:type="dxa"/>
              <w:bottom w:w="30" w:type="dxa"/>
              <w:right w:w="20" w:type="dxa"/>
            </w:tcMar>
            <w:vAlign w:val="bottom"/>
            <w:hideMark/>
          </w:tcPr>
          <w:p w:rsidR="00000000" w:rsidRDefault="00FD7D3C">
            <w:pPr>
              <w:spacing w:after="100"/>
              <w:jc w:val="right"/>
              <w:rPr>
                <w:rFonts w:eastAsia="Times New Roman"/>
              </w:rPr>
            </w:pPr>
            <w:hyperlink w:anchor="i988625df783e4cc0a27bd76df388da57_181" w:history="1">
              <w:r>
                <w:rPr>
                  <w:rStyle w:val="a3"/>
                  <w:rFonts w:eastAsia="Times New Roman"/>
                  <w:color w:val="000000"/>
                  <w:sz w:val="20"/>
                  <w:szCs w:val="20"/>
                  <w:u w:val="none"/>
                </w:rPr>
                <w:t>137</w:t>
              </w:r>
            </w:hyperlink>
          </w:p>
        </w:tc>
      </w:tr>
      <w:tr w:rsidR="00000000">
        <w:trPr>
          <w:divId w:val="156307175"/>
        </w:trPr>
        <w:tc>
          <w:tcPr>
            <w:tcW w:w="0" w:type="auto"/>
            <w:gridSpan w:val="3"/>
            <w:tcMar>
              <w:top w:w="30" w:type="dxa"/>
              <w:left w:w="20" w:type="dxa"/>
              <w:bottom w:w="30" w:type="dxa"/>
              <w:right w:w="20" w:type="dxa"/>
            </w:tcMar>
            <w:hideMark/>
          </w:tcPr>
          <w:p w:rsidR="00000000" w:rsidRDefault="00FD7D3C">
            <w:pPr>
              <w:spacing w:after="100"/>
              <w:divId w:val="940646604"/>
              <w:rPr>
                <w:rFonts w:eastAsia="Times New Roman"/>
              </w:rPr>
            </w:pPr>
            <w:hyperlink w:anchor="i988625df783e4cc0a27bd76df388da57_184" w:history="1">
              <w:r>
                <w:rPr>
                  <w:rStyle w:val="a3"/>
                  <w:rFonts w:eastAsia="Times New Roman"/>
                  <w:color w:val="000000"/>
                  <w:sz w:val="20"/>
                  <w:szCs w:val="20"/>
                  <w:u w:val="none"/>
                </w:rPr>
                <w:t>Item 12.</w:t>
              </w:r>
            </w:hyperlink>
          </w:p>
        </w:tc>
        <w:tc>
          <w:tcPr>
            <w:tcW w:w="0" w:type="auto"/>
            <w:gridSpan w:val="3"/>
            <w:tcMar>
              <w:top w:w="30" w:type="dxa"/>
              <w:left w:w="20" w:type="dxa"/>
              <w:bottom w:w="30" w:type="dxa"/>
              <w:right w:w="20" w:type="dxa"/>
            </w:tcMar>
            <w:vAlign w:val="bottom"/>
            <w:hideMark/>
          </w:tcPr>
          <w:p w:rsidR="00000000" w:rsidRDefault="00FD7D3C">
            <w:pPr>
              <w:spacing w:after="100"/>
              <w:divId w:val="942807936"/>
              <w:rPr>
                <w:rFonts w:eastAsia="Times New Roman"/>
              </w:rPr>
            </w:pPr>
            <w:hyperlink w:anchor="i988625df783e4cc0a27bd76df388da57_184" w:history="1">
              <w:r>
                <w:rPr>
                  <w:rStyle w:val="a3"/>
                  <w:rFonts w:eastAsia="Times New Roman"/>
                  <w:sz w:val="20"/>
                  <w:szCs w:val="20"/>
                </w:rPr>
                <w:t>Security Ownership of Certain Beneficial Owners and Management and Related Stockholder Matters</w:t>
              </w:r>
            </w:hyperlink>
          </w:p>
        </w:tc>
        <w:tc>
          <w:tcPr>
            <w:tcW w:w="0" w:type="auto"/>
            <w:gridSpan w:val="3"/>
            <w:tcMar>
              <w:top w:w="30" w:type="dxa"/>
              <w:left w:w="20" w:type="dxa"/>
              <w:bottom w:w="30" w:type="dxa"/>
              <w:right w:w="20" w:type="dxa"/>
            </w:tcMar>
            <w:vAlign w:val="bottom"/>
            <w:hideMark/>
          </w:tcPr>
          <w:p w:rsidR="00000000" w:rsidRDefault="00FD7D3C">
            <w:pPr>
              <w:spacing w:after="100"/>
              <w:jc w:val="right"/>
              <w:rPr>
                <w:rFonts w:eastAsia="Times New Roman"/>
              </w:rPr>
            </w:pPr>
            <w:hyperlink w:anchor="i988625df783e4cc0a27bd76df388da57_184" w:history="1">
              <w:r>
                <w:rPr>
                  <w:rStyle w:val="a3"/>
                  <w:rFonts w:eastAsia="Times New Roman"/>
                  <w:color w:val="000000"/>
                  <w:sz w:val="20"/>
                  <w:szCs w:val="20"/>
                  <w:u w:val="none"/>
                </w:rPr>
                <w:t>137</w:t>
              </w:r>
            </w:hyperlink>
          </w:p>
        </w:tc>
      </w:tr>
      <w:tr w:rsidR="00000000">
        <w:trPr>
          <w:divId w:val="156307175"/>
        </w:trPr>
        <w:tc>
          <w:tcPr>
            <w:tcW w:w="0" w:type="auto"/>
            <w:gridSpan w:val="3"/>
            <w:tcMar>
              <w:top w:w="30" w:type="dxa"/>
              <w:left w:w="20" w:type="dxa"/>
              <w:bottom w:w="30" w:type="dxa"/>
              <w:right w:w="20" w:type="dxa"/>
            </w:tcMar>
            <w:hideMark/>
          </w:tcPr>
          <w:p w:rsidR="00000000" w:rsidRDefault="00FD7D3C">
            <w:pPr>
              <w:spacing w:after="100"/>
              <w:divId w:val="91626931"/>
              <w:rPr>
                <w:rFonts w:eastAsia="Times New Roman"/>
              </w:rPr>
            </w:pPr>
            <w:hyperlink w:anchor="i988625df783e4cc0a27bd76df388da57_187" w:history="1">
              <w:r>
                <w:rPr>
                  <w:rStyle w:val="a3"/>
                  <w:rFonts w:eastAsia="Times New Roman"/>
                  <w:color w:val="000000"/>
                  <w:sz w:val="20"/>
                  <w:szCs w:val="20"/>
                  <w:u w:val="none"/>
                </w:rPr>
                <w:t>Item </w:t>
              </w:r>
              <w:r>
                <w:rPr>
                  <w:rStyle w:val="a3"/>
                  <w:rFonts w:eastAsia="Times New Roman"/>
                  <w:color w:val="000000"/>
                  <w:sz w:val="20"/>
                  <w:szCs w:val="20"/>
                  <w:u w:val="none"/>
                </w:rPr>
                <w:t>13.</w:t>
              </w:r>
            </w:hyperlink>
          </w:p>
        </w:tc>
        <w:tc>
          <w:tcPr>
            <w:tcW w:w="0" w:type="auto"/>
            <w:gridSpan w:val="3"/>
            <w:tcMar>
              <w:top w:w="30" w:type="dxa"/>
              <w:left w:w="20" w:type="dxa"/>
              <w:bottom w:w="30" w:type="dxa"/>
              <w:right w:w="20" w:type="dxa"/>
            </w:tcMar>
            <w:vAlign w:val="bottom"/>
            <w:hideMark/>
          </w:tcPr>
          <w:p w:rsidR="00000000" w:rsidRDefault="00FD7D3C">
            <w:pPr>
              <w:spacing w:after="100"/>
              <w:divId w:val="1709337709"/>
              <w:rPr>
                <w:rFonts w:eastAsia="Times New Roman"/>
              </w:rPr>
            </w:pPr>
            <w:hyperlink w:anchor="i988625df783e4cc0a27bd76df388da57_187" w:history="1">
              <w:r>
                <w:rPr>
                  <w:rStyle w:val="a3"/>
                  <w:rFonts w:eastAsia="Times New Roman"/>
                  <w:sz w:val="20"/>
                  <w:szCs w:val="20"/>
                </w:rPr>
                <w:t>Certain Relationships and Related Transactions, and Director Independence</w:t>
              </w:r>
            </w:hyperlink>
          </w:p>
        </w:tc>
        <w:tc>
          <w:tcPr>
            <w:tcW w:w="0" w:type="auto"/>
            <w:gridSpan w:val="3"/>
            <w:tcMar>
              <w:top w:w="30" w:type="dxa"/>
              <w:left w:w="20" w:type="dxa"/>
              <w:bottom w:w="30" w:type="dxa"/>
              <w:right w:w="20" w:type="dxa"/>
            </w:tcMar>
            <w:vAlign w:val="bottom"/>
            <w:hideMark/>
          </w:tcPr>
          <w:p w:rsidR="00000000" w:rsidRDefault="00FD7D3C">
            <w:pPr>
              <w:spacing w:after="100"/>
              <w:jc w:val="right"/>
              <w:rPr>
                <w:rFonts w:eastAsia="Times New Roman"/>
              </w:rPr>
            </w:pPr>
            <w:hyperlink w:anchor="i988625df783e4cc0a27bd76df388da57_187" w:history="1">
              <w:r>
                <w:rPr>
                  <w:rStyle w:val="a3"/>
                  <w:rFonts w:eastAsia="Times New Roman"/>
                  <w:color w:val="000000"/>
                  <w:sz w:val="20"/>
                  <w:szCs w:val="20"/>
                  <w:u w:val="none"/>
                </w:rPr>
                <w:t>137</w:t>
              </w:r>
            </w:hyperlink>
          </w:p>
        </w:tc>
      </w:tr>
      <w:tr w:rsidR="00000000">
        <w:trPr>
          <w:divId w:val="156307175"/>
        </w:trPr>
        <w:tc>
          <w:tcPr>
            <w:tcW w:w="0" w:type="auto"/>
            <w:gridSpan w:val="3"/>
            <w:tcMar>
              <w:top w:w="30" w:type="dxa"/>
              <w:left w:w="20" w:type="dxa"/>
              <w:bottom w:w="30" w:type="dxa"/>
              <w:right w:w="20" w:type="dxa"/>
            </w:tcMar>
            <w:hideMark/>
          </w:tcPr>
          <w:p w:rsidR="00000000" w:rsidRDefault="00FD7D3C">
            <w:pPr>
              <w:spacing w:after="100"/>
              <w:divId w:val="966276537"/>
              <w:rPr>
                <w:rFonts w:eastAsia="Times New Roman"/>
              </w:rPr>
            </w:pPr>
            <w:hyperlink w:anchor="i988625df783e4cc0a27bd76df388da57_190" w:history="1">
              <w:r>
                <w:rPr>
                  <w:rStyle w:val="a3"/>
                  <w:rFonts w:eastAsia="Times New Roman"/>
                  <w:color w:val="000000"/>
                  <w:sz w:val="20"/>
                  <w:szCs w:val="20"/>
                  <w:u w:val="none"/>
                </w:rPr>
                <w:t>Item 14.</w:t>
              </w:r>
            </w:hyperlink>
          </w:p>
        </w:tc>
        <w:tc>
          <w:tcPr>
            <w:tcW w:w="0" w:type="auto"/>
            <w:gridSpan w:val="3"/>
            <w:tcMar>
              <w:top w:w="30" w:type="dxa"/>
              <w:left w:w="20" w:type="dxa"/>
              <w:bottom w:w="30" w:type="dxa"/>
              <w:right w:w="20" w:type="dxa"/>
            </w:tcMar>
            <w:vAlign w:val="bottom"/>
            <w:hideMark/>
          </w:tcPr>
          <w:p w:rsidR="00000000" w:rsidRDefault="00FD7D3C">
            <w:pPr>
              <w:spacing w:after="100"/>
              <w:divId w:val="305086246"/>
              <w:rPr>
                <w:rFonts w:eastAsia="Times New Roman"/>
              </w:rPr>
            </w:pPr>
            <w:hyperlink w:anchor="i988625df783e4cc0a27bd76df388da57_190" w:history="1">
              <w:r>
                <w:rPr>
                  <w:rStyle w:val="a3"/>
                  <w:rFonts w:eastAsia="Times New Roman"/>
                  <w:sz w:val="20"/>
                  <w:szCs w:val="20"/>
                </w:rPr>
                <w:t>Principal Accounting Fees and Services</w:t>
              </w:r>
            </w:hyperlink>
          </w:p>
        </w:tc>
        <w:tc>
          <w:tcPr>
            <w:tcW w:w="0" w:type="auto"/>
            <w:gridSpan w:val="3"/>
            <w:tcMar>
              <w:top w:w="30" w:type="dxa"/>
              <w:left w:w="20" w:type="dxa"/>
              <w:bottom w:w="30" w:type="dxa"/>
              <w:right w:w="20" w:type="dxa"/>
            </w:tcMar>
            <w:vAlign w:val="bottom"/>
            <w:hideMark/>
          </w:tcPr>
          <w:p w:rsidR="00000000" w:rsidRDefault="00FD7D3C">
            <w:pPr>
              <w:spacing w:after="100"/>
              <w:jc w:val="right"/>
              <w:rPr>
                <w:rFonts w:eastAsia="Times New Roman"/>
              </w:rPr>
            </w:pPr>
            <w:hyperlink w:anchor="i988625df783e4cc0a27bd76df388da57_190" w:history="1">
              <w:r>
                <w:rPr>
                  <w:rStyle w:val="a3"/>
                  <w:rFonts w:eastAsia="Times New Roman"/>
                  <w:color w:val="000000"/>
                  <w:sz w:val="20"/>
                  <w:szCs w:val="20"/>
                  <w:u w:val="none"/>
                </w:rPr>
                <w:t>137</w:t>
              </w:r>
            </w:hyperlink>
          </w:p>
        </w:tc>
      </w:tr>
      <w:tr w:rsidR="00000000">
        <w:trPr>
          <w:divId w:val="156307175"/>
          <w:trHeight w:val="180"/>
        </w:trPr>
        <w:tc>
          <w:tcPr>
            <w:tcW w:w="0" w:type="auto"/>
            <w:gridSpan w:val="3"/>
            <w:tcMar>
              <w:top w:w="0" w:type="dxa"/>
              <w:left w:w="20" w:type="dxa"/>
              <w:bottom w:w="0" w:type="dxa"/>
              <w:right w:w="20" w:type="dxa"/>
            </w:tcMar>
            <w:vAlign w:val="center"/>
            <w:hideMark/>
          </w:tcPr>
          <w:p w:rsidR="00000000" w:rsidRDefault="00FD7D3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000000">
        <w:trPr>
          <w:divId w:val="156307175"/>
        </w:trPr>
        <w:tc>
          <w:tcPr>
            <w:tcW w:w="0" w:type="auto"/>
            <w:gridSpan w:val="3"/>
            <w:tcMar>
              <w:top w:w="30" w:type="dxa"/>
              <w:left w:w="20" w:type="dxa"/>
              <w:bottom w:w="30" w:type="dxa"/>
              <w:right w:w="20" w:type="dxa"/>
            </w:tcMar>
            <w:hideMark/>
          </w:tcPr>
          <w:p w:rsidR="00000000" w:rsidRDefault="00FD7D3C">
            <w:pPr>
              <w:spacing w:after="100"/>
              <w:divId w:val="1073312594"/>
              <w:rPr>
                <w:rFonts w:eastAsia="Times New Roman"/>
              </w:rPr>
            </w:pPr>
            <w:hyperlink w:anchor="i988625df783e4cc0a27bd76df388da57_193" w:history="1">
              <w:r>
                <w:rPr>
                  <w:rStyle w:val="a3"/>
                  <w:rFonts w:eastAsia="Times New Roman"/>
                  <w:b/>
                  <w:bCs/>
                  <w:sz w:val="20"/>
                  <w:szCs w:val="20"/>
                </w:rPr>
                <w:t>PART IV</w:t>
              </w:r>
            </w:hyperlink>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000000">
        <w:trPr>
          <w:divId w:val="156307175"/>
        </w:trPr>
        <w:tc>
          <w:tcPr>
            <w:tcW w:w="0" w:type="auto"/>
            <w:gridSpan w:val="3"/>
            <w:tcMar>
              <w:top w:w="30" w:type="dxa"/>
              <w:left w:w="20" w:type="dxa"/>
              <w:bottom w:w="30" w:type="dxa"/>
              <w:right w:w="20" w:type="dxa"/>
            </w:tcMar>
            <w:hideMark/>
          </w:tcPr>
          <w:p w:rsidR="00000000" w:rsidRDefault="00FD7D3C">
            <w:pPr>
              <w:spacing w:after="100"/>
              <w:divId w:val="976764644"/>
              <w:rPr>
                <w:rFonts w:eastAsia="Times New Roman"/>
              </w:rPr>
            </w:pPr>
            <w:hyperlink w:anchor="i988625df783e4cc0a27bd76df388da57_196" w:history="1">
              <w:r>
                <w:rPr>
                  <w:rStyle w:val="a3"/>
                  <w:rFonts w:eastAsia="Times New Roman"/>
                  <w:color w:val="000000"/>
                  <w:sz w:val="20"/>
                  <w:szCs w:val="20"/>
                  <w:u w:val="none"/>
                </w:rPr>
                <w:t>Item 15.</w:t>
              </w:r>
            </w:hyperlink>
          </w:p>
        </w:tc>
        <w:tc>
          <w:tcPr>
            <w:tcW w:w="0" w:type="auto"/>
            <w:gridSpan w:val="3"/>
            <w:tcMar>
              <w:top w:w="30" w:type="dxa"/>
              <w:left w:w="20" w:type="dxa"/>
              <w:bottom w:w="30" w:type="dxa"/>
              <w:right w:w="20" w:type="dxa"/>
            </w:tcMar>
            <w:vAlign w:val="bottom"/>
            <w:hideMark/>
          </w:tcPr>
          <w:p w:rsidR="00000000" w:rsidRDefault="00FD7D3C">
            <w:pPr>
              <w:spacing w:after="100"/>
              <w:divId w:val="1146120769"/>
              <w:rPr>
                <w:rFonts w:eastAsia="Times New Roman"/>
              </w:rPr>
            </w:pPr>
            <w:hyperlink w:anchor="i988625df783e4cc0a27bd76df388da57_196" w:history="1">
              <w:r>
                <w:rPr>
                  <w:rStyle w:val="a3"/>
                  <w:rFonts w:eastAsia="Times New Roman"/>
                  <w:sz w:val="20"/>
                  <w:szCs w:val="20"/>
                </w:rPr>
                <w:t>Exhibits, Financial Statement Schedules</w:t>
              </w:r>
            </w:hyperlink>
          </w:p>
        </w:tc>
        <w:tc>
          <w:tcPr>
            <w:tcW w:w="0" w:type="auto"/>
            <w:gridSpan w:val="3"/>
            <w:tcMar>
              <w:top w:w="30" w:type="dxa"/>
              <w:left w:w="20" w:type="dxa"/>
              <w:bottom w:w="30" w:type="dxa"/>
              <w:right w:w="20" w:type="dxa"/>
            </w:tcMar>
            <w:vAlign w:val="bottom"/>
            <w:hideMark/>
          </w:tcPr>
          <w:p w:rsidR="00000000" w:rsidRDefault="00FD7D3C">
            <w:pPr>
              <w:spacing w:after="100"/>
              <w:jc w:val="right"/>
              <w:rPr>
                <w:rFonts w:eastAsia="Times New Roman"/>
              </w:rPr>
            </w:pPr>
            <w:hyperlink w:anchor="i988625df783e4cc0a27bd76df388da57_196" w:history="1">
              <w:r>
                <w:rPr>
                  <w:rStyle w:val="a3"/>
                  <w:rFonts w:eastAsia="Times New Roman"/>
                  <w:color w:val="000000"/>
                  <w:sz w:val="20"/>
                  <w:szCs w:val="20"/>
                  <w:u w:val="none"/>
                </w:rPr>
                <w:t>138</w:t>
              </w:r>
            </w:hyperlink>
          </w:p>
        </w:tc>
      </w:tr>
      <w:tr w:rsidR="00000000">
        <w:trPr>
          <w:divId w:val="156307175"/>
        </w:trPr>
        <w:tc>
          <w:tcPr>
            <w:tcW w:w="0" w:type="auto"/>
            <w:gridSpan w:val="3"/>
            <w:tcMar>
              <w:top w:w="30" w:type="dxa"/>
              <w:left w:w="20" w:type="dxa"/>
              <w:bottom w:w="30" w:type="dxa"/>
              <w:right w:w="20" w:type="dxa"/>
            </w:tcMar>
            <w:hideMark/>
          </w:tcPr>
          <w:p w:rsidR="00000000" w:rsidRDefault="00FD7D3C">
            <w:pPr>
              <w:spacing w:after="100"/>
              <w:divId w:val="1929532586"/>
              <w:rPr>
                <w:rFonts w:eastAsia="Times New Roman"/>
              </w:rPr>
            </w:pPr>
            <w:hyperlink w:anchor="i988625df783e4cc0a27bd76df388da57_199" w:history="1">
              <w:r>
                <w:rPr>
                  <w:rStyle w:val="a3"/>
                  <w:rFonts w:eastAsia="Times New Roman"/>
                  <w:color w:val="000000"/>
                  <w:sz w:val="20"/>
                  <w:szCs w:val="20"/>
                  <w:u w:val="none"/>
                </w:rPr>
                <w:t>Item 16</w:t>
              </w:r>
            </w:hyperlink>
          </w:p>
        </w:tc>
        <w:tc>
          <w:tcPr>
            <w:tcW w:w="0" w:type="auto"/>
            <w:gridSpan w:val="3"/>
            <w:tcMar>
              <w:top w:w="30" w:type="dxa"/>
              <w:left w:w="20" w:type="dxa"/>
              <w:bottom w:w="30" w:type="dxa"/>
              <w:right w:w="20" w:type="dxa"/>
            </w:tcMar>
            <w:vAlign w:val="bottom"/>
            <w:hideMark/>
          </w:tcPr>
          <w:p w:rsidR="00000000" w:rsidRDefault="00FD7D3C">
            <w:pPr>
              <w:spacing w:after="100"/>
              <w:divId w:val="661080505"/>
              <w:rPr>
                <w:rFonts w:eastAsia="Times New Roman"/>
              </w:rPr>
            </w:pPr>
            <w:hyperlink w:anchor="i988625df783e4cc0a27bd76df388da57_199" w:history="1">
              <w:r>
                <w:rPr>
                  <w:rStyle w:val="a3"/>
                  <w:rFonts w:eastAsia="Times New Roman"/>
                  <w:sz w:val="20"/>
                  <w:szCs w:val="20"/>
                </w:rPr>
                <w:t>Form 10-K Summary</w:t>
              </w:r>
            </w:hyperlink>
          </w:p>
        </w:tc>
        <w:tc>
          <w:tcPr>
            <w:tcW w:w="0" w:type="auto"/>
            <w:gridSpan w:val="3"/>
            <w:tcMar>
              <w:top w:w="30" w:type="dxa"/>
              <w:left w:w="20" w:type="dxa"/>
              <w:bottom w:w="30" w:type="dxa"/>
              <w:right w:w="20" w:type="dxa"/>
            </w:tcMar>
            <w:vAlign w:val="bottom"/>
            <w:hideMark/>
          </w:tcPr>
          <w:p w:rsidR="00000000" w:rsidRDefault="00FD7D3C">
            <w:pPr>
              <w:spacing w:after="100"/>
              <w:jc w:val="right"/>
              <w:rPr>
                <w:rFonts w:eastAsia="Times New Roman"/>
              </w:rPr>
            </w:pPr>
            <w:hyperlink w:anchor="i988625df783e4cc0a27bd76df388da57_199" w:history="1">
              <w:r>
                <w:rPr>
                  <w:rStyle w:val="a3"/>
                  <w:rFonts w:eastAsia="Times New Roman"/>
                  <w:color w:val="000000"/>
                  <w:sz w:val="20"/>
                  <w:szCs w:val="20"/>
                  <w:u w:val="none"/>
                </w:rPr>
                <w:t>140</w:t>
              </w:r>
            </w:hyperlink>
          </w:p>
        </w:tc>
      </w:tr>
    </w:tbl>
    <w:p w:rsidR="00000000" w:rsidRDefault="00FD7D3C">
      <w:pPr>
        <w:divId w:val="1110902975"/>
        <w:rPr>
          <w:rFonts w:eastAsia="Times New Roman"/>
        </w:rPr>
      </w:pPr>
    </w:p>
    <w:p w:rsidR="00000000" w:rsidRDefault="00FD7D3C">
      <w:pPr>
        <w:jc w:val="center"/>
        <w:divId w:val="542911628"/>
        <w:rPr>
          <w:rFonts w:eastAsia="Times New Roman"/>
        </w:rPr>
      </w:pPr>
      <w:r>
        <w:rPr>
          <w:rFonts w:eastAsia="Times New Roman"/>
          <w:color w:val="000000"/>
          <w:sz w:val="20"/>
          <w:szCs w:val="20"/>
        </w:rPr>
        <w:t>i</w:t>
      </w:r>
    </w:p>
    <w:p w:rsidR="00000000" w:rsidRDefault="00FD7D3C">
      <w:pPr>
        <w:rPr>
          <w:rFonts w:eastAsia="Times New Roman"/>
        </w:rPr>
      </w:pPr>
      <w:r>
        <w:rPr>
          <w:rFonts w:eastAsia="Times New Roman"/>
        </w:rPr>
        <w:pict>
          <v:rect id="_x0000_i1026" style="width:0;height:1.5pt" o:hralign="center" o:hrstd="t" o:hr="t" fillcolor="#a0a0a0" stroked="f"/>
        </w:pict>
      </w:r>
    </w:p>
    <w:p w:rsidR="00000000" w:rsidRDefault="00FD7D3C">
      <w:pPr>
        <w:divId w:val="3631876"/>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jc w:val="center"/>
        <w:divId w:val="1818107414"/>
        <w:rPr>
          <w:rFonts w:eastAsia="Times New Roman"/>
        </w:rPr>
      </w:pPr>
      <w:r>
        <w:rPr>
          <w:rFonts w:eastAsia="Times New Roman"/>
          <w:b/>
          <w:bCs/>
          <w:color w:val="000000"/>
          <w:sz w:val="20"/>
          <w:szCs w:val="20"/>
        </w:rPr>
        <w:t>SPECIAL NOTE REGARDING FORWARD-LOOKING STATEMENTS</w:t>
      </w:r>
    </w:p>
    <w:p w:rsidR="00000000" w:rsidRDefault="00FD7D3C">
      <w:pPr>
        <w:ind w:firstLine="720"/>
        <w:divId w:val="1180855225"/>
        <w:rPr>
          <w:rFonts w:eastAsia="Times New Roman"/>
        </w:rPr>
      </w:pPr>
      <w:r>
        <w:rPr>
          <w:rFonts w:eastAsia="Times New Roman"/>
          <w:color w:val="000000"/>
          <w:sz w:val="20"/>
          <w:szCs w:val="20"/>
        </w:rPr>
        <w:t>This Annual Report on Form 10-K, or this Report, contains forward-looking statements that involve risks, uncertainties, and assumptions that, if they never materialize or prove incorrect, could cause our results to differ materially from those expressed or</w:t>
      </w:r>
      <w:r>
        <w:rPr>
          <w:rFonts w:eastAsia="Times New Roman"/>
          <w:color w:val="000000"/>
          <w:sz w:val="20"/>
          <w:szCs w:val="20"/>
        </w:rPr>
        <w:t xml:space="preserve"> implied by such forward-looking statements. The statements contained in this Report that are not purely historical are forward-looking statements within the meaning of Section 27A of the Securities Act of 1933, as amended, or the Securities Act, and Secti</w:t>
      </w:r>
      <w:r>
        <w:rPr>
          <w:rFonts w:eastAsia="Times New Roman"/>
          <w:color w:val="000000"/>
          <w:sz w:val="20"/>
          <w:szCs w:val="20"/>
        </w:rPr>
        <w:t>on 21E of the Securities Exchange Act of 1934, as amended, or the Exchange Act. Forward-looking statements are often identified by the use of words such as, but not limited to, “anticipate,” “believe,” “could,” “estimate,” “expect,” “intend,” “may,” “plan,</w:t>
      </w:r>
      <w:r>
        <w:rPr>
          <w:rFonts w:eastAsia="Times New Roman"/>
          <w:color w:val="000000"/>
          <w:sz w:val="20"/>
          <w:szCs w:val="20"/>
        </w:rPr>
        <w:t xml:space="preserve">” “potential,” “predict,” “project,” “should,” “will,” “would” or the negative of those terms, and similar expressions that convey uncertainty of future events or outcomes. Any statements contained herein that are not statements of historical facts may be </w:t>
      </w:r>
      <w:r>
        <w:rPr>
          <w:rFonts w:eastAsia="Times New Roman"/>
          <w:color w:val="000000"/>
          <w:sz w:val="20"/>
          <w:szCs w:val="20"/>
        </w:rPr>
        <w:t>deemed to be forward-looking statements. Forward-looking statements in this Report include, but are not limited to, statements about:</w:t>
      </w:r>
    </w:p>
    <w:p w:rsidR="00000000" w:rsidRDefault="00FD7D3C">
      <w:pPr>
        <w:ind w:hanging="1260"/>
        <w:divId w:val="787353460"/>
        <w:rPr>
          <w:rFonts w:eastAsia="Times New Roman"/>
        </w:rPr>
      </w:pPr>
      <w:r>
        <w:rPr>
          <w:rFonts w:eastAsia="Times New Roman"/>
          <w:color w:val="000000"/>
          <w:sz w:val="20"/>
          <w:szCs w:val="20"/>
        </w:rPr>
        <w:t>•Our estimates regarding expenses, future revenue, capital requirements and needs for additional financing;</w:t>
      </w:r>
    </w:p>
    <w:p w:rsidR="00000000" w:rsidRDefault="00FD7D3C">
      <w:pPr>
        <w:ind w:hanging="1260"/>
        <w:divId w:val="1636907922"/>
        <w:rPr>
          <w:rFonts w:eastAsia="Times New Roman"/>
        </w:rPr>
      </w:pPr>
      <w:r>
        <w:rPr>
          <w:rFonts w:eastAsia="Times New Roman"/>
          <w:color w:val="000000"/>
        </w:rPr>
        <w:t>•</w:t>
      </w:r>
      <w:r>
        <w:rPr>
          <w:rFonts w:eastAsia="Times New Roman"/>
          <w:color w:val="000000"/>
          <w:sz w:val="20"/>
          <w:szCs w:val="20"/>
        </w:rPr>
        <w:t xml:space="preserve">The success, </w:t>
      </w:r>
      <w:r>
        <w:rPr>
          <w:rFonts w:eastAsia="Times New Roman"/>
          <w:color w:val="000000"/>
          <w:sz w:val="20"/>
          <w:szCs w:val="20"/>
        </w:rPr>
        <w:t>cost and timing of our product development activities and clinical trials of our lead product candidate, PLN-74809, as well as PLN-1474 and our other product candidates;</w:t>
      </w:r>
    </w:p>
    <w:p w:rsidR="00000000" w:rsidRDefault="00FD7D3C">
      <w:pPr>
        <w:ind w:hanging="1260"/>
        <w:divId w:val="1492062428"/>
        <w:rPr>
          <w:rFonts w:eastAsia="Times New Roman"/>
        </w:rPr>
      </w:pPr>
      <w:r>
        <w:rPr>
          <w:rFonts w:eastAsia="Times New Roman"/>
          <w:color w:val="000000"/>
          <w:sz w:val="20"/>
          <w:szCs w:val="20"/>
        </w:rPr>
        <w:t>•Our estimates regarding the impact of the COVID-19 pandemic on our business and opera</w:t>
      </w:r>
      <w:r>
        <w:rPr>
          <w:rFonts w:eastAsia="Times New Roman"/>
          <w:color w:val="000000"/>
          <w:sz w:val="20"/>
          <w:szCs w:val="20"/>
        </w:rPr>
        <w:t>tions, and our ability to manage such impacts;</w:t>
      </w:r>
    </w:p>
    <w:p w:rsidR="00000000" w:rsidRDefault="00FD7D3C">
      <w:pPr>
        <w:ind w:hanging="1260"/>
        <w:divId w:val="1268073809"/>
        <w:rPr>
          <w:rFonts w:eastAsia="Times New Roman"/>
        </w:rPr>
      </w:pPr>
      <w:r>
        <w:rPr>
          <w:rFonts w:eastAsia="Times New Roman"/>
          <w:color w:val="000000"/>
          <w:sz w:val="20"/>
          <w:szCs w:val="20"/>
        </w:rPr>
        <w:t>•Our or our current or future collaborators plans to initiate, recruit and enroll patients in, and conduct our clinical trials at the pace that we project;</w:t>
      </w:r>
    </w:p>
    <w:p w:rsidR="00000000" w:rsidRDefault="00FD7D3C">
      <w:pPr>
        <w:ind w:hanging="1260"/>
        <w:divId w:val="1305619866"/>
        <w:rPr>
          <w:rFonts w:eastAsia="Times New Roman"/>
        </w:rPr>
      </w:pPr>
      <w:r>
        <w:rPr>
          <w:rFonts w:eastAsia="Times New Roman"/>
          <w:color w:val="000000"/>
          <w:sz w:val="20"/>
          <w:szCs w:val="20"/>
        </w:rPr>
        <w:t>•Our plans and strategy to obtain and maintain regula</w:t>
      </w:r>
      <w:r>
        <w:rPr>
          <w:rFonts w:eastAsia="Times New Roman"/>
          <w:color w:val="000000"/>
          <w:sz w:val="20"/>
          <w:szCs w:val="20"/>
        </w:rPr>
        <w:t>tory approvals of our product candidates;</w:t>
      </w:r>
    </w:p>
    <w:p w:rsidR="00000000" w:rsidRDefault="00FD7D3C">
      <w:pPr>
        <w:ind w:hanging="1260"/>
        <w:divId w:val="14112360"/>
        <w:rPr>
          <w:rFonts w:eastAsia="Times New Roman"/>
        </w:rPr>
      </w:pPr>
      <w:r>
        <w:rPr>
          <w:rFonts w:eastAsia="Times New Roman"/>
          <w:color w:val="000000"/>
          <w:sz w:val="20"/>
          <w:szCs w:val="20"/>
        </w:rPr>
        <w:t>•</w:t>
      </w:r>
      <w:r>
        <w:rPr>
          <w:rFonts w:eastAsia="Times New Roman"/>
          <w:color w:val="000000"/>
          <w:sz w:val="20"/>
          <w:szCs w:val="20"/>
        </w:rPr>
        <w:t>Our plans and strategy to obtain funding for our operations, including funding necessary to complete further development and, upon successful development, if approved, commercialize any of our product candidates;</w:t>
      </w:r>
    </w:p>
    <w:p w:rsidR="00000000" w:rsidRDefault="00FD7D3C">
      <w:pPr>
        <w:ind w:hanging="1260"/>
        <w:divId w:val="1933465641"/>
        <w:rPr>
          <w:rFonts w:eastAsia="Times New Roman"/>
        </w:rPr>
      </w:pPr>
      <w:r>
        <w:rPr>
          <w:rFonts w:eastAsia="Times New Roman"/>
          <w:color w:val="000000"/>
          <w:sz w:val="20"/>
          <w:szCs w:val="20"/>
        </w:rPr>
        <w:t>•The potential benefit of orphan drug desig</w:t>
      </w:r>
      <w:r>
        <w:rPr>
          <w:rFonts w:eastAsia="Times New Roman"/>
          <w:color w:val="000000"/>
          <w:sz w:val="20"/>
          <w:szCs w:val="20"/>
        </w:rPr>
        <w:t>nations for PLN-74809;</w:t>
      </w:r>
    </w:p>
    <w:p w:rsidR="00000000" w:rsidRDefault="00FD7D3C">
      <w:pPr>
        <w:ind w:hanging="1260"/>
        <w:divId w:val="1210796998"/>
        <w:rPr>
          <w:rFonts w:eastAsia="Times New Roman"/>
        </w:rPr>
      </w:pPr>
      <w:r>
        <w:rPr>
          <w:rFonts w:eastAsia="Times New Roman"/>
          <w:color w:val="000000"/>
          <w:sz w:val="20"/>
          <w:szCs w:val="20"/>
        </w:rPr>
        <w:t>•Our ability to compete with companies currently marketing or engaged in the development of treatments for fibrosis;</w:t>
      </w:r>
    </w:p>
    <w:p w:rsidR="00000000" w:rsidRDefault="00FD7D3C">
      <w:pPr>
        <w:ind w:hanging="1260"/>
        <w:divId w:val="109975393"/>
        <w:rPr>
          <w:rFonts w:eastAsia="Times New Roman"/>
        </w:rPr>
      </w:pPr>
      <w:r>
        <w:rPr>
          <w:rFonts w:eastAsia="Times New Roman"/>
          <w:color w:val="000000"/>
          <w:sz w:val="20"/>
          <w:szCs w:val="20"/>
        </w:rPr>
        <w:t>•Our plans and strategy regarding obtaining and maintaining intellectual property protection for our product candida</w:t>
      </w:r>
      <w:r>
        <w:rPr>
          <w:rFonts w:eastAsia="Times New Roman"/>
          <w:color w:val="000000"/>
          <w:sz w:val="20"/>
          <w:szCs w:val="20"/>
        </w:rPr>
        <w:t>tes and the duration of such protection;</w:t>
      </w:r>
    </w:p>
    <w:p w:rsidR="00000000" w:rsidRDefault="00FD7D3C">
      <w:pPr>
        <w:ind w:hanging="1260"/>
        <w:divId w:val="2031374464"/>
        <w:rPr>
          <w:rFonts w:eastAsia="Times New Roman"/>
        </w:rPr>
      </w:pPr>
      <w:r>
        <w:rPr>
          <w:rFonts w:eastAsia="Times New Roman"/>
          <w:color w:val="000000"/>
          <w:sz w:val="20"/>
          <w:szCs w:val="20"/>
        </w:rPr>
        <w:t>•Our plans and strategy regarding the manufacture of our product candidates for clinical trials and for commercial use, if approved;</w:t>
      </w:r>
    </w:p>
    <w:p w:rsidR="00000000" w:rsidRDefault="00FD7D3C">
      <w:pPr>
        <w:ind w:hanging="1260"/>
        <w:divId w:val="1510564125"/>
        <w:rPr>
          <w:rFonts w:eastAsia="Times New Roman"/>
        </w:rPr>
      </w:pPr>
      <w:r>
        <w:rPr>
          <w:rFonts w:eastAsia="Times New Roman"/>
          <w:color w:val="000000"/>
          <w:sz w:val="20"/>
          <w:szCs w:val="20"/>
        </w:rPr>
        <w:t>•Our dependence on current and future collaborators for developing, obtaining regu</w:t>
      </w:r>
      <w:r>
        <w:rPr>
          <w:rFonts w:eastAsia="Times New Roman"/>
          <w:color w:val="000000"/>
          <w:sz w:val="20"/>
          <w:szCs w:val="20"/>
        </w:rPr>
        <w:t>latory approval for and commercializing product candidates in the collaboration;</w:t>
      </w:r>
    </w:p>
    <w:p w:rsidR="00000000" w:rsidRDefault="00FD7D3C">
      <w:pPr>
        <w:ind w:hanging="1260"/>
        <w:divId w:val="1101027619"/>
        <w:rPr>
          <w:rFonts w:eastAsia="Times New Roman"/>
        </w:rPr>
      </w:pPr>
      <w:r>
        <w:rPr>
          <w:rFonts w:eastAsia="Times New Roman"/>
          <w:color w:val="000000"/>
          <w:sz w:val="20"/>
          <w:szCs w:val="20"/>
        </w:rPr>
        <w:lastRenderedPageBreak/>
        <w:t>•Our receipt and timing of any milestone payments or royalties under any current or future research collaboration or license agreements or arrangements;</w:t>
      </w:r>
    </w:p>
    <w:p w:rsidR="00000000" w:rsidRDefault="00FD7D3C">
      <w:pPr>
        <w:ind w:hanging="1260"/>
        <w:divId w:val="989480168"/>
        <w:rPr>
          <w:rFonts w:eastAsia="Times New Roman"/>
        </w:rPr>
      </w:pPr>
      <w:r>
        <w:rPr>
          <w:rFonts w:eastAsia="Times New Roman"/>
          <w:color w:val="000000"/>
          <w:sz w:val="20"/>
          <w:szCs w:val="20"/>
        </w:rPr>
        <w:t>•Our plans and strateg</w:t>
      </w:r>
      <w:r>
        <w:rPr>
          <w:rFonts w:eastAsia="Times New Roman"/>
          <w:color w:val="000000"/>
          <w:sz w:val="20"/>
          <w:szCs w:val="20"/>
        </w:rPr>
        <w:t>y regarding the commercialization of any products that are approved for marketing and our ability to establish adequate pricing in the U.S. and international markets;</w:t>
      </w:r>
    </w:p>
    <w:p w:rsidR="00000000" w:rsidRDefault="00FD7D3C">
      <w:pPr>
        <w:ind w:hanging="1260"/>
        <w:divId w:val="108932514"/>
        <w:rPr>
          <w:rFonts w:eastAsia="Times New Roman"/>
        </w:rPr>
      </w:pPr>
      <w:r>
        <w:rPr>
          <w:rFonts w:eastAsia="Times New Roman"/>
          <w:color w:val="000000"/>
          <w:sz w:val="20"/>
          <w:szCs w:val="20"/>
        </w:rPr>
        <w:t>•The size and growth potential of the markets for our product candidates, and our ability</w:t>
      </w:r>
      <w:r>
        <w:rPr>
          <w:rFonts w:eastAsia="Times New Roman"/>
          <w:color w:val="000000"/>
          <w:sz w:val="20"/>
          <w:szCs w:val="20"/>
        </w:rPr>
        <w:t xml:space="preserve"> to serve those markets, either alone or in combination with others;</w:t>
      </w:r>
    </w:p>
    <w:p w:rsidR="00000000" w:rsidRDefault="00FD7D3C">
      <w:pPr>
        <w:ind w:hanging="1260"/>
        <w:divId w:val="719938352"/>
        <w:rPr>
          <w:rFonts w:eastAsia="Times New Roman"/>
        </w:rPr>
      </w:pPr>
      <w:r>
        <w:rPr>
          <w:rFonts w:eastAsia="Times New Roman"/>
          <w:color w:val="000000"/>
          <w:sz w:val="20"/>
          <w:szCs w:val="20"/>
        </w:rPr>
        <w:t>•Our ability to attract and retain qualified employees and key personnel; and</w:t>
      </w:r>
    </w:p>
    <w:p w:rsidR="00000000" w:rsidRDefault="00FD7D3C">
      <w:pPr>
        <w:ind w:hanging="1260"/>
        <w:divId w:val="1197082996"/>
        <w:rPr>
          <w:rFonts w:eastAsia="Times New Roman"/>
        </w:rPr>
      </w:pPr>
      <w:r>
        <w:rPr>
          <w:rFonts w:eastAsia="Times New Roman"/>
          <w:color w:val="000000"/>
          <w:sz w:val="20"/>
          <w:szCs w:val="20"/>
        </w:rPr>
        <w:t>•Our expectations regarding government and third-party payor coverage and reimbursement.</w:t>
      </w:r>
    </w:p>
    <w:p w:rsidR="00000000" w:rsidRDefault="00FD7D3C">
      <w:pPr>
        <w:ind w:firstLine="1260"/>
        <w:divId w:val="539056253"/>
        <w:rPr>
          <w:rFonts w:eastAsia="Times New Roman"/>
        </w:rPr>
      </w:pPr>
      <w:r>
        <w:rPr>
          <w:rFonts w:eastAsia="Times New Roman"/>
          <w:color w:val="000000"/>
          <w:sz w:val="20"/>
          <w:szCs w:val="20"/>
        </w:rPr>
        <w:t>These statements are</w:t>
      </w:r>
      <w:r>
        <w:rPr>
          <w:rFonts w:eastAsia="Times New Roman"/>
          <w:color w:val="000000"/>
          <w:sz w:val="20"/>
          <w:szCs w:val="20"/>
        </w:rPr>
        <w:t xml:space="preserve"> based on the beliefs and assumptions of our management, which are in turn based on information currently available to management. Such forward-looking statements are subject to risks, uncertainties and other important factors that could cause actual resul</w:t>
      </w:r>
      <w:r>
        <w:rPr>
          <w:rFonts w:eastAsia="Times New Roman"/>
          <w:color w:val="000000"/>
          <w:sz w:val="20"/>
          <w:szCs w:val="20"/>
        </w:rPr>
        <w:t xml:space="preserve">ts and the timing of certain events to differ materially from future results and timing expressed or implied by such forward-looking statements. Factors that could cause or contribute to such differences include, but are not limited to, those discussed in </w:t>
      </w:r>
      <w:r>
        <w:rPr>
          <w:rFonts w:eastAsia="Times New Roman"/>
          <w:color w:val="000000"/>
          <w:sz w:val="20"/>
          <w:szCs w:val="20"/>
        </w:rPr>
        <w:t>the section entitled “Risk Factors” included under Part I, Item 1A in this Report. Furthermore, such forward-looking statements speak only as of the date of this Report. Except as required by law, we undertake no obligation to update any forward-looking st</w:t>
      </w:r>
      <w:r>
        <w:rPr>
          <w:rFonts w:eastAsia="Times New Roman"/>
          <w:color w:val="000000"/>
          <w:sz w:val="20"/>
          <w:szCs w:val="20"/>
        </w:rPr>
        <w:t>atements to reflect events or circumstances after the date of such statements.</w:t>
      </w:r>
    </w:p>
    <w:p w:rsidR="00000000" w:rsidRDefault="00FD7D3C">
      <w:pPr>
        <w:jc w:val="center"/>
        <w:divId w:val="1533303929"/>
        <w:rPr>
          <w:rFonts w:eastAsia="Times New Roman"/>
        </w:rPr>
      </w:pPr>
      <w:r>
        <w:rPr>
          <w:rFonts w:eastAsia="Times New Roman"/>
          <w:color w:val="000000"/>
          <w:sz w:val="20"/>
          <w:szCs w:val="20"/>
        </w:rPr>
        <w:t>1</w:t>
      </w:r>
    </w:p>
    <w:p w:rsidR="00000000" w:rsidRDefault="00FD7D3C">
      <w:pPr>
        <w:rPr>
          <w:rFonts w:eastAsia="Times New Roman"/>
        </w:rPr>
      </w:pPr>
      <w:r>
        <w:rPr>
          <w:rFonts w:eastAsia="Times New Roman"/>
        </w:rPr>
        <w:pict>
          <v:rect id="_x0000_i1027" style="width:0;height:1.5pt" o:hralign="center" o:hrstd="t" o:hr="t" fillcolor="#a0a0a0" stroked="f"/>
        </w:pict>
      </w:r>
    </w:p>
    <w:p w:rsidR="00000000" w:rsidRDefault="00FD7D3C">
      <w:pPr>
        <w:divId w:val="781345149"/>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jc w:val="center"/>
        <w:divId w:val="917864037"/>
        <w:rPr>
          <w:rFonts w:eastAsia="Times New Roman"/>
        </w:rPr>
      </w:pPr>
      <w:r>
        <w:rPr>
          <w:rFonts w:eastAsia="Times New Roman"/>
          <w:b/>
          <w:bCs/>
          <w:color w:val="000000"/>
          <w:sz w:val="20"/>
          <w:szCs w:val="20"/>
        </w:rPr>
        <w:t>SUMMARY OF RISKS ASSOCIATED WITH OUR BUSINESS</w:t>
      </w:r>
    </w:p>
    <w:p w:rsidR="00000000" w:rsidRDefault="00FD7D3C">
      <w:pPr>
        <w:ind w:firstLine="720"/>
        <w:divId w:val="623274065"/>
        <w:rPr>
          <w:rFonts w:eastAsia="Times New Roman"/>
        </w:rPr>
      </w:pPr>
      <w:r>
        <w:rPr>
          <w:rFonts w:eastAsia="Times New Roman"/>
          <w:color w:val="000000"/>
          <w:sz w:val="20"/>
          <w:szCs w:val="20"/>
        </w:rPr>
        <w:t>Our business inv</w:t>
      </w:r>
      <w:r>
        <w:rPr>
          <w:rFonts w:eastAsia="Times New Roman"/>
          <w:color w:val="000000"/>
          <w:sz w:val="20"/>
          <w:szCs w:val="20"/>
        </w:rPr>
        <w:t>olves significant risks, some of which are summarized below. The summary risk factors listed below should be read together with the text of the full risk factors discussed in "Part I, Item 1A. Risk Factors" in this Report. You should carefully consider the</w:t>
      </w:r>
      <w:r>
        <w:rPr>
          <w:rFonts w:eastAsia="Times New Roman"/>
          <w:color w:val="000000"/>
          <w:sz w:val="20"/>
          <w:szCs w:val="20"/>
        </w:rPr>
        <w:t xml:space="preserve"> risks described below, as well as the other information in this Report, including our financial statements and the related notes and “Management’s Discussion and Analysis of Financial Condition and Results of Operations” as well as in other documents that</w:t>
      </w:r>
      <w:r>
        <w:rPr>
          <w:rFonts w:eastAsia="Times New Roman"/>
          <w:color w:val="000000"/>
          <w:sz w:val="20"/>
          <w:szCs w:val="20"/>
        </w:rPr>
        <w:t xml:space="preserve"> we file with the Securities and Exchange Commission, or the SEC. The occurrence of any of the events or developments described in this Report could have a material adverse effect on our business, financial condition, results of operations, growth prospect</w:t>
      </w:r>
      <w:r>
        <w:rPr>
          <w:rFonts w:eastAsia="Times New Roman"/>
          <w:color w:val="000000"/>
          <w:sz w:val="20"/>
          <w:szCs w:val="20"/>
        </w:rPr>
        <w:t>s and stock price. In such an event, the market price of our common stock could decline. Additional risks and uncertainties not presently known to us or that we currently deem immaterial may also impair our business operations and the market price of our c</w:t>
      </w:r>
      <w:r>
        <w:rPr>
          <w:rFonts w:eastAsia="Times New Roman"/>
          <w:color w:val="000000"/>
          <w:sz w:val="20"/>
          <w:szCs w:val="20"/>
        </w:rPr>
        <w:t>ommon stock.</w:t>
      </w:r>
    </w:p>
    <w:p w:rsidR="00000000" w:rsidRDefault="00FD7D3C">
      <w:pPr>
        <w:divId w:val="22170731"/>
        <w:rPr>
          <w:rFonts w:eastAsia="Times New Roman"/>
        </w:rPr>
      </w:pPr>
    </w:p>
    <w:p w:rsidR="00000000" w:rsidRDefault="00FD7D3C">
      <w:pPr>
        <w:divId w:val="1121149734"/>
        <w:rPr>
          <w:rFonts w:eastAsia="Times New Roman"/>
        </w:rPr>
      </w:pPr>
      <w:r>
        <w:rPr>
          <w:rFonts w:eastAsia="Times New Roman"/>
          <w:b/>
          <w:bCs/>
          <w:i/>
          <w:iCs/>
          <w:color w:val="000000"/>
          <w:sz w:val="20"/>
          <w:szCs w:val="20"/>
        </w:rPr>
        <w:t>Risks Related to Our Financial Position and Need for Additional Capital</w:t>
      </w:r>
    </w:p>
    <w:p w:rsidR="00000000" w:rsidRDefault="00FD7D3C">
      <w:pPr>
        <w:ind w:hanging="1260"/>
        <w:divId w:val="1449545905"/>
        <w:rPr>
          <w:rFonts w:eastAsia="Times New Roman"/>
        </w:rPr>
      </w:pPr>
      <w:r>
        <w:rPr>
          <w:rFonts w:eastAsia="Times New Roman"/>
          <w:color w:val="000000"/>
          <w:sz w:val="20"/>
          <w:szCs w:val="20"/>
        </w:rPr>
        <w:t>•</w:t>
      </w:r>
      <w:r>
        <w:rPr>
          <w:rFonts w:eastAsia="Times New Roman"/>
          <w:color w:val="000000"/>
          <w:sz w:val="20"/>
          <w:szCs w:val="20"/>
        </w:rPr>
        <w:t>We have incurred significant net losses since inception, and we expect to continue to incur significant net losses for the foreseeable future.</w:t>
      </w:r>
    </w:p>
    <w:p w:rsidR="00000000" w:rsidRDefault="00FD7D3C">
      <w:pPr>
        <w:ind w:hanging="1260"/>
        <w:divId w:val="645938723"/>
        <w:rPr>
          <w:rFonts w:eastAsia="Times New Roman"/>
        </w:rPr>
      </w:pPr>
      <w:r>
        <w:rPr>
          <w:rFonts w:eastAsia="Times New Roman"/>
          <w:color w:val="000000"/>
          <w:sz w:val="20"/>
          <w:szCs w:val="20"/>
        </w:rPr>
        <w:t>•We will require substantial additional capital to finance our operations. If we are unable to raise such capital</w:t>
      </w:r>
      <w:r>
        <w:rPr>
          <w:rFonts w:eastAsia="Times New Roman"/>
          <w:color w:val="000000"/>
          <w:sz w:val="20"/>
          <w:szCs w:val="20"/>
        </w:rPr>
        <w:t xml:space="preserve"> when needed, or on acceptable terms, we may be forced to delay, reduce and/or eliminate one or more of our research and drug development programs, future commercialization efforts or other operations.</w:t>
      </w:r>
    </w:p>
    <w:p w:rsidR="00000000" w:rsidRDefault="00FD7D3C">
      <w:pPr>
        <w:divId w:val="1569223613"/>
        <w:rPr>
          <w:rFonts w:eastAsia="Times New Roman"/>
        </w:rPr>
      </w:pPr>
    </w:p>
    <w:p w:rsidR="00000000" w:rsidRDefault="00FD7D3C">
      <w:pPr>
        <w:divId w:val="1399090919"/>
        <w:rPr>
          <w:rFonts w:eastAsia="Times New Roman"/>
        </w:rPr>
      </w:pPr>
      <w:r>
        <w:rPr>
          <w:rFonts w:eastAsia="Times New Roman"/>
          <w:b/>
          <w:bCs/>
          <w:i/>
          <w:iCs/>
          <w:color w:val="000000"/>
          <w:sz w:val="20"/>
          <w:szCs w:val="20"/>
        </w:rPr>
        <w:t>Risks Related to Research and Development and the Bi</w:t>
      </w:r>
      <w:r>
        <w:rPr>
          <w:rFonts w:eastAsia="Times New Roman"/>
          <w:b/>
          <w:bCs/>
          <w:i/>
          <w:iCs/>
          <w:color w:val="000000"/>
          <w:sz w:val="20"/>
          <w:szCs w:val="20"/>
        </w:rPr>
        <w:t>opharmaceutical Industry</w:t>
      </w:r>
    </w:p>
    <w:p w:rsidR="00000000" w:rsidRDefault="00FD7D3C">
      <w:pPr>
        <w:ind w:hanging="1260"/>
        <w:divId w:val="924923232"/>
        <w:rPr>
          <w:rFonts w:eastAsia="Times New Roman"/>
        </w:rPr>
      </w:pPr>
      <w:r>
        <w:rPr>
          <w:rFonts w:eastAsia="Times New Roman"/>
          <w:color w:val="000000"/>
          <w:sz w:val="20"/>
          <w:szCs w:val="20"/>
        </w:rPr>
        <w:t>•We have a limited operating history, which may make it difficult to evaluate our prospects and likelihood of success.</w:t>
      </w:r>
    </w:p>
    <w:p w:rsidR="00000000" w:rsidRDefault="00FD7D3C">
      <w:pPr>
        <w:ind w:hanging="1260"/>
        <w:divId w:val="955256795"/>
        <w:rPr>
          <w:rFonts w:eastAsia="Times New Roman"/>
        </w:rPr>
      </w:pPr>
      <w:r>
        <w:rPr>
          <w:rFonts w:eastAsia="Times New Roman"/>
          <w:color w:val="000000"/>
          <w:sz w:val="20"/>
          <w:szCs w:val="20"/>
        </w:rPr>
        <w:t>•Our business is highly dependent on the success of our lead product candidate, PLN-74809, as well as PLN-1474 a</w:t>
      </w:r>
      <w:r>
        <w:rPr>
          <w:rFonts w:eastAsia="Times New Roman"/>
          <w:color w:val="000000"/>
          <w:sz w:val="20"/>
          <w:szCs w:val="20"/>
        </w:rPr>
        <w:t>nd any other product candidates that we advance into the clinic. All of our product candidates will require significant additional preclinical and clinical development before we may be able to seek regulatory approval for and launch a product commercially.</w:t>
      </w:r>
    </w:p>
    <w:p w:rsidR="00000000" w:rsidRDefault="00FD7D3C">
      <w:pPr>
        <w:ind w:hanging="1260"/>
        <w:divId w:val="1279871486"/>
        <w:rPr>
          <w:rFonts w:eastAsia="Times New Roman"/>
        </w:rPr>
      </w:pPr>
      <w:r>
        <w:rPr>
          <w:rFonts w:eastAsia="Times New Roman"/>
          <w:color w:val="000000"/>
          <w:sz w:val="20"/>
          <w:szCs w:val="20"/>
        </w:rPr>
        <w:t>•Our approach to drug discovery and development in the area of fibrotic diseases is unproven and may not result in marketable products.</w:t>
      </w:r>
    </w:p>
    <w:p w:rsidR="00000000" w:rsidRDefault="00FD7D3C">
      <w:pPr>
        <w:ind w:hanging="1260"/>
        <w:divId w:val="770856115"/>
        <w:rPr>
          <w:rFonts w:eastAsia="Times New Roman"/>
        </w:rPr>
      </w:pPr>
      <w:r>
        <w:rPr>
          <w:rFonts w:eastAsia="Times New Roman"/>
          <w:color w:val="000000"/>
          <w:sz w:val="20"/>
          <w:szCs w:val="20"/>
        </w:rPr>
        <w:t>•Clinical development involves a lengthy, complex, and expensive process, with an uncertain outcome.</w:t>
      </w:r>
    </w:p>
    <w:p w:rsidR="00000000" w:rsidRDefault="00FD7D3C">
      <w:pPr>
        <w:ind w:hanging="1260"/>
        <w:divId w:val="137263336"/>
        <w:rPr>
          <w:rFonts w:eastAsia="Times New Roman"/>
        </w:rPr>
      </w:pPr>
      <w:r>
        <w:rPr>
          <w:rFonts w:eastAsia="Times New Roman"/>
          <w:color w:val="000000"/>
          <w:sz w:val="20"/>
          <w:szCs w:val="20"/>
        </w:rPr>
        <w:t>•We may incur addi</w:t>
      </w:r>
      <w:r>
        <w:rPr>
          <w:rFonts w:eastAsia="Times New Roman"/>
          <w:color w:val="000000"/>
          <w:sz w:val="20"/>
          <w:szCs w:val="20"/>
        </w:rPr>
        <w:t>tional costs or experience delays in completing, or ultimately be unable to complete, the development and commercialization of PLN-74809 or any other product candidates.</w:t>
      </w:r>
    </w:p>
    <w:p w:rsidR="00000000" w:rsidRDefault="00FD7D3C">
      <w:pPr>
        <w:ind w:hanging="1260"/>
        <w:divId w:val="2024547839"/>
        <w:rPr>
          <w:rFonts w:eastAsia="Times New Roman"/>
        </w:rPr>
      </w:pPr>
      <w:r>
        <w:rPr>
          <w:rFonts w:eastAsia="Times New Roman"/>
          <w:color w:val="000000"/>
          <w:sz w:val="20"/>
          <w:szCs w:val="20"/>
        </w:rPr>
        <w:lastRenderedPageBreak/>
        <w:t>•We may fail to obtain and maintain orphan designations in some jurisdictions and ther</w:t>
      </w:r>
      <w:r>
        <w:rPr>
          <w:rFonts w:eastAsia="Times New Roman"/>
          <w:color w:val="000000"/>
          <w:sz w:val="20"/>
          <w:szCs w:val="20"/>
        </w:rPr>
        <w:t>efore fail to secure orphan exclusivity in those jurisdictions.</w:t>
      </w:r>
    </w:p>
    <w:p w:rsidR="00000000" w:rsidRDefault="00FD7D3C">
      <w:pPr>
        <w:ind w:hanging="1260"/>
        <w:divId w:val="1261454127"/>
        <w:rPr>
          <w:rFonts w:eastAsia="Times New Roman"/>
        </w:rPr>
      </w:pPr>
      <w:r>
        <w:rPr>
          <w:rFonts w:eastAsia="Times New Roman"/>
          <w:color w:val="000000"/>
          <w:sz w:val="20"/>
          <w:szCs w:val="20"/>
        </w:rPr>
        <w:t>•Our ongoing and future clinical trials may reveal significant adverse events or unexpected drug-drug interactions not seen in our preclinical studies and may result in a safety profile that c</w:t>
      </w:r>
      <w:r>
        <w:rPr>
          <w:rFonts w:eastAsia="Times New Roman"/>
          <w:color w:val="000000"/>
          <w:sz w:val="20"/>
          <w:szCs w:val="20"/>
        </w:rPr>
        <w:t>ould delay or prevent regulatory approval or market acceptance of any of our product candidates.</w:t>
      </w:r>
    </w:p>
    <w:p w:rsidR="00000000" w:rsidRDefault="00FD7D3C">
      <w:pPr>
        <w:ind w:hanging="1260"/>
        <w:divId w:val="171379372"/>
        <w:rPr>
          <w:rFonts w:eastAsia="Times New Roman"/>
        </w:rPr>
      </w:pPr>
      <w:r>
        <w:rPr>
          <w:rFonts w:eastAsia="Times New Roman"/>
          <w:color w:val="000000"/>
          <w:sz w:val="20"/>
          <w:szCs w:val="20"/>
        </w:rPr>
        <w:t>•If we encounter difficulties enrolling patients in our clinical trials, our clinical development activities could be delayed or otherwise adversely affected.</w:t>
      </w:r>
    </w:p>
    <w:p w:rsidR="00000000" w:rsidRDefault="00FD7D3C">
      <w:pPr>
        <w:ind w:hanging="1260"/>
        <w:divId w:val="2109498535"/>
        <w:rPr>
          <w:rFonts w:eastAsia="Times New Roman"/>
        </w:rPr>
      </w:pPr>
      <w:r>
        <w:rPr>
          <w:rFonts w:eastAsia="Times New Roman"/>
          <w:color w:val="000000"/>
          <w:sz w:val="20"/>
          <w:szCs w:val="20"/>
        </w:rPr>
        <w:t>•We face substantial competition, which may result in others discovering, developing, or commercializing products before or more successfully than us.</w:t>
      </w:r>
    </w:p>
    <w:p w:rsidR="00000000" w:rsidRDefault="00FD7D3C">
      <w:pPr>
        <w:divId w:val="1886595401"/>
        <w:rPr>
          <w:rFonts w:eastAsia="Times New Roman"/>
        </w:rPr>
      </w:pPr>
    </w:p>
    <w:p w:rsidR="00000000" w:rsidRDefault="00FD7D3C">
      <w:pPr>
        <w:divId w:val="1521969207"/>
        <w:rPr>
          <w:rFonts w:eastAsia="Times New Roman"/>
        </w:rPr>
      </w:pPr>
      <w:r>
        <w:rPr>
          <w:rFonts w:eastAsia="Times New Roman"/>
          <w:b/>
          <w:bCs/>
          <w:i/>
          <w:iCs/>
          <w:color w:val="000000"/>
          <w:sz w:val="20"/>
          <w:szCs w:val="20"/>
        </w:rPr>
        <w:t>Risks Related to Our Intellectual Property</w:t>
      </w:r>
    </w:p>
    <w:p w:rsidR="00000000" w:rsidRDefault="00FD7D3C">
      <w:pPr>
        <w:ind w:hanging="1260"/>
        <w:divId w:val="526062109"/>
        <w:rPr>
          <w:rFonts w:eastAsia="Times New Roman"/>
        </w:rPr>
      </w:pPr>
      <w:r>
        <w:rPr>
          <w:rFonts w:eastAsia="Times New Roman"/>
          <w:color w:val="000000"/>
          <w:sz w:val="20"/>
          <w:szCs w:val="20"/>
        </w:rPr>
        <w:t>•</w:t>
      </w:r>
      <w:r>
        <w:rPr>
          <w:rFonts w:eastAsia="Times New Roman"/>
          <w:color w:val="000000"/>
          <w:sz w:val="20"/>
          <w:szCs w:val="20"/>
        </w:rPr>
        <w:t>Our success depends in part on our ability to obtain patent term extensions and to protect our intellectual property. It is difficult and costly to protect our proprietary rights and technology, and we may not be able to ensure their protection.</w:t>
      </w:r>
    </w:p>
    <w:p w:rsidR="00000000" w:rsidRDefault="00FD7D3C">
      <w:pPr>
        <w:jc w:val="center"/>
        <w:divId w:val="1817256221"/>
        <w:rPr>
          <w:rFonts w:eastAsia="Times New Roman"/>
        </w:rPr>
      </w:pPr>
      <w:r>
        <w:rPr>
          <w:rFonts w:eastAsia="Times New Roman"/>
          <w:color w:val="000000"/>
          <w:sz w:val="20"/>
          <w:szCs w:val="20"/>
        </w:rPr>
        <w:t>2</w:t>
      </w:r>
    </w:p>
    <w:p w:rsidR="00000000" w:rsidRDefault="00FD7D3C">
      <w:pPr>
        <w:rPr>
          <w:rFonts w:eastAsia="Times New Roman"/>
        </w:rPr>
      </w:pPr>
      <w:r>
        <w:rPr>
          <w:rFonts w:eastAsia="Times New Roman"/>
        </w:rPr>
        <w:pict>
          <v:rect id="_x0000_i1028" style="width:0;height:1.5pt" o:hralign="center" o:hrstd="t" o:hr="t" fillcolor="#a0a0a0" stroked="f"/>
        </w:pict>
      </w:r>
    </w:p>
    <w:p w:rsidR="00000000" w:rsidRDefault="00FD7D3C">
      <w:pPr>
        <w:divId w:val="181239101"/>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ind w:hanging="1260"/>
        <w:divId w:val="1300070006"/>
        <w:rPr>
          <w:rFonts w:eastAsia="Times New Roman"/>
        </w:rPr>
      </w:pPr>
      <w:r>
        <w:rPr>
          <w:rFonts w:eastAsia="Times New Roman"/>
          <w:color w:val="000000"/>
          <w:sz w:val="20"/>
          <w:szCs w:val="20"/>
        </w:rPr>
        <w:t>•Our collaborators may assert ownership or commercial rights to inventions they develop from research we support, or that we develop from our use of the</w:t>
      </w:r>
      <w:r>
        <w:rPr>
          <w:rFonts w:eastAsia="Times New Roman"/>
          <w:color w:val="000000"/>
          <w:sz w:val="20"/>
          <w:szCs w:val="20"/>
        </w:rPr>
        <w:t xml:space="preserve"> tissue samples or other biological materials which they provide to us, or otherwise arising from the collaboration.</w:t>
      </w:r>
    </w:p>
    <w:p w:rsidR="00000000" w:rsidRDefault="00FD7D3C">
      <w:pPr>
        <w:divId w:val="842939242"/>
        <w:rPr>
          <w:rFonts w:eastAsia="Times New Roman"/>
        </w:rPr>
      </w:pPr>
    </w:p>
    <w:p w:rsidR="00000000" w:rsidRDefault="00FD7D3C">
      <w:pPr>
        <w:divId w:val="1946498505"/>
        <w:rPr>
          <w:rFonts w:eastAsia="Times New Roman"/>
        </w:rPr>
      </w:pPr>
      <w:r>
        <w:rPr>
          <w:rFonts w:eastAsia="Times New Roman"/>
          <w:b/>
          <w:bCs/>
          <w:i/>
          <w:iCs/>
          <w:color w:val="000000"/>
          <w:sz w:val="20"/>
          <w:szCs w:val="20"/>
        </w:rPr>
        <w:t>Risks Related to Our Reliance on Third Parties</w:t>
      </w:r>
    </w:p>
    <w:p w:rsidR="00000000" w:rsidRDefault="00FD7D3C">
      <w:pPr>
        <w:ind w:hanging="1260"/>
        <w:divId w:val="2139372419"/>
        <w:rPr>
          <w:rFonts w:eastAsia="Times New Roman"/>
        </w:rPr>
      </w:pPr>
      <w:r>
        <w:rPr>
          <w:rFonts w:eastAsia="Times New Roman"/>
          <w:color w:val="000000"/>
          <w:sz w:val="20"/>
          <w:szCs w:val="20"/>
        </w:rPr>
        <w:t>•We have entered into a collaboration agreement with Novartis Institutes for Biomedical Re</w:t>
      </w:r>
      <w:r>
        <w:rPr>
          <w:rFonts w:eastAsia="Times New Roman"/>
          <w:color w:val="000000"/>
          <w:sz w:val="20"/>
          <w:szCs w:val="20"/>
        </w:rPr>
        <w:t>search, Inc., or Novartis, for the development of PLN-1474 and may in the future seek to enter into collaborations with third parties for the development and commercialization of other product candidates. If we fail to enter into such collaborations, or if</w:t>
      </w:r>
      <w:r>
        <w:rPr>
          <w:rFonts w:eastAsia="Times New Roman"/>
          <w:color w:val="000000"/>
          <w:sz w:val="20"/>
          <w:szCs w:val="20"/>
        </w:rPr>
        <w:t xml:space="preserve"> our collaborations are not successful, we may be unable to continue development of such product candidates, we would not receive any contemplated milestone payments or royalties, and we could fail to capitalize on the market potential of such product cand</w:t>
      </w:r>
      <w:r>
        <w:rPr>
          <w:rFonts w:eastAsia="Times New Roman"/>
          <w:color w:val="000000"/>
          <w:sz w:val="20"/>
          <w:szCs w:val="20"/>
        </w:rPr>
        <w:t>idates.</w:t>
      </w:r>
    </w:p>
    <w:p w:rsidR="00000000" w:rsidRDefault="00FD7D3C">
      <w:pPr>
        <w:ind w:hanging="1260"/>
        <w:divId w:val="907694500"/>
        <w:rPr>
          <w:rFonts w:eastAsia="Times New Roman"/>
        </w:rPr>
      </w:pPr>
      <w:r>
        <w:rPr>
          <w:rFonts w:eastAsia="Times New Roman"/>
          <w:color w:val="000000"/>
          <w:sz w:val="20"/>
          <w:szCs w:val="20"/>
        </w:rPr>
        <w:t xml:space="preserve">•We rely on third parties to conduct certain aspects of our preclinical studies and clinical trials and for tissue samples and other materials required for our research and development activities. </w:t>
      </w:r>
    </w:p>
    <w:p w:rsidR="00000000" w:rsidRDefault="00FD7D3C">
      <w:pPr>
        <w:divId w:val="525559242"/>
        <w:rPr>
          <w:rFonts w:eastAsia="Times New Roman"/>
        </w:rPr>
      </w:pPr>
    </w:p>
    <w:p w:rsidR="00000000" w:rsidRDefault="00FD7D3C">
      <w:pPr>
        <w:divId w:val="620765457"/>
        <w:rPr>
          <w:rFonts w:eastAsia="Times New Roman"/>
        </w:rPr>
      </w:pPr>
      <w:r>
        <w:rPr>
          <w:rFonts w:eastAsia="Times New Roman"/>
          <w:b/>
          <w:bCs/>
          <w:i/>
          <w:iCs/>
          <w:color w:val="000000"/>
          <w:sz w:val="20"/>
          <w:szCs w:val="20"/>
        </w:rPr>
        <w:t>Risks Related to Managing Our Business and Opera</w:t>
      </w:r>
      <w:r>
        <w:rPr>
          <w:rFonts w:eastAsia="Times New Roman"/>
          <w:b/>
          <w:bCs/>
          <w:i/>
          <w:iCs/>
          <w:color w:val="000000"/>
          <w:sz w:val="20"/>
          <w:szCs w:val="20"/>
        </w:rPr>
        <w:t>tions</w:t>
      </w:r>
    </w:p>
    <w:p w:rsidR="00000000" w:rsidRDefault="00FD7D3C">
      <w:pPr>
        <w:ind w:hanging="1260"/>
        <w:divId w:val="386952728"/>
        <w:rPr>
          <w:rFonts w:eastAsia="Times New Roman"/>
        </w:rPr>
      </w:pPr>
      <w:r>
        <w:rPr>
          <w:rFonts w:eastAsia="Times New Roman"/>
          <w:color w:val="000000"/>
          <w:sz w:val="20"/>
          <w:szCs w:val="20"/>
        </w:rPr>
        <w:t>•The ongoing COVID-19 pandemic could adversely impact our business, including our preclinical studies and clinical trials.</w:t>
      </w:r>
    </w:p>
    <w:p w:rsidR="00000000" w:rsidRDefault="00FD7D3C">
      <w:pPr>
        <w:ind w:hanging="1260"/>
        <w:divId w:val="1117023996"/>
        <w:rPr>
          <w:rFonts w:eastAsia="Times New Roman"/>
        </w:rPr>
      </w:pPr>
      <w:r>
        <w:rPr>
          <w:rFonts w:eastAsia="Times New Roman"/>
          <w:color w:val="000000"/>
          <w:sz w:val="20"/>
          <w:szCs w:val="20"/>
        </w:rPr>
        <w:t>•</w:t>
      </w:r>
      <w:r>
        <w:rPr>
          <w:rFonts w:eastAsia="Times New Roman"/>
          <w:color w:val="000000"/>
          <w:sz w:val="20"/>
          <w:szCs w:val="20"/>
        </w:rPr>
        <w:t>Our loss of key management personnel, or our failure to recruit additional highly skilled personnel, will impair our ability to develop current product candidates or identify and develop new product candidates, could result in loss of markets or market sha</w:t>
      </w:r>
      <w:r>
        <w:rPr>
          <w:rFonts w:eastAsia="Times New Roman"/>
          <w:color w:val="000000"/>
          <w:sz w:val="20"/>
          <w:szCs w:val="20"/>
        </w:rPr>
        <w:t>re and could make us less competitive.</w:t>
      </w:r>
    </w:p>
    <w:p w:rsidR="00000000" w:rsidRDefault="00FD7D3C">
      <w:pPr>
        <w:divId w:val="1953173240"/>
        <w:rPr>
          <w:rFonts w:eastAsia="Times New Roman"/>
        </w:rPr>
      </w:pPr>
    </w:p>
    <w:p w:rsidR="00000000" w:rsidRDefault="00FD7D3C">
      <w:pPr>
        <w:jc w:val="center"/>
        <w:divId w:val="1261524339"/>
        <w:rPr>
          <w:rFonts w:eastAsia="Times New Roman"/>
        </w:rPr>
      </w:pPr>
      <w:r>
        <w:rPr>
          <w:rFonts w:eastAsia="Times New Roman"/>
          <w:color w:val="000000"/>
          <w:sz w:val="20"/>
          <w:szCs w:val="20"/>
        </w:rPr>
        <w:t>3</w:t>
      </w:r>
    </w:p>
    <w:p w:rsidR="00000000" w:rsidRDefault="00FD7D3C">
      <w:pPr>
        <w:rPr>
          <w:rFonts w:eastAsia="Times New Roman"/>
        </w:rPr>
      </w:pPr>
      <w:r>
        <w:rPr>
          <w:rFonts w:eastAsia="Times New Roman"/>
        </w:rPr>
        <w:pict>
          <v:rect id="_x0000_i1029" style="width:0;height:1.5pt" o:hralign="center" o:hrstd="t" o:hr="t" fillcolor="#a0a0a0" stroked="f"/>
        </w:pict>
      </w:r>
    </w:p>
    <w:p w:rsidR="00000000" w:rsidRDefault="00FD7D3C">
      <w:pPr>
        <w:divId w:val="879127089"/>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jc w:val="center"/>
        <w:divId w:val="1875313424"/>
        <w:rPr>
          <w:rFonts w:eastAsia="Times New Roman"/>
        </w:rPr>
      </w:pPr>
      <w:r>
        <w:rPr>
          <w:rFonts w:eastAsia="Times New Roman"/>
          <w:b/>
          <w:bCs/>
          <w:color w:val="000000"/>
          <w:sz w:val="20"/>
          <w:szCs w:val="20"/>
        </w:rPr>
        <w:t>PART I</w:t>
      </w:r>
    </w:p>
    <w:p w:rsidR="00000000" w:rsidRDefault="00FD7D3C">
      <w:pPr>
        <w:divId w:val="263854077"/>
        <w:rPr>
          <w:rFonts w:eastAsia="Times New Roman"/>
        </w:rPr>
      </w:pPr>
      <w:r>
        <w:rPr>
          <w:rFonts w:eastAsia="Times New Roman"/>
          <w:b/>
          <w:bCs/>
          <w:color w:val="000000"/>
          <w:sz w:val="20"/>
          <w:szCs w:val="20"/>
        </w:rPr>
        <w:t>Item 1. Business</w:t>
      </w:r>
    </w:p>
    <w:p w:rsidR="00000000" w:rsidRDefault="00FD7D3C">
      <w:pPr>
        <w:divId w:val="1580943572"/>
        <w:rPr>
          <w:rFonts w:eastAsia="Times New Roman"/>
        </w:rPr>
      </w:pPr>
      <w:r>
        <w:rPr>
          <w:rFonts w:eastAsia="Times New Roman"/>
          <w:b/>
          <w:bCs/>
          <w:color w:val="000000"/>
          <w:sz w:val="20"/>
          <w:szCs w:val="20"/>
        </w:rPr>
        <w:t>Overview</w:t>
      </w:r>
    </w:p>
    <w:p w:rsidR="00000000" w:rsidRDefault="00FD7D3C">
      <w:pPr>
        <w:ind w:firstLine="1170"/>
        <w:divId w:val="411239960"/>
        <w:rPr>
          <w:rFonts w:eastAsia="Times New Roman"/>
        </w:rPr>
      </w:pPr>
      <w:r>
        <w:rPr>
          <w:rFonts w:eastAsia="Times New Roman"/>
          <w:color w:val="000000"/>
          <w:sz w:val="20"/>
          <w:szCs w:val="20"/>
        </w:rPr>
        <w:t>We are a clinical stage biopharmaceutical company focused on discov</w:t>
      </w:r>
      <w:r>
        <w:rPr>
          <w:rFonts w:eastAsia="Times New Roman"/>
          <w:color w:val="000000"/>
          <w:sz w:val="20"/>
          <w:szCs w:val="20"/>
        </w:rPr>
        <w:t>ering and developing novel therapies for the treatment of fibrosis and related diseases. Our initial focus is on treating fibrosis by inhibiting integrin-mediated activation of TGF-β. We have applied our deep understanding of fibrosis biology, along with o</w:t>
      </w:r>
      <w:r>
        <w:rPr>
          <w:rFonts w:eastAsia="Times New Roman"/>
          <w:color w:val="000000"/>
          <w:sz w:val="20"/>
          <w:szCs w:val="20"/>
        </w:rPr>
        <w:t>ur medicinal chemistry and translational medicine expertise to develop a set of proprietary tools designed to discover and de-risk product candidates quickly and efficiently. Our wholly-owned lead product candidate, PLN-74809, is an oral small molecule, du</w:t>
      </w:r>
      <w:r>
        <w:rPr>
          <w:rFonts w:eastAsia="Times New Roman"/>
          <w:color w:val="000000"/>
          <w:sz w:val="20"/>
          <w:szCs w:val="20"/>
        </w:rPr>
        <w:t xml:space="preserve">al selective inhibitor of αvß6 and αvß1 integrins that we are developing for the treatment </w:t>
      </w:r>
      <w:r>
        <w:rPr>
          <w:rFonts w:eastAsia="Times New Roman"/>
          <w:color w:val="000000"/>
          <w:sz w:val="20"/>
          <w:szCs w:val="20"/>
        </w:rPr>
        <w:lastRenderedPageBreak/>
        <w:t>of idiopathic pulmonary fibrosis, or IPF, and primary sclerosing cholangitis, or PSC. We have completed a Phase 1a SAD/MAD trial and a Phase 1b proof-of-mechanism tr</w:t>
      </w:r>
      <w:r>
        <w:rPr>
          <w:rFonts w:eastAsia="Times New Roman"/>
          <w:color w:val="000000"/>
          <w:sz w:val="20"/>
          <w:szCs w:val="20"/>
        </w:rPr>
        <w:t>ial of PLN-74809 in IPF and are currently conducting three Phase 2a trials in our lead indications: two in IPF and one in PSC. We announced interim data from our first Phase 2a IPF trial in September 2021. Our Phase 2a INTEGRIS-IPF trial has completed enro</w:t>
      </w:r>
      <w:r>
        <w:rPr>
          <w:rFonts w:eastAsia="Times New Roman"/>
          <w:color w:val="000000"/>
          <w:sz w:val="20"/>
          <w:szCs w:val="20"/>
        </w:rPr>
        <w:t>llment and we expect to release data mid-2022. Our Phase 2a INTEGRIS-PSC trial is currently enrolling with full enrollment expected in mid-2022, with data readout expected by late 2022 or early 2023. We have also developed a second product candidate, PLN-1</w:t>
      </w:r>
      <w:r>
        <w:rPr>
          <w:rFonts w:eastAsia="Times New Roman"/>
          <w:color w:val="000000"/>
          <w:sz w:val="20"/>
          <w:szCs w:val="20"/>
        </w:rPr>
        <w:t>474, a Phase 2-ready small molecule selective inhibitor of αvß1 for the treatment of liver fibrosis associated with nonalcoholic steatohepatitis, or NASH, for which we have partnered with Novartis. In addition to our clinical programs, we currently have pr</w:t>
      </w:r>
      <w:r>
        <w:rPr>
          <w:rFonts w:eastAsia="Times New Roman"/>
          <w:color w:val="000000"/>
          <w:sz w:val="20"/>
          <w:szCs w:val="20"/>
        </w:rPr>
        <w:t>eclinical integrin-based programs targeting oncology and muscular dystrophies.</w:t>
      </w:r>
    </w:p>
    <w:p w:rsidR="00000000" w:rsidRDefault="00FD7D3C">
      <w:pPr>
        <w:ind w:firstLine="1170"/>
        <w:divId w:val="1326471318"/>
        <w:rPr>
          <w:rFonts w:eastAsia="Times New Roman"/>
        </w:rPr>
      </w:pPr>
      <w:r>
        <w:rPr>
          <w:rFonts w:eastAsia="Times New Roman"/>
          <w:color w:val="000000"/>
          <w:sz w:val="20"/>
          <w:szCs w:val="20"/>
        </w:rPr>
        <w:t>In September 2021, we announced positive interim results from a Phase 2a positron emission tomography, or PET, imaging trial evaluating target engagement of PLN-74809 in the lun</w:t>
      </w:r>
      <w:r>
        <w:rPr>
          <w:rFonts w:eastAsia="Times New Roman"/>
          <w:color w:val="000000"/>
          <w:sz w:val="20"/>
          <w:szCs w:val="20"/>
        </w:rPr>
        <w:t xml:space="preserve">gs of IPF patients. Each patient across the four dose cohorts tested achieved target engagement levels greater than 50% in the most fibrotic portions of their lungs after only one dose of PLN-74809. Target engagement of 50% was previously established in a </w:t>
      </w:r>
      <w:r>
        <w:rPr>
          <w:rFonts w:eastAsia="Times New Roman"/>
          <w:color w:val="000000"/>
          <w:sz w:val="20"/>
          <w:szCs w:val="20"/>
        </w:rPr>
        <w:t>Phase 1b trial as the threshold for predicted clinical anti-fibrotic effect. In addition, there was a dose- and plasma concentration-dependent response with the two highest doses approaching target saturation. PLN-74809 was well tolerated in the trial with</w:t>
      </w:r>
      <w:r>
        <w:rPr>
          <w:rFonts w:eastAsia="Times New Roman"/>
          <w:color w:val="000000"/>
          <w:sz w:val="20"/>
          <w:szCs w:val="20"/>
        </w:rPr>
        <w:t xml:space="preserve"> no serious adverse events, or SAEs, reported. The interim data confirm that PLN-74809 penetrates the highly fibrotic lung tissue of IPF patients, and potently binds to its target. These interim data allow us to construct a full exposure-target engagement </w:t>
      </w:r>
      <w:r>
        <w:rPr>
          <w:rFonts w:eastAsia="Times New Roman"/>
          <w:color w:val="000000"/>
          <w:sz w:val="20"/>
          <w:szCs w:val="20"/>
        </w:rPr>
        <w:t>curve model, decoding our ongoing Phase 2a trials and guiding future clinical development of PLN-74809.</w:t>
      </w:r>
    </w:p>
    <w:p w:rsidR="00000000" w:rsidRDefault="00FD7D3C">
      <w:pPr>
        <w:ind w:firstLine="1170"/>
        <w:divId w:val="630862131"/>
        <w:rPr>
          <w:rFonts w:eastAsia="Times New Roman"/>
        </w:rPr>
      </w:pPr>
      <w:r>
        <w:rPr>
          <w:rFonts w:eastAsia="Times New Roman"/>
          <w:color w:val="000000"/>
          <w:sz w:val="20"/>
          <w:szCs w:val="20"/>
        </w:rPr>
        <w:t>In February 2022, we announced positive results from an expanded PLN-74809 Phase 1b proof-of-mechanism trial. This study evaluated PLN-74809's ability t</w:t>
      </w:r>
      <w:r>
        <w:rPr>
          <w:rFonts w:eastAsia="Times New Roman"/>
          <w:color w:val="000000"/>
          <w:sz w:val="20"/>
          <w:szCs w:val="20"/>
        </w:rPr>
        <w:t>o suppress TGF-β activation in the lungs of healthy volunteers as measured through relative pSmad2 levels in alveolar macrophages collected through bronchioalveolar lavage (BAL) at 6 hours and 24 hours after the last dose. The trial was conducted in two pa</w:t>
      </w:r>
      <w:r>
        <w:rPr>
          <w:rFonts w:eastAsia="Times New Roman"/>
          <w:color w:val="000000"/>
          <w:sz w:val="20"/>
          <w:szCs w:val="20"/>
        </w:rPr>
        <w:t>rts. Part 1 evaluated PLN-74809 at doses of 80 mg and 160 mg versus placebo and Part 2 evaluated PLN-74809 at 320 mg versus placebo. PLN-74809 demonstrated clear evidence of on-target biological activity in the lungs of healthy participants. Results showed</w:t>
      </w:r>
      <w:r>
        <w:rPr>
          <w:rFonts w:eastAsia="Times New Roman"/>
          <w:color w:val="000000"/>
          <w:sz w:val="20"/>
          <w:szCs w:val="20"/>
        </w:rPr>
        <w:t xml:space="preserve"> that PLN-74809 inhibited TGF-β activation by up to 92% and 76% at 6- and 24-hours, respectively, following dosing. PLN-74809 was well tolerated with mostly mild adverse events, and no severe adverse events. There was no dose relationship associated with a</w:t>
      </w:r>
      <w:r>
        <w:rPr>
          <w:rFonts w:eastAsia="Times New Roman"/>
          <w:color w:val="000000"/>
          <w:sz w:val="20"/>
          <w:szCs w:val="20"/>
        </w:rPr>
        <w:t>dverse events, no serious adverse events (SAEs) and no treatment discontinuations due to adverse events. This trial further defines the relationship between plasma exposure of PLN-74809 and TGF-β inhibition in the lung and will guide dose selection in futu</w:t>
      </w:r>
      <w:r>
        <w:rPr>
          <w:rFonts w:eastAsia="Times New Roman"/>
          <w:color w:val="000000"/>
          <w:sz w:val="20"/>
          <w:szCs w:val="20"/>
        </w:rPr>
        <w:t>re trials.</w:t>
      </w:r>
    </w:p>
    <w:p w:rsidR="00000000" w:rsidRDefault="00FD7D3C">
      <w:pPr>
        <w:ind w:firstLine="1170"/>
        <w:divId w:val="248781719"/>
        <w:rPr>
          <w:rFonts w:eastAsia="Times New Roman"/>
        </w:rPr>
      </w:pPr>
      <w:r>
        <w:rPr>
          <w:rFonts w:eastAsia="Times New Roman"/>
          <w:color w:val="000000"/>
          <w:sz w:val="20"/>
          <w:szCs w:val="20"/>
        </w:rPr>
        <w:t>Fibrosis refers to the abnormal thickening and scarring of connective tissue due to the production and deposition of excess collagen in the extra-cellular matrix. Fibrosis can occur in many different tissues including lung, liver, kidney, muscle</w:t>
      </w:r>
      <w:r>
        <w:rPr>
          <w:rFonts w:eastAsia="Times New Roman"/>
          <w:color w:val="000000"/>
          <w:sz w:val="20"/>
          <w:szCs w:val="20"/>
        </w:rPr>
        <w:t>, skin and the gastrointestinal tract, and often causes severe and debilitating disease potentially leading to organ failure and death. Fibrosis has historically proven difficult to treat, which we believe is due to the complexity of the disease biology an</w:t>
      </w:r>
      <w:r>
        <w:rPr>
          <w:rFonts w:eastAsia="Times New Roman"/>
          <w:color w:val="000000"/>
          <w:sz w:val="20"/>
          <w:szCs w:val="20"/>
        </w:rPr>
        <w:t>d the challenge of targeting fibrotic tissues selectively without affecting healthy tissues.</w:t>
      </w:r>
    </w:p>
    <w:p w:rsidR="00000000" w:rsidRDefault="00FD7D3C">
      <w:pPr>
        <w:ind w:firstLine="1170"/>
        <w:divId w:val="264272266"/>
        <w:rPr>
          <w:rFonts w:eastAsia="Times New Roman"/>
        </w:rPr>
      </w:pPr>
      <w:r>
        <w:rPr>
          <w:rFonts w:eastAsia="Times New Roman"/>
          <w:color w:val="000000"/>
          <w:sz w:val="20"/>
          <w:szCs w:val="20"/>
        </w:rPr>
        <w:t>We believe that tissue-specific inhibition of TGF-β may hold the key to successfully treating fibrosis. In normal tissues, TGF-β is activated in response to tissue</w:t>
      </w:r>
      <w:r>
        <w:rPr>
          <w:rFonts w:eastAsia="Times New Roman"/>
          <w:color w:val="000000"/>
          <w:sz w:val="20"/>
          <w:szCs w:val="20"/>
        </w:rPr>
        <w:t xml:space="preserve"> injury which initiates a cascade that results in collagen production and, ultimately, scar formation to heal the tissue. In fibrosis, however, TGF-β signaling becomes dysregulated, with TGF-β being continuously activated, leading to excess collagen deposi</w:t>
      </w:r>
      <w:r>
        <w:rPr>
          <w:rFonts w:eastAsia="Times New Roman"/>
          <w:color w:val="000000"/>
          <w:sz w:val="20"/>
          <w:szCs w:val="20"/>
        </w:rPr>
        <w:t>tion, even in the absence of acute tissue injury. TGF-β, while implicated in fibrosis pathophysiology, is expressed, and intermittently activated across all tissue types and plays important, context-specific roles in tissue homeostasis. Therefore, TGF-β ca</w:t>
      </w:r>
      <w:r>
        <w:rPr>
          <w:rFonts w:eastAsia="Times New Roman"/>
          <w:color w:val="000000"/>
          <w:sz w:val="20"/>
          <w:szCs w:val="20"/>
        </w:rPr>
        <w:t>nnot be blocked systemically without disrupting these homeostatic functions and causing significant toxicities. To treat fibrosis more precisely in specific tissues, we believe it is crucial to discover and treat the underlying mechanism causing excess TGF</w:t>
      </w:r>
      <w:r>
        <w:rPr>
          <w:rFonts w:eastAsia="Times New Roman"/>
          <w:color w:val="000000"/>
          <w:sz w:val="20"/>
          <w:szCs w:val="20"/>
        </w:rPr>
        <w:t>-β activation.</w:t>
      </w:r>
    </w:p>
    <w:p w:rsidR="00000000" w:rsidRDefault="00FD7D3C">
      <w:pPr>
        <w:ind w:firstLine="1170"/>
        <w:divId w:val="1561751202"/>
        <w:rPr>
          <w:rFonts w:eastAsia="Times New Roman"/>
        </w:rPr>
      </w:pPr>
      <w:r>
        <w:rPr>
          <w:rFonts w:eastAsia="Times New Roman"/>
          <w:color w:val="000000"/>
          <w:sz w:val="20"/>
          <w:szCs w:val="20"/>
        </w:rPr>
        <w:t>Our scientific founders are pioneers in elucidating the role of specific extracellular receptors known as integrins as a key element in the activation of TGF-β. While the role of integrins in TGF-β activation has been well-characterized over</w:t>
      </w:r>
      <w:r>
        <w:rPr>
          <w:rFonts w:eastAsia="Times New Roman"/>
          <w:color w:val="000000"/>
          <w:sz w:val="20"/>
          <w:szCs w:val="20"/>
        </w:rPr>
        <w:t xml:space="preserve"> the past 10 years, integrins have historically been difficult to target therapeutically using small </w:t>
      </w:r>
    </w:p>
    <w:p w:rsidR="00000000" w:rsidRDefault="00FD7D3C">
      <w:pPr>
        <w:jc w:val="center"/>
        <w:divId w:val="1682511496"/>
        <w:rPr>
          <w:rFonts w:eastAsia="Times New Roman"/>
        </w:rPr>
      </w:pPr>
      <w:r>
        <w:rPr>
          <w:rFonts w:eastAsia="Times New Roman"/>
          <w:color w:val="000000"/>
          <w:sz w:val="20"/>
          <w:szCs w:val="20"/>
        </w:rPr>
        <w:t>4</w:t>
      </w:r>
    </w:p>
    <w:p w:rsidR="00000000" w:rsidRDefault="00FD7D3C">
      <w:pPr>
        <w:rPr>
          <w:rFonts w:eastAsia="Times New Roman"/>
        </w:rPr>
      </w:pPr>
      <w:r>
        <w:rPr>
          <w:rFonts w:eastAsia="Times New Roman"/>
        </w:rPr>
        <w:pict>
          <v:rect id="_x0000_i1030" style="width:0;height:1.5pt" o:hralign="center" o:hrstd="t" o:hr="t" fillcolor="#a0a0a0" stroked="f"/>
        </w:pict>
      </w:r>
    </w:p>
    <w:p w:rsidR="00000000" w:rsidRDefault="00FD7D3C">
      <w:pPr>
        <w:divId w:val="996569234"/>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divId w:val="32928085"/>
        <w:rPr>
          <w:rFonts w:eastAsia="Times New Roman"/>
        </w:rPr>
      </w:pPr>
      <w:r>
        <w:rPr>
          <w:rFonts w:eastAsia="Times New Roman"/>
          <w:color w:val="000000"/>
          <w:sz w:val="20"/>
          <w:szCs w:val="20"/>
        </w:rPr>
        <w:t>molecules due to the difficulty of engineering molecules with high receptor selectivity and bioavailability. We believe that we have addressed these challenges with our platform. We have built a library of compounds that includes bioavailable, selective an</w:t>
      </w:r>
      <w:r>
        <w:rPr>
          <w:rFonts w:eastAsia="Times New Roman"/>
          <w:color w:val="000000"/>
          <w:sz w:val="20"/>
          <w:szCs w:val="20"/>
        </w:rPr>
        <w:t>d potent inhibitors of multiple integrins that may be used to target a range of fibrotic diseases across different tissues.</w:t>
      </w:r>
    </w:p>
    <w:p w:rsidR="00000000" w:rsidRDefault="00FD7D3C">
      <w:pPr>
        <w:divId w:val="1870798826"/>
        <w:rPr>
          <w:rFonts w:eastAsia="Times New Roman"/>
        </w:rPr>
      </w:pPr>
      <w:r>
        <w:rPr>
          <w:rFonts w:eastAsia="Times New Roman"/>
          <w:b/>
          <w:bCs/>
          <w:color w:val="000000"/>
          <w:sz w:val="20"/>
          <w:szCs w:val="20"/>
        </w:rPr>
        <w:t>Our Pipeline</w:t>
      </w:r>
    </w:p>
    <w:p w:rsidR="00000000" w:rsidRDefault="00FD7D3C">
      <w:pPr>
        <w:spacing w:before="200"/>
        <w:divId w:val="1943339829"/>
        <w:rPr>
          <w:rFonts w:eastAsia="Times New Roman"/>
        </w:rPr>
      </w:pPr>
      <w:r>
        <w:rPr>
          <w:rFonts w:eastAsia="Times New Roman"/>
          <w:noProof/>
        </w:rPr>
        <w:drawing>
          <wp:inline distT="0" distB="0" distL="0" distR="0">
            <wp:extent cx="304800" cy="304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FD7D3C">
      <w:pPr>
        <w:ind w:firstLine="1080"/>
        <w:divId w:val="2113696595"/>
        <w:rPr>
          <w:rFonts w:eastAsia="Times New Roman"/>
        </w:rPr>
      </w:pPr>
      <w:r>
        <w:rPr>
          <w:rFonts w:eastAsia="Times New Roman"/>
          <w:color w:val="231F20"/>
          <w:sz w:val="20"/>
          <w:szCs w:val="20"/>
        </w:rPr>
        <w:t>Our lead wholly-owned product candidate, PLN-74809, is an oral small molecule, dual-selective inhibitor of αvß6 and αvß1 that we are advancing in IPF and PSC. While expressed at very low levels in normal tissues, αvß6 and αvß1 are</w:t>
      </w:r>
      <w:r>
        <w:rPr>
          <w:rFonts w:eastAsia="Times New Roman"/>
          <w:color w:val="231F20"/>
          <w:sz w:val="20"/>
          <w:szCs w:val="20"/>
        </w:rPr>
        <w:t xml:space="preserve"> upregulated in the pulmonary tissues of IPF patients, and in the liver tissues of PSC patients. They both serve as activators of TGF-β, leading to increased collagen production and fibrosis in these tissues. By blocking TGF-β activation by both αvß6 and α</w:t>
      </w:r>
      <w:r>
        <w:rPr>
          <w:rFonts w:eastAsia="Times New Roman"/>
          <w:color w:val="231F20"/>
          <w:sz w:val="20"/>
          <w:szCs w:val="20"/>
        </w:rPr>
        <w:t>vß1, we believe PLN-74809 may slow and potentially halt the progression of fibrosis in these patient populations. PLN-74809 has been granted orphan drug designation by the FDA for both IPF and PSC.</w:t>
      </w:r>
    </w:p>
    <w:p w:rsidR="00000000" w:rsidRDefault="00FD7D3C">
      <w:pPr>
        <w:ind w:firstLine="1080"/>
        <w:divId w:val="1575241939"/>
        <w:rPr>
          <w:rFonts w:eastAsia="Times New Roman"/>
        </w:rPr>
      </w:pPr>
      <w:r>
        <w:rPr>
          <w:rFonts w:eastAsia="Times New Roman"/>
          <w:color w:val="231F20"/>
          <w:sz w:val="20"/>
          <w:szCs w:val="20"/>
        </w:rPr>
        <w:t>IPF is the most common and severe form of progressive pulm</w:t>
      </w:r>
      <w:r>
        <w:rPr>
          <w:rFonts w:eastAsia="Times New Roman"/>
          <w:color w:val="231F20"/>
          <w:sz w:val="20"/>
          <w:szCs w:val="20"/>
        </w:rPr>
        <w:t xml:space="preserve">onary fibrosis, affecting approximately 140,000 patients in the United States. While the underlying cause of IPF is unknown, the course of the disease is well documented, with progressive scarring that destroys the structure and function of the lungs over </w:t>
      </w:r>
      <w:r>
        <w:rPr>
          <w:rFonts w:eastAsia="Times New Roman"/>
          <w:color w:val="231F20"/>
          <w:sz w:val="20"/>
          <w:szCs w:val="20"/>
        </w:rPr>
        <w:t>time. The average life expectancy for patients with confirmed IPF is between three and five years. There are currently two FDA-approved therapies for IPF. Both have shown modest slowing of disease progression. However, both therapies have raised significan</w:t>
      </w:r>
      <w:r>
        <w:rPr>
          <w:rFonts w:eastAsia="Times New Roman"/>
          <w:color w:val="231F20"/>
          <w:sz w:val="20"/>
          <w:szCs w:val="20"/>
        </w:rPr>
        <w:t>t safety and tolerability concerns.</w:t>
      </w:r>
    </w:p>
    <w:p w:rsidR="00000000" w:rsidRDefault="00FD7D3C">
      <w:pPr>
        <w:ind w:firstLine="1080"/>
        <w:divId w:val="1367679870"/>
        <w:rPr>
          <w:rFonts w:eastAsia="Times New Roman"/>
        </w:rPr>
      </w:pPr>
      <w:r>
        <w:rPr>
          <w:rFonts w:eastAsia="Times New Roman"/>
          <w:color w:val="231F20"/>
          <w:sz w:val="20"/>
          <w:szCs w:val="20"/>
        </w:rPr>
        <w:t>PSC is a progressive liver disorder affecting approximately 30,000 to 45,000 patients in the United States. The disease is characterized by fibrosis originating in the bile ducts that ultimately results in bile flow obst</w:t>
      </w:r>
      <w:r>
        <w:rPr>
          <w:rFonts w:eastAsia="Times New Roman"/>
          <w:color w:val="231F20"/>
          <w:sz w:val="20"/>
          <w:szCs w:val="20"/>
        </w:rPr>
        <w:t>ruction or cholestasis, causing liver damage and progressive fibrosis of the liver. Patients have a median survival of 10 to 12 years without intervention and carry high lifetime risk of developing gastrointestinal malignancies. There are currently no FDA-</w:t>
      </w:r>
      <w:r>
        <w:rPr>
          <w:rFonts w:eastAsia="Times New Roman"/>
          <w:color w:val="231F20"/>
          <w:sz w:val="20"/>
          <w:szCs w:val="20"/>
        </w:rPr>
        <w:t>approved therapies for PSC.</w:t>
      </w:r>
    </w:p>
    <w:p w:rsidR="00000000" w:rsidRDefault="00FD7D3C">
      <w:pPr>
        <w:ind w:firstLine="1080"/>
        <w:divId w:val="1034312923"/>
        <w:rPr>
          <w:rFonts w:eastAsia="Times New Roman"/>
        </w:rPr>
      </w:pPr>
      <w:r>
        <w:rPr>
          <w:rFonts w:eastAsia="Times New Roman"/>
          <w:color w:val="231F20"/>
          <w:sz w:val="20"/>
          <w:szCs w:val="20"/>
        </w:rPr>
        <w:t xml:space="preserve">In our live human tissue assay, PLN-74809 showed a greater than 50 percent decrease in the expression of pro-fibrotic genes, such as collagen type I alpha1 chain, or </w:t>
      </w:r>
      <w:r>
        <w:rPr>
          <w:rFonts w:eastAsia="Times New Roman"/>
          <w:i/>
          <w:iCs/>
          <w:color w:val="231F20"/>
          <w:sz w:val="20"/>
          <w:szCs w:val="20"/>
        </w:rPr>
        <w:t xml:space="preserve">COL1A1, </w:t>
      </w:r>
      <w:r>
        <w:rPr>
          <w:rFonts w:eastAsia="Times New Roman"/>
          <w:color w:val="231F20"/>
          <w:sz w:val="20"/>
          <w:szCs w:val="20"/>
        </w:rPr>
        <w:t xml:space="preserve">and collagen type 3 alpha1 chain, or </w:t>
      </w:r>
      <w:r>
        <w:rPr>
          <w:rFonts w:eastAsia="Times New Roman"/>
          <w:i/>
          <w:iCs/>
          <w:color w:val="231F20"/>
          <w:sz w:val="20"/>
          <w:szCs w:val="20"/>
        </w:rPr>
        <w:t xml:space="preserve">COL3A1, </w:t>
      </w:r>
      <w:r>
        <w:rPr>
          <w:rFonts w:eastAsia="Times New Roman"/>
          <w:color w:val="231F20"/>
          <w:sz w:val="20"/>
          <w:szCs w:val="20"/>
        </w:rPr>
        <w:t xml:space="preserve">that are </w:t>
      </w:r>
      <w:r>
        <w:rPr>
          <w:rFonts w:eastAsia="Times New Roman"/>
          <w:color w:val="231F20"/>
          <w:sz w:val="20"/>
          <w:szCs w:val="20"/>
        </w:rPr>
        <w:t>responsible for collagen production in human IPF and PSC tissues. Additionally, we have completed a study in non-human primates in which we showed that inhibition of αvß6 and αvß1 reduced TGF-β activation by greater than 75% in cells isolated from the lung</w:t>
      </w:r>
      <w:r>
        <w:rPr>
          <w:rFonts w:eastAsia="Times New Roman"/>
          <w:color w:val="231F20"/>
          <w:sz w:val="20"/>
          <w:szCs w:val="20"/>
        </w:rPr>
        <w:t>s after seven days of treatment.</w:t>
      </w:r>
    </w:p>
    <w:p w:rsidR="00000000" w:rsidRDefault="00FD7D3C">
      <w:pPr>
        <w:ind w:firstLine="1080"/>
        <w:divId w:val="1369256165"/>
        <w:rPr>
          <w:rFonts w:eastAsia="Times New Roman"/>
        </w:rPr>
      </w:pPr>
      <w:r>
        <w:rPr>
          <w:rFonts w:eastAsia="Times New Roman"/>
          <w:color w:val="231F20"/>
          <w:sz w:val="20"/>
          <w:szCs w:val="20"/>
        </w:rPr>
        <w:t>We have completed Phase 1a single ascending dose, or SAD, multiple ascending dose, or MAD, and food effect clinical trials in which PLN-74809 was shown to be orally bioavailable and generally well tolerated with a half-life</w:t>
      </w:r>
      <w:r>
        <w:rPr>
          <w:rFonts w:eastAsia="Times New Roman"/>
          <w:color w:val="231F20"/>
          <w:sz w:val="20"/>
          <w:szCs w:val="20"/>
        </w:rPr>
        <w:t xml:space="preserve"> that may support once-daily dosing.</w:t>
      </w:r>
    </w:p>
    <w:p w:rsidR="00000000" w:rsidRDefault="00FD7D3C">
      <w:pPr>
        <w:ind w:firstLine="1080"/>
        <w:divId w:val="1370182229"/>
        <w:rPr>
          <w:rFonts w:eastAsia="Times New Roman"/>
        </w:rPr>
      </w:pPr>
      <w:r>
        <w:rPr>
          <w:rFonts w:eastAsia="Times New Roman"/>
          <w:color w:val="231F20"/>
          <w:sz w:val="20"/>
          <w:szCs w:val="20"/>
        </w:rPr>
        <w:t>We have also completed a Phase 1b proof-of-mechanism trial in healthy volunteers evaluating PLN-74809’s ability to inhibit TGF-β activation as measured through pSMAD2/3 levels. pSMADs act as signaling molecules directly</w:t>
      </w:r>
      <w:r>
        <w:rPr>
          <w:rFonts w:eastAsia="Times New Roman"/>
          <w:color w:val="231F20"/>
          <w:sz w:val="20"/>
          <w:szCs w:val="20"/>
        </w:rPr>
        <w:t xml:space="preserve"> downstream from the TGF-β receptor, and therefore pSMAD2/3 levels can be used as a reliable biomarker for TGF-β activation. In the Phase 1b trial, and subsequent Phase 1b extension trial, PLN-74809 was shown to inhibit TGF-β activation in alveolar macroph</w:t>
      </w:r>
      <w:r>
        <w:rPr>
          <w:rFonts w:eastAsia="Times New Roman"/>
          <w:color w:val="231F20"/>
          <w:sz w:val="20"/>
          <w:szCs w:val="20"/>
        </w:rPr>
        <w:t>ages collected from healthy volunteers, by up to 92% and 76% at 6- and 24-hours, respectively. Additionally, PLN-74809 was well tolerated with only mild adverse events and no drug-related adverse events.</w:t>
      </w:r>
    </w:p>
    <w:p w:rsidR="00000000" w:rsidRDefault="00FD7D3C">
      <w:pPr>
        <w:jc w:val="center"/>
        <w:divId w:val="640234624"/>
        <w:rPr>
          <w:rFonts w:eastAsia="Times New Roman"/>
        </w:rPr>
      </w:pPr>
      <w:r>
        <w:rPr>
          <w:rFonts w:eastAsia="Times New Roman"/>
          <w:color w:val="000000"/>
          <w:sz w:val="20"/>
          <w:szCs w:val="20"/>
        </w:rPr>
        <w:t>5</w:t>
      </w:r>
    </w:p>
    <w:p w:rsidR="00000000" w:rsidRDefault="00FD7D3C">
      <w:pPr>
        <w:rPr>
          <w:rFonts w:eastAsia="Times New Roman"/>
        </w:rPr>
      </w:pPr>
      <w:r>
        <w:rPr>
          <w:rFonts w:eastAsia="Times New Roman"/>
        </w:rPr>
        <w:pict>
          <v:rect id="_x0000_i1032" style="width:0;height:1.5pt" o:hralign="center" o:hrstd="t" o:hr="t" fillcolor="#a0a0a0" stroked="f"/>
        </w:pict>
      </w:r>
    </w:p>
    <w:p w:rsidR="00000000" w:rsidRDefault="00FD7D3C">
      <w:pPr>
        <w:divId w:val="2061859828"/>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ind w:firstLine="1080"/>
        <w:divId w:val="473329271"/>
        <w:rPr>
          <w:rFonts w:eastAsia="Times New Roman"/>
        </w:rPr>
      </w:pPr>
      <w:r>
        <w:rPr>
          <w:rFonts w:eastAsia="Times New Roman"/>
          <w:color w:val="231F20"/>
          <w:sz w:val="20"/>
          <w:szCs w:val="20"/>
        </w:rPr>
        <w:t>We are currently conducting two Phase 2a trials of PLN-74809 in IPF. In the first of these trials, we are enrolling up to 12 IPF patients and ut</w:t>
      </w:r>
      <w:r>
        <w:rPr>
          <w:rFonts w:eastAsia="Times New Roman"/>
          <w:color w:val="231F20"/>
          <w:sz w:val="20"/>
          <w:szCs w:val="20"/>
        </w:rPr>
        <w:t xml:space="preserve">ilizing a positron emission tomography, or PET, ligand to measure αvß6 target engagement by PLN-74809 in the lungs post-treatment with ascending single doses of PLN-74809. We announced positive interim data from this trial in September of 2021. Enrollment </w:t>
      </w:r>
      <w:r>
        <w:rPr>
          <w:rFonts w:eastAsia="Times New Roman"/>
          <w:color w:val="231F20"/>
          <w:sz w:val="20"/>
          <w:szCs w:val="20"/>
        </w:rPr>
        <w:t xml:space="preserve">of this trial continues. </w:t>
      </w:r>
    </w:p>
    <w:p w:rsidR="00000000" w:rsidRDefault="00FD7D3C">
      <w:pPr>
        <w:ind w:firstLine="1080"/>
        <w:divId w:val="1842886611"/>
        <w:rPr>
          <w:rFonts w:eastAsia="Times New Roman"/>
        </w:rPr>
      </w:pPr>
      <w:r>
        <w:rPr>
          <w:rFonts w:eastAsia="Times New Roman"/>
          <w:color w:val="231F20"/>
          <w:sz w:val="20"/>
          <w:szCs w:val="20"/>
        </w:rPr>
        <w:t>The second trial is a 12-week randomized, double-blind, placebo-controlled trial enrolling approximately 84 IPF patients across four cohorts consisting of three dose cohorts of PLN-74809 and one placebo cohort that will evaluate s</w:t>
      </w:r>
      <w:r>
        <w:rPr>
          <w:rFonts w:eastAsia="Times New Roman"/>
          <w:color w:val="231F20"/>
          <w:sz w:val="20"/>
          <w:szCs w:val="20"/>
        </w:rPr>
        <w:t>afety, tolerability and pharmacokinetics, or PK. We also plan to employ exploratory efficacy endpoints including Quantitative Lung Fibrosis, or QLF, imaging analysis, biomarkers and pulmonary function tests including Forced Vital Capacity, or FVC. This tri</w:t>
      </w:r>
      <w:r>
        <w:rPr>
          <w:rFonts w:eastAsia="Times New Roman"/>
          <w:color w:val="231F20"/>
          <w:sz w:val="20"/>
          <w:szCs w:val="20"/>
        </w:rPr>
        <w:t>al completed enrollment in December 2021, and we expect to release data mid-2022.</w:t>
      </w:r>
    </w:p>
    <w:p w:rsidR="00000000" w:rsidRDefault="00FD7D3C">
      <w:pPr>
        <w:ind w:firstLine="1080"/>
        <w:jc w:val="both"/>
        <w:divId w:val="985746533"/>
        <w:rPr>
          <w:rFonts w:eastAsia="Times New Roman"/>
        </w:rPr>
      </w:pPr>
      <w:r>
        <w:rPr>
          <w:rFonts w:eastAsia="Times New Roman"/>
          <w:color w:val="231F20"/>
          <w:sz w:val="20"/>
          <w:szCs w:val="20"/>
        </w:rPr>
        <w:t>We are also recruiting a Phase 2a trial of PLN-74809 in PSC. The trial is a 12-week randomized, double-blind, placebo-controlled trial enrolling approximately 84 PSC patients</w:t>
      </w:r>
      <w:r>
        <w:rPr>
          <w:rFonts w:eastAsia="Times New Roman"/>
          <w:color w:val="231F20"/>
          <w:sz w:val="20"/>
          <w:szCs w:val="20"/>
        </w:rPr>
        <w:t xml:space="preserve"> across four cohorts consisting of three dose cohorts of PLN-74809 and one placebo cohort that will evaluate safety, tolerability and PK. We also plan to employ exploratory efficacy endpoints including fibrosis biomarkers such as Pro-C3 and ELF, as well as</w:t>
      </w:r>
      <w:r>
        <w:rPr>
          <w:rFonts w:eastAsia="Times New Roman"/>
          <w:color w:val="231F20"/>
          <w:sz w:val="20"/>
          <w:szCs w:val="20"/>
        </w:rPr>
        <w:t xml:space="preserve"> ALP and liver imaging. This trial is currently on track to complete enrollment by mid-2022, with data readout expected by late 2022 or early 2023.</w:t>
      </w:r>
    </w:p>
    <w:p w:rsidR="00000000" w:rsidRDefault="00FD7D3C">
      <w:pPr>
        <w:ind w:firstLine="1080"/>
        <w:divId w:val="1821656698"/>
        <w:rPr>
          <w:rFonts w:eastAsia="Times New Roman"/>
        </w:rPr>
      </w:pPr>
      <w:r>
        <w:rPr>
          <w:rFonts w:eastAsia="Times New Roman"/>
          <w:color w:val="231F20"/>
          <w:sz w:val="20"/>
          <w:szCs w:val="20"/>
        </w:rPr>
        <w:t>We have also developed a second clinical stage product candidate, PLN-1474, which is a small molecule, selec</w:t>
      </w:r>
      <w:r>
        <w:rPr>
          <w:rFonts w:eastAsia="Times New Roman"/>
          <w:color w:val="231F20"/>
          <w:sz w:val="20"/>
          <w:szCs w:val="20"/>
        </w:rPr>
        <w:t>tive inhibitor of TGF-β activation by the integrin αvß1 in development for treatment of liver fibrosis associated with NASH. αvß1 serves as an activator of TGF-β and its expression has been shown to be upregulated in hepatic stellate cells in late-stage NA</w:t>
      </w:r>
      <w:r>
        <w:rPr>
          <w:rFonts w:eastAsia="Times New Roman"/>
          <w:color w:val="231F20"/>
          <w:sz w:val="20"/>
          <w:szCs w:val="20"/>
        </w:rPr>
        <w:t>SH-associated liver fibrosis. In October 2019, we entered into a collaboration and license agreement with Novartis in which Novartis licensed global rights to PLN-1474. Under the terms of the agreement, we received a $50.0 million license fee, as well as $</w:t>
      </w:r>
      <w:r>
        <w:rPr>
          <w:rFonts w:eastAsia="Times New Roman"/>
          <w:color w:val="231F20"/>
          <w:sz w:val="20"/>
          <w:szCs w:val="20"/>
        </w:rPr>
        <w:t>30.0 million of equity investment. Additionally, we are eligible to receive up to $416.0 million in total milestone payments, as well as tiered royalties on products commercialized from the collaboration. To date, we have received $25.0 million in continge</w:t>
      </w:r>
      <w:r>
        <w:rPr>
          <w:rFonts w:eastAsia="Times New Roman"/>
          <w:color w:val="231F20"/>
          <w:sz w:val="20"/>
          <w:szCs w:val="20"/>
        </w:rPr>
        <w:t>nt payments and $391.0 million remain eligible for achievement.</w:t>
      </w:r>
    </w:p>
    <w:p w:rsidR="00000000" w:rsidRDefault="00FD7D3C">
      <w:pPr>
        <w:ind w:firstLine="1080"/>
        <w:divId w:val="1628579940"/>
        <w:rPr>
          <w:rFonts w:eastAsia="Times New Roman"/>
        </w:rPr>
      </w:pPr>
      <w:r>
        <w:rPr>
          <w:rFonts w:eastAsia="Times New Roman"/>
          <w:color w:val="231F20"/>
          <w:sz w:val="20"/>
          <w:szCs w:val="20"/>
        </w:rPr>
        <w:t>We have completed a first-in-human, randomized, double-blind, placebo-controlled Phase 1 dose escalation trial that enrolled 84 healthy volunteers across single ascending dose and multiple asc</w:t>
      </w:r>
      <w:r>
        <w:rPr>
          <w:rFonts w:eastAsia="Times New Roman"/>
          <w:color w:val="231F20"/>
          <w:sz w:val="20"/>
          <w:szCs w:val="20"/>
        </w:rPr>
        <w:t>ending dose cohorts. Results showed that PLN-1474 was rapidly absorbed and well tolerated with no dose- or treatment-limiting toxicities observed with adverse events that were mostly mild with no severe or serious adverse events observed. The PLN-1474 Inve</w:t>
      </w:r>
      <w:r>
        <w:rPr>
          <w:rFonts w:eastAsia="Times New Roman"/>
          <w:color w:val="231F20"/>
          <w:sz w:val="20"/>
          <w:szCs w:val="20"/>
        </w:rPr>
        <w:t>stigational New Drug, or IND, application was transferred to Novartis in the first quarter of 2021. Novartis is responsible for all future development, manufacturing and commercialization activities for PLN-1474.</w:t>
      </w:r>
    </w:p>
    <w:p w:rsidR="00000000" w:rsidRDefault="00FD7D3C">
      <w:pPr>
        <w:ind w:firstLine="1080"/>
        <w:divId w:val="202714980"/>
        <w:rPr>
          <w:rFonts w:eastAsia="Times New Roman"/>
        </w:rPr>
      </w:pPr>
      <w:r>
        <w:rPr>
          <w:rFonts w:eastAsia="Times New Roman"/>
          <w:color w:val="231F20"/>
          <w:sz w:val="20"/>
          <w:szCs w:val="20"/>
        </w:rPr>
        <w:t>In addition to our clinical programs, we ar</w:t>
      </w:r>
      <w:r>
        <w:rPr>
          <w:rFonts w:eastAsia="Times New Roman"/>
          <w:color w:val="231F20"/>
          <w:sz w:val="20"/>
          <w:szCs w:val="20"/>
        </w:rPr>
        <w:t>e developing two additional preclinical integrin-based programs. The first of these is our oncology program. As TGF-β biology has been elucidated, it has become increasingly understood in the scientific literature that TGF-β plays an important anti-inflamm</w:t>
      </w:r>
      <w:r>
        <w:rPr>
          <w:rFonts w:eastAsia="Times New Roman"/>
          <w:color w:val="231F20"/>
          <w:sz w:val="20"/>
          <w:szCs w:val="20"/>
        </w:rPr>
        <w:t>atory role in the tumor micro-environment, preventing T-cell infiltration and inhibiting release of various cytokines. This mechanism is becoming increasingly recognized as a potential cause of the resistance to checkpoint inhibitors such as anti-PD-1 ther</w:t>
      </w:r>
      <w:r>
        <w:rPr>
          <w:rFonts w:eastAsia="Times New Roman"/>
          <w:color w:val="231F20"/>
          <w:sz w:val="20"/>
          <w:szCs w:val="20"/>
        </w:rPr>
        <w:t>apies seen in many tumors. We are targeting the TGF-β activating integrin αvβ8, which is upregulated in certain tumors with the goal of sensitizing tumors to checkpoint inhibitors. This program has generated positive data in preclinical tumor models and ou</w:t>
      </w:r>
      <w:r>
        <w:rPr>
          <w:rFonts w:eastAsia="Times New Roman"/>
          <w:color w:val="231F20"/>
          <w:sz w:val="20"/>
          <w:szCs w:val="20"/>
        </w:rPr>
        <w:t>r candidate is currently undergoing IND-enabling studies. We expect to submit an IND application for our oncology program by the end of 2022.</w:t>
      </w:r>
    </w:p>
    <w:p w:rsidR="00000000" w:rsidRDefault="00FD7D3C">
      <w:pPr>
        <w:ind w:firstLine="1080"/>
        <w:divId w:val="671027927"/>
        <w:rPr>
          <w:rFonts w:eastAsia="Times New Roman"/>
        </w:rPr>
      </w:pPr>
      <w:r>
        <w:rPr>
          <w:rFonts w:eastAsia="Times New Roman"/>
          <w:color w:val="231F20"/>
          <w:sz w:val="20"/>
          <w:szCs w:val="20"/>
        </w:rPr>
        <w:t>Our second preclinical program is an allosteric agonistic monoclonal antibody against an undisclosed integrin rece</w:t>
      </w:r>
      <w:r>
        <w:rPr>
          <w:rFonts w:eastAsia="Times New Roman"/>
          <w:color w:val="231F20"/>
          <w:sz w:val="20"/>
          <w:szCs w:val="20"/>
        </w:rPr>
        <w:t xml:space="preserve">ptor being developed for treatment of muscular dystrophies, including Duchenne Muscular Dystrophy, or DMD. The target integrin is upregulated on muscle cells across multiple muscular dystrophy indications, acting as a substitute for dystrophin and helping </w:t>
      </w:r>
      <w:r>
        <w:rPr>
          <w:rFonts w:eastAsia="Times New Roman"/>
          <w:color w:val="231F20"/>
          <w:sz w:val="20"/>
          <w:szCs w:val="20"/>
        </w:rPr>
        <w:t>to anchor muscle cells to the extracellular matrix. The program utilizes an allosteric agonistic antibody to activate the target in order to augment the naturally occurring compensatory mechanism. Because the antibody is not mutation specific, it could pot</w:t>
      </w:r>
      <w:r>
        <w:rPr>
          <w:rFonts w:eastAsia="Times New Roman"/>
          <w:color w:val="231F20"/>
          <w:sz w:val="20"/>
          <w:szCs w:val="20"/>
        </w:rPr>
        <w:t xml:space="preserve">entially be effective as a single therapy or in combination with other treatment modalities across multiple muscular dystrophy indications. Our muscular dystrophy candidate is currently undergoing IND enabling studies with submission of an IND application </w:t>
      </w:r>
      <w:r>
        <w:rPr>
          <w:rFonts w:eastAsia="Times New Roman"/>
          <w:color w:val="231F20"/>
          <w:sz w:val="20"/>
          <w:szCs w:val="20"/>
        </w:rPr>
        <w:t>by the end of 2022.</w:t>
      </w:r>
    </w:p>
    <w:p w:rsidR="00000000" w:rsidRDefault="00FD7D3C">
      <w:pPr>
        <w:ind w:firstLine="1080"/>
        <w:divId w:val="1545681124"/>
        <w:rPr>
          <w:rFonts w:eastAsia="Times New Roman"/>
        </w:rPr>
      </w:pPr>
      <w:r>
        <w:rPr>
          <w:rFonts w:eastAsia="Times New Roman"/>
          <w:color w:val="231F20"/>
          <w:sz w:val="20"/>
          <w:szCs w:val="20"/>
        </w:rPr>
        <w:t>We have assembled an executive team with highly relevant experience in fibrosis, small molecule drug discovery and clinical development. Bernard Coulie, M.D., Ph.D., our President and Chief Executive Officer, has over 20 years of experi</w:t>
      </w:r>
      <w:r>
        <w:rPr>
          <w:rFonts w:eastAsia="Times New Roman"/>
          <w:color w:val="231F20"/>
          <w:sz w:val="20"/>
          <w:szCs w:val="20"/>
        </w:rPr>
        <w:t>ence in drug development, previously serving as Chief Executive Officer and Chief Medical Officer of ActoGeniX, as well as holding senior roles at Johnson &amp; Johnson. Éric Lefebvre, M.D., our Chief Medical Officer, brings deep experience in clinical develop</w:t>
      </w:r>
      <w:r>
        <w:rPr>
          <w:rFonts w:eastAsia="Times New Roman"/>
          <w:color w:val="231F20"/>
          <w:sz w:val="20"/>
          <w:szCs w:val="20"/>
        </w:rPr>
        <w:t>ment in liver disease. He previously served as head of clinical research and development for the NASH program at Allergan. Prior to Allergan, Dr. Lefebvre led HIV and HCV development at Janssen and later served as Chief Medical Officer at Tobira. Our scien</w:t>
      </w:r>
      <w:r>
        <w:rPr>
          <w:rFonts w:eastAsia="Times New Roman"/>
          <w:color w:val="231F20"/>
          <w:sz w:val="20"/>
          <w:szCs w:val="20"/>
        </w:rPr>
        <w:t>ce builds on the research of world-renowned researchers Dean Sheppard, M.D., Rik Derynck, Ph.D., Bill DeGrado, Ph.D. and Hal Chapman, M.D., all from the University of California, San Francisco, who bring broad experience in fibrosis biology and small molec</w:t>
      </w:r>
      <w:r>
        <w:rPr>
          <w:rFonts w:eastAsia="Times New Roman"/>
          <w:color w:val="231F20"/>
          <w:sz w:val="20"/>
          <w:szCs w:val="20"/>
        </w:rPr>
        <w:t>ule chemistry among other related disciplines.</w:t>
      </w:r>
    </w:p>
    <w:p w:rsidR="00000000" w:rsidRDefault="00FD7D3C">
      <w:pPr>
        <w:jc w:val="center"/>
        <w:divId w:val="454252013"/>
        <w:rPr>
          <w:rFonts w:eastAsia="Times New Roman"/>
        </w:rPr>
      </w:pPr>
      <w:r>
        <w:rPr>
          <w:rFonts w:eastAsia="Times New Roman"/>
          <w:color w:val="000000"/>
          <w:sz w:val="20"/>
          <w:szCs w:val="20"/>
        </w:rPr>
        <w:t>6</w:t>
      </w:r>
    </w:p>
    <w:p w:rsidR="00000000" w:rsidRDefault="00FD7D3C">
      <w:pPr>
        <w:rPr>
          <w:rFonts w:eastAsia="Times New Roman"/>
        </w:rPr>
      </w:pPr>
      <w:r>
        <w:rPr>
          <w:rFonts w:eastAsia="Times New Roman"/>
        </w:rPr>
        <w:pict>
          <v:rect id="_x0000_i1033" style="width:0;height:1.5pt" o:hralign="center" o:hrstd="t" o:hr="t" fillcolor="#a0a0a0" stroked="f"/>
        </w:pict>
      </w:r>
    </w:p>
    <w:p w:rsidR="00000000" w:rsidRDefault="00FD7D3C">
      <w:pPr>
        <w:divId w:val="864562438"/>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divId w:val="16854704"/>
        <w:rPr>
          <w:rFonts w:eastAsia="Times New Roman"/>
        </w:rPr>
      </w:pPr>
      <w:r>
        <w:rPr>
          <w:rFonts w:eastAsia="Times New Roman"/>
          <w:b/>
          <w:bCs/>
          <w:color w:val="000000"/>
          <w:sz w:val="20"/>
          <w:szCs w:val="20"/>
        </w:rPr>
        <w:t>Our Strategy</w:t>
      </w:r>
    </w:p>
    <w:p w:rsidR="00000000" w:rsidRDefault="00FD7D3C">
      <w:pPr>
        <w:ind w:firstLine="720"/>
        <w:divId w:val="1003775790"/>
        <w:rPr>
          <w:rFonts w:eastAsia="Times New Roman"/>
        </w:rPr>
      </w:pPr>
      <w:r>
        <w:rPr>
          <w:rFonts w:eastAsia="Times New Roman"/>
          <w:color w:val="231F20"/>
          <w:sz w:val="20"/>
          <w:szCs w:val="20"/>
        </w:rPr>
        <w:t>Our goal is to become a world-leading fibrosis company, developing and commercial</w:t>
      </w:r>
      <w:r>
        <w:rPr>
          <w:rFonts w:eastAsia="Times New Roman"/>
          <w:color w:val="231F20"/>
          <w:sz w:val="20"/>
          <w:szCs w:val="20"/>
        </w:rPr>
        <w:t>izing disease- modifying therapies across a spectrum of fibrotic diseases. To achieve this, we are focused on the following key strategies:</w:t>
      </w:r>
    </w:p>
    <w:p w:rsidR="00000000" w:rsidRDefault="00FD7D3C">
      <w:pPr>
        <w:ind w:hanging="1260"/>
        <w:divId w:val="4670503"/>
        <w:rPr>
          <w:rFonts w:eastAsia="Times New Roman"/>
        </w:rPr>
      </w:pPr>
      <w:r>
        <w:rPr>
          <w:rFonts w:eastAsia="Times New Roman"/>
          <w:color w:val="000000"/>
          <w:sz w:val="20"/>
          <w:szCs w:val="20"/>
        </w:rPr>
        <w:t>•</w:t>
      </w:r>
      <w:r>
        <w:rPr>
          <w:rFonts w:eastAsia="Times New Roman"/>
          <w:b/>
          <w:bCs/>
          <w:color w:val="000000"/>
          <w:sz w:val="20"/>
          <w:szCs w:val="20"/>
        </w:rPr>
        <w:t xml:space="preserve">Rapidly advance PLN-74809 through clinical development and commercialization in IPF and PSC. </w:t>
      </w:r>
      <w:r>
        <w:rPr>
          <w:rFonts w:eastAsia="Times New Roman"/>
          <w:color w:val="000000"/>
          <w:sz w:val="20"/>
          <w:szCs w:val="20"/>
        </w:rPr>
        <w:t xml:space="preserve">We are developing our </w:t>
      </w:r>
      <w:r>
        <w:rPr>
          <w:rFonts w:eastAsia="Times New Roman"/>
          <w:color w:val="000000"/>
          <w:sz w:val="20"/>
          <w:szCs w:val="20"/>
        </w:rPr>
        <w:t>lead oral small molecule inhibitor of αvß6 and αvß1 as a novel therapy for IPF and PSC, each an area of high unmet medical need. Both IPF and PSC are orphan indications that we believe we can commercialize on our own in key geographies using targeted sales</w:t>
      </w:r>
      <w:r>
        <w:rPr>
          <w:rFonts w:eastAsia="Times New Roman"/>
          <w:color w:val="000000"/>
          <w:sz w:val="20"/>
          <w:szCs w:val="20"/>
        </w:rPr>
        <w:t xml:space="preserve"> forces.</w:t>
      </w:r>
    </w:p>
    <w:p w:rsidR="00000000" w:rsidRDefault="00FD7D3C">
      <w:pPr>
        <w:ind w:hanging="1260"/>
        <w:divId w:val="958341777"/>
        <w:rPr>
          <w:rFonts w:eastAsia="Times New Roman"/>
        </w:rPr>
      </w:pPr>
      <w:r>
        <w:rPr>
          <w:rFonts w:eastAsia="Times New Roman"/>
          <w:color w:val="000000"/>
          <w:sz w:val="20"/>
          <w:szCs w:val="20"/>
        </w:rPr>
        <w:t>•</w:t>
      </w:r>
      <w:r>
        <w:rPr>
          <w:rFonts w:eastAsia="Times New Roman"/>
          <w:b/>
          <w:bCs/>
          <w:color w:val="000000"/>
          <w:sz w:val="20"/>
          <w:szCs w:val="20"/>
        </w:rPr>
        <w:t xml:space="preserve">Selectively evaluate additional partnerships in indications and geographies where we believe partners can add significant commercial and/or development capabilities. </w:t>
      </w:r>
      <w:r>
        <w:rPr>
          <w:rFonts w:eastAsia="Times New Roman"/>
          <w:color w:val="000000"/>
          <w:sz w:val="20"/>
          <w:szCs w:val="20"/>
        </w:rPr>
        <w:t>Fibrotic diseases represent a broad set of disease indications to pursue. Our fo</w:t>
      </w:r>
      <w:r>
        <w:rPr>
          <w:rFonts w:eastAsia="Times New Roman"/>
          <w:color w:val="000000"/>
          <w:sz w:val="20"/>
          <w:szCs w:val="20"/>
        </w:rPr>
        <w:t>cus is to commercialize our assets in orphan fibrosis indications and to selectively work with partners in larger indications and in geographies outside of North America. Given the size and competitive dynamics of the NASH indication, we believe that our c</w:t>
      </w:r>
      <w:r>
        <w:rPr>
          <w:rFonts w:eastAsia="Times New Roman"/>
          <w:color w:val="000000"/>
          <w:sz w:val="20"/>
          <w:szCs w:val="20"/>
        </w:rPr>
        <w:t>ollaboration with Novartis provides PLN-1474 a strong platform for advancement. Furthermore, we will evaluate and potentially choose to partner our unpartnered product candidates in indications outside of fibrosis.</w:t>
      </w:r>
    </w:p>
    <w:p w:rsidR="00000000" w:rsidRDefault="00FD7D3C">
      <w:pPr>
        <w:ind w:hanging="1260"/>
        <w:divId w:val="814564858"/>
        <w:rPr>
          <w:rFonts w:eastAsia="Times New Roman"/>
        </w:rPr>
      </w:pPr>
      <w:r>
        <w:rPr>
          <w:rFonts w:eastAsia="Times New Roman"/>
          <w:color w:val="000000"/>
          <w:sz w:val="20"/>
          <w:szCs w:val="20"/>
        </w:rPr>
        <w:t>•</w:t>
      </w:r>
      <w:r>
        <w:rPr>
          <w:rFonts w:eastAsia="Times New Roman"/>
          <w:b/>
          <w:bCs/>
          <w:color w:val="000000"/>
          <w:sz w:val="20"/>
          <w:szCs w:val="20"/>
        </w:rPr>
        <w:t>Explore opportunities for our pipeline a</w:t>
      </w:r>
      <w:r>
        <w:rPr>
          <w:rFonts w:eastAsia="Times New Roman"/>
          <w:b/>
          <w:bCs/>
          <w:color w:val="000000"/>
          <w:sz w:val="20"/>
          <w:szCs w:val="20"/>
        </w:rPr>
        <w:t xml:space="preserve">ssets in additional fibrotic indications. </w:t>
      </w:r>
      <w:r>
        <w:rPr>
          <w:rFonts w:eastAsia="Times New Roman"/>
          <w:color w:val="000000"/>
          <w:sz w:val="20"/>
          <w:szCs w:val="20"/>
        </w:rPr>
        <w:t>We are evaluating the potential benefit of our product candidates outside of their lead indications. Our product candidates have shown anti-fibrotic activity in multiple animal models as well as human tissue in ind</w:t>
      </w:r>
      <w:r>
        <w:rPr>
          <w:rFonts w:eastAsia="Times New Roman"/>
          <w:color w:val="000000"/>
          <w:sz w:val="20"/>
          <w:szCs w:val="20"/>
        </w:rPr>
        <w:t>ications outside of IPF, PSC and NASH. We will continue to evaluate additional indications to maximize the potential of our pipeline.</w:t>
      </w:r>
    </w:p>
    <w:p w:rsidR="00000000" w:rsidRDefault="00FD7D3C">
      <w:pPr>
        <w:ind w:hanging="1260"/>
        <w:divId w:val="357510297"/>
        <w:rPr>
          <w:rFonts w:eastAsia="Times New Roman"/>
        </w:rPr>
      </w:pPr>
      <w:r>
        <w:rPr>
          <w:rFonts w:eastAsia="Times New Roman"/>
          <w:color w:val="000000"/>
          <w:sz w:val="20"/>
          <w:szCs w:val="20"/>
        </w:rPr>
        <w:t>•</w:t>
      </w:r>
      <w:r>
        <w:rPr>
          <w:rFonts w:eastAsia="Times New Roman"/>
          <w:b/>
          <w:bCs/>
          <w:color w:val="000000"/>
          <w:sz w:val="20"/>
          <w:szCs w:val="20"/>
        </w:rPr>
        <w:t xml:space="preserve">Leverage our industry leading tools and capabilities to advance our mission of becoming a leading fibrosis company. </w:t>
      </w:r>
      <w:r>
        <w:rPr>
          <w:rFonts w:eastAsia="Times New Roman"/>
          <w:color w:val="000000"/>
          <w:sz w:val="20"/>
          <w:szCs w:val="20"/>
        </w:rPr>
        <w:t>Since</w:t>
      </w:r>
      <w:r>
        <w:rPr>
          <w:rFonts w:eastAsia="Times New Roman"/>
          <w:color w:val="000000"/>
          <w:sz w:val="20"/>
          <w:szCs w:val="20"/>
        </w:rPr>
        <w:t xml:space="preserve"> our founding, we have endeavored to advance the understanding of fibrosis biology, uncover new targets and advance novel product candidates. Currently, our proprietary capabilities include a target expression atlas, an expansive library of over 10,000 int</w:t>
      </w:r>
      <w:r>
        <w:rPr>
          <w:rFonts w:eastAsia="Times New Roman"/>
          <w:color w:val="000000"/>
          <w:sz w:val="20"/>
          <w:szCs w:val="20"/>
        </w:rPr>
        <w:t>egrin binding molecules, an integrin screening assay platform, a live fibrotic human tissue program, a PET-ligand imaging program and biomarker assays. We continue to expand our integrin inhibitor library and develop tools such as additional PET-ligands as</w:t>
      </w:r>
      <w:r>
        <w:rPr>
          <w:rFonts w:eastAsia="Times New Roman"/>
          <w:color w:val="000000"/>
          <w:sz w:val="20"/>
          <w:szCs w:val="20"/>
        </w:rPr>
        <w:t xml:space="preserve"> well as novel disease biomarkers. In addition, we have a library of over 70,000 compounds for non-integrin targets. We intend to leverage these tools and capabilities in a target- and modality-agnostic manner to expand our pipeline with a mission to becom</w:t>
      </w:r>
      <w:r>
        <w:rPr>
          <w:rFonts w:eastAsia="Times New Roman"/>
          <w:color w:val="000000"/>
          <w:sz w:val="20"/>
          <w:szCs w:val="20"/>
        </w:rPr>
        <w:t>e a world-leading fibrosis company.</w:t>
      </w:r>
    </w:p>
    <w:p w:rsidR="00000000" w:rsidRDefault="00FD7D3C">
      <w:pPr>
        <w:divId w:val="226187258"/>
        <w:rPr>
          <w:rFonts w:eastAsia="Times New Roman"/>
        </w:rPr>
      </w:pPr>
      <w:r>
        <w:rPr>
          <w:rFonts w:eastAsia="Times New Roman"/>
          <w:b/>
          <w:bCs/>
          <w:color w:val="000000"/>
          <w:sz w:val="20"/>
          <w:szCs w:val="20"/>
        </w:rPr>
        <w:t>Fibrosis: A Condition of Uncontrolled Scarring</w:t>
      </w:r>
    </w:p>
    <w:p w:rsidR="00000000" w:rsidRDefault="00FD7D3C">
      <w:pPr>
        <w:ind w:firstLine="1080"/>
        <w:divId w:val="851073489"/>
        <w:rPr>
          <w:rFonts w:eastAsia="Times New Roman"/>
        </w:rPr>
      </w:pPr>
      <w:r>
        <w:rPr>
          <w:rFonts w:eastAsia="Times New Roman"/>
          <w:color w:val="000000"/>
          <w:sz w:val="20"/>
          <w:szCs w:val="20"/>
        </w:rPr>
        <w:t>Fibrosis refers to excessive scarring often resulting from aberrant tissue repair processes. In normal tissues, fibrotic pathways represent a repair mechanism by which the t</w:t>
      </w:r>
      <w:r>
        <w:rPr>
          <w:rFonts w:eastAsia="Times New Roman"/>
          <w:color w:val="000000"/>
          <w:sz w:val="20"/>
          <w:szCs w:val="20"/>
        </w:rPr>
        <w:t>issues heal themselves in response to injury or disease. These pathways are normally deactivated upon completion of tissue repair. However, when they become dysregulated and remain activated, excess collagen deposition can cause tissues to thicken and beco</w:t>
      </w:r>
      <w:r>
        <w:rPr>
          <w:rFonts w:eastAsia="Times New Roman"/>
          <w:color w:val="000000"/>
          <w:sz w:val="20"/>
          <w:szCs w:val="20"/>
        </w:rPr>
        <w:t>me stiff, ultimately impairing their physiological function.</w:t>
      </w:r>
    </w:p>
    <w:p w:rsidR="00000000" w:rsidRDefault="00FD7D3C">
      <w:pPr>
        <w:ind w:firstLine="1080"/>
        <w:divId w:val="1478566469"/>
        <w:rPr>
          <w:rFonts w:eastAsia="Times New Roman"/>
        </w:rPr>
      </w:pPr>
      <w:r>
        <w:rPr>
          <w:rFonts w:eastAsia="Times New Roman"/>
          <w:color w:val="000000"/>
          <w:sz w:val="20"/>
          <w:szCs w:val="20"/>
        </w:rPr>
        <w:t>Fibrosis is a disease of connective tissue. Normal connective tissue forms a supportive network between cells, lending structure and integrity to tissues built up of many cell types. Connective t</w:t>
      </w:r>
      <w:r>
        <w:rPr>
          <w:rFonts w:eastAsia="Times New Roman"/>
          <w:color w:val="000000"/>
          <w:sz w:val="20"/>
          <w:szCs w:val="20"/>
        </w:rPr>
        <w:t>issue is composed of collagenous and elastic fibers, as well as a number of supporting cells such as fibroblasts and white blood cells. These supporting cells are embedded in a gel-like matrix made up of proteins known as the extra-cellular matrix. The mos</w:t>
      </w:r>
      <w:r>
        <w:rPr>
          <w:rFonts w:eastAsia="Times New Roman"/>
          <w:color w:val="000000"/>
          <w:sz w:val="20"/>
          <w:szCs w:val="20"/>
        </w:rPr>
        <w:t>t important protein in this matrix is collagen, which takes the form of elongated, fine fibers, providing flexible support to the surrounding cells. In fibrotic tissues, initial insults such as tissue damage or inflammation spur the deposition of excess co</w:t>
      </w:r>
      <w:r>
        <w:rPr>
          <w:rFonts w:eastAsia="Times New Roman"/>
          <w:color w:val="000000"/>
          <w:sz w:val="20"/>
          <w:szCs w:val="20"/>
        </w:rPr>
        <w:t>llagen. Normally such responses are balanced in finely controlled feedback loops, but in fibrotic disease these feedback loops are dysregulated, resulting in progressive scarring, thickening, and loss of function.</w:t>
      </w:r>
    </w:p>
    <w:p w:rsidR="00000000" w:rsidRDefault="00FD7D3C">
      <w:pPr>
        <w:ind w:firstLine="1080"/>
        <w:divId w:val="989559449"/>
        <w:rPr>
          <w:rFonts w:eastAsia="Times New Roman"/>
        </w:rPr>
      </w:pPr>
    </w:p>
    <w:p w:rsidR="00000000" w:rsidRDefault="00FD7D3C">
      <w:pPr>
        <w:jc w:val="center"/>
        <w:divId w:val="1844470455"/>
        <w:rPr>
          <w:rFonts w:eastAsia="Times New Roman"/>
        </w:rPr>
      </w:pPr>
      <w:r>
        <w:rPr>
          <w:rFonts w:eastAsia="Times New Roman"/>
          <w:color w:val="000000"/>
          <w:sz w:val="20"/>
          <w:szCs w:val="20"/>
        </w:rPr>
        <w:t>7</w:t>
      </w:r>
    </w:p>
    <w:p w:rsidR="00000000" w:rsidRDefault="00FD7D3C">
      <w:pPr>
        <w:rPr>
          <w:rFonts w:eastAsia="Times New Roman"/>
        </w:rPr>
      </w:pPr>
      <w:r>
        <w:rPr>
          <w:rFonts w:eastAsia="Times New Roman"/>
        </w:rPr>
        <w:pict>
          <v:rect id="_x0000_i1034" style="width:0;height:1.5pt" o:hralign="center" o:hrstd="t" o:hr="t" fillcolor="#a0a0a0" stroked="f"/>
        </w:pict>
      </w:r>
    </w:p>
    <w:p w:rsidR="00000000" w:rsidRDefault="00FD7D3C">
      <w:pPr>
        <w:divId w:val="7367581"/>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spacing w:before="120"/>
        <w:jc w:val="center"/>
        <w:divId w:val="1804082327"/>
        <w:rPr>
          <w:rFonts w:eastAsia="Times New Roman"/>
        </w:rPr>
      </w:pPr>
      <w:r>
        <w:rPr>
          <w:rFonts w:eastAsia="Times New Roman"/>
          <w:noProof/>
        </w:rPr>
        <w:drawing>
          <wp:inline distT="0" distB="0" distL="0" distR="0">
            <wp:extent cx="304800" cy="3048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FD7D3C">
      <w:pPr>
        <w:ind w:firstLine="1080"/>
        <w:divId w:val="1533836522"/>
        <w:rPr>
          <w:rFonts w:eastAsia="Times New Roman"/>
        </w:rPr>
      </w:pPr>
      <w:r>
        <w:rPr>
          <w:rFonts w:eastAsia="Times New Roman"/>
          <w:color w:val="000000"/>
          <w:sz w:val="20"/>
          <w:szCs w:val="20"/>
        </w:rPr>
        <w:t>Fibrosis occurs in many organ systems throughout the body including the lungs, liver, kidneys, gastrointestina</w:t>
      </w:r>
      <w:r>
        <w:rPr>
          <w:rFonts w:eastAsia="Times New Roman"/>
          <w:color w:val="000000"/>
          <w:sz w:val="20"/>
          <w:szCs w:val="20"/>
        </w:rPr>
        <w:t>l tract, skin, and muscles. While the exact pathologies of diseases in these organs vary, the development of fibrosis involves many common cell types and biochemical pathways, including the TGF-β signaling pathway. The ultimate result is similar across man</w:t>
      </w:r>
      <w:r>
        <w:rPr>
          <w:rFonts w:eastAsia="Times New Roman"/>
          <w:color w:val="000000"/>
          <w:sz w:val="20"/>
          <w:szCs w:val="20"/>
        </w:rPr>
        <w:t>y tissues: secretion and extracellular activation of growth factors that stimulate fibroblasts to secrete excess collagen, leading to runaway growth of scar tissue.</w:t>
      </w:r>
    </w:p>
    <w:p w:rsidR="00000000" w:rsidRDefault="00FD7D3C">
      <w:pPr>
        <w:ind w:firstLine="1080"/>
        <w:divId w:val="1449398681"/>
        <w:rPr>
          <w:rFonts w:eastAsia="Times New Roman"/>
        </w:rPr>
      </w:pPr>
      <w:r>
        <w:rPr>
          <w:rFonts w:eastAsia="Times New Roman"/>
          <w:color w:val="000000"/>
          <w:sz w:val="20"/>
          <w:szCs w:val="20"/>
        </w:rPr>
        <w:t>We believe that selectively inhibiting TGF-β activation holds the key to successfully treat</w:t>
      </w:r>
      <w:r>
        <w:rPr>
          <w:rFonts w:eastAsia="Times New Roman"/>
          <w:color w:val="000000"/>
          <w:sz w:val="20"/>
          <w:szCs w:val="20"/>
        </w:rPr>
        <w:t>ing fibrosis across multiple tissues and organs. TGF-β is secreted by nearly all cells and organs in mammals and stored in large amounts outside of cells, in the extra-cellular matrix, as part of an inactive complex. In healthy tissues, TGF-β is transientl</w:t>
      </w:r>
      <w:r>
        <w:rPr>
          <w:rFonts w:eastAsia="Times New Roman"/>
          <w:color w:val="000000"/>
          <w:sz w:val="20"/>
          <w:szCs w:val="20"/>
        </w:rPr>
        <w:t>y activated in response to tissue injury which initiates a cascade that results in collagen production and, ultimately, healing of the tissue. In fibrosis, however TGF-β signaling becomes dysregulated and perpetuated, with TGF-β being continuously activate</w:t>
      </w:r>
      <w:r>
        <w:rPr>
          <w:rFonts w:eastAsia="Times New Roman"/>
          <w:color w:val="000000"/>
          <w:sz w:val="20"/>
          <w:szCs w:val="20"/>
        </w:rPr>
        <w:t>d, leading to excess collagen deposition in the absence of acute tissue injury. Moreover, induced activation of TGF-β alone in animal models has been shown to be sufficient to induce fibrosis, and inhibition of TGF-β activation has been shown to prevent or</w:t>
      </w:r>
      <w:r>
        <w:rPr>
          <w:rFonts w:eastAsia="Times New Roman"/>
          <w:color w:val="000000"/>
          <w:sz w:val="20"/>
          <w:szCs w:val="20"/>
        </w:rPr>
        <w:t xml:space="preserve"> reduce fibrosis.</w:t>
      </w:r>
    </w:p>
    <w:p w:rsidR="00000000" w:rsidRDefault="00FD7D3C">
      <w:pPr>
        <w:ind w:firstLine="1080"/>
        <w:divId w:val="771242866"/>
        <w:rPr>
          <w:rFonts w:eastAsia="Times New Roman"/>
        </w:rPr>
      </w:pPr>
      <w:r>
        <w:rPr>
          <w:rFonts w:eastAsia="Times New Roman"/>
          <w:color w:val="000000"/>
          <w:sz w:val="20"/>
          <w:szCs w:val="20"/>
        </w:rPr>
        <w:t>TGF-β can be activated in multiple ways in response to specific tissue injury. One important class of cell-surface proteins that activate TGF-β in fibrosis are integrins. Integrins have a variety of functions, including signaling inside t</w:t>
      </w:r>
      <w:r>
        <w:rPr>
          <w:rFonts w:eastAsia="Times New Roman"/>
          <w:color w:val="000000"/>
          <w:sz w:val="20"/>
          <w:szCs w:val="20"/>
        </w:rPr>
        <w:t xml:space="preserve">he cells, providing tissue structure and stability through adhesion between cells. Integrins are heterodimeric proteins, meaning they are composed of two different protein subunits paired together. These are known as α and β subunits. In humans, there are </w:t>
      </w:r>
      <w:r>
        <w:rPr>
          <w:rFonts w:eastAsia="Times New Roman"/>
          <w:color w:val="000000"/>
          <w:sz w:val="20"/>
          <w:szCs w:val="20"/>
        </w:rPr>
        <w:t>eighteen distinct α subunits and eight distinct β subunits, which combine to form 24 known and functional integrin pairs.</w:t>
      </w:r>
    </w:p>
    <w:p w:rsidR="00000000" w:rsidRDefault="00FD7D3C">
      <w:pPr>
        <w:ind w:firstLine="1080"/>
        <w:divId w:val="574507768"/>
        <w:rPr>
          <w:rFonts w:eastAsia="Times New Roman"/>
        </w:rPr>
      </w:pPr>
      <w:r>
        <w:rPr>
          <w:rFonts w:eastAsia="Times New Roman"/>
          <w:color w:val="000000"/>
          <w:sz w:val="20"/>
          <w:szCs w:val="20"/>
        </w:rPr>
        <w:t>Certain integrins bind the inactive TGF-β complex. In response to tissue injury, the cells expressing these integrins are induced to c</w:t>
      </w:r>
      <w:r>
        <w:rPr>
          <w:rFonts w:eastAsia="Times New Roman"/>
          <w:color w:val="000000"/>
          <w:sz w:val="20"/>
          <w:szCs w:val="20"/>
        </w:rPr>
        <w:t xml:space="preserve">ontract, exerting physical force on the bound TGF-β complex. This mechanical force changes the shape of the complex, releasing active TGF-β. This activation triggers a biological cascade which results in collagen production, and when dysregulated leads to </w:t>
      </w:r>
      <w:r>
        <w:rPr>
          <w:rFonts w:eastAsia="Times New Roman"/>
          <w:color w:val="000000"/>
          <w:sz w:val="20"/>
          <w:szCs w:val="20"/>
        </w:rPr>
        <w:t>fibrosis. As depicted in the figure below, this cascade involves (i) binding of active TGF-β to its receptor, the TGF-β type I receptor kinase also known as ALK5; (ii) phosphorylation of immediate downstream signaling proteins known as SMAD2 and SMAD3; (ii</w:t>
      </w:r>
      <w:r>
        <w:rPr>
          <w:rFonts w:eastAsia="Times New Roman"/>
          <w:color w:val="000000"/>
          <w:sz w:val="20"/>
          <w:szCs w:val="20"/>
        </w:rPr>
        <w:t xml:space="preserve">i) formation of a transcription initiation complex by pSMAD2, pSMAD3 and SMAD4; and (iv) subsequent transcription of target genes that encode fibrotic proteins such as collagen. Importantly, whereas certain TGF-β-activating integrins are expressed at very </w:t>
      </w:r>
      <w:r>
        <w:rPr>
          <w:rFonts w:eastAsia="Times New Roman"/>
          <w:color w:val="000000"/>
          <w:sz w:val="20"/>
          <w:szCs w:val="20"/>
        </w:rPr>
        <w:t>low levels in healthy tissues, the TGF-β cascade can lead to the upregulation of these integrins resulting in a TGF-β-driven positive feed-forward loop which further increases TGF-β activation. Furthermore, as fibrosis progresses and the fibrotic organ get</w:t>
      </w:r>
      <w:r>
        <w:rPr>
          <w:rFonts w:eastAsia="Times New Roman"/>
          <w:color w:val="000000"/>
          <w:sz w:val="20"/>
          <w:szCs w:val="20"/>
        </w:rPr>
        <w:t>s stiffer, it becomes progressively easier for contracting cells to activate integrin-bound TGF-β. It is because of this continued, tissue-specific upregulation of integrins and their key roles in continued TGF-β-activation that we believe that integrins p</w:t>
      </w:r>
      <w:r>
        <w:rPr>
          <w:rFonts w:eastAsia="Times New Roman"/>
          <w:color w:val="000000"/>
          <w:sz w:val="20"/>
          <w:szCs w:val="20"/>
        </w:rPr>
        <w:t>rovide an avenue to selectively inhibit TGF-β activation in fibrotic tissue without affecting TGF-β’s important physiological roles in healthy tissues.</w:t>
      </w:r>
    </w:p>
    <w:p w:rsidR="00000000" w:rsidRDefault="00FD7D3C">
      <w:pPr>
        <w:jc w:val="center"/>
        <w:divId w:val="684095407"/>
        <w:rPr>
          <w:rFonts w:eastAsia="Times New Roman"/>
        </w:rPr>
      </w:pPr>
      <w:r>
        <w:rPr>
          <w:rFonts w:eastAsia="Times New Roman"/>
          <w:color w:val="000000"/>
          <w:sz w:val="20"/>
          <w:szCs w:val="20"/>
        </w:rPr>
        <w:t>8</w:t>
      </w:r>
    </w:p>
    <w:p w:rsidR="00000000" w:rsidRDefault="00FD7D3C">
      <w:pPr>
        <w:rPr>
          <w:rFonts w:eastAsia="Times New Roman"/>
        </w:rPr>
      </w:pPr>
      <w:r>
        <w:rPr>
          <w:rFonts w:eastAsia="Times New Roman"/>
        </w:rPr>
        <w:pict>
          <v:rect id="_x0000_i1036" style="width:0;height:1.5pt" o:hralign="center" o:hrstd="t" o:hr="t" fillcolor="#a0a0a0" stroked="f"/>
        </w:pict>
      </w:r>
    </w:p>
    <w:p w:rsidR="00000000" w:rsidRDefault="00FD7D3C">
      <w:pPr>
        <w:divId w:val="1353729813"/>
        <w:rPr>
          <w:rFonts w:eastAsia="Times New Roman"/>
        </w:rPr>
      </w:pPr>
      <w:hyperlink w:anchor="i988625df783e4cc0a27bd76df388da57_7" w:history="1">
        <w:r>
          <w:rPr>
            <w:rStyle w:val="a3"/>
            <w:rFonts w:eastAsia="Times New Roman"/>
            <w:sz w:val="20"/>
            <w:szCs w:val="20"/>
          </w:rPr>
          <w:t>Table of</w:t>
        </w:r>
        <w:r>
          <w:rPr>
            <w:rStyle w:val="a3"/>
            <w:rFonts w:eastAsia="Times New Roman"/>
            <w:sz w:val="20"/>
            <w:szCs w:val="20"/>
          </w:rPr>
          <w:t xml:space="preserve"> Contents</w:t>
        </w:r>
      </w:hyperlink>
    </w:p>
    <w:p w:rsidR="00000000" w:rsidRDefault="00FD7D3C">
      <w:pPr>
        <w:divId w:val="993950391"/>
        <w:rPr>
          <w:rFonts w:eastAsia="Times New Roman"/>
        </w:rPr>
      </w:pPr>
    </w:p>
    <w:p w:rsidR="00000000" w:rsidRDefault="00FD7D3C">
      <w:pPr>
        <w:jc w:val="center"/>
        <w:rPr>
          <w:rFonts w:eastAsia="Times New Roman"/>
        </w:rPr>
      </w:pPr>
      <w:r>
        <w:rPr>
          <w:rFonts w:eastAsia="Times New Roman"/>
          <w:b/>
          <w:bCs/>
          <w:color w:val="000000"/>
          <w:sz w:val="20"/>
          <w:szCs w:val="20"/>
        </w:rPr>
        <w:t>αv</w:t>
      </w:r>
      <w:r>
        <w:rPr>
          <w:rFonts w:eastAsia="Times New Roman"/>
          <w:color w:val="000000"/>
          <w:sz w:val="20"/>
          <w:szCs w:val="20"/>
        </w:rPr>
        <w:t> </w:t>
      </w:r>
      <w:r>
        <w:rPr>
          <w:rFonts w:eastAsia="Times New Roman"/>
          <w:b/>
          <w:bCs/>
          <w:color w:val="000000"/>
          <w:sz w:val="20"/>
          <w:szCs w:val="20"/>
        </w:rPr>
        <w:t>Integrins promote fibrosis through activation of TGF-β</w:t>
      </w:r>
    </w:p>
    <w:p w:rsidR="00000000" w:rsidRDefault="00FD7D3C">
      <w:pPr>
        <w:spacing w:before="200"/>
        <w:jc w:val="center"/>
        <w:divId w:val="1996105301"/>
        <w:rPr>
          <w:rFonts w:eastAsia="Times New Roman"/>
        </w:rPr>
      </w:pPr>
      <w:r>
        <w:rPr>
          <w:rFonts w:eastAsia="Times New Roman"/>
          <w:noProof/>
        </w:rPr>
        <w:drawing>
          <wp:inline distT="0" distB="0" distL="0" distR="0">
            <wp:extent cx="304800" cy="3048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FD7D3C">
      <w:pPr>
        <w:jc w:val="center"/>
        <w:divId w:val="626660540"/>
        <w:rPr>
          <w:rFonts w:eastAsia="Times New Roman"/>
        </w:rPr>
      </w:pPr>
      <w:r>
        <w:rPr>
          <w:rFonts w:eastAsia="Times New Roman"/>
          <w:color w:val="000000"/>
          <w:sz w:val="20"/>
          <w:szCs w:val="20"/>
        </w:rPr>
        <w:t>Model of integrin regulation of TGF-</w:t>
      </w:r>
      <w:r>
        <w:rPr>
          <w:rFonts w:eastAsia="Times New Roman"/>
          <w:color w:val="231F20"/>
          <w:sz w:val="20"/>
          <w:szCs w:val="20"/>
        </w:rPr>
        <w:t>β</w:t>
      </w:r>
      <w:r>
        <w:rPr>
          <w:rFonts w:eastAsia="Times New Roman"/>
          <w:color w:val="000000"/>
          <w:sz w:val="20"/>
          <w:szCs w:val="20"/>
        </w:rPr>
        <w:t xml:space="preserve"> signaling</w:t>
      </w:r>
    </w:p>
    <w:p w:rsidR="00000000" w:rsidRDefault="00FD7D3C">
      <w:pPr>
        <w:ind w:firstLine="1080"/>
        <w:divId w:val="2029477011"/>
        <w:rPr>
          <w:rFonts w:eastAsia="Times New Roman"/>
        </w:rPr>
      </w:pPr>
      <w:r>
        <w:rPr>
          <w:rFonts w:eastAsia="Times New Roman"/>
          <w:b/>
          <w:bCs/>
          <w:i/>
          <w:iCs/>
          <w:color w:val="000000"/>
          <w:sz w:val="20"/>
          <w:szCs w:val="20"/>
        </w:rPr>
        <w:t>Historical Challenges to Drug Development in Fibrosis</w:t>
      </w:r>
    </w:p>
    <w:p w:rsidR="00000000" w:rsidRDefault="00FD7D3C">
      <w:pPr>
        <w:ind w:firstLine="1080"/>
        <w:divId w:val="368918188"/>
        <w:rPr>
          <w:rFonts w:eastAsia="Times New Roman"/>
        </w:rPr>
      </w:pPr>
      <w:r>
        <w:rPr>
          <w:rFonts w:eastAsia="Times New Roman"/>
          <w:color w:val="231F20"/>
          <w:sz w:val="20"/>
          <w:szCs w:val="20"/>
        </w:rPr>
        <w:t>Fibrosis has historically been a difficult therapeutic area to target phar</w:t>
      </w:r>
      <w:r>
        <w:rPr>
          <w:rFonts w:eastAsia="Times New Roman"/>
          <w:color w:val="231F20"/>
          <w:sz w:val="20"/>
          <w:szCs w:val="20"/>
        </w:rPr>
        <w:t>maceutically. The biology and underlying causes of fibrosis are complex and, in many diseases, poorly understood. In the past, many patients with fibrotic disease were treated with anti-inflammatory agents such as steroids. While steroids may have a mild a</w:t>
      </w:r>
      <w:r>
        <w:rPr>
          <w:rFonts w:eastAsia="Times New Roman"/>
          <w:color w:val="231F20"/>
          <w:sz w:val="20"/>
          <w:szCs w:val="20"/>
        </w:rPr>
        <w:t>nti-fibrotic effect in some forms of fibrosis, they can exacerbate others, such as IPF. Additionally, the negative effects of chronic steroid exposure make it difficult to treat patients with these agents for long-term periods.</w:t>
      </w:r>
    </w:p>
    <w:p w:rsidR="00000000" w:rsidRDefault="00FD7D3C">
      <w:pPr>
        <w:ind w:firstLine="1080"/>
        <w:divId w:val="1451390252"/>
        <w:rPr>
          <w:rFonts w:eastAsia="Times New Roman"/>
        </w:rPr>
      </w:pPr>
      <w:r>
        <w:rPr>
          <w:rFonts w:eastAsia="Times New Roman"/>
          <w:color w:val="231F20"/>
          <w:sz w:val="20"/>
          <w:szCs w:val="20"/>
        </w:rPr>
        <w:t>More recently, it has become</w:t>
      </w:r>
      <w:r>
        <w:rPr>
          <w:rFonts w:eastAsia="Times New Roman"/>
          <w:color w:val="231F20"/>
          <w:sz w:val="20"/>
          <w:szCs w:val="20"/>
        </w:rPr>
        <w:t xml:space="preserve"> well understood that regardless of the underlying cause, TGF-β activation is at the heart of several key processes that drive fibrosis, including collagen formation, deposition of extracellular matrix proteins and activation and proliferation of fibroblas</w:t>
      </w:r>
      <w:r>
        <w:rPr>
          <w:rFonts w:eastAsia="Times New Roman"/>
          <w:color w:val="231F20"/>
          <w:sz w:val="20"/>
          <w:szCs w:val="20"/>
        </w:rPr>
        <w:t>t cells. As such, much of the historic drug development efforts to treat fibrosis have been aimed at systemically inhibiting or disrupting the TGF-β signaling pathway by either (i) blocking TGF-β binding to the TGF-β receptors with an antibody or (ii) prev</w:t>
      </w:r>
      <w:r>
        <w:rPr>
          <w:rFonts w:eastAsia="Times New Roman"/>
          <w:color w:val="231F20"/>
          <w:sz w:val="20"/>
          <w:szCs w:val="20"/>
        </w:rPr>
        <w:t>enting the type I TGF-β receptor, also known as ALK5, from activating the SMADs using a small molecule kinase inhibitor. However, because of TGF-β’s role in normal physiology, these approaches cause substantial toxicity and dysregulation of normal function</w:t>
      </w:r>
      <w:r>
        <w:rPr>
          <w:rFonts w:eastAsia="Times New Roman"/>
          <w:color w:val="231F20"/>
          <w:sz w:val="20"/>
          <w:szCs w:val="20"/>
        </w:rPr>
        <w:t>s. For example, documented toxicities that arise from systemic inhibition of TGF-β signaling include cardiac toxicity, inflammation and focal epithelial hyperplasia.</w:t>
      </w:r>
    </w:p>
    <w:p w:rsidR="00000000" w:rsidRDefault="00FD7D3C">
      <w:pPr>
        <w:ind w:firstLine="1080"/>
        <w:divId w:val="870726566"/>
        <w:rPr>
          <w:rFonts w:eastAsia="Times New Roman"/>
        </w:rPr>
      </w:pPr>
      <w:r>
        <w:rPr>
          <w:rFonts w:eastAsia="Times New Roman"/>
          <w:color w:val="231F20"/>
          <w:sz w:val="20"/>
          <w:szCs w:val="20"/>
        </w:rPr>
        <w:t>A potentially safer approach to fibrosis therapy is to inhibit specific pro-fibrotic signa</w:t>
      </w:r>
      <w:r>
        <w:rPr>
          <w:rFonts w:eastAsia="Times New Roman"/>
          <w:color w:val="231F20"/>
          <w:sz w:val="20"/>
          <w:szCs w:val="20"/>
        </w:rPr>
        <w:t>ling molecules, such as connective tissue growth factor and autotaxin, which operate downstream of TGF-β activation, thereby mitigating the tolerability issues associated with systemic TGF-β inhibition. While tolerability has been shown to improve with thi</w:t>
      </w:r>
      <w:r>
        <w:rPr>
          <w:rFonts w:eastAsia="Times New Roman"/>
          <w:color w:val="231F20"/>
          <w:sz w:val="20"/>
          <w:szCs w:val="20"/>
        </w:rPr>
        <w:t>s approach, the efficacy shown to date has been modest, likely because TGF-β activates multiple pro-fibrotic signaling pathways in addition to those targeted by these approaches.</w:t>
      </w:r>
    </w:p>
    <w:p w:rsidR="00000000" w:rsidRDefault="00FD7D3C">
      <w:pPr>
        <w:ind w:firstLine="1080"/>
        <w:divId w:val="1457019810"/>
        <w:rPr>
          <w:rFonts w:eastAsia="Times New Roman"/>
        </w:rPr>
      </w:pPr>
      <w:r>
        <w:rPr>
          <w:rFonts w:eastAsia="Times New Roman"/>
          <w:color w:val="231F20"/>
          <w:sz w:val="20"/>
          <w:szCs w:val="20"/>
        </w:rPr>
        <w:t>Another recent approach is to prevent TGF-β activation by stabilizing TGF-β i</w:t>
      </w:r>
      <w:r>
        <w:rPr>
          <w:rFonts w:eastAsia="Times New Roman"/>
          <w:color w:val="231F20"/>
          <w:sz w:val="20"/>
          <w:szCs w:val="20"/>
        </w:rPr>
        <w:t>n its inactive form. However, it is not known whethe</w:t>
      </w:r>
      <w:r>
        <w:rPr>
          <w:rFonts w:eastAsia="Times New Roman"/>
          <w:color w:val="000000"/>
          <w:sz w:val="20"/>
          <w:szCs w:val="20"/>
        </w:rPr>
        <w:t>r latent TGF-β stabilization can be accomplished in a tissue specific manner.</w:t>
      </w:r>
    </w:p>
    <w:p w:rsidR="00000000" w:rsidRDefault="00FD7D3C">
      <w:pPr>
        <w:ind w:firstLine="1080"/>
        <w:divId w:val="42559011"/>
        <w:rPr>
          <w:rFonts w:eastAsia="Times New Roman"/>
        </w:rPr>
      </w:pPr>
      <w:r>
        <w:rPr>
          <w:rFonts w:eastAsia="Times New Roman"/>
          <w:color w:val="000000"/>
          <w:sz w:val="20"/>
          <w:szCs w:val="20"/>
        </w:rPr>
        <w:t xml:space="preserve">In addition to the historical difficulty in targeting TGF-β, clinical development for the treatment of fibrosis has also been </w:t>
      </w:r>
      <w:r>
        <w:rPr>
          <w:rFonts w:eastAsia="Times New Roman"/>
          <w:color w:val="000000"/>
          <w:sz w:val="20"/>
          <w:szCs w:val="20"/>
        </w:rPr>
        <w:t>limited by the lack of tools to understand this complex multicellular process. Only certain parts of this process can be modeled using cellular assays. More complete representations of fibrosis can be generated in animal models, but these models tend to be</w:t>
      </w:r>
      <w:r>
        <w:rPr>
          <w:rFonts w:eastAsia="Times New Roman"/>
          <w:color w:val="000000"/>
          <w:sz w:val="20"/>
          <w:szCs w:val="20"/>
        </w:rPr>
        <w:t xml:space="preserve"> acute in nature and do not accurately represent disease pathology in humans which, in most cases, develops over decades. </w:t>
      </w:r>
    </w:p>
    <w:p w:rsidR="00000000" w:rsidRDefault="00FD7D3C">
      <w:pPr>
        <w:ind w:firstLine="1080"/>
        <w:divId w:val="1693144593"/>
        <w:rPr>
          <w:rFonts w:eastAsia="Times New Roman"/>
        </w:rPr>
      </w:pPr>
      <w:r>
        <w:rPr>
          <w:rFonts w:eastAsia="Times New Roman"/>
          <w:b/>
          <w:bCs/>
          <w:i/>
          <w:iCs/>
          <w:color w:val="000000"/>
          <w:sz w:val="20"/>
          <w:szCs w:val="20"/>
        </w:rPr>
        <w:t>Integrin Inhibitors as a Potential Treatment for Fibrosis</w:t>
      </w:r>
    </w:p>
    <w:p w:rsidR="00000000" w:rsidRDefault="00FD7D3C">
      <w:pPr>
        <w:ind w:firstLine="1080"/>
        <w:divId w:val="1978025070"/>
        <w:rPr>
          <w:rFonts w:eastAsia="Times New Roman"/>
        </w:rPr>
      </w:pPr>
      <w:r>
        <w:rPr>
          <w:rFonts w:eastAsia="Times New Roman"/>
          <w:color w:val="000000"/>
          <w:sz w:val="20"/>
          <w:szCs w:val="20"/>
        </w:rPr>
        <w:t xml:space="preserve">A targeted approach to fibrosis treatment would be one that inhibits TGF-β </w:t>
      </w:r>
      <w:r>
        <w:rPr>
          <w:rFonts w:eastAsia="Times New Roman"/>
          <w:color w:val="000000"/>
          <w:sz w:val="20"/>
          <w:szCs w:val="20"/>
        </w:rPr>
        <w:t>activation in only those tissues where fibrosis is occurring. One potential way to accomplish this is to inhibit the integrin proteins that are known to be overexpressed in specific fibrotic tissue and cause the abnormal activation of TGF-β. In several for</w:t>
      </w:r>
      <w:r>
        <w:rPr>
          <w:rFonts w:eastAsia="Times New Roman"/>
          <w:color w:val="000000"/>
          <w:sz w:val="20"/>
          <w:szCs w:val="20"/>
        </w:rPr>
        <w:t xml:space="preserve">ms of fibrosis, namely IPF and PSC, TGF-β activating integrins such as αvß6 and αvß1 are over-expressed. These integrins are normally </w:t>
      </w:r>
    </w:p>
    <w:p w:rsidR="00000000" w:rsidRDefault="00FD7D3C">
      <w:pPr>
        <w:jc w:val="center"/>
        <w:divId w:val="1495411316"/>
        <w:rPr>
          <w:rFonts w:eastAsia="Times New Roman"/>
        </w:rPr>
      </w:pPr>
      <w:r>
        <w:rPr>
          <w:rFonts w:eastAsia="Times New Roman"/>
          <w:color w:val="000000"/>
          <w:sz w:val="20"/>
          <w:szCs w:val="20"/>
        </w:rPr>
        <w:t>9</w:t>
      </w:r>
    </w:p>
    <w:p w:rsidR="00000000" w:rsidRDefault="00FD7D3C">
      <w:pPr>
        <w:rPr>
          <w:rFonts w:eastAsia="Times New Roman"/>
        </w:rPr>
      </w:pPr>
      <w:r>
        <w:rPr>
          <w:rFonts w:eastAsia="Times New Roman"/>
        </w:rPr>
        <w:pict>
          <v:rect id="_x0000_i1038" style="width:0;height:1.5pt" o:hralign="center" o:hrstd="t" o:hr="t" fillcolor="#a0a0a0" stroked="f"/>
        </w:pict>
      </w:r>
    </w:p>
    <w:p w:rsidR="00000000" w:rsidRDefault="00FD7D3C">
      <w:pPr>
        <w:divId w:val="890382290"/>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divId w:val="754285640"/>
        <w:rPr>
          <w:rFonts w:eastAsia="Times New Roman"/>
        </w:rPr>
      </w:pPr>
      <w:r>
        <w:rPr>
          <w:rFonts w:eastAsia="Times New Roman"/>
          <w:color w:val="000000"/>
          <w:sz w:val="20"/>
          <w:szCs w:val="20"/>
        </w:rPr>
        <w:t>expres</w:t>
      </w:r>
      <w:r>
        <w:rPr>
          <w:rFonts w:eastAsia="Times New Roman"/>
          <w:color w:val="000000"/>
          <w:sz w:val="20"/>
          <w:szCs w:val="20"/>
        </w:rPr>
        <w:t>sed at low levels in healthy tissue. Therefore, it may be possible to avoid off-target toxicity effects by selectively inhibiting αvß6 and αvß1. By inhibiting fibrosis-specific TGF-β activators such as these specific integrins, it is possible to block abno</w:t>
      </w:r>
      <w:r>
        <w:rPr>
          <w:rFonts w:eastAsia="Times New Roman"/>
          <w:color w:val="000000"/>
          <w:sz w:val="20"/>
          <w:szCs w:val="20"/>
        </w:rPr>
        <w:t>rmal TGF-β activation in the specific tissues where fibrosis occurs, without affecting TGF-β signaling in healthy tissues. However, integrin drug development has historically been challenging due to the difficulty of developing small molecule integrin inhi</w:t>
      </w:r>
      <w:r>
        <w:rPr>
          <w:rFonts w:eastAsia="Times New Roman"/>
          <w:color w:val="000000"/>
          <w:sz w:val="20"/>
          <w:szCs w:val="20"/>
        </w:rPr>
        <w:t xml:space="preserve">bitors that are both selective for specific integrins and bioavailable. </w:t>
      </w:r>
    </w:p>
    <w:p w:rsidR="00000000" w:rsidRDefault="00FD7D3C">
      <w:pPr>
        <w:ind w:firstLine="1080"/>
        <w:divId w:val="2075229917"/>
        <w:rPr>
          <w:rFonts w:eastAsia="Times New Roman"/>
        </w:rPr>
      </w:pPr>
      <w:r>
        <w:rPr>
          <w:rFonts w:eastAsia="Times New Roman"/>
          <w:color w:val="000000"/>
          <w:sz w:val="20"/>
          <w:szCs w:val="20"/>
        </w:rPr>
        <w:t>Utilizing our proprietary discovery and development capabilities, we believe that we have overcome key historical challenges to the development of integrin inhibitors, including poten</w:t>
      </w:r>
      <w:r>
        <w:rPr>
          <w:rFonts w:eastAsia="Times New Roman"/>
          <w:color w:val="000000"/>
          <w:sz w:val="20"/>
          <w:szCs w:val="20"/>
        </w:rPr>
        <w:t>cy, selectivity and bioavailability. We have identified two bioavailable and highly potent and selective integrin inhibitors. Our lead product candidate, PLN-74809, has demonstrated good oral bioavailability with a once daily oral dosing profile in Phase 1</w:t>
      </w:r>
      <w:r>
        <w:rPr>
          <w:rFonts w:eastAsia="Times New Roman"/>
          <w:color w:val="000000"/>
          <w:sz w:val="20"/>
          <w:szCs w:val="20"/>
        </w:rPr>
        <w:t>a trials, and demonstrated target engagement in an interim analysis from our Phase 2a PET ligand trial. We also believe our integrin library, integrin screening assay platform, live fibrotic human tissue program, PET-ligand imaging program and use of novel</w:t>
      </w:r>
      <w:r>
        <w:rPr>
          <w:rFonts w:eastAsia="Times New Roman"/>
          <w:color w:val="000000"/>
          <w:sz w:val="20"/>
          <w:szCs w:val="20"/>
        </w:rPr>
        <w:t xml:space="preserve"> disease biomarkers provide a robust platform to drive future drug discovery and development.</w:t>
      </w:r>
    </w:p>
    <w:p w:rsidR="00000000" w:rsidRDefault="00FD7D3C">
      <w:pPr>
        <w:ind w:firstLine="1120"/>
        <w:divId w:val="36777752"/>
        <w:rPr>
          <w:rFonts w:eastAsia="Times New Roman"/>
        </w:rPr>
      </w:pPr>
      <w:r>
        <w:rPr>
          <w:rFonts w:eastAsia="Times New Roman"/>
          <w:b/>
          <w:bCs/>
          <w:color w:val="000000"/>
          <w:sz w:val="20"/>
          <w:szCs w:val="20"/>
        </w:rPr>
        <w:t>Our Capability and Approach to Fibrosis Drug Discovery and Development</w:t>
      </w:r>
    </w:p>
    <w:p w:rsidR="00000000" w:rsidRDefault="00FD7D3C">
      <w:pPr>
        <w:ind w:firstLine="1080"/>
        <w:divId w:val="1386566414"/>
        <w:rPr>
          <w:rFonts w:eastAsia="Times New Roman"/>
        </w:rPr>
      </w:pPr>
      <w:r>
        <w:rPr>
          <w:rFonts w:eastAsia="Times New Roman"/>
          <w:color w:val="231F20"/>
          <w:sz w:val="20"/>
          <w:szCs w:val="20"/>
        </w:rPr>
        <w:t xml:space="preserve">Our approach to drug development in fibrosis combines our deep knowledge of the biology of fibrosis with various cellular, tissue, and </w:t>
      </w:r>
      <w:r>
        <w:rPr>
          <w:rFonts w:eastAsia="Times New Roman"/>
          <w:i/>
          <w:iCs/>
          <w:color w:val="231F20"/>
          <w:sz w:val="20"/>
          <w:szCs w:val="20"/>
        </w:rPr>
        <w:t xml:space="preserve">in vivo </w:t>
      </w:r>
      <w:r>
        <w:rPr>
          <w:rFonts w:eastAsia="Times New Roman"/>
          <w:color w:val="231F20"/>
          <w:sz w:val="20"/>
          <w:szCs w:val="20"/>
        </w:rPr>
        <w:t>assays developed in house to interrogate the biology of fibrosis and uncover pathways and potential targets. We d</w:t>
      </w:r>
      <w:r>
        <w:rPr>
          <w:rFonts w:eastAsia="Times New Roman"/>
          <w:color w:val="231F20"/>
          <w:sz w:val="20"/>
          <w:szCs w:val="20"/>
        </w:rPr>
        <w:t>eveloped an extensive panel of cell assays, precision cut tissue assays and animal models covering various types of fibrotic diseases. These assays allow us to evaluate target expression in fibrotic tissues as well as the anti-fibrotic activity of our cand</w:t>
      </w:r>
      <w:r>
        <w:rPr>
          <w:rFonts w:eastAsia="Times New Roman"/>
          <w:color w:val="231F20"/>
          <w:sz w:val="20"/>
          <w:szCs w:val="20"/>
        </w:rPr>
        <w:t>idates after treatment and begin to establish proof-of-biological-mechanism in both animal models and human tissue prior to initiating clinical trials. We believe these collective capabilities uniquely allow us to (i) efficiently identify targets, (ii) opt</w:t>
      </w:r>
      <w:r>
        <w:rPr>
          <w:rFonts w:eastAsia="Times New Roman"/>
          <w:color w:val="231F20"/>
          <w:sz w:val="20"/>
          <w:szCs w:val="20"/>
        </w:rPr>
        <w:t>imize the potency and selectivity of candidates and (iii) de-risk product candidates in advance of human proof-of-concept.</w:t>
      </w:r>
    </w:p>
    <w:p w:rsidR="00000000" w:rsidRDefault="00FD7D3C">
      <w:pPr>
        <w:ind w:firstLine="1080"/>
        <w:divId w:val="1503006873"/>
        <w:rPr>
          <w:rFonts w:eastAsia="Times New Roman"/>
        </w:rPr>
      </w:pPr>
      <w:r>
        <w:rPr>
          <w:rFonts w:eastAsia="Times New Roman"/>
          <w:color w:val="231F20"/>
          <w:sz w:val="20"/>
          <w:szCs w:val="20"/>
        </w:rPr>
        <w:t>The first tool we use in our discovery process is our target expression atlas. Utilizing samples from normal and fibrotic human tissu</w:t>
      </w:r>
      <w:r>
        <w:rPr>
          <w:rFonts w:eastAsia="Times New Roman"/>
          <w:color w:val="231F20"/>
          <w:sz w:val="20"/>
          <w:szCs w:val="20"/>
        </w:rPr>
        <w:t>e, we developed a quantitative atlas of gene and protein expression across multiple fibrotic diseases. This database represents a wealth of data that we use to quantify expression of tissue specific targets for potential therapeutics. The atlas is continuo</w:t>
      </w:r>
      <w:r>
        <w:rPr>
          <w:rFonts w:eastAsia="Times New Roman"/>
          <w:color w:val="231F20"/>
          <w:sz w:val="20"/>
          <w:szCs w:val="20"/>
        </w:rPr>
        <w:t xml:space="preserve">usly expanding through acquisition of additional samples as well as additional analyses. </w:t>
      </w:r>
    </w:p>
    <w:p w:rsidR="00000000" w:rsidRDefault="00FD7D3C">
      <w:pPr>
        <w:ind w:firstLine="1080"/>
        <w:divId w:val="1243024388"/>
        <w:rPr>
          <w:rFonts w:eastAsia="Times New Roman"/>
        </w:rPr>
      </w:pPr>
      <w:r>
        <w:rPr>
          <w:rFonts w:eastAsia="Times New Roman"/>
          <w:color w:val="231F20"/>
          <w:sz w:val="20"/>
          <w:szCs w:val="20"/>
        </w:rPr>
        <w:t>The second important tool in our discovery process is our compound library that we screen for activity against targets identified through our target atlas. While we a</w:t>
      </w:r>
      <w:r>
        <w:rPr>
          <w:rFonts w:eastAsia="Times New Roman"/>
          <w:color w:val="231F20"/>
          <w:sz w:val="20"/>
          <w:szCs w:val="20"/>
        </w:rPr>
        <w:t xml:space="preserve">re agnostic to treatment modality, our initial targeted chemistry effort has been focused on integrin inhibitors, and our medicinal chemistry team has developed a proprietary library of over 10,000 integrin binding molecules. The goal of the library is to </w:t>
      </w:r>
      <w:r>
        <w:rPr>
          <w:rFonts w:eastAsia="Times New Roman"/>
          <w:color w:val="231F20"/>
          <w:sz w:val="20"/>
          <w:szCs w:val="20"/>
        </w:rPr>
        <w:t>maximize structural diversity while targeting optimal absorption, distribution, metabolism and excretion, or ADME, properties. We expect that the library will continue to grow as we investigate new structures. We have designed the library based on in silic</w:t>
      </w:r>
      <w:r>
        <w:rPr>
          <w:rFonts w:eastAsia="Times New Roman"/>
          <w:color w:val="231F20"/>
          <w:sz w:val="20"/>
          <w:szCs w:val="20"/>
        </w:rPr>
        <w:t>o known X-ray structures/homology models, structure-activity relationships of structural motifs of known integrin inhibitors, and de novo molecular design. In addition to our proprietary integrin inhibitor library, we have a non-integrin compound library o</w:t>
      </w:r>
      <w:r>
        <w:rPr>
          <w:rFonts w:eastAsia="Times New Roman"/>
          <w:color w:val="231F20"/>
          <w:sz w:val="20"/>
          <w:szCs w:val="20"/>
        </w:rPr>
        <w:t>f over 70,000 compounds that we screen against non-integrin targets.</w:t>
      </w:r>
    </w:p>
    <w:p w:rsidR="00000000" w:rsidRDefault="00FD7D3C">
      <w:pPr>
        <w:ind w:firstLine="1080"/>
        <w:divId w:val="2074424173"/>
        <w:rPr>
          <w:rFonts w:eastAsia="Times New Roman"/>
        </w:rPr>
      </w:pPr>
      <w:r>
        <w:rPr>
          <w:rFonts w:eastAsia="Times New Roman"/>
          <w:color w:val="231F20"/>
          <w:sz w:val="20"/>
          <w:szCs w:val="20"/>
        </w:rPr>
        <w:t xml:space="preserve">Once we have identified a potential target through our target expression atlas, we screen our library of compounds against the target. We have developed screening assays for all 24 known </w:t>
      </w:r>
      <w:r>
        <w:rPr>
          <w:rFonts w:eastAsia="Times New Roman"/>
          <w:color w:val="231F20"/>
          <w:sz w:val="20"/>
          <w:szCs w:val="20"/>
        </w:rPr>
        <w:t>integrins and use these assays to evaluate the potency and selectivity of binding for our potential drug candidates prior to preclinical studies. Given the selectivity and potency challenges that have hampered integrin drug development, we believe our inte</w:t>
      </w:r>
      <w:r>
        <w:rPr>
          <w:rFonts w:eastAsia="Times New Roman"/>
          <w:color w:val="231F20"/>
          <w:sz w:val="20"/>
          <w:szCs w:val="20"/>
        </w:rPr>
        <w:t>grin assay panel represents a major step forward in integrin-based drug development.</w:t>
      </w:r>
    </w:p>
    <w:p w:rsidR="00000000" w:rsidRDefault="00FD7D3C">
      <w:pPr>
        <w:ind w:firstLine="1080"/>
        <w:divId w:val="48892745"/>
        <w:rPr>
          <w:rFonts w:eastAsia="Times New Roman"/>
        </w:rPr>
      </w:pPr>
      <w:r>
        <w:rPr>
          <w:rFonts w:eastAsia="Times New Roman"/>
          <w:color w:val="231F20"/>
          <w:sz w:val="20"/>
          <w:szCs w:val="20"/>
        </w:rPr>
        <w:t>We believe a key advantage of our development strategy is our ability to test our product candidates in live human fibrotic tissue, which helps us to bridge the gap betwee</w:t>
      </w:r>
      <w:r>
        <w:rPr>
          <w:rFonts w:eastAsia="Times New Roman"/>
          <w:color w:val="231F20"/>
          <w:sz w:val="20"/>
          <w:szCs w:val="20"/>
        </w:rPr>
        <w:t>n animal models and clinical proof-of-concept. We have developed proprietary protocols that extend the viability of live human explant tissue samples which allow us to reproducibly perform multiday experiments. Our access to these live tissue samples allow</w:t>
      </w:r>
      <w:r>
        <w:rPr>
          <w:rFonts w:eastAsia="Times New Roman"/>
          <w:color w:val="231F20"/>
          <w:sz w:val="20"/>
          <w:szCs w:val="20"/>
        </w:rPr>
        <w:t>s us to evaluate the effects of our product candidates on multiple markers of anti-fibrotic activity. The data from these experiments increase our confidence that the tested product candidates will show anti-fibrotic effects in patients. In this way, our h</w:t>
      </w:r>
      <w:r>
        <w:rPr>
          <w:rFonts w:eastAsia="Times New Roman"/>
          <w:color w:val="231F20"/>
          <w:sz w:val="20"/>
          <w:szCs w:val="20"/>
        </w:rPr>
        <w:t>uman tissue program serves to further de-risk product candidates and increase their likelihood of success in the clinic.</w:t>
      </w:r>
    </w:p>
    <w:p w:rsidR="00000000" w:rsidRDefault="00FD7D3C">
      <w:pPr>
        <w:ind w:firstLine="1080"/>
        <w:divId w:val="2110811157"/>
        <w:rPr>
          <w:rFonts w:eastAsia="Times New Roman"/>
        </w:rPr>
      </w:pPr>
      <w:r>
        <w:rPr>
          <w:rFonts w:eastAsia="Times New Roman"/>
          <w:color w:val="231F20"/>
          <w:sz w:val="20"/>
          <w:szCs w:val="20"/>
        </w:rPr>
        <w:t>Once in clinical development, we seek to further de-risk our programs by designing clinical trials that allow us to show proof-of-mecha</w:t>
      </w:r>
      <w:r>
        <w:rPr>
          <w:rFonts w:eastAsia="Times New Roman"/>
          <w:color w:val="231F20"/>
          <w:sz w:val="20"/>
          <w:szCs w:val="20"/>
        </w:rPr>
        <w:t>nism in advance of clinical efficacy data. Because fibrosis is a chronic disease, proof-of-efficacy in human trials is expensive and takes relatively large patient numbers and years to demonstrate statistically relevant safety and efficacy data. We utilize</w:t>
      </w:r>
      <w:r>
        <w:rPr>
          <w:rFonts w:eastAsia="Times New Roman"/>
          <w:color w:val="231F20"/>
          <w:sz w:val="20"/>
          <w:szCs w:val="20"/>
        </w:rPr>
        <w:t xml:space="preserve"> pharmacodynamic biomarkers and advanced imaging techniques, including PET, to evaluate target engagement by our product candidates over relatively short time periods and observe whether the product candidate is having the anticipated effect. We believe ob</w:t>
      </w:r>
      <w:r>
        <w:rPr>
          <w:rFonts w:eastAsia="Times New Roman"/>
          <w:color w:val="231F20"/>
          <w:sz w:val="20"/>
          <w:szCs w:val="20"/>
        </w:rPr>
        <w:t>taining these clinical data points in an efficient manner allows us to optimize our clinical development strategy and resource allocation.</w:t>
      </w:r>
    </w:p>
    <w:p w:rsidR="00000000" w:rsidRDefault="00FD7D3C">
      <w:pPr>
        <w:jc w:val="center"/>
        <w:divId w:val="158470931"/>
        <w:rPr>
          <w:rFonts w:eastAsia="Times New Roman"/>
        </w:rPr>
      </w:pPr>
      <w:r>
        <w:rPr>
          <w:rFonts w:eastAsia="Times New Roman"/>
          <w:color w:val="000000"/>
          <w:sz w:val="20"/>
          <w:szCs w:val="20"/>
        </w:rPr>
        <w:t>10</w:t>
      </w:r>
    </w:p>
    <w:p w:rsidR="00000000" w:rsidRDefault="00FD7D3C">
      <w:pPr>
        <w:rPr>
          <w:rFonts w:eastAsia="Times New Roman"/>
        </w:rPr>
      </w:pPr>
      <w:r>
        <w:rPr>
          <w:rFonts w:eastAsia="Times New Roman"/>
        </w:rPr>
        <w:pict>
          <v:rect id="_x0000_i1039" style="width:0;height:1.5pt" o:hralign="center" o:hrstd="t" o:hr="t" fillcolor="#a0a0a0" stroked="f"/>
        </w:pict>
      </w:r>
    </w:p>
    <w:p w:rsidR="00000000" w:rsidRDefault="00FD7D3C">
      <w:pPr>
        <w:divId w:val="437916073"/>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ind w:firstLine="1080"/>
        <w:divId w:val="52848795"/>
        <w:rPr>
          <w:rFonts w:eastAsia="Times New Roman"/>
        </w:rPr>
      </w:pPr>
      <w:r>
        <w:rPr>
          <w:rFonts w:eastAsia="Times New Roman"/>
          <w:color w:val="231F20"/>
          <w:sz w:val="20"/>
          <w:szCs w:val="20"/>
        </w:rPr>
        <w:t>We</w:t>
      </w:r>
      <w:r>
        <w:rPr>
          <w:rFonts w:eastAsia="Times New Roman"/>
          <w:color w:val="231F20"/>
          <w:sz w:val="20"/>
          <w:szCs w:val="20"/>
        </w:rPr>
        <w:t xml:space="preserve"> and our partners also proactively conduct observational, natural history trials in target diseases to better understand disease pathophysiology and progression and develop new molecular biomarkers. Through these trials, we have gone on to develop patient </w:t>
      </w:r>
      <w:r>
        <w:rPr>
          <w:rFonts w:eastAsia="Times New Roman"/>
          <w:color w:val="231F20"/>
          <w:sz w:val="20"/>
          <w:szCs w:val="20"/>
        </w:rPr>
        <w:t>registries and establish relationships with clinicians at leading medical research institutions dedicated to bringing novel fibrosis therapies to their patients.</w:t>
      </w:r>
    </w:p>
    <w:p w:rsidR="00000000" w:rsidRDefault="00FD7D3C">
      <w:pPr>
        <w:ind w:firstLine="1080"/>
        <w:divId w:val="542403386"/>
        <w:rPr>
          <w:rFonts w:eastAsia="Times New Roman"/>
        </w:rPr>
      </w:pPr>
      <w:r>
        <w:rPr>
          <w:rFonts w:eastAsia="Times New Roman"/>
          <w:color w:val="231F20"/>
          <w:sz w:val="20"/>
          <w:szCs w:val="20"/>
        </w:rPr>
        <w:t>We are developing an extensive biomarker discovery and validation program. We are seeking to d</w:t>
      </w:r>
      <w:r>
        <w:rPr>
          <w:rFonts w:eastAsia="Times New Roman"/>
          <w:color w:val="231F20"/>
          <w:sz w:val="20"/>
          <w:szCs w:val="20"/>
        </w:rPr>
        <w:t>evelop biomarkers to (i) identify patients at high risk of rapid disease progression, (ii) identify patients more likely to respond to treatment and (iii) monitor early treatment responses. We are conducting clinical studies and other research with leading</w:t>
      </w:r>
      <w:r>
        <w:rPr>
          <w:rFonts w:eastAsia="Times New Roman"/>
          <w:color w:val="231F20"/>
          <w:sz w:val="20"/>
          <w:szCs w:val="20"/>
        </w:rPr>
        <w:t xml:space="preserve"> academic centers to track disease progression and collect biological samples such as blood, urine, and tissue biopsies which we can use to discover and validate novel biomarkers.</w:t>
      </w:r>
    </w:p>
    <w:p w:rsidR="00000000" w:rsidRDefault="00FD7D3C">
      <w:pPr>
        <w:spacing w:before="120"/>
        <w:divId w:val="991642649"/>
        <w:rPr>
          <w:rFonts w:eastAsia="Times New Roman"/>
        </w:rPr>
      </w:pPr>
      <w:r>
        <w:rPr>
          <w:rFonts w:eastAsia="Times New Roman"/>
          <w:noProof/>
        </w:rPr>
        <w:drawing>
          <wp:inline distT="0" distB="0" distL="0" distR="0">
            <wp:extent cx="304800" cy="3048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FD7D3C">
      <w:pPr>
        <w:ind w:firstLine="1080"/>
        <w:divId w:val="404452415"/>
        <w:rPr>
          <w:rFonts w:eastAsia="Times New Roman"/>
        </w:rPr>
      </w:pPr>
      <w:r>
        <w:rPr>
          <w:rFonts w:eastAsia="Times New Roman"/>
          <w:b/>
          <w:bCs/>
          <w:i/>
          <w:iCs/>
          <w:color w:val="000000"/>
          <w:sz w:val="20"/>
          <w:szCs w:val="20"/>
        </w:rPr>
        <w:t>Our Systematic Approach to Identifying and Targeting Integrins in Fibrosis</w:t>
      </w:r>
    </w:p>
    <w:p w:rsidR="00000000" w:rsidRDefault="00FD7D3C">
      <w:pPr>
        <w:ind w:firstLine="1080"/>
        <w:divId w:val="1325205184"/>
        <w:rPr>
          <w:rFonts w:eastAsia="Times New Roman"/>
        </w:rPr>
      </w:pPr>
      <w:r>
        <w:rPr>
          <w:rFonts w:eastAsia="Times New Roman"/>
          <w:color w:val="231F20"/>
          <w:sz w:val="20"/>
          <w:szCs w:val="20"/>
        </w:rPr>
        <w:t xml:space="preserve">Selective inhibition of TGF-β </w:t>
      </w:r>
      <w:r>
        <w:rPr>
          <w:rFonts w:eastAsia="Times New Roman"/>
          <w:color w:val="231F20"/>
          <w:sz w:val="20"/>
          <w:szCs w:val="20"/>
        </w:rPr>
        <w:t xml:space="preserve">activation in fibrotic tissues could potentially be the safest and most effective approach to treating fibrosis. One way to accomplish this is to inhibit the integrin receptors that drive excessive activation of TGF-β. Given the importance of integrins in </w:t>
      </w:r>
      <w:r>
        <w:rPr>
          <w:rFonts w:eastAsia="Times New Roman"/>
          <w:color w:val="231F20"/>
          <w:sz w:val="20"/>
          <w:szCs w:val="20"/>
        </w:rPr>
        <w:t>regulating the initial steps in fibrosis, we have focused our initial drug discovery efforts on a dual approach. This approach includes both biological profiling to identify which integrins are important in various diseased tissues and chemical profiling o</w:t>
      </w:r>
      <w:r>
        <w:rPr>
          <w:rFonts w:eastAsia="Times New Roman"/>
          <w:color w:val="231F20"/>
          <w:sz w:val="20"/>
          <w:szCs w:val="20"/>
        </w:rPr>
        <w:t xml:space="preserve">f libraries containing proprietary integrin inhibitors to help determine their selectivity and potency for individual integrins. </w:t>
      </w:r>
    </w:p>
    <w:p w:rsidR="00000000" w:rsidRDefault="00FD7D3C">
      <w:pPr>
        <w:ind w:firstLine="1080"/>
        <w:divId w:val="1804346995"/>
        <w:rPr>
          <w:rFonts w:eastAsia="Times New Roman"/>
        </w:rPr>
      </w:pPr>
      <w:r>
        <w:rPr>
          <w:rFonts w:eastAsia="Times New Roman"/>
          <w:color w:val="231F20"/>
          <w:sz w:val="20"/>
          <w:szCs w:val="20"/>
        </w:rPr>
        <w:t>Utilizing our extensive in-house medicinal chemistry expertise, we have created a library of over 10,000 integrin binding mole</w:t>
      </w:r>
      <w:r>
        <w:rPr>
          <w:rFonts w:eastAsia="Times New Roman"/>
          <w:color w:val="231F20"/>
          <w:sz w:val="20"/>
          <w:szCs w:val="20"/>
        </w:rPr>
        <w:t>cules. We screen this library against the integrin targets that we identify through our expression atlas and or biological profiling process. To our knowledge, this type of industrial-scale, systematic biological and chemical profiling, seeking selective i</w:t>
      </w:r>
      <w:r>
        <w:rPr>
          <w:rFonts w:eastAsia="Times New Roman"/>
          <w:color w:val="231F20"/>
          <w:sz w:val="20"/>
          <w:szCs w:val="20"/>
        </w:rPr>
        <w:t xml:space="preserve">nhibitors of one or more integrins, has not previously been carried out. </w:t>
      </w:r>
    </w:p>
    <w:p w:rsidR="00000000" w:rsidRDefault="00FD7D3C">
      <w:pPr>
        <w:ind w:firstLine="1080"/>
        <w:divId w:val="371268704"/>
        <w:rPr>
          <w:rFonts w:eastAsia="Times New Roman"/>
        </w:rPr>
      </w:pPr>
      <w:r>
        <w:rPr>
          <w:rFonts w:eastAsia="Times New Roman"/>
          <w:color w:val="231F20"/>
          <w:sz w:val="20"/>
          <w:szCs w:val="20"/>
        </w:rPr>
        <w:t xml:space="preserve">Central to our integrin inhibitor discovery process are our integrin assay panels. A key challenge in integrin inhibition, historically, has been selectivity for specific integrins. </w:t>
      </w:r>
      <w:r>
        <w:rPr>
          <w:rFonts w:eastAsia="Times New Roman"/>
          <w:color w:val="231F20"/>
          <w:sz w:val="20"/>
          <w:szCs w:val="20"/>
        </w:rPr>
        <w:t>To address this challenge, we have developed assays against all known integrins. We use these screening assays to measure potency and selectivity of potential candidates against these integrins. This allows us to quickly optimize the integrin binding profi</w:t>
      </w:r>
      <w:r>
        <w:rPr>
          <w:rFonts w:eastAsia="Times New Roman"/>
          <w:color w:val="231F20"/>
          <w:sz w:val="20"/>
          <w:szCs w:val="20"/>
        </w:rPr>
        <w:t xml:space="preserve">les of potential development candidates in an iterative process. </w:t>
      </w:r>
    </w:p>
    <w:p w:rsidR="00000000" w:rsidRDefault="00FD7D3C">
      <w:pPr>
        <w:ind w:firstLine="1080"/>
        <w:divId w:val="383722941"/>
        <w:rPr>
          <w:rFonts w:eastAsia="Times New Roman"/>
        </w:rPr>
      </w:pPr>
      <w:r>
        <w:rPr>
          <w:rFonts w:eastAsia="Times New Roman"/>
          <w:color w:val="231F20"/>
          <w:sz w:val="20"/>
          <w:szCs w:val="20"/>
        </w:rPr>
        <w:t>In addition to our deep understanding of integrin biology, we have gained significant insight in structure-activity relationships that determine integrin selectivity and optimal pharmacokine</w:t>
      </w:r>
      <w:r>
        <w:rPr>
          <w:rFonts w:eastAsia="Times New Roman"/>
          <w:color w:val="231F20"/>
          <w:sz w:val="20"/>
          <w:szCs w:val="20"/>
        </w:rPr>
        <w:t xml:space="preserve">tic, or PK, profiles. Utilizing this knowledge, we are now able to precisely engineer bioavailable integrin inhibitors with high potency and desired selectivity. </w:t>
      </w:r>
    </w:p>
    <w:p w:rsidR="00000000" w:rsidRDefault="00FD7D3C">
      <w:pPr>
        <w:ind w:firstLine="1080"/>
        <w:divId w:val="1590844649"/>
        <w:rPr>
          <w:rFonts w:eastAsia="Times New Roman"/>
        </w:rPr>
      </w:pPr>
      <w:r>
        <w:rPr>
          <w:rFonts w:eastAsia="Times New Roman"/>
          <w:color w:val="231F20"/>
          <w:sz w:val="20"/>
          <w:szCs w:val="20"/>
        </w:rPr>
        <w:t>Our integrin inhibitor profiling capability has enabled us to quickly identify inhibitors tha</w:t>
      </w:r>
      <w:r>
        <w:rPr>
          <w:rFonts w:eastAsia="Times New Roman"/>
          <w:color w:val="231F20"/>
          <w:sz w:val="20"/>
          <w:szCs w:val="20"/>
        </w:rPr>
        <w:t>t target individual integrins such as PLN-1474, which selectively inhibits αvß1, as well as dual inhibitors such PLN-74809 which selectively targets both αvß6 and αvß1. Combining the data from our biological profiling and chemical profiling sets has enable</w:t>
      </w:r>
      <w:r>
        <w:rPr>
          <w:rFonts w:eastAsia="Times New Roman"/>
          <w:color w:val="231F20"/>
          <w:sz w:val="20"/>
          <w:szCs w:val="20"/>
        </w:rPr>
        <w:t>d us to identify compounds that we believe have the highest potential for therapeutic activity in specific fibrotic diseases. Our iterative drug discovery effort focuses on drug-like properties of compounds early in the testing process. Compounds are scree</w:t>
      </w:r>
      <w:r>
        <w:rPr>
          <w:rFonts w:eastAsia="Times New Roman"/>
          <w:color w:val="231F20"/>
          <w:sz w:val="20"/>
          <w:szCs w:val="20"/>
        </w:rPr>
        <w:t xml:space="preserve">ned for </w:t>
      </w:r>
      <w:r>
        <w:rPr>
          <w:rFonts w:eastAsia="Times New Roman"/>
          <w:i/>
          <w:iCs/>
          <w:color w:val="231F20"/>
          <w:sz w:val="20"/>
          <w:szCs w:val="20"/>
        </w:rPr>
        <w:t xml:space="preserve">in vitro </w:t>
      </w:r>
      <w:r>
        <w:rPr>
          <w:rFonts w:eastAsia="Times New Roman"/>
          <w:color w:val="231F20"/>
          <w:sz w:val="20"/>
          <w:szCs w:val="20"/>
        </w:rPr>
        <w:t xml:space="preserve">potency/selectivity and ADME/PK properties. This enables us to move from compound optimization to </w:t>
      </w:r>
      <w:r>
        <w:rPr>
          <w:rFonts w:eastAsia="Times New Roman"/>
          <w:i/>
          <w:iCs/>
          <w:color w:val="231F20"/>
          <w:sz w:val="20"/>
          <w:szCs w:val="20"/>
        </w:rPr>
        <w:t xml:space="preserve">in vivo </w:t>
      </w:r>
      <w:r>
        <w:rPr>
          <w:rFonts w:eastAsia="Times New Roman"/>
          <w:color w:val="231F20"/>
          <w:sz w:val="20"/>
          <w:szCs w:val="20"/>
        </w:rPr>
        <w:t xml:space="preserve">testing in a matter of months. </w:t>
      </w:r>
    </w:p>
    <w:p w:rsidR="00000000" w:rsidRDefault="00FD7D3C">
      <w:pPr>
        <w:ind w:firstLine="1080"/>
        <w:divId w:val="1865365979"/>
        <w:rPr>
          <w:rFonts w:eastAsia="Times New Roman"/>
        </w:rPr>
      </w:pPr>
      <w:r>
        <w:rPr>
          <w:rFonts w:eastAsia="Times New Roman"/>
          <w:color w:val="231F20"/>
          <w:sz w:val="20"/>
          <w:szCs w:val="20"/>
        </w:rPr>
        <w:t>We continue to evaluate our broad proprietary library of integrin binding compounds to identify addit</w:t>
      </w:r>
      <w:r>
        <w:rPr>
          <w:rFonts w:eastAsia="Times New Roman"/>
          <w:color w:val="231F20"/>
          <w:sz w:val="20"/>
          <w:szCs w:val="20"/>
        </w:rPr>
        <w:t xml:space="preserve">ional product candidates to treat fibrotic diseases. Furthermore, our approach allows us to use our discovery and development capabilities to develop non-integrin therapeutic modalities to treat fibrotic diseases. Our rich library also provides a deep </w:t>
      </w:r>
    </w:p>
    <w:p w:rsidR="00000000" w:rsidRDefault="00FD7D3C">
      <w:pPr>
        <w:jc w:val="center"/>
        <w:divId w:val="252129752"/>
        <w:rPr>
          <w:rFonts w:eastAsia="Times New Roman"/>
        </w:rPr>
      </w:pPr>
      <w:r>
        <w:rPr>
          <w:rFonts w:eastAsia="Times New Roman"/>
          <w:color w:val="000000"/>
          <w:sz w:val="20"/>
          <w:szCs w:val="20"/>
        </w:rPr>
        <w:t>11</w:t>
      </w:r>
    </w:p>
    <w:p w:rsidR="00000000" w:rsidRDefault="00FD7D3C">
      <w:pPr>
        <w:rPr>
          <w:rFonts w:eastAsia="Times New Roman"/>
        </w:rPr>
      </w:pPr>
      <w:r>
        <w:rPr>
          <w:rFonts w:eastAsia="Times New Roman"/>
        </w:rPr>
        <w:pict>
          <v:rect id="_x0000_i1041" style="width:0;height:1.5pt" o:hralign="center" o:hrstd="t" o:hr="t" fillcolor="#a0a0a0" stroked="f"/>
        </w:pict>
      </w:r>
    </w:p>
    <w:p w:rsidR="00000000" w:rsidRDefault="00FD7D3C">
      <w:pPr>
        <w:divId w:val="1637100409"/>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divId w:val="2102753870"/>
        <w:rPr>
          <w:rFonts w:eastAsia="Times New Roman"/>
        </w:rPr>
      </w:pPr>
      <w:r>
        <w:rPr>
          <w:rFonts w:eastAsia="Times New Roman"/>
          <w:color w:val="231F20"/>
          <w:sz w:val="20"/>
          <w:szCs w:val="20"/>
        </w:rPr>
        <w:t>series of potential backup molecules with structurally unique chemotypes that we believe can enhance the probability of clinical success.</w:t>
      </w:r>
    </w:p>
    <w:p w:rsidR="00000000" w:rsidRDefault="00FD7D3C">
      <w:pPr>
        <w:ind w:firstLine="1080"/>
        <w:divId w:val="1047754733"/>
        <w:rPr>
          <w:rFonts w:eastAsia="Times New Roman"/>
        </w:rPr>
      </w:pPr>
      <w:r>
        <w:rPr>
          <w:rFonts w:eastAsia="Times New Roman"/>
          <w:color w:val="231F20"/>
          <w:sz w:val="20"/>
          <w:szCs w:val="20"/>
        </w:rPr>
        <w:t>As wit</w:t>
      </w:r>
      <w:r>
        <w:rPr>
          <w:rFonts w:eastAsia="Times New Roman"/>
          <w:color w:val="231F20"/>
          <w:sz w:val="20"/>
          <w:szCs w:val="20"/>
        </w:rPr>
        <w:t>h all development efforts, a key approach to preclinically de-risking our integrin inhibitor candidates is evaluation of candidates in live human fibrotic tissue obtained following transplant procedures. The ability to observe effects of our product candid</w:t>
      </w:r>
      <w:r>
        <w:rPr>
          <w:rFonts w:eastAsia="Times New Roman"/>
          <w:color w:val="231F20"/>
          <w:sz w:val="20"/>
          <w:szCs w:val="20"/>
        </w:rPr>
        <w:t xml:space="preserve">ates on gene expression in human tissues prior to entering the clinic provides a bridge from animal models to clinical proof-of-concept and helps give us additional confidence as we move toward human trials. </w:t>
      </w:r>
    </w:p>
    <w:p w:rsidR="00000000" w:rsidRDefault="00FD7D3C">
      <w:pPr>
        <w:ind w:firstLine="1080"/>
        <w:divId w:val="1557203312"/>
        <w:rPr>
          <w:rFonts w:eastAsia="Times New Roman"/>
        </w:rPr>
      </w:pPr>
      <w:r>
        <w:rPr>
          <w:rFonts w:eastAsia="Times New Roman"/>
          <w:color w:val="231F20"/>
          <w:sz w:val="20"/>
          <w:szCs w:val="20"/>
        </w:rPr>
        <w:t>As fibrosis is a chronic disease, proof-of-effi</w:t>
      </w:r>
      <w:r>
        <w:rPr>
          <w:rFonts w:eastAsia="Times New Roman"/>
          <w:color w:val="231F20"/>
          <w:sz w:val="20"/>
          <w:szCs w:val="20"/>
        </w:rPr>
        <w:t xml:space="preserve">cacy in human trials is expensive and takes years to complete. We utilize pharmacodynamic biomarkers and advanced imaging techniques, including PET, to evaluate target engagement by our product candidates over relatively short time periods and de-risk our </w:t>
      </w:r>
      <w:r>
        <w:rPr>
          <w:rFonts w:eastAsia="Times New Roman"/>
          <w:color w:val="231F20"/>
          <w:sz w:val="20"/>
          <w:szCs w:val="20"/>
        </w:rPr>
        <w:t xml:space="preserve">programs by designing clinical trials that allow us to show proof-of-mechanism in advance of clinical efficacy data. </w:t>
      </w:r>
    </w:p>
    <w:p w:rsidR="00000000" w:rsidRDefault="00FD7D3C">
      <w:pPr>
        <w:ind w:firstLine="1080"/>
        <w:divId w:val="170803215"/>
        <w:rPr>
          <w:rFonts w:eastAsia="Times New Roman"/>
        </w:rPr>
      </w:pPr>
      <w:r>
        <w:rPr>
          <w:rFonts w:eastAsia="Times New Roman"/>
          <w:color w:val="231F20"/>
          <w:sz w:val="20"/>
          <w:szCs w:val="20"/>
        </w:rPr>
        <w:t>We are using αvß6 PET ligand imaging technology in our ongoing Phase 2a PLN-74809 trial to evaluate the level of αvß6 expression in the lu</w:t>
      </w:r>
      <w:r>
        <w:rPr>
          <w:rFonts w:eastAsia="Times New Roman"/>
          <w:color w:val="231F20"/>
          <w:sz w:val="20"/>
          <w:szCs w:val="20"/>
        </w:rPr>
        <w:t>ngs of IPF patients, as well as to measure our product candidate’s ability to bind αvß6. In September 2021, we released positive interim data from this ongoing trial demonstrating PLN-74809’s ability to penetrate highly fibrotic lung tissue and bind to αvß</w:t>
      </w:r>
      <w:r>
        <w:rPr>
          <w:rFonts w:eastAsia="Times New Roman"/>
          <w:color w:val="231F20"/>
          <w:sz w:val="20"/>
          <w:szCs w:val="20"/>
        </w:rPr>
        <w:t xml:space="preserve">6. </w:t>
      </w:r>
    </w:p>
    <w:p w:rsidR="00000000" w:rsidRDefault="00FD7D3C">
      <w:pPr>
        <w:ind w:firstLine="1080"/>
        <w:divId w:val="339159433"/>
        <w:rPr>
          <w:rFonts w:eastAsia="Times New Roman"/>
        </w:rPr>
      </w:pPr>
      <w:r>
        <w:rPr>
          <w:rFonts w:eastAsia="Times New Roman"/>
          <w:color w:val="231F20"/>
          <w:sz w:val="20"/>
          <w:szCs w:val="20"/>
        </w:rPr>
        <w:t>In addition to the αvß6 PET ligand, we have developed an αvß1PET tracer to evaluate the level of αvß1 expression in fibrotic tissues, as well as to measure the ability of our product candidates to penetrate fibrotic tissues and bind to αvß1. We filed a</w:t>
      </w:r>
      <w:r>
        <w:rPr>
          <w:rFonts w:eastAsia="Times New Roman"/>
          <w:color w:val="231F20"/>
          <w:sz w:val="20"/>
          <w:szCs w:val="20"/>
        </w:rPr>
        <w:t>n IND for this program in December 2020 and the U.S. Food and Drug Administration, or FDA, has since issued a “safe to proceed” letter. We have initiated a Phase 1 clinical trial of our αvß1 PET ligand.</w:t>
      </w:r>
    </w:p>
    <w:p w:rsidR="00000000" w:rsidRDefault="00FD7D3C">
      <w:pPr>
        <w:divId w:val="164517474"/>
        <w:rPr>
          <w:rFonts w:eastAsia="Times New Roman"/>
        </w:rPr>
      </w:pPr>
      <w:r>
        <w:rPr>
          <w:rFonts w:eastAsia="Times New Roman"/>
          <w:b/>
          <w:bCs/>
          <w:color w:val="000000"/>
          <w:sz w:val="20"/>
          <w:szCs w:val="20"/>
        </w:rPr>
        <w:t>Our Product Candidates</w:t>
      </w:r>
    </w:p>
    <w:p w:rsidR="00000000" w:rsidRDefault="00FD7D3C">
      <w:pPr>
        <w:ind w:firstLine="1080"/>
        <w:divId w:val="386537071"/>
        <w:rPr>
          <w:rFonts w:eastAsia="Times New Roman"/>
        </w:rPr>
      </w:pPr>
      <w:r>
        <w:rPr>
          <w:rFonts w:eastAsia="Times New Roman"/>
          <w:b/>
          <w:bCs/>
          <w:i/>
          <w:iCs/>
          <w:color w:val="000000"/>
          <w:sz w:val="20"/>
          <w:szCs w:val="20"/>
        </w:rPr>
        <w:t>Idiopathic Pulmonary Fibrosis Background</w:t>
      </w:r>
    </w:p>
    <w:p w:rsidR="00000000" w:rsidRDefault="00FD7D3C">
      <w:pPr>
        <w:ind w:firstLine="1080"/>
        <w:divId w:val="786122326"/>
        <w:rPr>
          <w:rFonts w:eastAsia="Times New Roman"/>
        </w:rPr>
      </w:pPr>
      <w:r>
        <w:rPr>
          <w:rFonts w:eastAsia="Times New Roman"/>
          <w:color w:val="000000"/>
          <w:sz w:val="20"/>
          <w:szCs w:val="20"/>
        </w:rPr>
        <w:t>IPF is a debilitating, age-related lung disease of unknown causes that has few treatment options. It is a form of progressive pulmonary fibrosis that leads to thickening and stiffening of the lung tissue resulting i</w:t>
      </w:r>
      <w:r>
        <w:rPr>
          <w:rFonts w:eastAsia="Times New Roman"/>
          <w:color w:val="000000"/>
          <w:sz w:val="20"/>
          <w:szCs w:val="20"/>
        </w:rPr>
        <w:t xml:space="preserve">n the loss of lung function. As tissue scarring progresses, the lungs’ ability to transfer oxygen into the bloodstream becomes increasingly impaired. Average life expectancy at the time of confirmatory diagnosis of IPF is estimated to be between three and </w:t>
      </w:r>
      <w:r>
        <w:rPr>
          <w:rFonts w:eastAsia="Times New Roman"/>
          <w:color w:val="000000"/>
          <w:sz w:val="20"/>
          <w:szCs w:val="20"/>
        </w:rPr>
        <w:t>four years. Approximately 60 to 80 percent of patients die within five years of diagnosis. These survival rates are worse than those of many late-stage cancers, such as stage 3 breast cancer.</w:t>
      </w:r>
    </w:p>
    <w:p w:rsidR="00000000" w:rsidRDefault="00FD7D3C">
      <w:pPr>
        <w:ind w:firstLine="1080"/>
        <w:divId w:val="1781753878"/>
        <w:rPr>
          <w:rFonts w:eastAsia="Times New Roman"/>
        </w:rPr>
      </w:pPr>
      <w:r>
        <w:rPr>
          <w:rFonts w:eastAsia="Times New Roman"/>
          <w:color w:val="000000"/>
          <w:sz w:val="20"/>
          <w:szCs w:val="20"/>
        </w:rPr>
        <w:t>Patients with IPF experience debilitating symptoms, including sh</w:t>
      </w:r>
      <w:r>
        <w:rPr>
          <w:rFonts w:eastAsia="Times New Roman"/>
          <w:color w:val="000000"/>
          <w:sz w:val="20"/>
          <w:szCs w:val="20"/>
        </w:rPr>
        <w:t>ortness of breath and difficulty performing routine functions, such as walking and talking. Other symptoms include a chronic, dry, hacking cough; fatigue; weakness; discomfort in the chest; loss of appetite; and weight loss. IPF is a rare disease that affe</w:t>
      </w:r>
      <w:r>
        <w:rPr>
          <w:rFonts w:eastAsia="Times New Roman"/>
          <w:color w:val="000000"/>
          <w:sz w:val="20"/>
          <w:szCs w:val="20"/>
        </w:rPr>
        <w:t>cts approximately 140,000 people in the United States. There are an estimated 30,000 to 40,000 new cases diagnosed each year.</w:t>
      </w:r>
    </w:p>
    <w:p w:rsidR="00000000" w:rsidRDefault="00FD7D3C">
      <w:pPr>
        <w:ind w:firstLine="1080"/>
        <w:divId w:val="717706115"/>
        <w:rPr>
          <w:rFonts w:eastAsia="Times New Roman"/>
        </w:rPr>
      </w:pPr>
      <w:r>
        <w:rPr>
          <w:rFonts w:eastAsia="Times New Roman"/>
          <w:color w:val="000000"/>
          <w:sz w:val="20"/>
          <w:szCs w:val="20"/>
        </w:rPr>
        <w:t>Currently, there is no pharmacological cure for IPF and only a small proportion of late-stage IPF patients may be eligible for a l</w:t>
      </w:r>
      <w:r>
        <w:rPr>
          <w:rFonts w:eastAsia="Times New Roman"/>
          <w:color w:val="000000"/>
          <w:sz w:val="20"/>
          <w:szCs w:val="20"/>
        </w:rPr>
        <w:t>ung transplant. The current non-transplant standard of care aims to slow the disease progression and improve the quality of life. Two therapies to treat IPF have recently been approved by the FDA: Esbriet® (pirfenidone), marketed by Roche Holding AG, and O</w:t>
      </w:r>
      <w:r>
        <w:rPr>
          <w:rFonts w:eastAsia="Times New Roman"/>
          <w:color w:val="000000"/>
          <w:sz w:val="20"/>
          <w:szCs w:val="20"/>
        </w:rPr>
        <w:t>FEV® (nintedanib), marketed by Boehringer Ingelheim. After decades during which the FDA approved no new treatments for IPF, the approvals of pirfenidone and nintedanib represented a major breakthrough for IPF patients. However, while these therapies may he</w:t>
      </w:r>
      <w:r>
        <w:rPr>
          <w:rFonts w:eastAsia="Times New Roman"/>
          <w:color w:val="000000"/>
          <w:sz w:val="20"/>
          <w:szCs w:val="20"/>
        </w:rPr>
        <w:t>lp slow the decline of lung function, neither drug has been shown to stop the progression of IPF. We believe that, despite the approval of pirfenidone and nintedanib by FDA, there remains an unmet need for IPF patients that we plan to address through our p</w:t>
      </w:r>
      <w:r>
        <w:rPr>
          <w:rFonts w:eastAsia="Times New Roman"/>
          <w:color w:val="000000"/>
          <w:sz w:val="20"/>
          <w:szCs w:val="20"/>
        </w:rPr>
        <w:t>roduct candidate.</w:t>
      </w:r>
    </w:p>
    <w:p w:rsidR="00000000" w:rsidRDefault="00FD7D3C">
      <w:pPr>
        <w:ind w:firstLine="1080"/>
        <w:divId w:val="1927422935"/>
        <w:rPr>
          <w:rFonts w:eastAsia="Times New Roman"/>
        </w:rPr>
      </w:pPr>
      <w:r>
        <w:rPr>
          <w:rFonts w:eastAsia="Times New Roman"/>
          <w:color w:val="000000"/>
          <w:sz w:val="20"/>
          <w:szCs w:val="20"/>
        </w:rPr>
        <w:t xml:space="preserve">Despite its mechanism of action being unknown, pirfenidone has been shown in registrational trials to have a modest effect on slowing the progression of IPF as measured by FVC, in approximately fifteen percent of patients. Recent studies </w:t>
      </w:r>
      <w:r>
        <w:rPr>
          <w:rFonts w:eastAsia="Times New Roman"/>
          <w:color w:val="000000"/>
          <w:sz w:val="20"/>
          <w:szCs w:val="20"/>
        </w:rPr>
        <w:t xml:space="preserve">suggest that pirfenidone may have an impact on survival compared to placebo, but these results have not been confirmed. In March 2020, the FDA granted breakthrough therapy designation for pirfenidone for treatment of unclassifiable lung fibrosis. </w:t>
      </w:r>
    </w:p>
    <w:p w:rsidR="00000000" w:rsidRDefault="00FD7D3C">
      <w:pPr>
        <w:ind w:firstLine="1080"/>
        <w:divId w:val="327288150"/>
        <w:rPr>
          <w:rFonts w:eastAsia="Times New Roman"/>
        </w:rPr>
      </w:pPr>
      <w:r>
        <w:rPr>
          <w:rFonts w:eastAsia="Times New Roman"/>
          <w:color w:val="000000"/>
          <w:sz w:val="20"/>
          <w:szCs w:val="20"/>
        </w:rPr>
        <w:t>Nintedanib is an inhibitor of multiple tyrosine kinases that are receptors for growth factors such as platelet- derived growth factor, or PDGF, fibroblast growth factor, or FGF, and vascular endothelial growth factor, or VEGF. Nintedanib reduced the rate o</w:t>
      </w:r>
      <w:r>
        <w:rPr>
          <w:rFonts w:eastAsia="Times New Roman"/>
          <w:color w:val="000000"/>
          <w:sz w:val="20"/>
          <w:szCs w:val="20"/>
        </w:rPr>
        <w:t>f decline of pulmonary function in multiple trials by approximately half and led to significant delays in the time to acute disease exacerbation. While treatment was associated with a trend towards increased survival in registration trials, it has not been</w:t>
      </w:r>
      <w:r>
        <w:rPr>
          <w:rFonts w:eastAsia="Times New Roman"/>
          <w:color w:val="000000"/>
          <w:sz w:val="20"/>
          <w:szCs w:val="20"/>
        </w:rPr>
        <w:t xml:space="preserve"> shown conclusively to have a survival benefit. Recent exploratory analyses from pooled data from six clinical trials of nintedanib suggest that nintedanib may extend life expectancy in patients with IPF. The FDA approved nintedanib for the treatment of lu</w:t>
      </w:r>
      <w:r>
        <w:rPr>
          <w:rFonts w:eastAsia="Times New Roman"/>
          <w:color w:val="000000"/>
          <w:sz w:val="20"/>
          <w:szCs w:val="20"/>
        </w:rPr>
        <w:t>ng fibrosis associated with systemic sclerosis in September 2019, and for the treatment of chronic fibrosing interstitial lung disease, or ILD with a progressive phenotype in March 2020.</w:t>
      </w:r>
    </w:p>
    <w:p w:rsidR="00000000" w:rsidRDefault="00FD7D3C">
      <w:pPr>
        <w:jc w:val="center"/>
        <w:divId w:val="826748117"/>
        <w:rPr>
          <w:rFonts w:eastAsia="Times New Roman"/>
        </w:rPr>
      </w:pPr>
      <w:r>
        <w:rPr>
          <w:rFonts w:eastAsia="Times New Roman"/>
          <w:color w:val="000000"/>
          <w:sz w:val="20"/>
          <w:szCs w:val="20"/>
        </w:rPr>
        <w:t>12</w:t>
      </w:r>
    </w:p>
    <w:p w:rsidR="00000000" w:rsidRDefault="00FD7D3C">
      <w:pPr>
        <w:rPr>
          <w:rFonts w:eastAsia="Times New Roman"/>
        </w:rPr>
      </w:pPr>
      <w:r>
        <w:rPr>
          <w:rFonts w:eastAsia="Times New Roman"/>
        </w:rPr>
        <w:pict>
          <v:rect id="_x0000_i1042" style="width:0;height:1.5pt" o:hralign="center" o:hrstd="t" o:hr="t" fillcolor="#a0a0a0" stroked="f"/>
        </w:pict>
      </w:r>
    </w:p>
    <w:p w:rsidR="00000000" w:rsidRDefault="00FD7D3C">
      <w:pPr>
        <w:divId w:val="135418197"/>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ind w:firstLine="1080"/>
        <w:divId w:val="1500581725"/>
        <w:rPr>
          <w:rFonts w:eastAsia="Times New Roman"/>
        </w:rPr>
      </w:pPr>
      <w:r>
        <w:rPr>
          <w:rFonts w:eastAsia="Times New Roman"/>
          <w:color w:val="000000"/>
          <w:sz w:val="20"/>
          <w:szCs w:val="20"/>
        </w:rPr>
        <w:t>Elevated liver enzymes have been observed with both of these drugs, requiring monitoring of liver tests and potentially temporary dose reduction and discontinuation. Cases of drug-induced liver injury, includin</w:t>
      </w:r>
      <w:r>
        <w:rPr>
          <w:rFonts w:eastAsia="Times New Roman"/>
          <w:color w:val="000000"/>
          <w:sz w:val="20"/>
          <w:szCs w:val="20"/>
        </w:rPr>
        <w:t>g one fatal outcome, have been reported in patients treated with nintedanib. Pirfenidone’s prescribing information also carries a similar warning about elevated liver enzymes. Despite the remaining unmet need, combined sales of pirfenidone and nintedanib i</w:t>
      </w:r>
      <w:r>
        <w:rPr>
          <w:rFonts w:eastAsia="Times New Roman"/>
          <w:color w:val="000000"/>
          <w:sz w:val="20"/>
          <w:szCs w:val="20"/>
        </w:rPr>
        <w:t>n 2020 were over $3.6 billion. IPF remains a major cause of morbidity and mortality and an area of high unmet medical need for which a commercial opportunity remains.</w:t>
      </w:r>
    </w:p>
    <w:p w:rsidR="00000000" w:rsidRDefault="00FD7D3C">
      <w:pPr>
        <w:ind w:firstLine="1080"/>
        <w:divId w:val="1864172564"/>
        <w:rPr>
          <w:rFonts w:eastAsia="Times New Roman"/>
        </w:rPr>
      </w:pPr>
      <w:r>
        <w:rPr>
          <w:rFonts w:eastAsia="Times New Roman"/>
          <w:b/>
          <w:bCs/>
          <w:i/>
          <w:iCs/>
          <w:color w:val="000000"/>
          <w:sz w:val="20"/>
          <w:szCs w:val="20"/>
        </w:rPr>
        <w:t>Primary Sclerosing Cholangitis Background</w:t>
      </w:r>
    </w:p>
    <w:p w:rsidR="00000000" w:rsidRDefault="00FD7D3C">
      <w:pPr>
        <w:ind w:firstLine="1080"/>
        <w:divId w:val="77792048"/>
        <w:rPr>
          <w:rFonts w:eastAsia="Times New Roman"/>
        </w:rPr>
      </w:pPr>
      <w:r>
        <w:rPr>
          <w:rFonts w:eastAsia="Times New Roman"/>
          <w:color w:val="000000"/>
          <w:sz w:val="20"/>
          <w:szCs w:val="20"/>
        </w:rPr>
        <w:t>PSC is a progressive liver disorder characteriz</w:t>
      </w:r>
      <w:r>
        <w:rPr>
          <w:rFonts w:eastAsia="Times New Roman"/>
          <w:color w:val="000000"/>
          <w:sz w:val="20"/>
          <w:szCs w:val="20"/>
        </w:rPr>
        <w:t>ed by inflammation and fibrosis of the bile ducts which transport bile from the liver to the intestines. This type of fibrosis often results in obstruction or interruption of bile flow from the liver, a condition known as cholestasis, leading to liver fibr</w:t>
      </w:r>
      <w:r>
        <w:rPr>
          <w:rFonts w:eastAsia="Times New Roman"/>
          <w:color w:val="000000"/>
          <w:sz w:val="20"/>
          <w:szCs w:val="20"/>
        </w:rPr>
        <w:t>osis. Cirrhosis eventually develops and many individuals ultimately require a liver transplant. PSC patients are also at a higher risk of developing hepatobiliary cancers, including a 5 to 20 percent lifetime chance of developing cholangiocarcinoma, a typi</w:t>
      </w:r>
      <w:r>
        <w:rPr>
          <w:rFonts w:eastAsia="Times New Roman"/>
          <w:color w:val="000000"/>
          <w:sz w:val="20"/>
          <w:szCs w:val="20"/>
        </w:rPr>
        <w:t>cally rare form of cancer with an especially poor prognosis. The exact cause of PSC is unknown. PSC is normally diagnosed at middle age, with a median age at diagnosis of approximately 40 years old. The prevalence of PSC in the United States is estimated t</w:t>
      </w:r>
      <w:r>
        <w:rPr>
          <w:rFonts w:eastAsia="Times New Roman"/>
          <w:color w:val="000000"/>
          <w:sz w:val="20"/>
          <w:szCs w:val="20"/>
        </w:rPr>
        <w:t>o be between 30,000 and 45,000 patients.</w:t>
      </w:r>
    </w:p>
    <w:p w:rsidR="00000000" w:rsidRDefault="00FD7D3C">
      <w:pPr>
        <w:ind w:firstLine="1080"/>
        <w:divId w:val="1391029563"/>
        <w:rPr>
          <w:rFonts w:eastAsia="Times New Roman"/>
        </w:rPr>
      </w:pPr>
      <w:r>
        <w:rPr>
          <w:rFonts w:eastAsia="Times New Roman"/>
          <w:color w:val="000000"/>
          <w:sz w:val="20"/>
          <w:szCs w:val="20"/>
        </w:rPr>
        <w:t>In the absence of liver transplant, median survival of PSC patients is 10 to 12 years following diagnosis without intervention. There are currently no approved pharmacological treatments for PSC. A number of immunos</w:t>
      </w:r>
      <w:r>
        <w:rPr>
          <w:rFonts w:eastAsia="Times New Roman"/>
          <w:color w:val="000000"/>
          <w:sz w:val="20"/>
          <w:szCs w:val="20"/>
        </w:rPr>
        <w:t>uppressive and anti-inflammatory agents have been studied in patients with PSC, but none has been conclusively proven to slow progression. Liver transplantation is the only available treatment for PSC patients; however, disease has been shown to recur in u</w:t>
      </w:r>
      <w:r>
        <w:rPr>
          <w:rFonts w:eastAsia="Times New Roman"/>
          <w:color w:val="000000"/>
          <w:sz w:val="20"/>
          <w:szCs w:val="20"/>
        </w:rPr>
        <w:t>p to 20 percent of patients following transplantation.</w:t>
      </w:r>
    </w:p>
    <w:p w:rsidR="00000000" w:rsidRDefault="00FD7D3C">
      <w:pPr>
        <w:ind w:firstLine="1080"/>
        <w:divId w:val="455368045"/>
        <w:rPr>
          <w:rFonts w:eastAsia="Times New Roman"/>
        </w:rPr>
      </w:pPr>
      <w:r>
        <w:rPr>
          <w:rFonts w:eastAsia="Times New Roman"/>
          <w:b/>
          <w:bCs/>
          <w:i/>
          <w:iCs/>
          <w:color w:val="000000"/>
          <w:sz w:val="20"/>
          <w:szCs w:val="20"/>
        </w:rPr>
        <w:t>Our Solution, PLN-74809</w:t>
      </w:r>
    </w:p>
    <w:p w:rsidR="00000000" w:rsidRDefault="00FD7D3C">
      <w:pPr>
        <w:ind w:firstLine="1080"/>
        <w:divId w:val="1324548643"/>
        <w:rPr>
          <w:rFonts w:eastAsia="Times New Roman"/>
        </w:rPr>
      </w:pPr>
      <w:r>
        <w:rPr>
          <w:rFonts w:eastAsia="Times New Roman"/>
          <w:color w:val="000000"/>
          <w:sz w:val="20"/>
          <w:szCs w:val="20"/>
        </w:rPr>
        <w:t>PLN-74809 is an oral small-molecule that selectively inhibits both αvß6 and αvß1 integrins that we are developing as a potential therapy for IPF and PSC. We have determined that</w:t>
      </w:r>
      <w:r>
        <w:rPr>
          <w:rFonts w:eastAsia="Times New Roman"/>
          <w:color w:val="000000"/>
          <w:sz w:val="20"/>
          <w:szCs w:val="20"/>
        </w:rPr>
        <w:t xml:space="preserve"> TGF-β activation in fibrosis associated with IPF and PSC involves both αvß6 and αvß1 integrins. It has been shown that expression of both αvß6 on epithelial cells and αvß1 on fibroblasts can lead to excessive activation of TGF-β in fibrosis. Epithelial ti</w:t>
      </w:r>
      <w:r>
        <w:rPr>
          <w:rFonts w:eastAsia="Times New Roman"/>
          <w:color w:val="000000"/>
          <w:sz w:val="20"/>
          <w:szCs w:val="20"/>
        </w:rPr>
        <w:t>ssue includes any tissue that lines the surfaces of the body such as alveoli, bile ducts, urinary tract, skin, and gastrointestinal tract. Each of these tissues contains multiple cell types including epithelial cells and fibroblasts. An important secondary</w:t>
      </w:r>
      <w:r>
        <w:rPr>
          <w:rFonts w:eastAsia="Times New Roman"/>
          <w:color w:val="000000"/>
          <w:sz w:val="20"/>
          <w:szCs w:val="20"/>
        </w:rPr>
        <w:t xml:space="preserve"> effect of the TGF-β cascade is that it promotes upregulation of αvß1 on epithelial cells. The increased expression of these integrins on the cell surface contributes in turn to further TGF-β activation in a TGF-β-driven positive feed-forward loop.</w:t>
      </w:r>
    </w:p>
    <w:p w:rsidR="00000000" w:rsidRDefault="00FD7D3C">
      <w:pPr>
        <w:spacing w:before="120"/>
        <w:divId w:val="1925187479"/>
        <w:rPr>
          <w:rFonts w:eastAsia="Times New Roman"/>
        </w:rPr>
      </w:pPr>
      <w:r>
        <w:rPr>
          <w:rFonts w:eastAsia="Times New Roman"/>
          <w:noProof/>
        </w:rPr>
        <w:drawing>
          <wp:inline distT="0" distB="0" distL="0" distR="0">
            <wp:extent cx="304800" cy="3048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FD7D3C">
      <w:pPr>
        <w:ind w:firstLine="1080"/>
        <w:divId w:val="1102917868"/>
        <w:rPr>
          <w:rFonts w:eastAsia="Times New Roman"/>
        </w:rPr>
      </w:pPr>
      <w:r>
        <w:rPr>
          <w:rFonts w:eastAsia="Times New Roman"/>
          <w:b/>
          <w:bCs/>
          <w:color w:val="000000"/>
          <w:sz w:val="20"/>
          <w:szCs w:val="20"/>
        </w:rPr>
        <w:t>Epithelial tissue fibrosis is driven by two types of integrins</w:t>
      </w:r>
    </w:p>
    <w:p w:rsidR="00000000" w:rsidRDefault="00FD7D3C">
      <w:pPr>
        <w:ind w:firstLine="1080"/>
        <w:divId w:val="1523399784"/>
        <w:rPr>
          <w:rFonts w:eastAsia="Times New Roman"/>
        </w:rPr>
      </w:pPr>
      <w:r>
        <w:rPr>
          <w:rFonts w:eastAsia="Times New Roman"/>
          <w:color w:val="000000"/>
          <w:sz w:val="20"/>
          <w:szCs w:val="20"/>
        </w:rPr>
        <w:t>Data from our lab, as well as scientific literature, ha</w:t>
      </w:r>
      <w:r>
        <w:rPr>
          <w:rFonts w:eastAsia="Times New Roman"/>
          <w:color w:val="000000"/>
          <w:sz w:val="20"/>
          <w:szCs w:val="20"/>
        </w:rPr>
        <w:t>ve shown that αvß6 and αvß1 proteins are overexpressed in at least two different fibrosis indications: IPF and PSC. In lung tissue from IPF patients we and others have shown that alveolar epithelial cells have elevated αvß6 expression, and that the level o</w:t>
      </w:r>
      <w:r>
        <w:rPr>
          <w:rFonts w:eastAsia="Times New Roman"/>
          <w:color w:val="000000"/>
          <w:sz w:val="20"/>
          <w:szCs w:val="20"/>
        </w:rPr>
        <w:t>f over-expression correlates with disease severity. We have also shown that in these patients, αvß1 expression is upregulated. In liver tissue from PSC patients, we have shown that αvß6 is upregulated in cholangiocytes, the epithelial cells that line the b</w:t>
      </w:r>
      <w:r>
        <w:rPr>
          <w:rFonts w:eastAsia="Times New Roman"/>
          <w:color w:val="000000"/>
          <w:sz w:val="20"/>
          <w:szCs w:val="20"/>
        </w:rPr>
        <w:t>ile ducts, and that αvß1 is upregulated in whole fibrotic liver tissue. αvß6 and αvß1 are normally expressed at very low levels in healthy tissue making them ideal targets for selectively inhibiting TGF-β activation in IPF and PSC.</w:t>
      </w:r>
    </w:p>
    <w:p w:rsidR="00000000" w:rsidRDefault="00FD7D3C">
      <w:pPr>
        <w:jc w:val="center"/>
        <w:divId w:val="79955728"/>
        <w:rPr>
          <w:rFonts w:eastAsia="Times New Roman"/>
        </w:rPr>
      </w:pPr>
      <w:r>
        <w:rPr>
          <w:rFonts w:eastAsia="Times New Roman"/>
          <w:color w:val="000000"/>
          <w:sz w:val="20"/>
          <w:szCs w:val="20"/>
        </w:rPr>
        <w:t>13</w:t>
      </w:r>
    </w:p>
    <w:p w:rsidR="00000000" w:rsidRDefault="00FD7D3C">
      <w:pPr>
        <w:rPr>
          <w:rFonts w:eastAsia="Times New Roman"/>
        </w:rPr>
      </w:pPr>
      <w:r>
        <w:rPr>
          <w:rFonts w:eastAsia="Times New Roman"/>
        </w:rPr>
        <w:pict>
          <v:rect id="_x0000_i1044" style="width:0;height:1.5pt" o:hralign="center" o:hrstd="t" o:hr="t" fillcolor="#a0a0a0" stroked="f"/>
        </w:pict>
      </w:r>
    </w:p>
    <w:p w:rsidR="00000000" w:rsidRDefault="00FD7D3C">
      <w:pPr>
        <w:divId w:val="723329921"/>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spacing w:before="200"/>
        <w:jc w:val="center"/>
        <w:divId w:val="1202283947"/>
        <w:rPr>
          <w:rFonts w:eastAsia="Times New Roman"/>
        </w:rPr>
      </w:pPr>
      <w:r>
        <w:rPr>
          <w:rFonts w:eastAsia="Times New Roman"/>
          <w:noProof/>
        </w:rPr>
        <w:drawing>
          <wp:inline distT="0" distB="0" distL="0" distR="0">
            <wp:extent cx="304800" cy="3048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FD7D3C">
      <w:pPr>
        <w:jc w:val="center"/>
        <w:divId w:val="1868640228"/>
        <w:rPr>
          <w:rFonts w:eastAsia="Times New Roman"/>
        </w:rPr>
      </w:pPr>
      <w:r>
        <w:rPr>
          <w:rFonts w:eastAsia="Times New Roman"/>
          <w:b/>
          <w:bCs/>
          <w:color w:val="000000"/>
          <w:sz w:val="20"/>
          <w:szCs w:val="20"/>
        </w:rPr>
        <w:t>αvß6 is upregulated in the lung tissue of IPF</w:t>
      </w:r>
    </w:p>
    <w:p w:rsidR="00000000" w:rsidRDefault="00FD7D3C">
      <w:pPr>
        <w:jc w:val="center"/>
        <w:rPr>
          <w:rFonts w:eastAsia="Times New Roman"/>
        </w:rPr>
      </w:pPr>
      <w:r>
        <w:rPr>
          <w:rFonts w:eastAsia="Times New Roman"/>
          <w:b/>
          <w:bCs/>
          <w:color w:val="000000"/>
          <w:sz w:val="20"/>
          <w:szCs w:val="20"/>
        </w:rPr>
        <w:t>patients and the liver tissue of PSC patients</w:t>
      </w:r>
    </w:p>
    <w:p w:rsidR="00000000" w:rsidRDefault="00FD7D3C">
      <w:pPr>
        <w:spacing w:before="200"/>
        <w:jc w:val="center"/>
        <w:divId w:val="1265308841"/>
        <w:rPr>
          <w:rFonts w:eastAsia="Times New Roman"/>
        </w:rPr>
      </w:pPr>
      <w:r>
        <w:rPr>
          <w:rFonts w:eastAsia="Times New Roman"/>
          <w:noProof/>
        </w:rPr>
        <w:drawing>
          <wp:inline distT="0" distB="0" distL="0" distR="0">
            <wp:extent cx="304800" cy="3048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FD7D3C">
      <w:pPr>
        <w:ind w:firstLine="360"/>
        <w:divId w:val="463424969"/>
        <w:rPr>
          <w:rFonts w:eastAsia="Times New Roman"/>
        </w:rPr>
      </w:pPr>
      <w:r>
        <w:rPr>
          <w:rFonts w:eastAsia="Times New Roman"/>
          <w:color w:val="000000"/>
          <w:sz w:val="20"/>
          <w:szCs w:val="20"/>
        </w:rPr>
        <w:t>*= p &lt; 0.0</w:t>
      </w:r>
      <w:r>
        <w:rPr>
          <w:rFonts w:eastAsia="Times New Roman"/>
          <w:color w:val="000000"/>
          <w:sz w:val="20"/>
          <w:szCs w:val="20"/>
        </w:rPr>
        <w:t>5</w:t>
      </w:r>
      <w:r>
        <w:rPr>
          <w:rFonts w:eastAsia="Times New Roman"/>
          <w:color w:val="000000"/>
          <w:sz w:val="13"/>
          <w:szCs w:val="13"/>
        </w:rPr>
        <w:t>(1</w:t>
      </w:r>
      <w:r>
        <w:rPr>
          <w:rFonts w:eastAsia="Times New Roman"/>
          <w:color w:val="000000"/>
          <w:sz w:val="13"/>
          <w:szCs w:val="13"/>
        </w:rPr>
        <w:t>)</w:t>
      </w:r>
    </w:p>
    <w:p w:rsidR="00000000" w:rsidRDefault="00FD7D3C">
      <w:pPr>
        <w:ind w:hanging="270"/>
        <w:divId w:val="782727170"/>
        <w:rPr>
          <w:rFonts w:eastAsia="Times New Roman"/>
        </w:rPr>
      </w:pPr>
      <w:r>
        <w:rPr>
          <w:rFonts w:eastAsia="Times New Roman"/>
          <w:color w:val="000000"/>
          <w:sz w:val="20"/>
          <w:szCs w:val="20"/>
        </w:rPr>
        <w:t>(1) A p-value is the probability that the reported result was achieved purely by chance, such that a p-value of less than or equal to 0.05 or 0.01 means that there is a 5.0% or 1.0% or less probability, respectively, that the difference between the control</w:t>
      </w:r>
      <w:r>
        <w:rPr>
          <w:rFonts w:eastAsia="Times New Roman"/>
          <w:color w:val="000000"/>
          <w:sz w:val="20"/>
          <w:szCs w:val="20"/>
        </w:rPr>
        <w:t xml:space="preserve"> group and the treatment group is purely due to chance. A p-value of 0.05 or less typically represents a statistically significant result.</w:t>
      </w:r>
    </w:p>
    <w:p w:rsidR="00000000" w:rsidRDefault="00FD7D3C">
      <w:pPr>
        <w:jc w:val="center"/>
        <w:divId w:val="3216657"/>
        <w:rPr>
          <w:rFonts w:eastAsia="Times New Roman"/>
        </w:rPr>
      </w:pPr>
      <w:r>
        <w:rPr>
          <w:rFonts w:eastAsia="Times New Roman"/>
          <w:b/>
          <w:bCs/>
          <w:color w:val="000000"/>
          <w:sz w:val="20"/>
          <w:szCs w:val="20"/>
        </w:rPr>
        <w:t>αvß1 expression is upregulated in lung and liver fibrosis</w:t>
      </w:r>
    </w:p>
    <w:p w:rsidR="00000000" w:rsidRDefault="00FD7D3C">
      <w:pPr>
        <w:ind w:firstLine="720"/>
        <w:divId w:val="966087995"/>
        <w:rPr>
          <w:rFonts w:eastAsia="Times New Roman"/>
        </w:rPr>
      </w:pPr>
      <w:r>
        <w:rPr>
          <w:rFonts w:eastAsia="Times New Roman"/>
          <w:color w:val="000000"/>
          <w:sz w:val="20"/>
          <w:szCs w:val="20"/>
        </w:rPr>
        <w:t>We have conducted a non-interventional clinical trial in IP</w:t>
      </w:r>
      <w:r>
        <w:rPr>
          <w:rFonts w:eastAsia="Times New Roman"/>
          <w:color w:val="000000"/>
          <w:sz w:val="20"/>
          <w:szCs w:val="20"/>
        </w:rPr>
        <w:t>F patients to assess the expression of integrin αvß6 using a PET ligand. This trial confirmed that patients with IPF have high levels of integrin αvß6 expression, which tend to be co-localized with fibrotic regions of the lungs. This trial was published in</w:t>
      </w:r>
      <w:r>
        <w:rPr>
          <w:rFonts w:eastAsia="Times New Roman"/>
          <w:color w:val="000000"/>
          <w:sz w:val="20"/>
          <w:szCs w:val="20"/>
        </w:rPr>
        <w:t xml:space="preserve"> </w:t>
      </w:r>
      <w:r>
        <w:rPr>
          <w:rFonts w:eastAsia="Times New Roman"/>
          <w:i/>
          <w:iCs/>
          <w:color w:val="000000"/>
          <w:sz w:val="20"/>
          <w:szCs w:val="20"/>
        </w:rPr>
        <w:t>Nature Communications</w:t>
      </w:r>
      <w:r>
        <w:rPr>
          <w:rFonts w:eastAsia="Times New Roman"/>
          <w:color w:val="000000"/>
          <w:sz w:val="20"/>
          <w:szCs w:val="20"/>
        </w:rPr>
        <w:t xml:space="preserve"> in 2019. The specificity of this PET ligand can be seen in images from an IPF patient who received a unilateral lung transplant. The PET ligand is only taken up in the diseased lung but not in the transplanted healthy lung.</w:t>
      </w:r>
    </w:p>
    <w:p w:rsidR="00000000" w:rsidRDefault="00FD7D3C">
      <w:pPr>
        <w:jc w:val="center"/>
        <w:divId w:val="1299922884"/>
        <w:rPr>
          <w:rFonts w:eastAsia="Times New Roman"/>
        </w:rPr>
      </w:pPr>
      <w:r>
        <w:rPr>
          <w:rFonts w:eastAsia="Times New Roman"/>
          <w:color w:val="000000"/>
          <w:sz w:val="20"/>
          <w:szCs w:val="20"/>
        </w:rPr>
        <w:t>14</w:t>
      </w:r>
    </w:p>
    <w:p w:rsidR="00000000" w:rsidRDefault="00FD7D3C">
      <w:pPr>
        <w:rPr>
          <w:rFonts w:eastAsia="Times New Roman"/>
        </w:rPr>
      </w:pPr>
      <w:r>
        <w:rPr>
          <w:rFonts w:eastAsia="Times New Roman"/>
        </w:rPr>
        <w:pict>
          <v:rect id="_x0000_i1047" style="width:0;height:1.5pt" o:hralign="center" o:hrstd="t" o:hr="t" fillcolor="#a0a0a0" stroked="f"/>
        </w:pict>
      </w:r>
    </w:p>
    <w:p w:rsidR="00000000" w:rsidRDefault="00FD7D3C">
      <w:pPr>
        <w:divId w:val="629286646"/>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spacing w:before="200"/>
        <w:jc w:val="center"/>
        <w:divId w:val="1813211521"/>
        <w:rPr>
          <w:rFonts w:eastAsia="Times New Roman"/>
        </w:rPr>
      </w:pPr>
      <w:r>
        <w:rPr>
          <w:rFonts w:eastAsia="Times New Roman"/>
          <w:noProof/>
        </w:rPr>
        <w:drawing>
          <wp:inline distT="0" distB="0" distL="0" distR="0">
            <wp:extent cx="304800" cy="3048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FD7D3C">
      <w:pPr>
        <w:jc w:val="center"/>
        <w:divId w:val="418478323"/>
        <w:rPr>
          <w:rFonts w:eastAsia="Times New Roman"/>
        </w:rPr>
      </w:pPr>
      <w:r>
        <w:rPr>
          <w:rFonts w:eastAsia="Times New Roman"/>
          <w:b/>
          <w:bCs/>
          <w:color w:val="000000"/>
          <w:sz w:val="20"/>
          <w:szCs w:val="20"/>
        </w:rPr>
        <w:t>Pulm</w:t>
      </w:r>
      <w:r>
        <w:rPr>
          <w:rFonts w:eastAsia="Times New Roman"/>
          <w:b/>
          <w:bCs/>
          <w:color w:val="000000"/>
          <w:sz w:val="20"/>
          <w:szCs w:val="20"/>
        </w:rPr>
        <w:t>onary αvß6 PET ligand uptake in an IPF patient with a unilateral lung transplantation is confined to the IPF lung</w:t>
      </w:r>
    </w:p>
    <w:p w:rsidR="00000000" w:rsidRDefault="00FD7D3C">
      <w:pPr>
        <w:ind w:firstLine="720"/>
        <w:divId w:val="965769252"/>
        <w:rPr>
          <w:rFonts w:eastAsia="Times New Roman"/>
        </w:rPr>
      </w:pPr>
      <w:r>
        <w:rPr>
          <w:rFonts w:eastAsia="Times New Roman"/>
          <w:color w:val="000000"/>
          <w:sz w:val="20"/>
          <w:szCs w:val="20"/>
        </w:rPr>
        <w:t>We have shown that inhibition of both αvß6 and αvß1 integrins is required to maximally inhibit the expression of </w:t>
      </w:r>
      <w:r>
        <w:rPr>
          <w:rFonts w:eastAsia="Times New Roman"/>
          <w:i/>
          <w:iCs/>
          <w:color w:val="000000"/>
          <w:sz w:val="20"/>
          <w:szCs w:val="20"/>
        </w:rPr>
        <w:t>COL1A1</w:t>
      </w:r>
      <w:r>
        <w:rPr>
          <w:rFonts w:eastAsia="Times New Roman"/>
          <w:color w:val="000000"/>
          <w:sz w:val="20"/>
          <w:szCs w:val="20"/>
        </w:rPr>
        <w:t>, a key gene that encod</w:t>
      </w:r>
      <w:r>
        <w:rPr>
          <w:rFonts w:eastAsia="Times New Roman"/>
          <w:color w:val="000000"/>
          <w:sz w:val="20"/>
          <w:szCs w:val="20"/>
        </w:rPr>
        <w:t>es type I collagen, in models of lung and biliary fibrosis as well as in human IPF tissue. </w:t>
      </w:r>
      <w:r>
        <w:rPr>
          <w:rFonts w:eastAsia="Times New Roman"/>
          <w:i/>
          <w:iCs/>
          <w:color w:val="000000"/>
          <w:sz w:val="20"/>
          <w:szCs w:val="20"/>
        </w:rPr>
        <w:t>COL1A1</w:t>
      </w:r>
      <w:r>
        <w:rPr>
          <w:rFonts w:eastAsia="Times New Roman"/>
          <w:color w:val="000000"/>
          <w:sz w:val="20"/>
          <w:szCs w:val="20"/>
        </w:rPr>
        <w:t> is a TGF-β regulated gene that is expressed in fibrotic tissue. The expression level of </w:t>
      </w:r>
      <w:r>
        <w:rPr>
          <w:rFonts w:eastAsia="Times New Roman"/>
          <w:i/>
          <w:iCs/>
          <w:color w:val="000000"/>
          <w:sz w:val="20"/>
          <w:szCs w:val="20"/>
        </w:rPr>
        <w:t>COL1A1</w:t>
      </w:r>
      <w:r>
        <w:rPr>
          <w:rFonts w:eastAsia="Times New Roman"/>
          <w:color w:val="000000"/>
          <w:sz w:val="20"/>
          <w:szCs w:val="20"/>
        </w:rPr>
        <w:t> </w:t>
      </w:r>
      <w:r>
        <w:rPr>
          <w:rFonts w:eastAsia="Times New Roman"/>
          <w:color w:val="000000"/>
          <w:sz w:val="20"/>
          <w:szCs w:val="20"/>
        </w:rPr>
        <w:t>correlates with the amount of collagen deposited as measured by the standard biochemical method of quantification of hydroxyproline, an amino acid that is a major component of collagen.</w:t>
      </w:r>
    </w:p>
    <w:p w:rsidR="00000000" w:rsidRDefault="00FD7D3C">
      <w:pPr>
        <w:divId w:val="391461377"/>
        <w:rPr>
          <w:rFonts w:eastAsia="Times New Roman"/>
        </w:rPr>
      </w:pPr>
      <w:r>
        <w:rPr>
          <w:rFonts w:eastAsia="Times New Roman"/>
          <w:b/>
          <w:bCs/>
          <w:i/>
          <w:iCs/>
          <w:color w:val="000000"/>
          <w:sz w:val="20"/>
          <w:szCs w:val="20"/>
        </w:rPr>
        <w:t>Clinical Development of PLN-74809</w:t>
      </w:r>
    </w:p>
    <w:p w:rsidR="00000000" w:rsidRDefault="00FD7D3C">
      <w:pPr>
        <w:divId w:val="1574853903"/>
        <w:rPr>
          <w:rFonts w:eastAsia="Times New Roman"/>
        </w:rPr>
      </w:pPr>
      <w:r>
        <w:rPr>
          <w:rFonts w:eastAsia="Times New Roman"/>
          <w:i/>
          <w:iCs/>
          <w:color w:val="000000"/>
          <w:sz w:val="20"/>
          <w:szCs w:val="20"/>
        </w:rPr>
        <w:t xml:space="preserve">Current and Planned Clinical Trials </w:t>
      </w:r>
      <w:r>
        <w:rPr>
          <w:rFonts w:eastAsia="Times New Roman"/>
          <w:i/>
          <w:iCs/>
          <w:color w:val="000000"/>
          <w:sz w:val="20"/>
          <w:szCs w:val="20"/>
        </w:rPr>
        <w:t>for IPF and PSC</w:t>
      </w:r>
    </w:p>
    <w:p w:rsidR="00000000" w:rsidRDefault="00FD7D3C">
      <w:pPr>
        <w:ind w:firstLine="1080"/>
        <w:divId w:val="671955186"/>
        <w:rPr>
          <w:rFonts w:eastAsia="Times New Roman"/>
        </w:rPr>
      </w:pPr>
      <w:r>
        <w:rPr>
          <w:rFonts w:eastAsia="Times New Roman"/>
          <w:color w:val="000000"/>
          <w:sz w:val="20"/>
          <w:szCs w:val="20"/>
        </w:rPr>
        <w:t>We are currently conducting three Phase 2a trials of PLN-74809, two in patients with IPF and one in patients with PSC, subject to the impact of the COVID-19 pandemic. The first of these is an ongoing Phase 2a randomized, double-blind, place</w:t>
      </w:r>
      <w:r>
        <w:rPr>
          <w:rFonts w:eastAsia="Times New Roman"/>
          <w:color w:val="000000"/>
          <w:sz w:val="20"/>
          <w:szCs w:val="20"/>
        </w:rPr>
        <w:t>bo-controlled IPF trial evaluating up to three doses of PLN-74809 in IPF patients. We are exploring doses up to 160 mg per day at the highest dose. This is a 12-week trial evaluating safety and tolerability, as well as PK in IPF patients. We plan to evalua</w:t>
      </w:r>
      <w:r>
        <w:rPr>
          <w:rFonts w:eastAsia="Times New Roman"/>
          <w:color w:val="000000"/>
          <w:sz w:val="20"/>
          <w:szCs w:val="20"/>
        </w:rPr>
        <w:t>te exploratory endpoints including pulmonary function tests, biomarkers and imaging, including Quantitative Lung Fibrosis HRCT imaging, or QLF. This is a multinational trial with approximately 60 sites in the United States, Canada, Australia, New Zealand a</w:t>
      </w:r>
      <w:r>
        <w:rPr>
          <w:rFonts w:eastAsia="Times New Roman"/>
          <w:color w:val="000000"/>
          <w:sz w:val="20"/>
          <w:szCs w:val="20"/>
        </w:rPr>
        <w:t>nd multiple countries in Europe. This trial has completed enrollment and data release is expected in mid-2022.</w:t>
      </w:r>
    </w:p>
    <w:p w:rsidR="00000000" w:rsidRDefault="00FD7D3C">
      <w:pPr>
        <w:ind w:firstLine="1080"/>
        <w:divId w:val="678196483"/>
        <w:rPr>
          <w:rFonts w:eastAsia="Times New Roman"/>
        </w:rPr>
      </w:pPr>
      <w:r>
        <w:rPr>
          <w:rFonts w:eastAsia="Times New Roman"/>
          <w:color w:val="000000"/>
          <w:sz w:val="20"/>
          <w:szCs w:val="20"/>
        </w:rPr>
        <w:t>In December 2021, the FDA authorized evaluation of long-term dosing of PLN-74809 up to 320 mg in patients with IPF. This appr</w:t>
      </w:r>
      <w:r>
        <w:rPr>
          <w:rFonts w:eastAsia="Times New Roman"/>
          <w:color w:val="231F20"/>
          <w:sz w:val="20"/>
          <w:szCs w:val="20"/>
        </w:rPr>
        <w:t>oval enables the eva</w:t>
      </w:r>
      <w:r>
        <w:rPr>
          <w:rFonts w:eastAsia="Times New Roman"/>
          <w:color w:val="231F20"/>
          <w:sz w:val="20"/>
          <w:szCs w:val="20"/>
        </w:rPr>
        <w:t>luation of PLN-74809 in larger, long-term pivotal trials in IPF. We initiated a 6-month Phase 2a trial of PLN-74809 at 320 mg in IPF patients in the first quarter of 2022.</w:t>
      </w:r>
    </w:p>
    <w:p w:rsidR="00000000" w:rsidRDefault="00FD7D3C">
      <w:pPr>
        <w:ind w:firstLine="1080"/>
        <w:divId w:val="290093197"/>
        <w:rPr>
          <w:rFonts w:eastAsia="Times New Roman"/>
        </w:rPr>
      </w:pPr>
      <w:r>
        <w:rPr>
          <w:rFonts w:eastAsia="Times New Roman"/>
          <w:b/>
          <w:bCs/>
          <w:color w:val="231F20"/>
          <w:sz w:val="20"/>
          <w:szCs w:val="20"/>
        </w:rPr>
        <w:t>12-Week Safety, PK, Biomarker Trial in IPF Patients</w:t>
      </w:r>
    </w:p>
    <w:p w:rsidR="00000000" w:rsidRDefault="00FD7D3C">
      <w:pPr>
        <w:divId w:val="1438215592"/>
        <w:rPr>
          <w:rFonts w:eastAsia="Times New Roman"/>
        </w:rPr>
      </w:pPr>
    </w:p>
    <w:p w:rsidR="00000000" w:rsidRDefault="00FD7D3C">
      <w:pPr>
        <w:divId w:val="1858274914"/>
        <w:rPr>
          <w:rFonts w:eastAsia="Times New Roman"/>
        </w:rPr>
      </w:pPr>
      <w:r>
        <w:rPr>
          <w:rFonts w:eastAsia="Times New Roman"/>
          <w:noProof/>
        </w:rPr>
        <w:drawing>
          <wp:inline distT="0" distB="0" distL="0" distR="0">
            <wp:extent cx="304800" cy="3048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FD7D3C">
      <w:pPr>
        <w:divId w:val="1754667485"/>
        <w:rPr>
          <w:rFonts w:eastAsia="Times New Roman"/>
        </w:rPr>
      </w:pPr>
    </w:p>
    <w:p w:rsidR="00000000" w:rsidRDefault="00FD7D3C">
      <w:pPr>
        <w:ind w:firstLine="1080"/>
        <w:divId w:val="939529846"/>
        <w:rPr>
          <w:rFonts w:eastAsia="Times New Roman"/>
        </w:rPr>
      </w:pPr>
      <w:r>
        <w:rPr>
          <w:rFonts w:eastAsia="Times New Roman"/>
          <w:b/>
          <w:bCs/>
          <w:color w:val="231F20"/>
          <w:sz w:val="20"/>
          <w:szCs w:val="20"/>
        </w:rPr>
        <w:t>Design of 12-week Phase 2a IPF Trial</w:t>
      </w:r>
    </w:p>
    <w:p w:rsidR="00000000" w:rsidRDefault="00FD7D3C">
      <w:pPr>
        <w:jc w:val="center"/>
        <w:divId w:val="891815940"/>
        <w:rPr>
          <w:rFonts w:eastAsia="Times New Roman"/>
        </w:rPr>
      </w:pPr>
      <w:r>
        <w:rPr>
          <w:rFonts w:eastAsia="Times New Roman"/>
          <w:color w:val="000000"/>
          <w:sz w:val="20"/>
          <w:szCs w:val="20"/>
        </w:rPr>
        <w:t>15</w:t>
      </w:r>
    </w:p>
    <w:p w:rsidR="00000000" w:rsidRDefault="00FD7D3C">
      <w:pPr>
        <w:rPr>
          <w:rFonts w:eastAsia="Times New Roman"/>
        </w:rPr>
      </w:pPr>
      <w:r>
        <w:rPr>
          <w:rFonts w:eastAsia="Times New Roman"/>
        </w:rPr>
        <w:pict>
          <v:rect id="_x0000_i1050" style="width:0;height:1.5pt" o:hralign="center" o:hrstd="t" o:hr="t" fillcolor="#a0a0a0" stroked="f"/>
        </w:pict>
      </w:r>
    </w:p>
    <w:p w:rsidR="00000000" w:rsidRDefault="00FD7D3C">
      <w:pPr>
        <w:divId w:val="1519738740"/>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ind w:firstLine="1080"/>
        <w:divId w:val="1591769491"/>
        <w:rPr>
          <w:rFonts w:eastAsia="Times New Roman"/>
        </w:rPr>
      </w:pPr>
      <w:r>
        <w:rPr>
          <w:rFonts w:eastAsia="Times New Roman"/>
          <w:color w:val="231F20"/>
          <w:sz w:val="20"/>
          <w:szCs w:val="20"/>
        </w:rPr>
        <w:t>In our 12-week Phase 2a IPF trial, we will utilize QLF as a biomarker for early detection of changes in lung fibrosis. QLF is a fibrosis biomarker assessed using high resolution computerized tomography, or CT, imaging and utilizes quantit</w:t>
      </w:r>
      <w:r>
        <w:rPr>
          <w:rFonts w:eastAsia="Times New Roman"/>
          <w:color w:val="231F20"/>
          <w:sz w:val="20"/>
          <w:szCs w:val="20"/>
        </w:rPr>
        <w:t>ative image analysis to measure the density of lung tissue and quantify the volume of fibrosis present in the lung. QLF technology was developed by MedQIA, and has been evaluated in over 5,000 ILD patients, showing an ability to predict FVC decline in pati</w:t>
      </w:r>
      <w:r>
        <w:rPr>
          <w:rFonts w:eastAsia="Times New Roman"/>
          <w:color w:val="231F20"/>
          <w:sz w:val="20"/>
          <w:szCs w:val="20"/>
        </w:rPr>
        <w:t>ents with IPF. While we will measure both endpoints, we believe QLF may allow us to detect changes in lung fibrosis in a more specific way than FVC.</w:t>
      </w:r>
    </w:p>
    <w:p w:rsidR="00000000" w:rsidRDefault="00FD7D3C">
      <w:pPr>
        <w:ind w:firstLine="1080"/>
        <w:divId w:val="643045441"/>
        <w:rPr>
          <w:rFonts w:eastAsia="Times New Roman"/>
        </w:rPr>
      </w:pPr>
      <w:r>
        <w:rPr>
          <w:rFonts w:eastAsia="Times New Roman"/>
          <w:color w:val="231F20"/>
          <w:sz w:val="20"/>
          <w:szCs w:val="20"/>
        </w:rPr>
        <w:t>QLF has been utilized in recent clinical trials to evaluate early treatment effects in the amount of lung f</w:t>
      </w:r>
      <w:r>
        <w:rPr>
          <w:rFonts w:eastAsia="Times New Roman"/>
          <w:color w:val="231F20"/>
          <w:sz w:val="20"/>
          <w:szCs w:val="20"/>
        </w:rPr>
        <w:t>ibrosis present. In Biogen’s Phase 2a trial of BG00011, a mAb targeting αvß6, dose-dependent trends in QLF were seen at 8 weeks, with the 1 mg/kg cohort showing a decrease in the amount of fibrosis present with a r=-0.49 correlation to FVC.</w:t>
      </w:r>
    </w:p>
    <w:p w:rsidR="00000000" w:rsidRDefault="00FD7D3C">
      <w:pPr>
        <w:ind w:firstLine="1080"/>
        <w:divId w:val="62291487"/>
        <w:rPr>
          <w:rFonts w:eastAsia="Times New Roman"/>
        </w:rPr>
      </w:pPr>
      <w:r>
        <w:rPr>
          <w:rFonts w:eastAsia="Times New Roman"/>
          <w:color w:val="000000"/>
          <w:sz w:val="20"/>
          <w:szCs w:val="20"/>
        </w:rPr>
        <w:t>Additionally, F</w:t>
      </w:r>
      <w:r>
        <w:rPr>
          <w:rFonts w:eastAsia="Times New Roman"/>
          <w:color w:val="000000"/>
          <w:sz w:val="20"/>
          <w:szCs w:val="20"/>
        </w:rPr>
        <w:t xml:space="preserve">ibroGen utilized QLF in their Phase 2 trial of pamrevlumab, their anti-CTGF mAb, in IPF. FibroGen showed 71% and 50% reductions in progression of fibrosis versus placebo at 24 and 48 weeks, respectively, as measured by QLF. </w:t>
      </w:r>
    </w:p>
    <w:p w:rsidR="00000000" w:rsidRDefault="00FD7D3C">
      <w:pPr>
        <w:ind w:firstLine="1080"/>
        <w:divId w:val="505175651"/>
        <w:rPr>
          <w:rFonts w:eastAsia="Times New Roman"/>
        </w:rPr>
      </w:pPr>
      <w:r>
        <w:rPr>
          <w:rFonts w:eastAsia="Times New Roman"/>
          <w:color w:val="000000"/>
          <w:sz w:val="20"/>
          <w:szCs w:val="20"/>
        </w:rPr>
        <w:t>We are conducting a 12-week Pha</w:t>
      </w:r>
      <w:r>
        <w:rPr>
          <w:rFonts w:eastAsia="Times New Roman"/>
          <w:color w:val="000000"/>
          <w:sz w:val="20"/>
          <w:szCs w:val="20"/>
        </w:rPr>
        <w:t>se 2a randomized, double-blind, placebo-controlled trial of PLN-74809 in PSC patients. We are evaluating up to three cohort doses of PLN-74809 (40 mg, 80 mg or 160 mg) or placebo. This is a multinational trial with approximately 60 sites in the United Stat</w:t>
      </w:r>
      <w:r>
        <w:rPr>
          <w:rFonts w:eastAsia="Times New Roman"/>
          <w:color w:val="000000"/>
          <w:sz w:val="20"/>
          <w:szCs w:val="20"/>
        </w:rPr>
        <w:t>es, Canada, Australia, New Zealand and multiple countries in Europe. This trial is currently on track to complete enrollment by mid-2022, with data readout expected by late 2022 or early 2023.</w:t>
      </w:r>
    </w:p>
    <w:p w:rsidR="00000000" w:rsidRDefault="00FD7D3C">
      <w:pPr>
        <w:ind w:firstLine="1080"/>
        <w:jc w:val="center"/>
        <w:divId w:val="729114317"/>
        <w:rPr>
          <w:rFonts w:eastAsia="Times New Roman"/>
        </w:rPr>
      </w:pPr>
      <w:r>
        <w:rPr>
          <w:rFonts w:eastAsia="Times New Roman"/>
          <w:b/>
          <w:bCs/>
          <w:color w:val="000000"/>
          <w:sz w:val="20"/>
          <w:szCs w:val="20"/>
        </w:rPr>
        <w:t>12-Week Safety, PK, Biomarker Trial in PSC Patients</w:t>
      </w:r>
    </w:p>
    <w:p w:rsidR="00000000" w:rsidRDefault="00FD7D3C">
      <w:pPr>
        <w:ind w:firstLine="1080"/>
        <w:jc w:val="center"/>
        <w:divId w:val="1619143655"/>
        <w:rPr>
          <w:rFonts w:eastAsia="Times New Roman"/>
        </w:rPr>
      </w:pPr>
      <w:r>
        <w:rPr>
          <w:rFonts w:eastAsia="Times New Roman"/>
          <w:b/>
          <w:bCs/>
          <w:color w:val="000000"/>
          <w:sz w:val="20"/>
          <w:szCs w:val="20"/>
        </w:rPr>
        <w:t>Design of 12-week Phase 2a PSC trial</w:t>
      </w:r>
    </w:p>
    <w:p w:rsidR="00000000" w:rsidRDefault="00FD7D3C">
      <w:pPr>
        <w:spacing w:before="120"/>
        <w:jc w:val="center"/>
        <w:divId w:val="1368992949"/>
        <w:rPr>
          <w:rFonts w:eastAsia="Times New Roman"/>
        </w:rPr>
      </w:pPr>
      <w:r>
        <w:rPr>
          <w:rFonts w:eastAsia="Times New Roman"/>
          <w:noProof/>
        </w:rPr>
        <w:drawing>
          <wp:inline distT="0" distB="0" distL="0" distR="0">
            <wp:extent cx="304800" cy="3048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FD7D3C">
      <w:pPr>
        <w:ind w:firstLine="1080"/>
        <w:divId w:val="828326713"/>
        <w:rPr>
          <w:rFonts w:eastAsia="Times New Roman"/>
        </w:rPr>
      </w:pPr>
      <w:r>
        <w:rPr>
          <w:rFonts w:eastAsia="Times New Roman"/>
          <w:color w:val="000000"/>
          <w:sz w:val="20"/>
          <w:szCs w:val="20"/>
        </w:rPr>
        <w:t>The primary endpoints for our Phase 2a PSC trial will be safety and tol</w:t>
      </w:r>
      <w:r>
        <w:rPr>
          <w:rFonts w:eastAsia="Times New Roman"/>
          <w:color w:val="000000"/>
          <w:sz w:val="20"/>
          <w:szCs w:val="20"/>
        </w:rPr>
        <w:t xml:space="preserve">erability, as well as PK. We will also employ exploratory endpoints including fibrosis biomarkers including PRO-C3 and ELF, which are predictive of transplant-free survival in PSC patients, change in alkaline phosphatase and liver imaging. Regulators have </w:t>
      </w:r>
      <w:r>
        <w:rPr>
          <w:rFonts w:eastAsia="Times New Roman"/>
          <w:color w:val="000000"/>
          <w:sz w:val="20"/>
          <w:szCs w:val="20"/>
        </w:rPr>
        <w:t>suggested that composite endpoints including biomarkers such as alkaline phosphatase, PRO-C3 and ELF coupled with liver histology may support approval in PSC. Both Gilead and Dr. Falk Pharma are including liver histology as a primary endpoint in their resp</w:t>
      </w:r>
      <w:r>
        <w:rPr>
          <w:rFonts w:eastAsia="Times New Roman"/>
          <w:color w:val="000000"/>
          <w:sz w:val="20"/>
          <w:szCs w:val="20"/>
        </w:rPr>
        <w:t>ective Phase 3 PSC trials. NGM Biopharmaceuticals, Inc., or NGM, showed dose-dependent changes in PRO-C3 and ELF at 12 weeks in its Phase 2a PSC trial, with levels returning to baseline after the removal of treatment.</w:t>
      </w:r>
    </w:p>
    <w:p w:rsidR="00000000" w:rsidRDefault="00FD7D3C">
      <w:pPr>
        <w:ind w:firstLine="1080"/>
        <w:divId w:val="246697877"/>
        <w:rPr>
          <w:rFonts w:eastAsia="Times New Roman"/>
        </w:rPr>
      </w:pPr>
      <w:r>
        <w:rPr>
          <w:rFonts w:eastAsia="Times New Roman"/>
          <w:color w:val="000000"/>
          <w:sz w:val="20"/>
          <w:szCs w:val="20"/>
        </w:rPr>
        <w:t>We are also conducting an open-label t</w:t>
      </w:r>
      <w:r>
        <w:rPr>
          <w:rFonts w:eastAsia="Times New Roman"/>
          <w:color w:val="000000"/>
          <w:sz w:val="20"/>
          <w:szCs w:val="20"/>
        </w:rPr>
        <w:t>rial utilizing a PET ligand to αvß6 that allows imaging of target engagement by PLN-74809 in the lungs of IPF patients during treatment. Patients will receive a single dose of PLN-74809 across a dose range starting at 60 mg. We will obtain a PET scan at ba</w:t>
      </w:r>
      <w:r>
        <w:rPr>
          <w:rFonts w:eastAsia="Times New Roman"/>
          <w:color w:val="000000"/>
          <w:sz w:val="20"/>
          <w:szCs w:val="20"/>
        </w:rPr>
        <w:t>seline to evaluate αvß6 expression levels in the patients’ lungs and then initiate treatment with PLN-74809. A post-treatment PET scan will be performed at approximately three hours after administration of the dose, which will enable us to evaluate PLN-748</w:t>
      </w:r>
      <w:r>
        <w:rPr>
          <w:rFonts w:eastAsia="Times New Roman"/>
          <w:color w:val="000000"/>
          <w:sz w:val="20"/>
          <w:szCs w:val="20"/>
        </w:rPr>
        <w:t>09’s target engagement in patients’ lungs at maximum drug concentration. Images are analyzed for regions of high fibrotic activity, which are then evaluated for target engagement. Following completion of a standard washout period, patients may consent to r</w:t>
      </w:r>
      <w:r>
        <w:rPr>
          <w:rFonts w:eastAsia="Times New Roman"/>
          <w:color w:val="000000"/>
          <w:sz w:val="20"/>
          <w:szCs w:val="20"/>
        </w:rPr>
        <w:t>eceive a second dose of PLN-74809 at a different dose level followed by a second post-dose PET scan.</w:t>
      </w:r>
    </w:p>
    <w:p w:rsidR="00000000" w:rsidRDefault="00FD7D3C">
      <w:pPr>
        <w:ind w:firstLine="1080"/>
        <w:divId w:val="473328840"/>
        <w:rPr>
          <w:rFonts w:eastAsia="Times New Roman"/>
        </w:rPr>
      </w:pPr>
      <w:r>
        <w:rPr>
          <w:rFonts w:eastAsia="Times New Roman"/>
          <w:color w:val="000000"/>
          <w:sz w:val="20"/>
          <w:szCs w:val="20"/>
        </w:rPr>
        <w:t>When PLN-74809 binds to the αvß6 receptor, we would expect to see decreased PET ligand uptake in the lungs post-treatment when compared to pre-treatment le</w:t>
      </w:r>
      <w:r>
        <w:rPr>
          <w:rFonts w:eastAsia="Times New Roman"/>
          <w:color w:val="000000"/>
          <w:sz w:val="20"/>
          <w:szCs w:val="20"/>
        </w:rPr>
        <w:t>vels. The relationship between dose and target engagement is important to confirm penetration of PLN-74809 into fibrotic tissue, establish a PK/pharmacodynamic, or PD, relationship between PLN-74809 plasma exposure and αvß6 target engagement, link biologic</w:t>
      </w:r>
      <w:r>
        <w:rPr>
          <w:rFonts w:eastAsia="Times New Roman"/>
          <w:color w:val="000000"/>
          <w:sz w:val="20"/>
          <w:szCs w:val="20"/>
        </w:rPr>
        <w:t>al activity shown in Phase 1b healthy volunteer BAL study to αvß6 target engagement in IPF lungs and guide dose selection in future studies.</w:t>
      </w:r>
    </w:p>
    <w:p w:rsidR="00000000" w:rsidRDefault="00FD7D3C">
      <w:pPr>
        <w:jc w:val="center"/>
        <w:divId w:val="1449009347"/>
        <w:rPr>
          <w:rFonts w:eastAsia="Times New Roman"/>
        </w:rPr>
      </w:pPr>
      <w:r>
        <w:rPr>
          <w:rFonts w:eastAsia="Times New Roman"/>
          <w:color w:val="000000"/>
          <w:sz w:val="20"/>
          <w:szCs w:val="20"/>
        </w:rPr>
        <w:t>16</w:t>
      </w:r>
    </w:p>
    <w:p w:rsidR="00000000" w:rsidRDefault="00FD7D3C">
      <w:pPr>
        <w:rPr>
          <w:rFonts w:eastAsia="Times New Roman"/>
        </w:rPr>
      </w:pPr>
      <w:r>
        <w:rPr>
          <w:rFonts w:eastAsia="Times New Roman"/>
        </w:rPr>
        <w:pict>
          <v:rect id="_x0000_i1052" style="width:0;height:1.5pt" o:hralign="center" o:hrstd="t" o:hr="t" fillcolor="#a0a0a0" stroked="f"/>
        </w:pict>
      </w:r>
    </w:p>
    <w:p w:rsidR="00000000" w:rsidRDefault="00FD7D3C">
      <w:pPr>
        <w:divId w:val="153839969"/>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ind w:firstLine="1080"/>
        <w:divId w:val="825897208"/>
        <w:rPr>
          <w:rFonts w:eastAsia="Times New Roman"/>
        </w:rPr>
      </w:pPr>
      <w:r>
        <w:rPr>
          <w:rFonts w:eastAsia="Times New Roman"/>
          <w:color w:val="000000"/>
          <w:sz w:val="20"/>
          <w:szCs w:val="20"/>
        </w:rPr>
        <w:t>We announced positive interim results from the Phase 2a PET imaging trial of PLN-74809 in September 2021. Each patient across the four dose cohorts tested achieved target engagement levels of greater than 50% in the most fibrotic portions of their lungs af</w:t>
      </w:r>
      <w:r>
        <w:rPr>
          <w:rFonts w:eastAsia="Times New Roman"/>
          <w:color w:val="000000"/>
          <w:sz w:val="20"/>
          <w:szCs w:val="20"/>
        </w:rPr>
        <w:t>ter only one dose of PLN-74809. Target engagement of 50% was previously established in a Phase 1b trial as the threshold for predicted clinical anti-fibrotic effect. In addition, there was a dose- and plasma concentration-dependent response with the two hi</w:t>
      </w:r>
      <w:r>
        <w:rPr>
          <w:rFonts w:eastAsia="Times New Roman"/>
          <w:color w:val="000000"/>
          <w:sz w:val="20"/>
          <w:szCs w:val="20"/>
        </w:rPr>
        <w:t>ghest doses approaching target saturation. PLN-74809 was well tolerated in the trial with no serious adverse events reported. The interim data confirm that PLN-74809 penetrates the highly fibrotic lung tissue of IPF patients, and potently binds to its targ</w:t>
      </w:r>
      <w:r>
        <w:rPr>
          <w:rFonts w:eastAsia="Times New Roman"/>
          <w:color w:val="000000"/>
          <w:sz w:val="20"/>
          <w:szCs w:val="20"/>
        </w:rPr>
        <w:t>et. The data allow us to construct a full exposure curve model, decoding our ongoing Phase 2a trials and guiding future clinical development of PLN-74809.</w:t>
      </w:r>
    </w:p>
    <w:p w:rsidR="00000000" w:rsidRDefault="00FD7D3C">
      <w:pPr>
        <w:ind w:firstLine="1080"/>
        <w:divId w:val="700667782"/>
        <w:rPr>
          <w:rFonts w:eastAsia="Times New Roman"/>
        </w:rPr>
      </w:pPr>
      <w:r>
        <w:rPr>
          <w:rFonts w:eastAsia="Times New Roman"/>
          <w:color w:val="000000"/>
          <w:sz w:val="20"/>
          <w:szCs w:val="20"/>
        </w:rPr>
        <w:t>Four IPF patients were administered six single doses of PLN-74809 across cohorts of 60 mg, 120 mg, 24</w:t>
      </w:r>
      <w:r>
        <w:rPr>
          <w:rFonts w:eastAsia="Times New Roman"/>
          <w:color w:val="000000"/>
          <w:sz w:val="20"/>
          <w:szCs w:val="20"/>
        </w:rPr>
        <w:t>0 mg and 320 mg, generating a total of six patient scans. Single doses of 60 mg, 120 mg and 240 mg were predicted to achieve serum concentrations similar to those seen at Cmax at steady state for doses of 40 mg, 80 mg and 160 mg, respectively, which the Co</w:t>
      </w:r>
      <w:r>
        <w:rPr>
          <w:rFonts w:eastAsia="Times New Roman"/>
          <w:color w:val="000000"/>
          <w:sz w:val="20"/>
          <w:szCs w:val="20"/>
        </w:rPr>
        <w:t xml:space="preserve">mpany is studying as part of its ongoing Phase 2a INTEGRIS-IPF trial in IPF patients. Preliminary results are as follows: </w:t>
      </w:r>
    </w:p>
    <w:p w:rsidR="00000000" w:rsidRDefault="00FD7D3C">
      <w:pPr>
        <w:divId w:val="1115371433"/>
        <w:rPr>
          <w:rFonts w:eastAsia="Times New Roman"/>
        </w:rPr>
      </w:pPr>
      <w:r>
        <w:rPr>
          <w:rFonts w:eastAsia="Times New Roman"/>
          <w:i/>
          <w:iCs/>
          <w:color w:val="000000"/>
          <w:sz w:val="20"/>
          <w:szCs w:val="20"/>
        </w:rPr>
        <w:t>PLN-74809 Demonstrated Lung Penetration, with Greater than 50% Target Engagement Achieved in the Lungs of All IPF Patients Across All Dose Cohorts</w:t>
      </w:r>
    </w:p>
    <w:p w:rsidR="00000000" w:rsidRDefault="00FD7D3C">
      <w:pPr>
        <w:ind w:hanging="1260"/>
        <w:divId w:val="1980575609"/>
        <w:rPr>
          <w:rFonts w:eastAsia="Times New Roman"/>
        </w:rPr>
      </w:pPr>
      <w:r>
        <w:rPr>
          <w:rFonts w:eastAsia="Times New Roman"/>
          <w:color w:val="000000"/>
          <w:sz w:val="20"/>
          <w:szCs w:val="20"/>
        </w:rPr>
        <w:t>•Up to 98% target engagement of PLN-74809 achieved</w:t>
      </w:r>
    </w:p>
    <w:p w:rsidR="00000000" w:rsidRDefault="00FD7D3C">
      <w:pPr>
        <w:ind w:hanging="1260"/>
        <w:divId w:val="1522547282"/>
        <w:rPr>
          <w:rFonts w:eastAsia="Times New Roman"/>
        </w:rPr>
      </w:pPr>
      <w:r>
        <w:rPr>
          <w:rFonts w:eastAsia="Times New Roman"/>
          <w:color w:val="000000"/>
          <w:sz w:val="20"/>
          <w:szCs w:val="20"/>
        </w:rPr>
        <w:t xml:space="preserve">•Greater than 50% target engagement of PLN-74809 achieved </w:t>
      </w:r>
      <w:r>
        <w:rPr>
          <w:rFonts w:eastAsia="Times New Roman"/>
          <w:color w:val="000000"/>
          <w:sz w:val="20"/>
          <w:szCs w:val="20"/>
        </w:rPr>
        <w:t>across all doses</w:t>
      </w:r>
    </w:p>
    <w:p w:rsidR="00000000" w:rsidRDefault="00FD7D3C">
      <w:pPr>
        <w:ind w:firstLine="1080"/>
        <w:divId w:val="70085096"/>
        <w:rPr>
          <w:rFonts w:eastAsia="Times New Roman"/>
        </w:rPr>
      </w:pPr>
      <w:r>
        <w:rPr>
          <w:rFonts w:eastAsia="Times New Roman"/>
          <w:i/>
          <w:iCs/>
          <w:color w:val="000000"/>
          <w:sz w:val="20"/>
          <w:szCs w:val="20"/>
        </w:rPr>
        <w:t>Dose and Plasma Concentration Response Established</w:t>
      </w:r>
    </w:p>
    <w:p w:rsidR="00000000" w:rsidRDefault="00FD7D3C">
      <w:pPr>
        <w:ind w:hanging="1260"/>
        <w:divId w:val="415174508"/>
        <w:rPr>
          <w:rFonts w:eastAsia="Times New Roman"/>
        </w:rPr>
      </w:pPr>
      <w:r>
        <w:rPr>
          <w:rFonts w:eastAsia="Times New Roman"/>
          <w:color w:val="000000"/>
          <w:sz w:val="20"/>
          <w:szCs w:val="20"/>
        </w:rPr>
        <w:t>•PLN-74809 achieved a dose response across all single-doses from 60 mg to 320 mg</w:t>
      </w:r>
    </w:p>
    <w:p w:rsidR="00000000" w:rsidRDefault="00FD7D3C">
      <w:pPr>
        <w:ind w:hanging="1260"/>
        <w:divId w:val="871965513"/>
        <w:rPr>
          <w:rFonts w:eastAsia="Times New Roman"/>
        </w:rPr>
      </w:pPr>
      <w:r>
        <w:rPr>
          <w:rFonts w:eastAsia="Times New Roman"/>
          <w:color w:val="000000"/>
          <w:sz w:val="20"/>
          <w:szCs w:val="20"/>
        </w:rPr>
        <w:t>•Suggests target engagement levels along the entire exposure curve of PLN-74809</w:t>
      </w:r>
    </w:p>
    <w:p w:rsidR="00000000" w:rsidRDefault="00FD7D3C">
      <w:pPr>
        <w:ind w:hanging="1260"/>
        <w:divId w:val="757215436"/>
        <w:rPr>
          <w:rFonts w:eastAsia="Times New Roman"/>
        </w:rPr>
      </w:pPr>
      <w:r>
        <w:rPr>
          <w:rFonts w:eastAsia="Times New Roman"/>
          <w:color w:val="000000"/>
          <w:sz w:val="20"/>
          <w:szCs w:val="20"/>
        </w:rPr>
        <w:t>•Supports potential anti-fi</w:t>
      </w:r>
      <w:r>
        <w:rPr>
          <w:rFonts w:eastAsia="Times New Roman"/>
          <w:color w:val="000000"/>
          <w:sz w:val="20"/>
          <w:szCs w:val="20"/>
        </w:rPr>
        <w:t>brotic activity of PLN-74809 at the doses being evaluated in the ongoing Phase 2a INTEGRIS-IPF trial</w:t>
      </w:r>
    </w:p>
    <w:p w:rsidR="00000000" w:rsidRDefault="00FD7D3C">
      <w:pPr>
        <w:ind w:firstLine="1080"/>
        <w:divId w:val="642197714"/>
        <w:rPr>
          <w:rFonts w:eastAsia="Times New Roman"/>
        </w:rPr>
      </w:pPr>
      <w:r>
        <w:rPr>
          <w:rFonts w:eastAsia="Times New Roman"/>
          <w:i/>
          <w:iCs/>
          <w:color w:val="000000"/>
          <w:sz w:val="20"/>
          <w:szCs w:val="20"/>
        </w:rPr>
        <w:t>PLN-74809 Well-Tolerated Across All Doses</w:t>
      </w:r>
    </w:p>
    <w:p w:rsidR="00000000" w:rsidRDefault="00FD7D3C">
      <w:pPr>
        <w:ind w:hanging="1260"/>
        <w:divId w:val="221261214"/>
        <w:rPr>
          <w:rFonts w:eastAsia="Times New Roman"/>
        </w:rPr>
      </w:pPr>
      <w:r>
        <w:rPr>
          <w:rFonts w:eastAsia="Times New Roman"/>
          <w:color w:val="000000"/>
          <w:sz w:val="20"/>
          <w:szCs w:val="20"/>
        </w:rPr>
        <w:t>•No serious adverse events reported</w:t>
      </w:r>
    </w:p>
    <w:p w:rsidR="00000000" w:rsidRDefault="00FD7D3C">
      <w:pPr>
        <w:divId w:val="296373567"/>
        <w:rPr>
          <w:rFonts w:eastAsia="Times New Roman"/>
        </w:rPr>
      </w:pPr>
    </w:p>
    <w:p w:rsidR="00000000" w:rsidRDefault="00FD7D3C">
      <w:pPr>
        <w:spacing w:before="120"/>
        <w:jc w:val="center"/>
        <w:divId w:val="144204194"/>
        <w:rPr>
          <w:rFonts w:eastAsia="Times New Roman"/>
        </w:rPr>
      </w:pPr>
      <w:r>
        <w:rPr>
          <w:rFonts w:eastAsia="Times New Roman"/>
          <w:noProof/>
        </w:rPr>
        <w:drawing>
          <wp:inline distT="0" distB="0" distL="0" distR="0">
            <wp:extent cx="304800" cy="3048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FD7D3C">
      <w:pPr>
        <w:ind w:firstLine="1080"/>
        <w:jc w:val="center"/>
        <w:divId w:val="537819853"/>
        <w:rPr>
          <w:rFonts w:eastAsia="Times New Roman"/>
        </w:rPr>
      </w:pPr>
      <w:r>
        <w:rPr>
          <w:rFonts w:eastAsia="Times New Roman"/>
          <w:b/>
          <w:bCs/>
          <w:color w:val="000000"/>
          <w:sz w:val="20"/>
          <w:szCs w:val="20"/>
        </w:rPr>
        <w:t>PLN-74809 Percent Target Engagement Across Multiple Single-Dose Cohorts</w:t>
      </w:r>
    </w:p>
    <w:p w:rsidR="00000000" w:rsidRDefault="00FD7D3C">
      <w:pPr>
        <w:ind w:firstLine="1080"/>
        <w:divId w:val="922110041"/>
        <w:rPr>
          <w:rFonts w:eastAsia="Times New Roman"/>
        </w:rPr>
      </w:pPr>
      <w:r>
        <w:rPr>
          <w:rFonts w:eastAsia="Times New Roman"/>
          <w:i/>
          <w:iCs/>
          <w:color w:val="000000"/>
          <w:sz w:val="20"/>
          <w:szCs w:val="20"/>
        </w:rPr>
        <w:t>Other Potential Development Plans for PLN-74809 in Pulmonary and Hepatic Indications</w:t>
      </w:r>
    </w:p>
    <w:p w:rsidR="00000000" w:rsidRDefault="00FD7D3C">
      <w:pPr>
        <w:ind w:firstLine="1080"/>
        <w:divId w:val="441075316"/>
        <w:rPr>
          <w:rFonts w:eastAsia="Times New Roman"/>
        </w:rPr>
      </w:pPr>
      <w:r>
        <w:rPr>
          <w:rFonts w:eastAsia="Times New Roman"/>
          <w:color w:val="000000"/>
          <w:sz w:val="20"/>
          <w:szCs w:val="20"/>
        </w:rPr>
        <w:t>We are currently exploring</w:t>
      </w:r>
      <w:r>
        <w:rPr>
          <w:rFonts w:eastAsia="Times New Roman"/>
          <w:color w:val="000000"/>
          <w:sz w:val="20"/>
          <w:szCs w:val="20"/>
        </w:rPr>
        <w:t xml:space="preserve"> the potential effects of PLN-74809 in fibrotic diseases outside of IPF and PSC and may choose to explore the development of PLN-74809 in additional indications in the future. For example, we believe PLN-74809 could provide anti-fibrotic benefits in severa</w:t>
      </w:r>
      <w:r>
        <w:rPr>
          <w:rFonts w:eastAsia="Times New Roman"/>
          <w:color w:val="000000"/>
          <w:sz w:val="20"/>
          <w:szCs w:val="20"/>
        </w:rPr>
        <w:t xml:space="preserve">l pulmonary and hepatic fibrosis diseases where there is over-expression of αvß6, including pulmonary fibrosis associated with systemic sclerosis, pulmonary fibrosis associated with </w:t>
      </w:r>
    </w:p>
    <w:p w:rsidR="00000000" w:rsidRDefault="00FD7D3C">
      <w:pPr>
        <w:jc w:val="center"/>
        <w:divId w:val="1961719085"/>
        <w:rPr>
          <w:rFonts w:eastAsia="Times New Roman"/>
        </w:rPr>
      </w:pPr>
      <w:r>
        <w:rPr>
          <w:rFonts w:eastAsia="Times New Roman"/>
          <w:color w:val="000000"/>
          <w:sz w:val="20"/>
          <w:szCs w:val="20"/>
        </w:rPr>
        <w:t>17</w:t>
      </w:r>
    </w:p>
    <w:p w:rsidR="00000000" w:rsidRDefault="00FD7D3C">
      <w:pPr>
        <w:rPr>
          <w:rFonts w:eastAsia="Times New Roman"/>
        </w:rPr>
      </w:pPr>
      <w:r>
        <w:rPr>
          <w:rFonts w:eastAsia="Times New Roman"/>
        </w:rPr>
        <w:pict>
          <v:rect id="_x0000_i1054" style="width:0;height:1.5pt" o:hralign="center" o:hrstd="t" o:hr="t" fillcolor="#a0a0a0" stroked="f"/>
        </w:pict>
      </w:r>
    </w:p>
    <w:p w:rsidR="00000000" w:rsidRDefault="00FD7D3C">
      <w:pPr>
        <w:divId w:val="1003510172"/>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divId w:val="1101293695"/>
        <w:rPr>
          <w:rFonts w:eastAsia="Times New Roman"/>
        </w:rPr>
      </w:pPr>
      <w:r>
        <w:rPr>
          <w:rFonts w:eastAsia="Times New Roman"/>
          <w:color w:val="000000"/>
          <w:sz w:val="20"/>
          <w:szCs w:val="20"/>
        </w:rPr>
        <w:t>rheumatoid arthritis, pulmonary fibrosis associated with other forms of interstitial lung disease, primary biliary cholangitis, or PBC, biliary atresia and progressive familial intrahepatic cholestasis, or PFIC. Additionally, we believe that PLN-74809 coul</w:t>
      </w:r>
      <w:r>
        <w:rPr>
          <w:rFonts w:eastAsia="Times New Roman"/>
          <w:color w:val="000000"/>
          <w:sz w:val="20"/>
          <w:szCs w:val="20"/>
        </w:rPr>
        <w:t>d provide anti-fibrotic benefits in the setting of end-stage renal disease.</w:t>
      </w:r>
    </w:p>
    <w:p w:rsidR="00000000" w:rsidRDefault="00FD7D3C">
      <w:pPr>
        <w:ind w:firstLine="1080"/>
        <w:divId w:val="162666160"/>
        <w:rPr>
          <w:rFonts w:eastAsia="Times New Roman"/>
        </w:rPr>
      </w:pPr>
      <w:r>
        <w:rPr>
          <w:rFonts w:eastAsia="Times New Roman"/>
          <w:i/>
          <w:iCs/>
          <w:color w:val="000000"/>
          <w:sz w:val="20"/>
          <w:szCs w:val="20"/>
        </w:rPr>
        <w:t>Phase 1 Trials</w:t>
      </w:r>
    </w:p>
    <w:p w:rsidR="00000000" w:rsidRDefault="00FD7D3C">
      <w:pPr>
        <w:ind w:firstLine="1080"/>
        <w:divId w:val="1637756575"/>
        <w:rPr>
          <w:rFonts w:eastAsia="Times New Roman"/>
        </w:rPr>
      </w:pPr>
      <w:r>
        <w:rPr>
          <w:rFonts w:eastAsia="Times New Roman"/>
          <w:color w:val="000000"/>
          <w:sz w:val="20"/>
          <w:szCs w:val="20"/>
        </w:rPr>
        <w:t>We completed an extended Phase 1a first-in-human, or FIH, SAD/MAD and food effect clinical trial of PLN-74809 in healthy volunteers. In the SAD portion of the trial,</w:t>
      </w:r>
      <w:r>
        <w:rPr>
          <w:rFonts w:eastAsia="Times New Roman"/>
          <w:color w:val="000000"/>
          <w:sz w:val="20"/>
          <w:szCs w:val="20"/>
        </w:rPr>
        <w:t xml:space="preserve"> single doses of PLN-74809 were administered to 32 volunteers across four cohorts at doses of 15 mg, 30 mg, 50 mg and 75 mg. Eight additional volunteers in the SAD portion of the trial received placebo. In the MAD portion of the trial, PLN-74809 was admini</w:t>
      </w:r>
      <w:r>
        <w:rPr>
          <w:rFonts w:eastAsia="Times New Roman"/>
          <w:color w:val="000000"/>
          <w:sz w:val="20"/>
          <w:szCs w:val="20"/>
        </w:rPr>
        <w:t>stered orally to 27 volunteers, once-daily over 14 days at 10 mg, 20 mg, 40 mg. Six additional volunteers in the MAD portion of the trial received placebo. In the food effect part of the trial, PLN-74809 was administered to 12 volunteers, administered as a</w:t>
      </w:r>
      <w:r>
        <w:rPr>
          <w:rFonts w:eastAsia="Times New Roman"/>
          <w:color w:val="000000"/>
          <w:sz w:val="20"/>
          <w:szCs w:val="20"/>
        </w:rPr>
        <w:t xml:space="preserve"> single dose with and without food. PLN-74809 was shown to be well tolerated with no dose-related adverse events. All but two adverse events reported in the entire trial were mild except for a moderate adverse event of dental abscess (SAD, 30 mg dose cohor</w:t>
      </w:r>
      <w:r>
        <w:rPr>
          <w:rFonts w:eastAsia="Times New Roman"/>
          <w:color w:val="000000"/>
          <w:sz w:val="20"/>
          <w:szCs w:val="20"/>
        </w:rPr>
        <w:t>t) and a moderate adverse event of viral syndrome (MAD, 40 mg dose cohort). All adverse events resolved or recovered and no dose relationship for adverse events was observed. No notable findings were observed for laboratory abnormalities, vital signs, or E</w:t>
      </w:r>
      <w:r>
        <w:rPr>
          <w:rFonts w:eastAsia="Times New Roman"/>
          <w:color w:val="000000"/>
          <w:sz w:val="20"/>
          <w:szCs w:val="20"/>
        </w:rPr>
        <w:t>CG/telemetry.</w:t>
      </w:r>
    </w:p>
    <w:p w:rsidR="00000000" w:rsidRDefault="00FD7D3C">
      <w:pPr>
        <w:ind w:firstLine="720"/>
        <w:divId w:val="225378777"/>
        <w:rPr>
          <w:rFonts w:eastAsia="Times New Roman"/>
        </w:rPr>
      </w:pPr>
      <w:r>
        <w:rPr>
          <w:rFonts w:eastAsia="Times New Roman"/>
          <w:color w:val="000000"/>
          <w:sz w:val="20"/>
          <w:szCs w:val="20"/>
        </w:rPr>
        <w:t xml:space="preserve">Since completing the Phase 1 FIH trial, we have conducted a Phase 1 extended dose escalation trial evaluating PLN-74809 at higher doses. This was a randomized, double-blind, placebo-controlled trial evaluating safety and tolerability as well </w:t>
      </w:r>
      <w:r>
        <w:rPr>
          <w:rFonts w:eastAsia="Times New Roman"/>
          <w:color w:val="000000"/>
          <w:sz w:val="20"/>
          <w:szCs w:val="20"/>
        </w:rPr>
        <w:t>as PK in 96 healthy volunteers at single doses up to 640 mg and multiple doses up to 320 mg. The PK profile of the higher dose cohorts remained in line with previous cohorts, and PLN-74809 remained well tolerated with no serious adverse events or severe ad</w:t>
      </w:r>
      <w:r>
        <w:rPr>
          <w:rFonts w:eastAsia="Times New Roman"/>
          <w:color w:val="000000"/>
          <w:sz w:val="20"/>
          <w:szCs w:val="20"/>
        </w:rPr>
        <w:t>verse events reported in either cohort.</w:t>
      </w:r>
    </w:p>
    <w:p w:rsidR="00000000" w:rsidRDefault="00FD7D3C">
      <w:pPr>
        <w:jc w:val="center"/>
        <w:rPr>
          <w:rFonts w:eastAsia="Times New Roman"/>
        </w:rPr>
      </w:pPr>
      <w:r>
        <w:rPr>
          <w:rFonts w:eastAsia="Times New Roman"/>
          <w:noProof/>
        </w:rPr>
        <w:drawing>
          <wp:inline distT="0" distB="0" distL="0" distR="0">
            <wp:extent cx="304800" cy="3048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FD7D3C">
      <w:pPr>
        <w:jc w:val="center"/>
        <w:rPr>
          <w:rFonts w:eastAsia="Times New Roman"/>
        </w:rPr>
      </w:pPr>
      <w:r>
        <w:rPr>
          <w:rFonts w:eastAsia="Times New Roman"/>
          <w:b/>
          <w:bCs/>
          <w:color w:val="231F20"/>
          <w:sz w:val="20"/>
          <w:szCs w:val="20"/>
        </w:rPr>
        <w:t>Participants</w:t>
      </w:r>
      <w:r>
        <w:rPr>
          <w:rFonts w:eastAsia="Times New Roman"/>
          <w:b/>
          <w:bCs/>
          <w:color w:val="231F20"/>
        </w:rPr>
        <w:t xml:space="preserve"> </w:t>
      </w:r>
      <w:r>
        <w:rPr>
          <w:rFonts w:eastAsia="Times New Roman"/>
          <w:b/>
          <w:bCs/>
          <w:color w:val="231F20"/>
          <w:sz w:val="20"/>
          <w:szCs w:val="20"/>
        </w:rPr>
        <w:t>with Drug Related</w:t>
      </w:r>
      <w:r>
        <w:rPr>
          <w:rFonts w:eastAsia="Times New Roman"/>
          <w:b/>
          <w:bCs/>
          <w:color w:val="231F20"/>
        </w:rPr>
        <w:t xml:space="preserve"> </w:t>
      </w:r>
      <w:r>
        <w:rPr>
          <w:rFonts w:eastAsia="Times New Roman"/>
          <w:b/>
          <w:bCs/>
          <w:color w:val="231F20"/>
          <w:sz w:val="20"/>
          <w:szCs w:val="20"/>
        </w:rPr>
        <w:t>Adverse Events in PLN-74809</w:t>
      </w:r>
      <w:r>
        <w:rPr>
          <w:rFonts w:eastAsia="Times New Roman"/>
          <w:b/>
          <w:bCs/>
          <w:color w:val="231F20"/>
        </w:rPr>
        <w:t xml:space="preserve"> </w:t>
      </w:r>
      <w:r>
        <w:rPr>
          <w:rFonts w:eastAsia="Times New Roman"/>
          <w:b/>
          <w:bCs/>
          <w:color w:val="231F20"/>
          <w:sz w:val="20"/>
          <w:szCs w:val="20"/>
        </w:rPr>
        <w:t>in Phase 1</w:t>
      </w:r>
      <w:r>
        <w:rPr>
          <w:rFonts w:eastAsia="Times New Roman"/>
          <w:b/>
          <w:bCs/>
          <w:color w:val="231F20"/>
          <w:sz w:val="20"/>
          <w:szCs w:val="20"/>
        </w:rPr>
        <w:t>a Trials</w:t>
      </w:r>
    </w:p>
    <w:p w:rsidR="00000000" w:rsidRDefault="00FD7D3C">
      <w:pPr>
        <w:jc w:val="center"/>
        <w:divId w:val="2049186199"/>
        <w:rPr>
          <w:rFonts w:eastAsia="Times New Roman"/>
        </w:rPr>
      </w:pPr>
    </w:p>
    <w:p w:rsidR="00000000" w:rsidRDefault="00FD7D3C">
      <w:pPr>
        <w:spacing w:before="120"/>
        <w:jc w:val="center"/>
        <w:divId w:val="1065494866"/>
        <w:rPr>
          <w:rFonts w:eastAsia="Times New Roman"/>
        </w:rPr>
      </w:pPr>
      <w:r>
        <w:rPr>
          <w:rFonts w:eastAsia="Times New Roman"/>
          <w:noProof/>
        </w:rPr>
        <w:drawing>
          <wp:inline distT="0" distB="0" distL="0" distR="0">
            <wp:extent cx="304800" cy="3048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FD7D3C">
      <w:pPr>
        <w:ind w:firstLine="720"/>
        <w:jc w:val="center"/>
        <w:rPr>
          <w:rFonts w:eastAsia="Times New Roman"/>
        </w:rPr>
      </w:pPr>
      <w:r>
        <w:rPr>
          <w:rFonts w:eastAsia="Times New Roman"/>
          <w:b/>
          <w:bCs/>
          <w:color w:val="000000"/>
          <w:sz w:val="20"/>
          <w:szCs w:val="20"/>
        </w:rPr>
        <w:t xml:space="preserve">PLN-74809 MAD Steady-State </w:t>
      </w:r>
      <w:r>
        <w:rPr>
          <w:rFonts w:eastAsia="Times New Roman"/>
          <w:b/>
          <w:bCs/>
          <w:color w:val="000000"/>
          <w:sz w:val="20"/>
          <w:szCs w:val="20"/>
        </w:rPr>
        <w:t>C</w:t>
      </w:r>
      <w:r>
        <w:rPr>
          <w:rFonts w:eastAsia="Times New Roman"/>
          <w:b/>
          <w:bCs/>
          <w:color w:val="000000"/>
          <w:sz w:val="13"/>
          <w:szCs w:val="13"/>
        </w:rPr>
        <w:t>max</w:t>
      </w:r>
      <w:r>
        <w:rPr>
          <w:rFonts w:eastAsia="Times New Roman"/>
          <w:b/>
          <w:bCs/>
          <w:color w:val="000000"/>
          <w:sz w:val="13"/>
          <w:szCs w:val="13"/>
        </w:rPr>
        <w:t xml:space="preserve"> </w:t>
      </w:r>
      <w:r>
        <w:rPr>
          <w:rFonts w:eastAsia="Times New Roman"/>
          <w:b/>
          <w:bCs/>
          <w:color w:val="000000"/>
          <w:sz w:val="20"/>
          <w:szCs w:val="20"/>
        </w:rPr>
        <w:t>and AU</w:t>
      </w:r>
      <w:r>
        <w:rPr>
          <w:rFonts w:eastAsia="Times New Roman"/>
          <w:b/>
          <w:bCs/>
          <w:color w:val="000000"/>
          <w:sz w:val="20"/>
          <w:szCs w:val="20"/>
        </w:rPr>
        <w:t>C</w:t>
      </w:r>
      <w:r>
        <w:rPr>
          <w:rFonts w:eastAsia="Times New Roman"/>
          <w:b/>
          <w:bCs/>
          <w:color w:val="000000"/>
          <w:sz w:val="13"/>
          <w:szCs w:val="13"/>
        </w:rPr>
        <w:t>0-2</w:t>
      </w:r>
      <w:r>
        <w:rPr>
          <w:rFonts w:eastAsia="Times New Roman"/>
          <w:b/>
          <w:bCs/>
          <w:color w:val="000000"/>
          <w:sz w:val="13"/>
          <w:szCs w:val="13"/>
        </w:rPr>
        <w:t>4</w:t>
      </w:r>
    </w:p>
    <w:p w:rsidR="00000000" w:rsidRDefault="00FD7D3C">
      <w:pPr>
        <w:ind w:firstLine="1080"/>
        <w:divId w:val="1100106912"/>
        <w:rPr>
          <w:rFonts w:eastAsia="Times New Roman"/>
        </w:rPr>
      </w:pPr>
      <w:r>
        <w:rPr>
          <w:rFonts w:eastAsia="Times New Roman"/>
          <w:color w:val="231F20"/>
          <w:sz w:val="20"/>
          <w:szCs w:val="20"/>
        </w:rPr>
        <w:t xml:space="preserve">Additionally, PLN-74809 was well absorbed, and displayed a half-life of approximately 50 hours. PLN-74809 reached steady state plasma concentrations after seven days of dosing. Co-administration of PLN-74809 with </w:t>
      </w:r>
    </w:p>
    <w:p w:rsidR="00000000" w:rsidRDefault="00FD7D3C">
      <w:pPr>
        <w:jc w:val="center"/>
        <w:divId w:val="648872491"/>
        <w:rPr>
          <w:rFonts w:eastAsia="Times New Roman"/>
        </w:rPr>
      </w:pPr>
      <w:r>
        <w:rPr>
          <w:rFonts w:eastAsia="Times New Roman"/>
          <w:color w:val="000000"/>
          <w:sz w:val="20"/>
          <w:szCs w:val="20"/>
        </w:rPr>
        <w:t>18</w:t>
      </w:r>
    </w:p>
    <w:p w:rsidR="00000000" w:rsidRDefault="00FD7D3C">
      <w:pPr>
        <w:rPr>
          <w:rFonts w:eastAsia="Times New Roman"/>
        </w:rPr>
      </w:pPr>
      <w:r>
        <w:rPr>
          <w:rFonts w:eastAsia="Times New Roman"/>
        </w:rPr>
        <w:pict>
          <v:rect id="_x0000_i1057" style="width:0;height:1.5pt" o:hralign="center" o:hrstd="t" o:hr="t" fillcolor="#a0a0a0" stroked="f"/>
        </w:pict>
      </w:r>
    </w:p>
    <w:p w:rsidR="00000000" w:rsidRDefault="00FD7D3C">
      <w:pPr>
        <w:divId w:val="1003705825"/>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divId w:val="733309756"/>
        <w:rPr>
          <w:rFonts w:eastAsia="Times New Roman"/>
        </w:rPr>
      </w:pPr>
      <w:r>
        <w:rPr>
          <w:rFonts w:eastAsia="Times New Roman"/>
          <w:color w:val="231F20"/>
          <w:sz w:val="20"/>
          <w:szCs w:val="20"/>
        </w:rPr>
        <w:t>food decreased drug concentrations relative to the fasted state, with AUC decreasing by approximately 40 percent and Cmax by approximately 50 percent.</w:t>
      </w:r>
    </w:p>
    <w:p w:rsidR="00000000" w:rsidRDefault="00FD7D3C">
      <w:pPr>
        <w:ind w:firstLine="1080"/>
        <w:divId w:val="100537032"/>
        <w:rPr>
          <w:rFonts w:eastAsia="Times New Roman"/>
        </w:rPr>
      </w:pPr>
      <w:r>
        <w:rPr>
          <w:rFonts w:eastAsia="Times New Roman"/>
          <w:color w:val="231F20"/>
          <w:sz w:val="20"/>
          <w:szCs w:val="20"/>
        </w:rPr>
        <w:t xml:space="preserve">We have also completed a Phase </w:t>
      </w:r>
      <w:r>
        <w:rPr>
          <w:rFonts w:eastAsia="Times New Roman"/>
          <w:color w:val="231F20"/>
          <w:sz w:val="20"/>
          <w:szCs w:val="20"/>
        </w:rPr>
        <w:t xml:space="preserve">1b proof-of-mechanism trial in healthy volunteers. The purpose of this randomized, double-blind, ascending-dose, placebo-controlled trial was to evaluate PLN-74809’s ability to inhibit TGF-β activation in the lung as measured by pSMAD2 levels in pulmonary </w:t>
      </w:r>
      <w:r>
        <w:rPr>
          <w:rFonts w:eastAsia="Times New Roman"/>
          <w:color w:val="231F20"/>
          <w:sz w:val="20"/>
          <w:szCs w:val="20"/>
        </w:rPr>
        <w:t xml:space="preserve">alveolar macrophages collected from bronchoalveolar lavage, or BAL, fluid and to further characterize the PK/PD relationship in humans. </w:t>
      </w:r>
    </w:p>
    <w:p w:rsidR="00000000" w:rsidRDefault="00FD7D3C">
      <w:pPr>
        <w:ind w:firstLine="1080"/>
        <w:divId w:val="111674762"/>
        <w:rPr>
          <w:rFonts w:eastAsia="Times New Roman"/>
        </w:rPr>
      </w:pPr>
      <w:r>
        <w:rPr>
          <w:rFonts w:eastAsia="Times New Roman"/>
          <w:color w:val="231F20"/>
          <w:sz w:val="20"/>
          <w:szCs w:val="20"/>
        </w:rPr>
        <w:t>We enrolled 18 volunteers across four dose cohorts (each cohort randomized 3:1 active to placebo). Two cohorts were dos</w:t>
      </w:r>
      <w:r>
        <w:rPr>
          <w:rFonts w:eastAsia="Times New Roman"/>
          <w:color w:val="231F20"/>
          <w:sz w:val="20"/>
          <w:szCs w:val="20"/>
        </w:rPr>
        <w:t>ed at 20 mg once daily and two cohorts were dosed at 40 mg once daily. Volunteers underwent an initial BAL procedure prior to treatment to measure baseline pSMAD levels. They were then treated with PLN-74809 or placebo for seven days, after which they unde</w:t>
      </w:r>
      <w:r>
        <w:rPr>
          <w:rFonts w:eastAsia="Times New Roman"/>
          <w:color w:val="231F20"/>
          <w:sz w:val="20"/>
          <w:szCs w:val="20"/>
        </w:rPr>
        <w:t xml:space="preserve">rwent two additional BAL procedures to measure the amount of pSMAD reduction post-treatment at multiple time points. By utilizing two cohorts each for the 20 mg and 40 mg doses, we were able to measure pSMAD and drug levels at 4 different time points post </w:t>
      </w:r>
      <w:r>
        <w:rPr>
          <w:rFonts w:eastAsia="Times New Roman"/>
          <w:color w:val="231F20"/>
          <w:sz w:val="20"/>
          <w:szCs w:val="20"/>
        </w:rPr>
        <w:t>treatment for each dose (3-, 6-, 12- and 24-hours post-dose on day 7), allowing assessment of PK/PD relationship over a 24-hour period.</w:t>
      </w:r>
    </w:p>
    <w:p w:rsidR="00000000" w:rsidRDefault="00FD7D3C">
      <w:pPr>
        <w:ind w:firstLine="1080"/>
        <w:divId w:val="2033801076"/>
        <w:rPr>
          <w:rFonts w:eastAsia="Times New Roman"/>
        </w:rPr>
      </w:pPr>
      <w:r>
        <w:rPr>
          <w:rFonts w:eastAsia="Times New Roman"/>
          <w:color w:val="231F20"/>
          <w:sz w:val="20"/>
          <w:szCs w:val="20"/>
        </w:rPr>
        <w:t>In this Phase 1b trial, 16 participants completed pre- and post-treatment BAL procedures. Four out of six participants (</w:t>
      </w:r>
      <w:r>
        <w:rPr>
          <w:rFonts w:eastAsia="Times New Roman"/>
          <w:color w:val="231F20"/>
          <w:sz w:val="20"/>
          <w:szCs w:val="20"/>
        </w:rPr>
        <w:t>66%) receiving the high dose of PLN-74809 experienced mean reductions of 58.6% (6.9%) in pSMAD2 levels at six hours post-dose relative to baseline levels. Notably, all four of the volunteers in the high dose cohort with reductions in pSMAD2 levels also ach</w:t>
      </w:r>
      <w:r>
        <w:rPr>
          <w:rFonts w:eastAsia="Times New Roman"/>
          <w:color w:val="231F20"/>
          <w:sz w:val="20"/>
          <w:szCs w:val="20"/>
        </w:rPr>
        <w:t>ieved plasma concentrations of PLN-74809 corresponding to the predicted plasma protein adjusted IC50 of 700 ng/ml. The two volunteers in the high dose cohort who did not achieve these concentrations did not experience reductions in pSMAD2 levels. In the lo</w:t>
      </w:r>
      <w:r>
        <w:rPr>
          <w:rFonts w:eastAsia="Times New Roman"/>
          <w:color w:val="231F20"/>
          <w:sz w:val="20"/>
          <w:szCs w:val="20"/>
        </w:rPr>
        <w:t>w dose cohort, no volunteers achieved plasma protein adjusted IC50, and only one volunteer experienced significant reduction in pSMAD2 levels post treatment, relative to baseline levels. These results demonstrate PLN-74809’s effect on reducing TGF-β activa</w:t>
      </w:r>
      <w:r>
        <w:rPr>
          <w:rFonts w:eastAsia="Times New Roman"/>
          <w:color w:val="231F20"/>
          <w:sz w:val="20"/>
          <w:szCs w:val="20"/>
        </w:rPr>
        <w:t>tion in the lungs in a dose- and exposure-dependent manner, supporting a PK/PD relationship in humans. These data support the biological activity of PLN-74809 and guided dose selection and trial design of our ongoing Phase 2a trials.</w:t>
      </w:r>
    </w:p>
    <w:p w:rsidR="00000000" w:rsidRDefault="00FD7D3C">
      <w:pPr>
        <w:spacing w:before="120"/>
        <w:jc w:val="center"/>
        <w:divId w:val="216401370"/>
        <w:rPr>
          <w:rFonts w:eastAsia="Times New Roman"/>
        </w:rPr>
      </w:pPr>
      <w:r>
        <w:rPr>
          <w:rFonts w:eastAsia="Times New Roman"/>
          <w:noProof/>
        </w:rPr>
        <w:drawing>
          <wp:inline distT="0" distB="0" distL="0" distR="0">
            <wp:extent cx="304800" cy="3048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FD7D3C">
      <w:pPr>
        <w:ind w:firstLine="1080"/>
        <w:divId w:val="338194418"/>
        <w:rPr>
          <w:rFonts w:eastAsia="Times New Roman"/>
        </w:rPr>
      </w:pPr>
      <w:r>
        <w:rPr>
          <w:rFonts w:eastAsia="Times New Roman"/>
          <w:color w:val="000000"/>
          <w:sz w:val="20"/>
          <w:szCs w:val="20"/>
        </w:rPr>
        <w:t>Treatment with PLN-74809 was well tolerated with no drug-related adverse events. None of the adverse events reported were observed in more than one participant. In the 40 mg dose cohort, two trial participants discontinued treatment prematurely (one partic</w:t>
      </w:r>
      <w:r>
        <w:rPr>
          <w:rFonts w:eastAsia="Times New Roman"/>
          <w:color w:val="000000"/>
          <w:sz w:val="20"/>
          <w:szCs w:val="20"/>
        </w:rPr>
        <w:t>ipant receiving PLN-74809 and one receiving placebo) and did not undergo post-treatment BAL procedures; these participants were subsequently replaced.</w:t>
      </w:r>
    </w:p>
    <w:p w:rsidR="00000000" w:rsidRDefault="00FD7D3C">
      <w:pPr>
        <w:jc w:val="center"/>
        <w:divId w:val="1030646011"/>
        <w:rPr>
          <w:rFonts w:eastAsia="Times New Roman"/>
        </w:rPr>
      </w:pPr>
      <w:r>
        <w:rPr>
          <w:rFonts w:eastAsia="Times New Roman"/>
          <w:b/>
          <w:bCs/>
          <w:color w:val="000000"/>
          <w:sz w:val="20"/>
          <w:szCs w:val="20"/>
        </w:rPr>
        <w:t>Adverse Events Reported by Participants Receiving PLN-74809 in Phase 1b Trial</w:t>
      </w:r>
    </w:p>
    <w:tbl>
      <w:tblPr>
        <w:tblW w:w="4522" w:type="pct"/>
        <w:jc w:val="center"/>
        <w:tblCellMar>
          <w:top w:w="15" w:type="dxa"/>
          <w:left w:w="15" w:type="dxa"/>
          <w:bottom w:w="15" w:type="dxa"/>
          <w:right w:w="15" w:type="dxa"/>
        </w:tblCellMar>
        <w:tblLook w:val="04A0" w:firstRow="1" w:lastRow="0" w:firstColumn="1" w:lastColumn="0" w:noHBand="0" w:noVBand="1"/>
      </w:tblPr>
      <w:tblGrid>
        <w:gridCol w:w="60"/>
        <w:gridCol w:w="997"/>
        <w:gridCol w:w="36"/>
        <w:gridCol w:w="61"/>
        <w:gridCol w:w="4070"/>
        <w:gridCol w:w="37"/>
        <w:gridCol w:w="61"/>
        <w:gridCol w:w="997"/>
        <w:gridCol w:w="36"/>
        <w:gridCol w:w="61"/>
        <w:gridCol w:w="1060"/>
        <w:gridCol w:w="36"/>
      </w:tblGrid>
      <w:tr w:rsidR="00000000">
        <w:trPr>
          <w:divId w:val="1570385596"/>
          <w:jc w:val="center"/>
        </w:trPr>
        <w:tc>
          <w:tcPr>
            <w:tcW w:w="50" w:type="pct"/>
            <w:vAlign w:val="center"/>
            <w:hideMark/>
          </w:tcPr>
          <w:p w:rsidR="00000000" w:rsidRDefault="00FD7D3C">
            <w:pPr>
              <w:jc w:val="center"/>
              <w:rPr>
                <w:rFonts w:eastAsia="Times New Roman"/>
              </w:rPr>
            </w:pPr>
          </w:p>
        </w:tc>
        <w:tc>
          <w:tcPr>
            <w:tcW w:w="673"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2717"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673"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71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r>
      <w:tr w:rsidR="00000000">
        <w:trPr>
          <w:divId w:val="1570385596"/>
          <w:jc w:val="center"/>
        </w:trPr>
        <w:tc>
          <w:tcPr>
            <w:tcW w:w="0" w:type="auto"/>
            <w:gridSpan w:val="3"/>
            <w:tcBorders>
              <w:top w:val="single" w:sz="8" w:space="0" w:color="FFFFFF"/>
              <w:left w:val="single" w:sz="8" w:space="0" w:color="FFFFFF"/>
            </w:tcBorders>
            <w:shd w:val="clear" w:color="auto" w:fill="303B8D"/>
            <w:tcMar>
              <w:top w:w="30" w:type="dxa"/>
              <w:left w:w="20" w:type="dxa"/>
              <w:bottom w:w="30" w:type="dxa"/>
              <w:right w:w="20" w:type="dxa"/>
            </w:tcMar>
            <w:vAlign w:val="center"/>
            <w:hideMark/>
          </w:tcPr>
          <w:p w:rsidR="00000000" w:rsidRDefault="00FD7D3C">
            <w:pPr>
              <w:spacing w:after="100"/>
              <w:jc w:val="center"/>
              <w:rPr>
                <w:rFonts w:eastAsia="Times New Roman"/>
              </w:rPr>
            </w:pPr>
            <w:r>
              <w:rPr>
                <w:rFonts w:eastAsia="Times New Roman"/>
                <w:b/>
                <w:bCs/>
                <w:color w:val="FFFFFF"/>
                <w:sz w:val="20"/>
                <w:szCs w:val="20"/>
              </w:rPr>
              <w:t>Groups</w:t>
            </w:r>
          </w:p>
        </w:tc>
        <w:tc>
          <w:tcPr>
            <w:tcW w:w="0" w:type="auto"/>
            <w:gridSpan w:val="3"/>
            <w:tcBorders>
              <w:top w:val="single" w:sz="8" w:space="0" w:color="FFFFFF"/>
              <w:left w:val="single" w:sz="8" w:space="0" w:color="FFFFFF"/>
            </w:tcBorders>
            <w:shd w:val="clear" w:color="auto" w:fill="303B8D"/>
            <w:tcMar>
              <w:top w:w="30" w:type="dxa"/>
              <w:left w:w="20" w:type="dxa"/>
              <w:bottom w:w="30" w:type="dxa"/>
              <w:right w:w="20" w:type="dxa"/>
            </w:tcMar>
            <w:vAlign w:val="center"/>
            <w:hideMark/>
          </w:tcPr>
          <w:p w:rsidR="00000000" w:rsidRDefault="00FD7D3C">
            <w:pPr>
              <w:spacing w:after="100"/>
              <w:jc w:val="center"/>
              <w:rPr>
                <w:rFonts w:eastAsia="Times New Roman"/>
              </w:rPr>
            </w:pPr>
            <w:r>
              <w:rPr>
                <w:rFonts w:eastAsia="Times New Roman"/>
                <w:b/>
                <w:bCs/>
                <w:color w:val="FFFFFF"/>
                <w:sz w:val="20"/>
                <w:szCs w:val="20"/>
              </w:rPr>
              <w:t>Adverse Event</w:t>
            </w:r>
          </w:p>
        </w:tc>
        <w:tc>
          <w:tcPr>
            <w:tcW w:w="0" w:type="auto"/>
            <w:gridSpan w:val="3"/>
            <w:tcBorders>
              <w:top w:val="single" w:sz="8" w:space="0" w:color="FFFFFF"/>
              <w:left w:val="single" w:sz="8" w:space="0" w:color="FFFFFF"/>
            </w:tcBorders>
            <w:shd w:val="clear" w:color="auto" w:fill="303B8D"/>
            <w:tcMar>
              <w:top w:w="30" w:type="dxa"/>
              <w:left w:w="20" w:type="dxa"/>
              <w:bottom w:w="30" w:type="dxa"/>
              <w:right w:w="20" w:type="dxa"/>
            </w:tcMar>
            <w:vAlign w:val="center"/>
            <w:hideMark/>
          </w:tcPr>
          <w:p w:rsidR="00000000" w:rsidRDefault="00FD7D3C">
            <w:pPr>
              <w:spacing w:after="100"/>
              <w:jc w:val="center"/>
              <w:rPr>
                <w:rFonts w:eastAsia="Times New Roman"/>
              </w:rPr>
            </w:pPr>
            <w:r>
              <w:rPr>
                <w:rFonts w:eastAsia="Times New Roman"/>
                <w:b/>
                <w:bCs/>
                <w:color w:val="FFFFFF"/>
                <w:sz w:val="20"/>
                <w:szCs w:val="20"/>
              </w:rPr>
              <w:t>Severity</w:t>
            </w:r>
          </w:p>
        </w:tc>
        <w:tc>
          <w:tcPr>
            <w:tcW w:w="0" w:type="auto"/>
            <w:gridSpan w:val="3"/>
            <w:tcBorders>
              <w:top w:val="single" w:sz="8" w:space="0" w:color="FFFFFF"/>
              <w:left w:val="single" w:sz="8" w:space="0" w:color="FFFFFF"/>
              <w:right w:val="single" w:sz="8" w:space="0" w:color="FFFFFF"/>
            </w:tcBorders>
            <w:shd w:val="clear" w:color="auto" w:fill="303B8D"/>
            <w:tcMar>
              <w:top w:w="30" w:type="dxa"/>
              <w:left w:w="20" w:type="dxa"/>
              <w:bottom w:w="30" w:type="dxa"/>
              <w:right w:w="20" w:type="dxa"/>
            </w:tcMar>
            <w:vAlign w:val="center"/>
            <w:hideMark/>
          </w:tcPr>
          <w:p w:rsidR="00000000" w:rsidRDefault="00FD7D3C">
            <w:pPr>
              <w:spacing w:after="100"/>
              <w:jc w:val="center"/>
              <w:rPr>
                <w:rFonts w:eastAsia="Times New Roman"/>
              </w:rPr>
            </w:pPr>
            <w:r>
              <w:rPr>
                <w:rFonts w:eastAsia="Times New Roman"/>
                <w:b/>
                <w:bCs/>
                <w:color w:val="FFFFFF"/>
                <w:sz w:val="20"/>
                <w:szCs w:val="20"/>
              </w:rPr>
              <w:t>Drug Related?</w:t>
            </w:r>
          </w:p>
        </w:tc>
      </w:tr>
      <w:tr w:rsidR="00000000">
        <w:trPr>
          <w:divId w:val="1570385596"/>
          <w:trHeight w:val="300"/>
          <w:jc w:val="center"/>
        </w:trPr>
        <w:tc>
          <w:tcPr>
            <w:tcW w:w="0" w:type="auto"/>
            <w:gridSpan w:val="3"/>
            <w:vMerge w:val="restart"/>
            <w:tcBorders>
              <w:top w:val="single" w:sz="8" w:space="0" w:color="FFFFFF"/>
              <w:left w:val="single" w:sz="8" w:space="0" w:color="FFFFFF"/>
            </w:tcBorders>
            <w:shd w:val="clear" w:color="auto" w:fill="D2CEE4"/>
            <w:tcMar>
              <w:top w:w="30" w:type="dxa"/>
              <w:left w:w="20" w:type="dxa"/>
              <w:bottom w:w="30" w:type="dxa"/>
              <w:right w:w="20" w:type="dxa"/>
            </w:tcMar>
            <w:vAlign w:val="center"/>
            <w:hideMark/>
          </w:tcPr>
          <w:p w:rsidR="00000000" w:rsidRDefault="00FD7D3C">
            <w:pPr>
              <w:spacing w:after="100"/>
              <w:jc w:val="center"/>
              <w:rPr>
                <w:rFonts w:eastAsia="Times New Roman"/>
              </w:rPr>
            </w:pPr>
            <w:r>
              <w:rPr>
                <w:rFonts w:eastAsia="Times New Roman"/>
                <w:color w:val="000000"/>
                <w:sz w:val="20"/>
                <w:szCs w:val="20"/>
              </w:rPr>
              <w:t>(n = 6)</w:t>
            </w:r>
          </w:p>
        </w:tc>
        <w:tc>
          <w:tcPr>
            <w:tcW w:w="0" w:type="auto"/>
            <w:gridSpan w:val="3"/>
            <w:tcBorders>
              <w:top w:val="single" w:sz="8" w:space="0" w:color="FFFFFF"/>
              <w:left w:val="single" w:sz="8" w:space="0" w:color="FFFFFF"/>
            </w:tcBorders>
            <w:shd w:val="clear" w:color="auto" w:fill="D2CEE4"/>
            <w:tcMar>
              <w:top w:w="30" w:type="dxa"/>
              <w:left w:w="20" w:type="dxa"/>
              <w:bottom w:w="30" w:type="dxa"/>
              <w:right w:w="20" w:type="dxa"/>
            </w:tcMar>
            <w:vAlign w:val="center"/>
            <w:hideMark/>
          </w:tcPr>
          <w:p w:rsidR="00000000" w:rsidRDefault="00FD7D3C">
            <w:pPr>
              <w:spacing w:after="100"/>
              <w:jc w:val="center"/>
              <w:rPr>
                <w:rFonts w:eastAsia="Times New Roman"/>
              </w:rPr>
            </w:pPr>
            <w:r>
              <w:rPr>
                <w:rFonts w:eastAsia="Times New Roman"/>
                <w:color w:val="000000"/>
                <w:sz w:val="20"/>
                <w:szCs w:val="20"/>
              </w:rPr>
              <w:t>Deafness</w:t>
            </w:r>
            <w:r>
              <w:rPr>
                <w:rFonts w:eastAsia="Times New Roman"/>
                <w:color w:val="000000"/>
                <w:sz w:val="20"/>
                <w:szCs w:val="20"/>
              </w:rPr>
              <w:t xml:space="preserve"> </w:t>
            </w:r>
            <w:r>
              <w:rPr>
                <w:rFonts w:eastAsia="Times New Roman"/>
                <w:color w:val="000000"/>
                <w:sz w:val="13"/>
                <w:szCs w:val="13"/>
              </w:rPr>
              <w:t>a</w:t>
            </w:r>
          </w:p>
        </w:tc>
        <w:tc>
          <w:tcPr>
            <w:tcW w:w="0" w:type="auto"/>
            <w:gridSpan w:val="3"/>
            <w:tcBorders>
              <w:top w:val="single" w:sz="8" w:space="0" w:color="FFFFFF"/>
              <w:left w:val="single" w:sz="8" w:space="0" w:color="FFFFFF"/>
            </w:tcBorders>
            <w:shd w:val="clear" w:color="auto" w:fill="D2CEE4"/>
            <w:tcMar>
              <w:top w:w="30" w:type="dxa"/>
              <w:left w:w="20" w:type="dxa"/>
              <w:bottom w:w="30" w:type="dxa"/>
              <w:right w:w="20" w:type="dxa"/>
            </w:tcMar>
            <w:vAlign w:val="center"/>
            <w:hideMark/>
          </w:tcPr>
          <w:p w:rsidR="00000000" w:rsidRDefault="00FD7D3C">
            <w:pPr>
              <w:spacing w:after="100"/>
              <w:jc w:val="center"/>
              <w:rPr>
                <w:rFonts w:eastAsia="Times New Roman"/>
              </w:rPr>
            </w:pPr>
            <w:r>
              <w:rPr>
                <w:rFonts w:eastAsia="Times New Roman"/>
                <w:color w:val="000000"/>
                <w:sz w:val="20"/>
                <w:szCs w:val="20"/>
              </w:rPr>
              <w:t>Mild</w:t>
            </w:r>
          </w:p>
        </w:tc>
        <w:tc>
          <w:tcPr>
            <w:tcW w:w="0" w:type="auto"/>
            <w:gridSpan w:val="3"/>
            <w:tcBorders>
              <w:top w:val="single" w:sz="8" w:space="0" w:color="FFFFFF"/>
              <w:left w:val="single" w:sz="8" w:space="0" w:color="FFFFFF"/>
              <w:right w:val="single" w:sz="8" w:space="0" w:color="FFFFFF"/>
            </w:tcBorders>
            <w:shd w:val="clear" w:color="auto" w:fill="D2CEE4"/>
            <w:tcMar>
              <w:top w:w="30" w:type="dxa"/>
              <w:left w:w="20" w:type="dxa"/>
              <w:bottom w:w="30" w:type="dxa"/>
              <w:right w:w="20" w:type="dxa"/>
            </w:tcMar>
            <w:vAlign w:val="center"/>
            <w:hideMark/>
          </w:tcPr>
          <w:p w:rsidR="00000000" w:rsidRDefault="00FD7D3C">
            <w:pPr>
              <w:spacing w:after="100"/>
              <w:jc w:val="center"/>
              <w:rPr>
                <w:rFonts w:eastAsia="Times New Roman"/>
              </w:rPr>
            </w:pPr>
            <w:r>
              <w:rPr>
                <w:rFonts w:eastAsia="Times New Roman"/>
                <w:color w:val="000000"/>
                <w:sz w:val="20"/>
                <w:szCs w:val="20"/>
              </w:rPr>
              <w:t>No</w:t>
            </w:r>
          </w:p>
        </w:tc>
      </w:tr>
      <w:tr w:rsidR="00000000">
        <w:trPr>
          <w:divId w:val="1570385596"/>
          <w:trHeight w:val="300"/>
          <w:jc w:val="center"/>
        </w:trPr>
        <w:tc>
          <w:tcPr>
            <w:tcW w:w="0" w:type="auto"/>
            <w:gridSpan w:val="3"/>
            <w:vMerge/>
            <w:tcBorders>
              <w:top w:val="single" w:sz="8" w:space="0" w:color="FFFFFF"/>
              <w:left w:val="single" w:sz="8" w:space="0" w:color="FFFFFF"/>
            </w:tcBorders>
            <w:vAlign w:val="center"/>
            <w:hideMark/>
          </w:tcPr>
          <w:p w:rsidR="00000000" w:rsidRDefault="00FD7D3C">
            <w:pPr>
              <w:spacing w:after="100"/>
              <w:rPr>
                <w:rFonts w:eastAsia="Times New Roman"/>
              </w:rPr>
            </w:pPr>
          </w:p>
        </w:tc>
        <w:tc>
          <w:tcPr>
            <w:tcW w:w="0" w:type="auto"/>
            <w:gridSpan w:val="3"/>
            <w:tcBorders>
              <w:top w:val="single" w:sz="8" w:space="0" w:color="FFFFFF"/>
              <w:left w:val="single" w:sz="8" w:space="0" w:color="FFFFFF"/>
            </w:tcBorders>
            <w:shd w:val="clear" w:color="auto" w:fill="E9E8ED"/>
            <w:tcMar>
              <w:top w:w="30" w:type="dxa"/>
              <w:left w:w="20" w:type="dxa"/>
              <w:bottom w:w="30" w:type="dxa"/>
              <w:right w:w="20" w:type="dxa"/>
            </w:tcMar>
            <w:vAlign w:val="center"/>
            <w:hideMark/>
          </w:tcPr>
          <w:p w:rsidR="00000000" w:rsidRDefault="00FD7D3C">
            <w:pPr>
              <w:spacing w:after="100"/>
              <w:jc w:val="center"/>
              <w:rPr>
                <w:rFonts w:eastAsia="Times New Roman"/>
              </w:rPr>
            </w:pPr>
            <w:r>
              <w:rPr>
                <w:rFonts w:eastAsia="Times New Roman"/>
                <w:color w:val="000000"/>
                <w:sz w:val="20"/>
                <w:szCs w:val="20"/>
              </w:rPr>
              <w:t>Frequent Bowel Movements</w:t>
            </w:r>
          </w:p>
        </w:tc>
        <w:tc>
          <w:tcPr>
            <w:tcW w:w="0" w:type="auto"/>
            <w:gridSpan w:val="3"/>
            <w:tcBorders>
              <w:top w:val="single" w:sz="8" w:space="0" w:color="FFFFFF"/>
              <w:left w:val="single" w:sz="8" w:space="0" w:color="FFFFFF"/>
            </w:tcBorders>
            <w:shd w:val="clear" w:color="auto" w:fill="E9E8ED"/>
            <w:tcMar>
              <w:top w:w="30" w:type="dxa"/>
              <w:left w:w="20" w:type="dxa"/>
              <w:bottom w:w="30" w:type="dxa"/>
              <w:right w:w="20" w:type="dxa"/>
            </w:tcMar>
            <w:vAlign w:val="center"/>
            <w:hideMark/>
          </w:tcPr>
          <w:p w:rsidR="00000000" w:rsidRDefault="00FD7D3C">
            <w:pPr>
              <w:spacing w:after="100"/>
              <w:jc w:val="center"/>
              <w:rPr>
                <w:rFonts w:eastAsia="Times New Roman"/>
              </w:rPr>
            </w:pPr>
            <w:r>
              <w:rPr>
                <w:rFonts w:eastAsia="Times New Roman"/>
                <w:color w:val="000000"/>
                <w:sz w:val="20"/>
                <w:szCs w:val="20"/>
              </w:rPr>
              <w:t>Mild</w:t>
            </w:r>
          </w:p>
        </w:tc>
        <w:tc>
          <w:tcPr>
            <w:tcW w:w="0" w:type="auto"/>
            <w:gridSpan w:val="3"/>
            <w:tcBorders>
              <w:top w:val="single" w:sz="8" w:space="0" w:color="FFFFFF"/>
              <w:left w:val="single" w:sz="8" w:space="0" w:color="FFFFFF"/>
              <w:right w:val="single" w:sz="8" w:space="0" w:color="FFFFFF"/>
            </w:tcBorders>
            <w:shd w:val="clear" w:color="auto" w:fill="E9E8ED"/>
            <w:tcMar>
              <w:top w:w="30" w:type="dxa"/>
              <w:left w:w="20" w:type="dxa"/>
              <w:bottom w:w="30" w:type="dxa"/>
              <w:right w:w="20" w:type="dxa"/>
            </w:tcMar>
            <w:vAlign w:val="center"/>
            <w:hideMark/>
          </w:tcPr>
          <w:p w:rsidR="00000000" w:rsidRDefault="00FD7D3C">
            <w:pPr>
              <w:spacing w:after="100"/>
              <w:jc w:val="center"/>
              <w:rPr>
                <w:rFonts w:eastAsia="Times New Roman"/>
              </w:rPr>
            </w:pPr>
            <w:r>
              <w:rPr>
                <w:rFonts w:eastAsia="Times New Roman"/>
                <w:color w:val="000000"/>
                <w:sz w:val="20"/>
                <w:szCs w:val="20"/>
              </w:rPr>
              <w:t>No</w:t>
            </w:r>
          </w:p>
        </w:tc>
      </w:tr>
      <w:tr w:rsidR="00000000">
        <w:trPr>
          <w:divId w:val="1570385596"/>
          <w:trHeight w:val="300"/>
          <w:jc w:val="center"/>
        </w:trPr>
        <w:tc>
          <w:tcPr>
            <w:tcW w:w="0" w:type="auto"/>
            <w:gridSpan w:val="3"/>
            <w:vMerge/>
            <w:tcBorders>
              <w:top w:val="single" w:sz="8" w:space="0" w:color="FFFFFF"/>
              <w:left w:val="single" w:sz="8" w:space="0" w:color="FFFFFF"/>
            </w:tcBorders>
            <w:vAlign w:val="center"/>
            <w:hideMark/>
          </w:tcPr>
          <w:p w:rsidR="00000000" w:rsidRDefault="00FD7D3C">
            <w:pPr>
              <w:spacing w:after="100"/>
              <w:rPr>
                <w:rFonts w:eastAsia="Times New Roman"/>
              </w:rPr>
            </w:pPr>
          </w:p>
        </w:tc>
        <w:tc>
          <w:tcPr>
            <w:tcW w:w="0" w:type="auto"/>
            <w:gridSpan w:val="3"/>
            <w:tcBorders>
              <w:top w:val="single" w:sz="8" w:space="0" w:color="FFFFFF"/>
              <w:left w:val="single" w:sz="8" w:space="0" w:color="FFFFFF"/>
            </w:tcBorders>
            <w:shd w:val="clear" w:color="auto" w:fill="D2CEE4"/>
            <w:tcMar>
              <w:top w:w="30" w:type="dxa"/>
              <w:left w:w="20" w:type="dxa"/>
              <w:bottom w:w="30" w:type="dxa"/>
              <w:right w:w="20" w:type="dxa"/>
            </w:tcMar>
            <w:vAlign w:val="center"/>
            <w:hideMark/>
          </w:tcPr>
          <w:p w:rsidR="00000000" w:rsidRDefault="00FD7D3C">
            <w:pPr>
              <w:spacing w:after="100"/>
              <w:jc w:val="center"/>
              <w:rPr>
                <w:rFonts w:eastAsia="Times New Roman"/>
              </w:rPr>
            </w:pPr>
            <w:r>
              <w:rPr>
                <w:rFonts w:eastAsia="Times New Roman"/>
                <w:color w:val="000000"/>
                <w:sz w:val="20"/>
                <w:szCs w:val="20"/>
              </w:rPr>
              <w:t>Middle Ear Infusion</w:t>
            </w:r>
          </w:p>
        </w:tc>
        <w:tc>
          <w:tcPr>
            <w:tcW w:w="0" w:type="auto"/>
            <w:gridSpan w:val="3"/>
            <w:tcBorders>
              <w:top w:val="single" w:sz="8" w:space="0" w:color="FFFFFF"/>
              <w:left w:val="single" w:sz="8" w:space="0" w:color="FFFFFF"/>
            </w:tcBorders>
            <w:shd w:val="clear" w:color="auto" w:fill="D2CEE4"/>
            <w:tcMar>
              <w:top w:w="30" w:type="dxa"/>
              <w:left w:w="20" w:type="dxa"/>
              <w:bottom w:w="30" w:type="dxa"/>
              <w:right w:w="20" w:type="dxa"/>
            </w:tcMar>
            <w:vAlign w:val="center"/>
            <w:hideMark/>
          </w:tcPr>
          <w:p w:rsidR="00000000" w:rsidRDefault="00FD7D3C">
            <w:pPr>
              <w:spacing w:after="100"/>
              <w:jc w:val="center"/>
              <w:rPr>
                <w:rFonts w:eastAsia="Times New Roman"/>
              </w:rPr>
            </w:pPr>
            <w:r>
              <w:rPr>
                <w:rFonts w:eastAsia="Times New Roman"/>
                <w:color w:val="000000"/>
                <w:sz w:val="20"/>
                <w:szCs w:val="20"/>
              </w:rPr>
              <w:t>Mild</w:t>
            </w:r>
          </w:p>
        </w:tc>
        <w:tc>
          <w:tcPr>
            <w:tcW w:w="0" w:type="auto"/>
            <w:gridSpan w:val="3"/>
            <w:tcBorders>
              <w:top w:val="single" w:sz="8" w:space="0" w:color="FFFFFF"/>
              <w:left w:val="single" w:sz="8" w:space="0" w:color="FFFFFF"/>
              <w:right w:val="single" w:sz="8" w:space="0" w:color="FFFFFF"/>
            </w:tcBorders>
            <w:shd w:val="clear" w:color="auto" w:fill="D2CEE4"/>
            <w:tcMar>
              <w:top w:w="30" w:type="dxa"/>
              <w:left w:w="20" w:type="dxa"/>
              <w:bottom w:w="30" w:type="dxa"/>
              <w:right w:w="20" w:type="dxa"/>
            </w:tcMar>
            <w:vAlign w:val="center"/>
            <w:hideMark/>
          </w:tcPr>
          <w:p w:rsidR="00000000" w:rsidRDefault="00FD7D3C">
            <w:pPr>
              <w:spacing w:after="100"/>
              <w:jc w:val="center"/>
              <w:rPr>
                <w:rFonts w:eastAsia="Times New Roman"/>
              </w:rPr>
            </w:pPr>
            <w:r>
              <w:rPr>
                <w:rFonts w:eastAsia="Times New Roman"/>
                <w:color w:val="000000"/>
                <w:sz w:val="20"/>
                <w:szCs w:val="20"/>
              </w:rPr>
              <w:t>No</w:t>
            </w:r>
          </w:p>
        </w:tc>
      </w:tr>
      <w:tr w:rsidR="00000000">
        <w:trPr>
          <w:divId w:val="1570385596"/>
          <w:jc w:val="center"/>
        </w:trPr>
        <w:tc>
          <w:tcPr>
            <w:tcW w:w="0" w:type="auto"/>
            <w:gridSpan w:val="3"/>
            <w:tcBorders>
              <w:top w:val="single" w:sz="8" w:space="0" w:color="FFFFFF"/>
              <w:left w:val="single" w:sz="8" w:space="0" w:color="FFFFFF"/>
              <w:bottom w:val="single" w:sz="8" w:space="0" w:color="FFFFFF"/>
            </w:tcBorders>
            <w:shd w:val="clear" w:color="auto" w:fill="E9E8ED"/>
            <w:tcMar>
              <w:top w:w="30" w:type="dxa"/>
              <w:left w:w="20" w:type="dxa"/>
              <w:bottom w:w="30" w:type="dxa"/>
              <w:right w:w="20" w:type="dxa"/>
            </w:tcMar>
            <w:vAlign w:val="center"/>
            <w:hideMark/>
          </w:tcPr>
          <w:p w:rsidR="00000000" w:rsidRDefault="00FD7D3C">
            <w:pPr>
              <w:spacing w:after="100"/>
              <w:jc w:val="center"/>
              <w:rPr>
                <w:rFonts w:eastAsia="Times New Roman"/>
              </w:rPr>
            </w:pPr>
            <w:r>
              <w:rPr>
                <w:rFonts w:eastAsia="Times New Roman"/>
                <w:color w:val="000000"/>
                <w:sz w:val="20"/>
                <w:szCs w:val="20"/>
              </w:rPr>
              <w:t>(n = 7)</w:t>
            </w:r>
            <w:r>
              <w:rPr>
                <w:rFonts w:eastAsia="Times New Roman"/>
                <w:color w:val="000000"/>
                <w:sz w:val="20"/>
                <w:szCs w:val="20"/>
              </w:rPr>
              <w:t xml:space="preserve"> </w:t>
            </w:r>
            <w:r>
              <w:rPr>
                <w:rFonts w:eastAsia="Times New Roman"/>
                <w:color w:val="000000"/>
                <w:sz w:val="13"/>
                <w:szCs w:val="13"/>
              </w:rPr>
              <w:t>b</w:t>
            </w:r>
          </w:p>
        </w:tc>
        <w:tc>
          <w:tcPr>
            <w:tcW w:w="0" w:type="auto"/>
            <w:gridSpan w:val="3"/>
            <w:tcBorders>
              <w:top w:val="single" w:sz="8" w:space="0" w:color="FFFFFF"/>
              <w:left w:val="single" w:sz="8" w:space="0" w:color="FFFFFF"/>
              <w:bottom w:val="single" w:sz="8" w:space="0" w:color="FFFFFF"/>
            </w:tcBorders>
            <w:shd w:val="clear" w:color="auto" w:fill="E9E8ED"/>
            <w:tcMar>
              <w:top w:w="30" w:type="dxa"/>
              <w:left w:w="20" w:type="dxa"/>
              <w:bottom w:w="30" w:type="dxa"/>
              <w:right w:w="20" w:type="dxa"/>
            </w:tcMar>
            <w:vAlign w:val="center"/>
            <w:hideMark/>
          </w:tcPr>
          <w:p w:rsidR="00000000" w:rsidRDefault="00FD7D3C">
            <w:pPr>
              <w:spacing w:after="100"/>
              <w:jc w:val="center"/>
              <w:rPr>
                <w:rFonts w:eastAsia="Times New Roman"/>
              </w:rPr>
            </w:pPr>
            <w:r>
              <w:rPr>
                <w:rFonts w:eastAsia="Times New Roman"/>
                <w:color w:val="000000"/>
                <w:sz w:val="20"/>
                <w:szCs w:val="20"/>
              </w:rPr>
              <w:t>ECG QT Interval Elongated</w:t>
            </w:r>
            <w:r>
              <w:rPr>
                <w:rFonts w:eastAsia="Times New Roman"/>
                <w:color w:val="000000"/>
                <w:sz w:val="20"/>
                <w:szCs w:val="20"/>
              </w:rPr>
              <w:t xml:space="preserve"> </w:t>
            </w:r>
            <w:r>
              <w:rPr>
                <w:rFonts w:eastAsia="Times New Roman"/>
                <w:color w:val="000000"/>
                <w:sz w:val="13"/>
                <w:szCs w:val="13"/>
              </w:rPr>
              <w:t>c</w:t>
            </w:r>
          </w:p>
        </w:tc>
        <w:tc>
          <w:tcPr>
            <w:tcW w:w="0" w:type="auto"/>
            <w:gridSpan w:val="3"/>
            <w:tcBorders>
              <w:top w:val="single" w:sz="8" w:space="0" w:color="FFFFFF"/>
              <w:left w:val="single" w:sz="8" w:space="0" w:color="FFFFFF"/>
              <w:bottom w:val="single" w:sz="8" w:space="0" w:color="FFFFFF"/>
            </w:tcBorders>
            <w:shd w:val="clear" w:color="auto" w:fill="E9E8ED"/>
            <w:tcMar>
              <w:top w:w="30" w:type="dxa"/>
              <w:left w:w="20" w:type="dxa"/>
              <w:bottom w:w="30" w:type="dxa"/>
              <w:right w:w="20" w:type="dxa"/>
            </w:tcMar>
            <w:vAlign w:val="center"/>
            <w:hideMark/>
          </w:tcPr>
          <w:p w:rsidR="00000000" w:rsidRDefault="00FD7D3C">
            <w:pPr>
              <w:spacing w:after="100"/>
              <w:jc w:val="center"/>
              <w:rPr>
                <w:rFonts w:eastAsia="Times New Roman"/>
              </w:rPr>
            </w:pPr>
            <w:r>
              <w:rPr>
                <w:rFonts w:eastAsia="Times New Roman"/>
                <w:color w:val="000000"/>
                <w:sz w:val="20"/>
                <w:szCs w:val="20"/>
              </w:rPr>
              <w:t>Mild</w:t>
            </w:r>
          </w:p>
        </w:tc>
        <w:tc>
          <w:tcPr>
            <w:tcW w:w="0" w:type="auto"/>
            <w:gridSpan w:val="3"/>
            <w:tcBorders>
              <w:top w:val="single" w:sz="8" w:space="0" w:color="FFFFFF"/>
              <w:left w:val="single" w:sz="8" w:space="0" w:color="FFFFFF"/>
              <w:bottom w:val="single" w:sz="8" w:space="0" w:color="FFFFFF"/>
              <w:right w:val="single" w:sz="8" w:space="0" w:color="FFFFFF"/>
            </w:tcBorders>
            <w:shd w:val="clear" w:color="auto" w:fill="E9E8ED"/>
            <w:tcMar>
              <w:top w:w="30" w:type="dxa"/>
              <w:left w:w="20" w:type="dxa"/>
              <w:bottom w:w="30" w:type="dxa"/>
              <w:right w:w="20" w:type="dxa"/>
            </w:tcMar>
            <w:vAlign w:val="center"/>
            <w:hideMark/>
          </w:tcPr>
          <w:p w:rsidR="00000000" w:rsidRDefault="00FD7D3C">
            <w:pPr>
              <w:spacing w:after="100"/>
              <w:jc w:val="center"/>
              <w:rPr>
                <w:rFonts w:eastAsia="Times New Roman"/>
              </w:rPr>
            </w:pPr>
            <w:r>
              <w:rPr>
                <w:rFonts w:eastAsia="Times New Roman"/>
                <w:color w:val="000000"/>
                <w:sz w:val="20"/>
                <w:szCs w:val="20"/>
              </w:rPr>
              <w:t>No</w:t>
            </w:r>
          </w:p>
        </w:tc>
      </w:tr>
    </w:tbl>
    <w:p w:rsidR="00000000" w:rsidRDefault="00FD7D3C">
      <w:pPr>
        <w:divId w:val="1804469846"/>
        <w:rPr>
          <w:rFonts w:eastAsia="Times New Roman"/>
        </w:rPr>
      </w:pPr>
      <w:r>
        <w:rPr>
          <w:rFonts w:eastAsia="Times New Roman"/>
          <w:i/>
          <w:iCs/>
          <w:color w:val="000000"/>
          <w:sz w:val="18"/>
          <w:szCs w:val="18"/>
        </w:rPr>
        <w:t>a- Unilateral earwax for 6 hr on day 1; subject completed 7 days dosing without recurrence or additional adverse events.</w:t>
      </w:r>
    </w:p>
    <w:p w:rsidR="00000000" w:rsidRDefault="00FD7D3C">
      <w:pPr>
        <w:divId w:val="618100046"/>
        <w:rPr>
          <w:rFonts w:eastAsia="Times New Roman"/>
        </w:rPr>
      </w:pPr>
      <w:r>
        <w:rPr>
          <w:rFonts w:eastAsia="Times New Roman"/>
          <w:i/>
          <w:iCs/>
          <w:color w:val="000000"/>
          <w:sz w:val="18"/>
          <w:szCs w:val="18"/>
        </w:rPr>
        <w:t>b- One subject was replaced due to prolonged QT interval.</w:t>
      </w:r>
    </w:p>
    <w:p w:rsidR="00000000" w:rsidRDefault="00FD7D3C">
      <w:pPr>
        <w:divId w:val="1394354476"/>
        <w:rPr>
          <w:rFonts w:eastAsia="Times New Roman"/>
        </w:rPr>
      </w:pPr>
      <w:r>
        <w:rPr>
          <w:rFonts w:eastAsia="Times New Roman"/>
          <w:i/>
          <w:iCs/>
          <w:color w:val="000000"/>
          <w:sz w:val="18"/>
          <w:szCs w:val="18"/>
        </w:rPr>
        <w:t>c- ECG finding after first dose; baseline ECG abnormalities were already present.</w:t>
      </w:r>
    </w:p>
    <w:p w:rsidR="00000000" w:rsidRDefault="00FD7D3C">
      <w:pPr>
        <w:jc w:val="center"/>
        <w:divId w:val="109132807"/>
        <w:rPr>
          <w:rFonts w:eastAsia="Times New Roman"/>
        </w:rPr>
      </w:pPr>
      <w:r>
        <w:rPr>
          <w:rFonts w:eastAsia="Times New Roman"/>
          <w:color w:val="000000"/>
          <w:sz w:val="20"/>
          <w:szCs w:val="20"/>
        </w:rPr>
        <w:t>19</w:t>
      </w:r>
    </w:p>
    <w:p w:rsidR="00000000" w:rsidRDefault="00FD7D3C">
      <w:pPr>
        <w:rPr>
          <w:rFonts w:eastAsia="Times New Roman"/>
        </w:rPr>
      </w:pPr>
      <w:r>
        <w:rPr>
          <w:rFonts w:eastAsia="Times New Roman"/>
        </w:rPr>
        <w:pict>
          <v:rect id="_x0000_i1059" style="width:0;height:1.5pt" o:hralign="center" o:hrstd="t" o:hr="t" fillcolor="#a0a0a0" stroked="f"/>
        </w:pict>
      </w:r>
    </w:p>
    <w:p w:rsidR="00000000" w:rsidRDefault="00FD7D3C">
      <w:pPr>
        <w:divId w:val="1979649817"/>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ind w:firstLine="1080"/>
        <w:divId w:val="459081665"/>
        <w:rPr>
          <w:rFonts w:eastAsia="Times New Roman"/>
        </w:rPr>
      </w:pPr>
    </w:p>
    <w:p w:rsidR="00000000" w:rsidRDefault="00FD7D3C">
      <w:pPr>
        <w:ind w:firstLine="1080"/>
        <w:divId w:val="2090156913"/>
        <w:rPr>
          <w:rFonts w:eastAsia="Times New Roman"/>
        </w:rPr>
      </w:pPr>
      <w:r>
        <w:rPr>
          <w:rFonts w:eastAsia="Times New Roman"/>
          <w:color w:val="000000"/>
          <w:sz w:val="20"/>
          <w:szCs w:val="20"/>
        </w:rPr>
        <w:t>We conducted an expanded Phase 1b proof-of-mechanism trial evaluating the inhibition of TGF-β signaling as measured through relative pSmad2 le</w:t>
      </w:r>
      <w:r>
        <w:rPr>
          <w:rFonts w:eastAsia="Times New Roman"/>
          <w:color w:val="000000"/>
          <w:sz w:val="20"/>
          <w:szCs w:val="20"/>
        </w:rPr>
        <w:t>vels in alveolar macrophages collected through bronchioalveolar lavage (BAL) at 6 hours and 24 hours after the last dose in the lungs of healthy volunteers. The trial was conducted in two parts. Part 1 evaluated PLN-74809 at doses of 80 mg and 160 mg once-</w:t>
      </w:r>
      <w:r>
        <w:rPr>
          <w:rFonts w:eastAsia="Times New Roman"/>
          <w:color w:val="000000"/>
          <w:sz w:val="20"/>
          <w:szCs w:val="20"/>
        </w:rPr>
        <w:t>daily versus placebo and Part 2 evaluated PLN-74809 at 320 mg once-daily versus placebo. In addition to safety and pharmacokinetics, the trial evaluated PLN-74809's ability to suppress TGF-β activation in the lungs of healthy volunteers as measured through</w:t>
      </w:r>
      <w:r>
        <w:rPr>
          <w:rFonts w:eastAsia="Times New Roman"/>
          <w:color w:val="000000"/>
          <w:sz w:val="20"/>
          <w:szCs w:val="20"/>
        </w:rPr>
        <w:t xml:space="preserve"> relative pSmad2 levels in alveolar macrophages collected through bronchioalveolar lavage (BAL) at 6 hours and 24 hours after the last dose. pSmad2 is a marker of TGF-β activation. This trial further defines the relationship between plasma exposure of PLN-</w:t>
      </w:r>
      <w:r>
        <w:rPr>
          <w:rFonts w:eastAsia="Times New Roman"/>
          <w:color w:val="000000"/>
          <w:sz w:val="20"/>
          <w:szCs w:val="20"/>
        </w:rPr>
        <w:t xml:space="preserve">74809 and TGF-β inhibition in the lung and will guide dose selection in future trials. </w:t>
      </w:r>
    </w:p>
    <w:p w:rsidR="00000000" w:rsidRDefault="00FD7D3C">
      <w:pPr>
        <w:ind w:firstLine="1080"/>
        <w:divId w:val="1619951379"/>
        <w:rPr>
          <w:rFonts w:eastAsia="Times New Roman"/>
        </w:rPr>
      </w:pPr>
      <w:r>
        <w:rPr>
          <w:rFonts w:eastAsia="Times New Roman"/>
          <w:color w:val="000000"/>
          <w:sz w:val="20"/>
          <w:szCs w:val="20"/>
        </w:rPr>
        <w:t>All PLN-74809 treatment groups across Part 1 and Part 2 showed pSmad2 suppression relative to placebo at 6 hours and 24 hours.</w:t>
      </w:r>
    </w:p>
    <w:p w:rsidR="00000000" w:rsidRDefault="00FD7D3C">
      <w:pPr>
        <w:ind w:firstLine="1080"/>
        <w:jc w:val="center"/>
        <w:rPr>
          <w:rFonts w:eastAsia="Times New Roman"/>
        </w:rPr>
      </w:pPr>
      <w:r>
        <w:rPr>
          <w:rFonts w:eastAsia="Times New Roman"/>
          <w:noProof/>
        </w:rPr>
        <w:drawing>
          <wp:inline distT="0" distB="0" distL="0" distR="0">
            <wp:extent cx="304800" cy="30480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FD7D3C">
      <w:pPr>
        <w:ind w:firstLine="1080"/>
        <w:jc w:val="center"/>
        <w:rPr>
          <w:rFonts w:eastAsia="Times New Roman"/>
        </w:rPr>
      </w:pPr>
      <w:r>
        <w:rPr>
          <w:rFonts w:eastAsia="Times New Roman"/>
          <w:b/>
          <w:bCs/>
          <w:color w:val="000000"/>
          <w:sz w:val="20"/>
          <w:szCs w:val="20"/>
        </w:rPr>
        <w:t>pSmad2/Smad2 percentage change from baseline, delta versus placebo in Part 1 and Part 2</w:t>
      </w:r>
    </w:p>
    <w:p w:rsidR="00000000" w:rsidRDefault="00FD7D3C">
      <w:pPr>
        <w:ind w:firstLine="1080"/>
        <w:divId w:val="728112811"/>
        <w:rPr>
          <w:rFonts w:eastAsia="Times New Roman"/>
        </w:rPr>
      </w:pPr>
      <w:r>
        <w:rPr>
          <w:rFonts w:eastAsia="Times New Roman"/>
          <w:b/>
          <w:bCs/>
          <w:color w:val="000000"/>
          <w:sz w:val="20"/>
          <w:szCs w:val="20"/>
        </w:rPr>
        <w:t>Part 1</w:t>
      </w:r>
    </w:p>
    <w:p w:rsidR="00000000" w:rsidRDefault="00FD7D3C">
      <w:pPr>
        <w:ind w:firstLine="1080"/>
        <w:divId w:val="82650813"/>
        <w:rPr>
          <w:rFonts w:eastAsia="Times New Roman"/>
        </w:rPr>
      </w:pPr>
      <w:r>
        <w:rPr>
          <w:rFonts w:eastAsia="Times New Roman"/>
          <w:color w:val="000000"/>
          <w:sz w:val="20"/>
          <w:szCs w:val="20"/>
        </w:rPr>
        <w:t xml:space="preserve">PLN-74809 dosed at 80 mg once-daily demonstrated mean </w:t>
      </w:r>
      <w:r>
        <w:rPr>
          <w:rFonts w:eastAsia="Times New Roman"/>
          <w:color w:val="000000"/>
          <w:sz w:val="20"/>
          <w:szCs w:val="20"/>
        </w:rPr>
        <w:t>pSmad2 reductions of 41% and 37% from baseline at 6 and 24 hours, respectively, with up to 76% reduction seen at 24 hours. PLN-74809 dosed at 160 mg once-daily demonstrated pSmad2 reductions of 58% and 53% from baseline at 6 and 24 hours, respectively, wit</w:t>
      </w:r>
      <w:r>
        <w:rPr>
          <w:rFonts w:eastAsia="Times New Roman"/>
          <w:color w:val="000000"/>
          <w:sz w:val="20"/>
          <w:szCs w:val="20"/>
        </w:rPr>
        <w:t>h up to 92% reduction seen at 6 hours. Statistical significance (p &lt; 0.0001) was achieved at 24 hours for both the 80 mg and 160 mg doses when compared to placebo. Both the 80 mg and the 160 mg dose cohorts demonstrated exposures above the 50% target inhib</w:t>
      </w:r>
      <w:r>
        <w:rPr>
          <w:rFonts w:eastAsia="Times New Roman"/>
          <w:color w:val="000000"/>
          <w:sz w:val="20"/>
          <w:szCs w:val="20"/>
        </w:rPr>
        <w:t>itory concentration (IC50) of αvβ6 for 24 hours after dosing.</w:t>
      </w:r>
    </w:p>
    <w:p w:rsidR="00000000" w:rsidRDefault="00FD7D3C">
      <w:pPr>
        <w:divId w:val="1181047882"/>
        <w:rPr>
          <w:rFonts w:eastAsia="Times New Roman"/>
        </w:rPr>
      </w:pPr>
      <w:r>
        <w:rPr>
          <w:rFonts w:eastAsia="Times New Roman"/>
          <w:noProof/>
        </w:rPr>
        <w:drawing>
          <wp:inline distT="0" distB="0" distL="0" distR="0">
            <wp:extent cx="304800" cy="3048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W w:w="4931" w:type="pct"/>
        <w:tblCellMar>
          <w:top w:w="15" w:type="dxa"/>
          <w:left w:w="15" w:type="dxa"/>
          <w:bottom w:w="15" w:type="dxa"/>
          <w:right w:w="15" w:type="dxa"/>
        </w:tblCellMar>
        <w:tblLook w:val="04A0" w:firstRow="1" w:lastRow="0" w:firstColumn="1" w:lastColumn="0" w:noHBand="0" w:noVBand="1"/>
      </w:tblPr>
      <w:tblGrid>
        <w:gridCol w:w="68"/>
        <w:gridCol w:w="184"/>
        <w:gridCol w:w="36"/>
        <w:gridCol w:w="68"/>
        <w:gridCol w:w="3180"/>
        <w:gridCol w:w="36"/>
        <w:gridCol w:w="68"/>
        <w:gridCol w:w="286"/>
        <w:gridCol w:w="36"/>
        <w:gridCol w:w="68"/>
        <w:gridCol w:w="4125"/>
        <w:gridCol w:w="36"/>
      </w:tblGrid>
      <w:tr w:rsidR="00000000">
        <w:trPr>
          <w:divId w:val="375472290"/>
        </w:trPr>
        <w:tc>
          <w:tcPr>
            <w:tcW w:w="50" w:type="pct"/>
            <w:vAlign w:val="center"/>
            <w:hideMark/>
          </w:tcPr>
          <w:p w:rsidR="00000000" w:rsidRDefault="00FD7D3C">
            <w:pPr>
              <w:rPr>
                <w:rFonts w:eastAsia="Times New Roman"/>
              </w:rPr>
            </w:pPr>
          </w:p>
        </w:tc>
        <w:tc>
          <w:tcPr>
            <w:tcW w:w="121"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1949"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183"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252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r>
      <w:tr w:rsidR="00000000">
        <w:trPr>
          <w:divId w:val="375472290"/>
        </w:trPr>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FD7D3C">
            <w:pPr>
              <w:spacing w:after="100"/>
              <w:jc w:val="center"/>
              <w:rPr>
                <w:rFonts w:eastAsia="Times New Roman"/>
              </w:rPr>
            </w:pPr>
            <w:r>
              <w:rPr>
                <w:rFonts w:ascii="Calibri" w:eastAsia="Times New Roman" w:hAnsi="Calibri" w:cs="Calibri"/>
                <w:b/>
                <w:bCs/>
                <w:color w:val="000000"/>
                <w:sz w:val="20"/>
                <w:szCs w:val="20"/>
              </w:rPr>
              <w:t xml:space="preserve">Alveolar pSmad2/Smad2 Percentage </w:t>
            </w:r>
          </w:p>
          <w:p w:rsidR="00000000" w:rsidRDefault="00FD7D3C">
            <w:pPr>
              <w:spacing w:after="100"/>
              <w:jc w:val="center"/>
              <w:rPr>
                <w:rFonts w:eastAsia="Times New Roman"/>
              </w:rPr>
            </w:pPr>
            <w:r>
              <w:rPr>
                <w:rFonts w:ascii="Calibri" w:eastAsia="Times New Roman" w:hAnsi="Calibri" w:cs="Calibri"/>
                <w:b/>
                <w:bCs/>
                <w:color w:val="000000"/>
                <w:sz w:val="20"/>
                <w:szCs w:val="20"/>
              </w:rPr>
              <w:t xml:space="preserve">Change from Baseline at 24 hours </w:t>
            </w:r>
          </w:p>
          <w:p w:rsidR="00000000" w:rsidRDefault="00FD7D3C">
            <w:pPr>
              <w:spacing w:after="100"/>
              <w:jc w:val="center"/>
              <w:rPr>
                <w:rFonts w:eastAsia="Times New Roman"/>
              </w:rPr>
            </w:pPr>
            <w:r>
              <w:rPr>
                <w:rFonts w:ascii="Calibri" w:eastAsia="Times New Roman" w:hAnsi="Calibri" w:cs="Calibri"/>
                <w:b/>
                <w:bCs/>
                <w:color w:val="000000"/>
                <w:sz w:val="20"/>
                <w:szCs w:val="20"/>
              </w:rPr>
              <w:t>(Part 1: 80 mg and 160 mg)</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FD7D3C">
            <w:pPr>
              <w:spacing w:after="100"/>
              <w:jc w:val="center"/>
              <w:rPr>
                <w:rFonts w:eastAsia="Times New Roman"/>
              </w:rPr>
            </w:pPr>
            <w:r>
              <w:rPr>
                <w:rFonts w:ascii="Calibri" w:eastAsia="Times New Roman" w:hAnsi="Calibri" w:cs="Calibri"/>
                <w:b/>
                <w:bCs/>
                <w:color w:val="000000"/>
                <w:sz w:val="20"/>
                <w:szCs w:val="20"/>
              </w:rPr>
              <w:t xml:space="preserve">Mean PK/PD response </w:t>
            </w:r>
          </w:p>
          <w:p w:rsidR="00000000" w:rsidRDefault="00FD7D3C">
            <w:pPr>
              <w:spacing w:after="100"/>
              <w:jc w:val="center"/>
              <w:rPr>
                <w:rFonts w:eastAsia="Times New Roman"/>
              </w:rPr>
            </w:pPr>
            <w:r>
              <w:rPr>
                <w:rFonts w:ascii="Calibri" w:eastAsia="Times New Roman" w:hAnsi="Calibri" w:cs="Calibri"/>
                <w:b/>
                <w:bCs/>
                <w:color w:val="000000"/>
                <w:sz w:val="20"/>
                <w:szCs w:val="20"/>
              </w:rPr>
              <w:t>(Part 1: 80 mg and 160 mg)</w:t>
            </w:r>
          </w:p>
        </w:tc>
      </w:tr>
    </w:tbl>
    <w:p w:rsidR="00000000" w:rsidRDefault="00FD7D3C">
      <w:pPr>
        <w:divId w:val="623775689"/>
        <w:rPr>
          <w:rFonts w:eastAsia="Times New Roman"/>
        </w:rPr>
      </w:pPr>
    </w:p>
    <w:p w:rsidR="00000000" w:rsidRDefault="00FD7D3C">
      <w:pPr>
        <w:ind w:firstLine="1080"/>
        <w:divId w:val="824978946"/>
        <w:rPr>
          <w:rFonts w:eastAsia="Times New Roman"/>
        </w:rPr>
      </w:pPr>
      <w:r>
        <w:rPr>
          <w:rFonts w:eastAsia="Times New Roman"/>
          <w:b/>
          <w:bCs/>
          <w:color w:val="000000"/>
          <w:sz w:val="20"/>
          <w:szCs w:val="20"/>
        </w:rPr>
        <w:t>Part 2</w:t>
      </w:r>
    </w:p>
    <w:p w:rsidR="00000000" w:rsidRDefault="00FD7D3C">
      <w:pPr>
        <w:jc w:val="center"/>
        <w:divId w:val="499199215"/>
        <w:rPr>
          <w:rFonts w:eastAsia="Times New Roman"/>
        </w:rPr>
      </w:pPr>
      <w:r>
        <w:rPr>
          <w:rFonts w:eastAsia="Times New Roman"/>
          <w:color w:val="000000"/>
          <w:sz w:val="20"/>
          <w:szCs w:val="20"/>
        </w:rPr>
        <w:t>20</w:t>
      </w:r>
    </w:p>
    <w:p w:rsidR="00000000" w:rsidRDefault="00FD7D3C">
      <w:pPr>
        <w:rPr>
          <w:rFonts w:eastAsia="Times New Roman"/>
        </w:rPr>
      </w:pPr>
      <w:r>
        <w:rPr>
          <w:rFonts w:eastAsia="Times New Roman"/>
        </w:rPr>
        <w:pict>
          <v:rect id="_x0000_i1062" style="width:0;height:1.5pt" o:hralign="center" o:hrstd="t" o:hr="t" fillcolor="#a0a0a0" stroked="f"/>
        </w:pict>
      </w:r>
    </w:p>
    <w:p w:rsidR="00000000" w:rsidRDefault="00FD7D3C">
      <w:pPr>
        <w:divId w:val="32197581"/>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ind w:firstLine="1080"/>
        <w:divId w:val="600601856"/>
        <w:rPr>
          <w:rFonts w:eastAsia="Times New Roman"/>
        </w:rPr>
      </w:pPr>
      <w:r>
        <w:rPr>
          <w:rFonts w:eastAsia="Times New Roman"/>
          <w:color w:val="000000"/>
          <w:sz w:val="20"/>
          <w:szCs w:val="20"/>
        </w:rPr>
        <w:t>PLN-74809 dosed at 320 mg once-daily demonstrated a mean pSmad2 reduction of 46% from baseline at 6 hours and a mean increase of 16% from baseli</w:t>
      </w:r>
      <w:r>
        <w:rPr>
          <w:rFonts w:eastAsia="Times New Roman"/>
          <w:color w:val="000000"/>
          <w:sz w:val="20"/>
          <w:szCs w:val="20"/>
        </w:rPr>
        <w:t>ne at 24 hours. The placebo group experienced a mean pSmad2 reduction of 8% from baseline at 6 hours and a mean increase of 151% from baseline at 24 hours. At both timepoints in the PLN-74809 arm, pSmad2 levels decreased relative to placebo. The Part 2 tre</w:t>
      </w:r>
      <w:r>
        <w:rPr>
          <w:rFonts w:eastAsia="Times New Roman"/>
          <w:color w:val="000000"/>
          <w:sz w:val="20"/>
          <w:szCs w:val="20"/>
        </w:rPr>
        <w:t>ated group showed exposures above IC50 of αvβ6 for 24 hours after dosing.</w:t>
      </w:r>
    </w:p>
    <w:p w:rsidR="00000000" w:rsidRDefault="00FD7D3C">
      <w:pPr>
        <w:jc w:val="center"/>
        <w:rPr>
          <w:rFonts w:eastAsia="Times New Roman"/>
        </w:rPr>
      </w:pPr>
      <w:r>
        <w:rPr>
          <w:rFonts w:eastAsia="Times New Roman"/>
          <w:noProof/>
        </w:rPr>
        <w:drawing>
          <wp:inline distT="0" distB="0" distL="0" distR="0">
            <wp:extent cx="304800" cy="30480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FD7D3C">
      <w:pPr>
        <w:ind w:firstLine="1080"/>
        <w:jc w:val="center"/>
        <w:rPr>
          <w:rFonts w:eastAsia="Times New Roman"/>
        </w:rPr>
      </w:pPr>
      <w:r>
        <w:rPr>
          <w:rFonts w:eastAsia="Times New Roman"/>
          <w:b/>
          <w:bCs/>
          <w:color w:val="000000"/>
          <w:sz w:val="20"/>
          <w:szCs w:val="20"/>
        </w:rPr>
        <w:t>Alveolar pSmad2/Smad2 percentage change from baseline at 24 hours (Part 2: 320 mg)</w:t>
      </w:r>
    </w:p>
    <w:p w:rsidR="00000000" w:rsidRDefault="00FD7D3C">
      <w:pPr>
        <w:ind w:firstLine="1080"/>
        <w:divId w:val="495220426"/>
        <w:rPr>
          <w:rFonts w:eastAsia="Times New Roman"/>
        </w:rPr>
      </w:pPr>
      <w:r>
        <w:rPr>
          <w:rFonts w:eastAsia="Times New Roman"/>
          <w:color w:val="000000"/>
          <w:sz w:val="20"/>
          <w:szCs w:val="20"/>
        </w:rPr>
        <w:t>On Day 7 at 24 hours post dose, the placebo groups in both Part 1 and Part 2 showed mean pSm</w:t>
      </w:r>
      <w:r>
        <w:rPr>
          <w:rFonts w:eastAsia="Times New Roman"/>
          <w:color w:val="000000"/>
          <w:sz w:val="20"/>
          <w:szCs w:val="20"/>
        </w:rPr>
        <w:t>ad2 increases of 74% and 151%, respectively. These increases in pSmad2 may have been associated with the 6 hour BAL procedure. All PLN-74809 treatment groups showed pSmad2 suppression relative to placebo at 24 hours, suggesting that PLN-74809 treatment was</w:t>
      </w:r>
      <w:r>
        <w:rPr>
          <w:rFonts w:eastAsia="Times New Roman"/>
          <w:color w:val="000000"/>
          <w:sz w:val="20"/>
          <w:szCs w:val="20"/>
        </w:rPr>
        <w:t xml:space="preserve"> able to inhibit TGF-β activation triggered by BAL procedures. Acute phase response following BAL procedures has been previously described in healthy volunteers and patients.</w:t>
      </w:r>
    </w:p>
    <w:p w:rsidR="00000000" w:rsidRDefault="00FD7D3C">
      <w:pPr>
        <w:divId w:val="1050615862"/>
        <w:rPr>
          <w:rFonts w:eastAsia="Times New Roman"/>
        </w:rPr>
      </w:pPr>
      <w:r>
        <w:rPr>
          <w:rFonts w:eastAsia="Times New Roman"/>
          <w:noProof/>
        </w:rPr>
        <w:drawing>
          <wp:inline distT="0" distB="0" distL="0" distR="0">
            <wp:extent cx="304800" cy="30480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FD7D3C">
      <w:pPr>
        <w:ind w:firstLine="1080"/>
        <w:jc w:val="center"/>
        <w:rPr>
          <w:rFonts w:eastAsia="Times New Roman"/>
        </w:rPr>
      </w:pPr>
      <w:r>
        <w:rPr>
          <w:rFonts w:eastAsia="Times New Roman"/>
          <w:b/>
          <w:bCs/>
          <w:color w:val="000000"/>
          <w:sz w:val="20"/>
          <w:szCs w:val="20"/>
        </w:rPr>
        <w:t>Comparison of placebo and trial drug response in Part 1 and Part 2</w:t>
      </w:r>
    </w:p>
    <w:p w:rsidR="00000000" w:rsidRDefault="00FD7D3C">
      <w:pPr>
        <w:ind w:firstLine="1080"/>
        <w:divId w:val="1025330554"/>
        <w:rPr>
          <w:rFonts w:eastAsia="Times New Roman"/>
        </w:rPr>
      </w:pPr>
      <w:r>
        <w:rPr>
          <w:rFonts w:eastAsia="Times New Roman"/>
          <w:color w:val="000000"/>
          <w:sz w:val="20"/>
          <w:szCs w:val="20"/>
        </w:rPr>
        <w:t>PLN-74809 was well-tolerated with mostly mild adverse events, and no severe adverse events. There was no dose relationship</w:t>
      </w:r>
      <w:r>
        <w:rPr>
          <w:rFonts w:eastAsia="Times New Roman"/>
          <w:color w:val="000000"/>
          <w:sz w:val="20"/>
          <w:szCs w:val="20"/>
        </w:rPr>
        <w:t xml:space="preserve"> associated with adverse events, no serious adverse events (SAEs) and no treatment discontinuations due to adverse events. </w:t>
      </w:r>
    </w:p>
    <w:p w:rsidR="00000000" w:rsidRDefault="00FD7D3C">
      <w:pPr>
        <w:ind w:firstLine="1080"/>
        <w:divId w:val="1923176335"/>
        <w:rPr>
          <w:rFonts w:eastAsia="Times New Roman"/>
        </w:rPr>
      </w:pPr>
      <w:r>
        <w:rPr>
          <w:rFonts w:eastAsia="Times New Roman"/>
          <w:color w:val="000000"/>
          <w:sz w:val="20"/>
          <w:szCs w:val="20"/>
        </w:rPr>
        <w:t>As of February 2022, more than 450 study participants, including healthy volunteers and patients, with no drug-related serious adver</w:t>
      </w:r>
      <w:r>
        <w:rPr>
          <w:rFonts w:eastAsia="Times New Roman"/>
          <w:color w:val="000000"/>
          <w:sz w:val="20"/>
          <w:szCs w:val="20"/>
        </w:rPr>
        <w:t>se events or severe adverse advents reported to date. The most common treatment emergent adverse events, or TEAEs, in PLN-74809-treated volunteers were mild headache (12/184 [6.5%] participants) and mild constipation (6/184 [3.3%] participants).</w:t>
      </w:r>
    </w:p>
    <w:p w:rsidR="00000000" w:rsidRDefault="00FD7D3C">
      <w:pPr>
        <w:jc w:val="center"/>
        <w:divId w:val="936064430"/>
        <w:rPr>
          <w:rFonts w:eastAsia="Times New Roman"/>
        </w:rPr>
      </w:pPr>
      <w:r>
        <w:rPr>
          <w:rFonts w:eastAsia="Times New Roman"/>
          <w:color w:val="000000"/>
          <w:sz w:val="20"/>
          <w:szCs w:val="20"/>
        </w:rPr>
        <w:t>21</w:t>
      </w:r>
    </w:p>
    <w:p w:rsidR="00000000" w:rsidRDefault="00FD7D3C">
      <w:pPr>
        <w:rPr>
          <w:rFonts w:eastAsia="Times New Roman"/>
        </w:rPr>
      </w:pPr>
      <w:r>
        <w:rPr>
          <w:rFonts w:eastAsia="Times New Roman"/>
        </w:rPr>
        <w:pict>
          <v:rect id="_x0000_i1065" style="width:0;height:1.5pt" o:hralign="center" o:hrstd="t" o:hr="t" fillcolor="#a0a0a0" stroked="f"/>
        </w:pict>
      </w:r>
    </w:p>
    <w:p w:rsidR="00000000" w:rsidRDefault="00FD7D3C">
      <w:pPr>
        <w:divId w:val="943004471"/>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ind w:firstLine="1080"/>
        <w:divId w:val="463038075"/>
        <w:rPr>
          <w:rFonts w:eastAsia="Times New Roman"/>
        </w:rPr>
      </w:pPr>
      <w:r>
        <w:rPr>
          <w:rFonts w:eastAsia="Times New Roman"/>
          <w:color w:val="231F20"/>
          <w:sz w:val="20"/>
          <w:szCs w:val="20"/>
        </w:rPr>
        <w:t>We have developed a wholly-owned PET tracer of the protein integrin of αvß</w:t>
      </w:r>
      <w:r>
        <w:rPr>
          <w:rFonts w:eastAsia="Times New Roman"/>
          <w:color w:val="231F20"/>
          <w:sz w:val="20"/>
          <w:szCs w:val="20"/>
        </w:rPr>
        <w:t>1. We filed an IND in December 2020, and the FDA has since issued a “safe to proceed” letter. We plan to use this PET tracer to evaluate expression levels of αvß1 in various fibrotic tissues. Additionally, this tracer may allow us to evaluate tissue penetr</w:t>
      </w:r>
      <w:r>
        <w:rPr>
          <w:rFonts w:eastAsia="Times New Roman"/>
          <w:color w:val="231F20"/>
          <w:sz w:val="20"/>
          <w:szCs w:val="20"/>
        </w:rPr>
        <w:t>ation and target engagement of developmental candidates that bind αvß1, similar to the current Phase 2a PET trial we are running in IPF.</w:t>
      </w:r>
    </w:p>
    <w:p w:rsidR="00000000" w:rsidRDefault="00FD7D3C">
      <w:pPr>
        <w:ind w:firstLine="1080"/>
        <w:divId w:val="805201201"/>
        <w:rPr>
          <w:rFonts w:eastAsia="Times New Roman"/>
        </w:rPr>
      </w:pPr>
      <w:r>
        <w:rPr>
          <w:rFonts w:eastAsia="Times New Roman"/>
          <w:b/>
          <w:bCs/>
          <w:color w:val="000000"/>
          <w:sz w:val="20"/>
          <w:szCs w:val="20"/>
        </w:rPr>
        <w:t>PLN-1474 and NASH</w:t>
      </w:r>
    </w:p>
    <w:p w:rsidR="00000000" w:rsidRDefault="00FD7D3C">
      <w:pPr>
        <w:ind w:firstLine="1080"/>
        <w:divId w:val="638995559"/>
        <w:rPr>
          <w:rFonts w:eastAsia="Times New Roman"/>
        </w:rPr>
      </w:pPr>
      <w:r>
        <w:rPr>
          <w:rFonts w:eastAsia="Times New Roman"/>
          <w:color w:val="231F20"/>
          <w:sz w:val="20"/>
          <w:szCs w:val="20"/>
        </w:rPr>
        <w:t xml:space="preserve">PLN-1474 is a selective inhibitor of αvß1 integrin that is in development for the treatment of liver </w:t>
      </w:r>
      <w:r>
        <w:rPr>
          <w:rFonts w:eastAsia="Times New Roman"/>
          <w:color w:val="231F20"/>
          <w:sz w:val="20"/>
          <w:szCs w:val="20"/>
        </w:rPr>
        <w:t>fibrosis in patients with NASH. PLN-1474 is an orally bioavailable inhibitor that has shown anti-fibrotic activity in multiple animal models of liver fibrosis as well as in live human NASH fibrotic liver tissue. In October 2019, we entered into a license a</w:t>
      </w:r>
      <w:r>
        <w:rPr>
          <w:rFonts w:eastAsia="Times New Roman"/>
          <w:color w:val="231F20"/>
          <w:sz w:val="20"/>
          <w:szCs w:val="20"/>
        </w:rPr>
        <w:t>nd collaboration agreement with Novartis under which Novartis received global rights to develop and commercialize PLN-1474 the treatment of NASH associated liver fibrosis. We have completed a first-in-human, randomized, double-blind, placebo-controlled Pha</w:t>
      </w:r>
      <w:r>
        <w:rPr>
          <w:rFonts w:eastAsia="Times New Roman"/>
          <w:color w:val="231F20"/>
          <w:sz w:val="20"/>
          <w:szCs w:val="20"/>
        </w:rPr>
        <w:t xml:space="preserve">se 1 dose escalation trial of PLN-1474 that enrolled 84 healthy volunteers across single ascending dose and multiple ascending dose cohorts. Results showed that PLN-1474 was well tolerated with no dose- or treatment-limiting toxicities with adverse events </w:t>
      </w:r>
      <w:r>
        <w:rPr>
          <w:rFonts w:eastAsia="Times New Roman"/>
          <w:color w:val="231F20"/>
          <w:sz w:val="20"/>
          <w:szCs w:val="20"/>
        </w:rPr>
        <w:t>that were mostly mild with no severe or serious adverse events observed. The IND application for PLN-1474 was transferred to Novartis in the first quarter of 2021, and Novartis is responsible for all development, manufacturing and commercialization activit</w:t>
      </w:r>
      <w:r>
        <w:rPr>
          <w:rFonts w:eastAsia="Times New Roman"/>
          <w:color w:val="231F20"/>
          <w:sz w:val="20"/>
          <w:szCs w:val="20"/>
        </w:rPr>
        <w:t>ies.</w:t>
      </w:r>
    </w:p>
    <w:p w:rsidR="00000000" w:rsidRDefault="00FD7D3C">
      <w:pPr>
        <w:ind w:firstLine="1080"/>
        <w:divId w:val="431508452"/>
        <w:rPr>
          <w:rFonts w:eastAsia="Times New Roman"/>
        </w:rPr>
      </w:pPr>
      <w:r>
        <w:rPr>
          <w:rFonts w:eastAsia="Times New Roman"/>
          <w:b/>
          <w:bCs/>
          <w:i/>
          <w:iCs/>
          <w:color w:val="231F20"/>
          <w:sz w:val="20"/>
          <w:szCs w:val="20"/>
        </w:rPr>
        <w:t>Background on Liver Fibrosis and NASH</w:t>
      </w:r>
    </w:p>
    <w:p w:rsidR="00000000" w:rsidRDefault="00FD7D3C">
      <w:pPr>
        <w:ind w:firstLine="1080"/>
        <w:divId w:val="70129491"/>
        <w:rPr>
          <w:rFonts w:eastAsia="Times New Roman"/>
        </w:rPr>
      </w:pPr>
      <w:r>
        <w:rPr>
          <w:rFonts w:eastAsia="Times New Roman"/>
          <w:color w:val="231F20"/>
          <w:sz w:val="20"/>
          <w:szCs w:val="20"/>
        </w:rPr>
        <w:t>NASH is a severe form of non-alcoholic fatty liver disease, or NAFLD, that is associated with the development of liver fibrosis and potentially life-threatening liver dysfunction. NAFLD is characterized by increas</w:t>
      </w:r>
      <w:r>
        <w:rPr>
          <w:rFonts w:eastAsia="Times New Roman"/>
          <w:color w:val="231F20"/>
          <w:sz w:val="20"/>
          <w:szCs w:val="20"/>
        </w:rPr>
        <w:t>ed fat in the liver, or steatosis, and is believed to occur due to a combination of factors including high caloric diet, obesity and metabolic syndrome, type 2 diabetes mellitus and genetics. Early stages of the disease often have no symptoms other than sl</w:t>
      </w:r>
      <w:r>
        <w:rPr>
          <w:rFonts w:eastAsia="Times New Roman"/>
          <w:color w:val="231F20"/>
          <w:sz w:val="20"/>
          <w:szCs w:val="20"/>
        </w:rPr>
        <w:t>ightly elevated or fluctuating levels of liver enzymes in some patients.</w:t>
      </w:r>
    </w:p>
    <w:p w:rsidR="00000000" w:rsidRDefault="00FD7D3C">
      <w:pPr>
        <w:ind w:firstLine="1080"/>
        <w:divId w:val="1612322610"/>
        <w:rPr>
          <w:rFonts w:eastAsia="Times New Roman"/>
        </w:rPr>
      </w:pPr>
      <w:r>
        <w:rPr>
          <w:rFonts w:eastAsia="Times New Roman"/>
          <w:color w:val="231F20"/>
          <w:sz w:val="20"/>
          <w:szCs w:val="20"/>
        </w:rPr>
        <w:t>As excess fat builds up in the liver, it can cause inflammation and injury to the liver tissues. Over time, NASH can lead to fibrosis of the liver. Fibrosis can progress to cirrhosis,</w:t>
      </w:r>
      <w:r>
        <w:rPr>
          <w:rFonts w:eastAsia="Times New Roman"/>
          <w:color w:val="231F20"/>
          <w:sz w:val="20"/>
          <w:szCs w:val="20"/>
        </w:rPr>
        <w:t xml:space="preserve"> resulting in impaired liver function and increased risk of liver-related complications and mortality. </w:t>
      </w:r>
    </w:p>
    <w:p w:rsidR="00000000" w:rsidRDefault="00FD7D3C">
      <w:pPr>
        <w:ind w:firstLine="1080"/>
        <w:divId w:val="1809130460"/>
        <w:rPr>
          <w:rFonts w:eastAsia="Times New Roman"/>
        </w:rPr>
      </w:pPr>
      <w:r>
        <w:rPr>
          <w:rFonts w:eastAsia="Times New Roman"/>
          <w:color w:val="231F20"/>
          <w:sz w:val="20"/>
          <w:szCs w:val="20"/>
        </w:rPr>
        <w:t>It is estimated that 30 to 40 percent of adults in the United States have NAFLD and approximately 30 percent of these patients, or up to 12 percent of a</w:t>
      </w:r>
      <w:r>
        <w:rPr>
          <w:rFonts w:eastAsia="Times New Roman"/>
          <w:color w:val="231F20"/>
          <w:sz w:val="20"/>
          <w:szCs w:val="20"/>
        </w:rPr>
        <w:t xml:space="preserve">dults, will develop NASH. NASH is already highly prevalent, affecting approximately 16.5 million adults in the United States with approximately 3.3 million at stage F3/F4 liver fibrosis. NASH is a growing problem with U.S. cases expected to top 27 million </w:t>
      </w:r>
      <w:r>
        <w:rPr>
          <w:rFonts w:eastAsia="Times New Roman"/>
          <w:color w:val="231F20"/>
          <w:sz w:val="20"/>
          <w:szCs w:val="20"/>
        </w:rPr>
        <w:t>by 2030, with approximately eight million at stage F3/F4 liver fibrosis.</w:t>
      </w:r>
    </w:p>
    <w:p w:rsidR="00000000" w:rsidRDefault="00FD7D3C">
      <w:pPr>
        <w:ind w:firstLine="1080"/>
        <w:divId w:val="1347246664"/>
        <w:rPr>
          <w:rFonts w:eastAsia="Times New Roman"/>
        </w:rPr>
      </w:pPr>
      <w:r>
        <w:rPr>
          <w:rFonts w:eastAsia="Times New Roman"/>
          <w:b/>
          <w:bCs/>
          <w:color w:val="231F20"/>
          <w:sz w:val="20"/>
          <w:szCs w:val="20"/>
        </w:rPr>
        <w:t>Our Solution, PLN-1474</w:t>
      </w:r>
    </w:p>
    <w:p w:rsidR="00000000" w:rsidRDefault="00FD7D3C">
      <w:pPr>
        <w:ind w:firstLine="1080"/>
        <w:divId w:val="276185139"/>
        <w:rPr>
          <w:rFonts w:eastAsia="Times New Roman"/>
        </w:rPr>
      </w:pPr>
      <w:r>
        <w:rPr>
          <w:rFonts w:eastAsia="Times New Roman"/>
          <w:color w:val="231F20"/>
          <w:sz w:val="20"/>
          <w:szCs w:val="20"/>
        </w:rPr>
        <w:t xml:space="preserve">PLN-1474 is a bioavailable, small molecule, selective inhibitor of αvß1 mediated TGF-β activation. PLN-1474 is an anti-fibrotic therapy for patients with liver </w:t>
      </w:r>
      <w:r>
        <w:rPr>
          <w:rFonts w:eastAsia="Times New Roman"/>
          <w:color w:val="231F20"/>
          <w:sz w:val="20"/>
          <w:szCs w:val="20"/>
        </w:rPr>
        <w:t xml:space="preserve">fibrosis associated with NASH. We have shown that in human fibrotic liver tissue from patients with NASH that the levels of αvß1 are significantly elevated in tissue from patients with late-stage fibrotic disease. Overexpression of αvß1 is correlated with </w:t>
      </w:r>
      <w:r>
        <w:rPr>
          <w:rFonts w:eastAsia="Times New Roman"/>
          <w:color w:val="231F20"/>
          <w:sz w:val="20"/>
          <w:szCs w:val="20"/>
        </w:rPr>
        <w:t>TGF-β activation as measured by pSMAD3 levels. Therefore, we believe a single-selective inhibitor of αvß1 is a promising and differentiated approach to treating NASH associated liver fibrosis. In October 2019, we entered into a license and collaboration ag</w:t>
      </w:r>
      <w:r>
        <w:rPr>
          <w:rFonts w:eastAsia="Times New Roman"/>
          <w:color w:val="231F20"/>
          <w:sz w:val="20"/>
          <w:szCs w:val="20"/>
        </w:rPr>
        <w:t>reement with Novartis through which Novartis obtained a global license to PLN-1474. We have completed a Phase 1 trial of PLN-1474 in healthy volunteers with Novartis reimbursing us for all associated development activities. The IND application for PLN-1474</w:t>
      </w:r>
      <w:r>
        <w:rPr>
          <w:rFonts w:eastAsia="Times New Roman"/>
          <w:color w:val="231F20"/>
          <w:sz w:val="20"/>
          <w:szCs w:val="20"/>
        </w:rPr>
        <w:t xml:space="preserve"> was transferred to Novartis in the first quarter of 2021, and Novartis is responsible for all development, manufacturing and commercialization activities.</w:t>
      </w:r>
    </w:p>
    <w:p w:rsidR="00000000" w:rsidRDefault="00FD7D3C">
      <w:pPr>
        <w:ind w:firstLine="1080"/>
        <w:divId w:val="272517156"/>
        <w:rPr>
          <w:rFonts w:eastAsia="Times New Roman"/>
        </w:rPr>
      </w:pPr>
      <w:r>
        <w:rPr>
          <w:rFonts w:eastAsia="Times New Roman"/>
          <w:b/>
          <w:bCs/>
          <w:color w:val="231F20"/>
          <w:sz w:val="20"/>
          <w:szCs w:val="20"/>
        </w:rPr>
        <w:t>Applying our Fibrosis Expertise in Developing Additional Products</w:t>
      </w:r>
    </w:p>
    <w:p w:rsidR="00000000" w:rsidRDefault="00FD7D3C">
      <w:pPr>
        <w:ind w:firstLine="1080"/>
        <w:divId w:val="790052327"/>
        <w:rPr>
          <w:rFonts w:eastAsia="Times New Roman"/>
        </w:rPr>
      </w:pPr>
      <w:r>
        <w:rPr>
          <w:rFonts w:eastAsia="Times New Roman"/>
          <w:color w:val="231F20"/>
          <w:sz w:val="20"/>
          <w:szCs w:val="20"/>
        </w:rPr>
        <w:t xml:space="preserve">We are pursuing potential uses of </w:t>
      </w:r>
      <w:r>
        <w:rPr>
          <w:rFonts w:eastAsia="Times New Roman"/>
          <w:color w:val="231F20"/>
          <w:sz w:val="20"/>
          <w:szCs w:val="20"/>
        </w:rPr>
        <w:t>PLN-74809 in additional fibrotic indications. We use our precision cut human fibrotic tissue assays in addition to our animal model data to inform our clinical development programs and potentially select additional indications where we think our pipeline c</w:t>
      </w:r>
      <w:r>
        <w:rPr>
          <w:rFonts w:eastAsia="Times New Roman"/>
          <w:color w:val="231F20"/>
          <w:sz w:val="20"/>
          <w:szCs w:val="20"/>
        </w:rPr>
        <w:t>andidates could have an effect.</w:t>
      </w:r>
    </w:p>
    <w:p w:rsidR="00000000" w:rsidRDefault="00FD7D3C">
      <w:pPr>
        <w:ind w:firstLine="1080"/>
        <w:divId w:val="1522738535"/>
        <w:rPr>
          <w:rFonts w:eastAsia="Times New Roman"/>
        </w:rPr>
      </w:pPr>
      <w:r>
        <w:rPr>
          <w:rFonts w:eastAsia="Times New Roman"/>
          <w:color w:val="231F20"/>
          <w:sz w:val="20"/>
          <w:szCs w:val="20"/>
        </w:rPr>
        <w:t>Our mission is to advance the understanding of fibrosis by building a biology-, chemistry- and screening- based engine to drive drug development across the spectrum of fibrotic diseases. While our initial focus is on small m</w:t>
      </w:r>
      <w:r>
        <w:rPr>
          <w:rFonts w:eastAsia="Times New Roman"/>
          <w:color w:val="231F20"/>
          <w:sz w:val="20"/>
          <w:szCs w:val="20"/>
        </w:rPr>
        <w:t>olecule integrin inhibitors in lung and liver fibrosis, we are actively pursuing additional treatment modalities across fibrosis indications in multiple different organs. We have identified other potential non-integrin targets related to TGF-β signaling as</w:t>
      </w:r>
      <w:r>
        <w:rPr>
          <w:rFonts w:eastAsia="Times New Roman"/>
          <w:color w:val="231F20"/>
          <w:sz w:val="20"/>
          <w:szCs w:val="20"/>
        </w:rPr>
        <w:t xml:space="preserve"> well as other pathways across multiple fibrosis indications, such as regulators of epithelial-to-mesenchymal transition, a critical process in fibrosis. In addition, while our initial focus is on small molecule drug candidates, we are agnostic to treatmen</w:t>
      </w:r>
      <w:r>
        <w:rPr>
          <w:rFonts w:eastAsia="Times New Roman"/>
          <w:color w:val="231F20"/>
          <w:sz w:val="20"/>
          <w:szCs w:val="20"/>
        </w:rPr>
        <w:t>t modalities in the development of our pipeline.</w:t>
      </w:r>
    </w:p>
    <w:p w:rsidR="00000000" w:rsidRDefault="00FD7D3C">
      <w:pPr>
        <w:ind w:firstLine="1080"/>
        <w:divId w:val="1850365692"/>
        <w:rPr>
          <w:rFonts w:eastAsia="Times New Roman"/>
        </w:rPr>
      </w:pPr>
      <w:r>
        <w:rPr>
          <w:rFonts w:eastAsia="Times New Roman"/>
          <w:b/>
          <w:bCs/>
          <w:i/>
          <w:iCs/>
          <w:color w:val="231F20"/>
          <w:sz w:val="20"/>
          <w:szCs w:val="20"/>
        </w:rPr>
        <w:t>Our Oncology Program-TGF-β Signaling in the Tumor Microenvironment</w:t>
      </w:r>
    </w:p>
    <w:p w:rsidR="00000000" w:rsidRDefault="00FD7D3C">
      <w:pPr>
        <w:jc w:val="center"/>
        <w:divId w:val="321589838"/>
        <w:rPr>
          <w:rFonts w:eastAsia="Times New Roman"/>
        </w:rPr>
      </w:pPr>
      <w:r>
        <w:rPr>
          <w:rFonts w:eastAsia="Times New Roman"/>
          <w:color w:val="000000"/>
          <w:sz w:val="20"/>
          <w:szCs w:val="20"/>
        </w:rPr>
        <w:t>22</w:t>
      </w:r>
    </w:p>
    <w:p w:rsidR="00000000" w:rsidRDefault="00FD7D3C">
      <w:pPr>
        <w:rPr>
          <w:rFonts w:eastAsia="Times New Roman"/>
        </w:rPr>
      </w:pPr>
      <w:r>
        <w:rPr>
          <w:rFonts w:eastAsia="Times New Roman"/>
        </w:rPr>
        <w:pict>
          <v:rect id="_x0000_i1066" style="width:0;height:1.5pt" o:hralign="center" o:hrstd="t" o:hr="t" fillcolor="#a0a0a0" stroked="f"/>
        </w:pict>
      </w:r>
    </w:p>
    <w:p w:rsidR="00000000" w:rsidRDefault="00FD7D3C">
      <w:pPr>
        <w:divId w:val="1966153899"/>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ind w:firstLine="1080"/>
        <w:divId w:val="444422346"/>
        <w:rPr>
          <w:rFonts w:eastAsia="Times New Roman"/>
        </w:rPr>
      </w:pPr>
      <w:r>
        <w:rPr>
          <w:rFonts w:eastAsia="Times New Roman"/>
          <w:color w:val="231F20"/>
          <w:sz w:val="20"/>
          <w:szCs w:val="20"/>
        </w:rPr>
        <w:t>Over the past several ye</w:t>
      </w:r>
      <w:r>
        <w:rPr>
          <w:rFonts w:eastAsia="Times New Roman"/>
          <w:color w:val="231F20"/>
          <w:sz w:val="20"/>
          <w:szCs w:val="20"/>
        </w:rPr>
        <w:t>ars, the checkpoint inhibitor class of immuno-oncology drugs has changed the way many cancers are treated. Checkpoint inhibitors work to block signals that prevent the body’s immune system from recognizing tumor cells. By blocking checkpoint signals such a</w:t>
      </w:r>
      <w:r>
        <w:rPr>
          <w:rFonts w:eastAsia="Times New Roman"/>
          <w:color w:val="231F20"/>
          <w:sz w:val="20"/>
          <w:szCs w:val="20"/>
        </w:rPr>
        <w:t>s PD-1, these drugs have the ability to sensitize T-cells, allowing them to recognize and kill tumor cells. While checkpoint inhibitors have led to dramatic improvements in survival rates for certain cancer indications, there are still a significant propor</w:t>
      </w:r>
      <w:r>
        <w:rPr>
          <w:rFonts w:eastAsia="Times New Roman"/>
          <w:color w:val="231F20"/>
          <w:sz w:val="20"/>
          <w:szCs w:val="20"/>
        </w:rPr>
        <w:t>tion of patients who do not respond to the drugs. Much effort is being devoted to understanding the root causes of checkpoint inhibitor resistance.</w:t>
      </w:r>
    </w:p>
    <w:p w:rsidR="00000000" w:rsidRDefault="00FD7D3C">
      <w:pPr>
        <w:ind w:firstLine="1080"/>
        <w:divId w:val="1825387129"/>
        <w:rPr>
          <w:rFonts w:eastAsia="Times New Roman"/>
        </w:rPr>
      </w:pPr>
      <w:r>
        <w:rPr>
          <w:rFonts w:eastAsia="Times New Roman"/>
          <w:color w:val="231F20"/>
          <w:sz w:val="20"/>
          <w:szCs w:val="20"/>
        </w:rPr>
        <w:t>As TGF-β biology has been elucidated, it has become increasingly understood in the scientific literature tha</w:t>
      </w:r>
      <w:r>
        <w:rPr>
          <w:rFonts w:eastAsia="Times New Roman"/>
          <w:color w:val="231F20"/>
          <w:sz w:val="20"/>
          <w:szCs w:val="20"/>
        </w:rPr>
        <w:t xml:space="preserve">t TGF-β plays an important anti-inflammatory role in the tumor microenvironment. One of TGF-β’s core physiologic roles is an anti-inflammatory effect that it provides in the wound healing process. In the tumor microenvironment, however, certain integrins, </w:t>
      </w:r>
      <w:r>
        <w:rPr>
          <w:rFonts w:eastAsia="Times New Roman"/>
          <w:color w:val="231F20"/>
          <w:sz w:val="20"/>
          <w:szCs w:val="20"/>
        </w:rPr>
        <w:t>such as αvβ8, can be overexpressed on multiple different cell types, resulting in increased activation and signaling of TGF-β. This over activation of TGF-β can lead to a strong anti-inflammatory effect in the tumor microenvironment, resulting in decreased</w:t>
      </w:r>
      <w:r>
        <w:rPr>
          <w:rFonts w:eastAsia="Times New Roman"/>
          <w:color w:val="231F20"/>
          <w:sz w:val="20"/>
          <w:szCs w:val="20"/>
        </w:rPr>
        <w:t xml:space="preserve"> T-cell infiltration and decreased release of pro-inflammatory cytokines such as granzyme B and interferon g. This mechanism is becoming increasingly recognized as a potential cause of the resistance to checkpoint inhibitors such as anti-PD-1 therapies see</w:t>
      </w:r>
      <w:r>
        <w:rPr>
          <w:rFonts w:eastAsia="Times New Roman"/>
          <w:color w:val="231F20"/>
          <w:sz w:val="20"/>
          <w:szCs w:val="20"/>
        </w:rPr>
        <w:t>n in many tumors. We are targeting TGF-β activating integrins such as αvβ8 that are upregulated in certain tumors with the goal of removing the anti-inflammatory effect and, ultimately, sensitizing tumors to checkpoint inhibitors. This program has generate</w:t>
      </w:r>
      <w:r>
        <w:rPr>
          <w:rFonts w:eastAsia="Times New Roman"/>
          <w:color w:val="231F20"/>
          <w:sz w:val="20"/>
          <w:szCs w:val="20"/>
        </w:rPr>
        <w:t>d positive data in preclinical tumor models and our candidate is currently undergoing IND-enabling studies with IND submission expected by the end of 2022.</w:t>
      </w:r>
    </w:p>
    <w:p w:rsidR="00000000" w:rsidRDefault="00FD7D3C">
      <w:pPr>
        <w:spacing w:before="200"/>
        <w:jc w:val="center"/>
        <w:divId w:val="1535655002"/>
        <w:rPr>
          <w:rFonts w:eastAsia="Times New Roman"/>
        </w:rPr>
      </w:pPr>
      <w:r>
        <w:rPr>
          <w:rFonts w:eastAsia="Times New Roman"/>
          <w:noProof/>
        </w:rPr>
        <w:drawing>
          <wp:inline distT="0" distB="0" distL="0" distR="0">
            <wp:extent cx="304800" cy="30480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FD7D3C">
      <w:pPr>
        <w:ind w:firstLine="1080"/>
        <w:jc w:val="center"/>
        <w:divId w:val="1600874030"/>
        <w:rPr>
          <w:rFonts w:eastAsia="Times New Roman"/>
        </w:rPr>
      </w:pPr>
      <w:r>
        <w:rPr>
          <w:rFonts w:eastAsia="Times New Roman"/>
          <w:b/>
          <w:bCs/>
          <w:color w:val="231F20"/>
          <w:sz w:val="20"/>
          <w:szCs w:val="20"/>
        </w:rPr>
        <w:t>Int</w:t>
      </w:r>
      <w:r>
        <w:rPr>
          <w:rFonts w:eastAsia="Times New Roman"/>
          <w:b/>
          <w:bCs/>
          <w:color w:val="231F20"/>
          <w:sz w:val="20"/>
          <w:szCs w:val="20"/>
        </w:rPr>
        <w:t>egrin Upregulation in the Tumor Microenvironment</w:t>
      </w:r>
    </w:p>
    <w:p w:rsidR="00000000" w:rsidRDefault="00FD7D3C">
      <w:pPr>
        <w:ind w:firstLine="1080"/>
        <w:divId w:val="500898765"/>
        <w:rPr>
          <w:rFonts w:eastAsia="Times New Roman"/>
        </w:rPr>
      </w:pPr>
      <w:r>
        <w:rPr>
          <w:rFonts w:eastAsia="Times New Roman"/>
          <w:color w:val="231F20"/>
          <w:sz w:val="20"/>
          <w:szCs w:val="20"/>
        </w:rPr>
        <w:t>We are developing small molecule inhibitors against αvβ8 as well as other TGF-β-activating integrins that have been shown to be upregulated in the tumor microenvironment. We have shown in an EMT6 anti-PD-1 r</w:t>
      </w:r>
      <w:r>
        <w:rPr>
          <w:rFonts w:eastAsia="Times New Roman"/>
          <w:color w:val="231F20"/>
          <w:sz w:val="20"/>
          <w:szCs w:val="20"/>
        </w:rPr>
        <w:t>esistant tumor mouse model that our small molecule inhibitors of αvβ8-mediated TGF-β activation are able to sensitize tumors to anti-PD-1 therapy and extend survival. We have shown in an EMT6 pancreatic cancer model that tumor growth inhibition by our lead</w:t>
      </w:r>
      <w:r>
        <w:rPr>
          <w:rFonts w:eastAsia="Times New Roman"/>
          <w:color w:val="231F20"/>
          <w:sz w:val="20"/>
          <w:szCs w:val="20"/>
        </w:rPr>
        <w:t xml:space="preserve"> αvβ8 and αvβ1 is significantly greater than what can be seen with an anti- αvβ8 antibody. Additionally, our molecules perform similarly to monoclonal antibodies against the αvß8 integrin receptor. We are currently in preclinical stage of our oncology prog</w:t>
      </w:r>
      <w:r>
        <w:rPr>
          <w:rFonts w:eastAsia="Times New Roman"/>
          <w:color w:val="231F20"/>
          <w:sz w:val="20"/>
          <w:szCs w:val="20"/>
        </w:rPr>
        <w:t>ram.</w:t>
      </w:r>
    </w:p>
    <w:p w:rsidR="00000000" w:rsidRDefault="00FD7D3C">
      <w:pPr>
        <w:jc w:val="center"/>
        <w:divId w:val="446582544"/>
        <w:rPr>
          <w:rFonts w:eastAsia="Times New Roman"/>
        </w:rPr>
      </w:pPr>
      <w:r>
        <w:rPr>
          <w:rFonts w:eastAsia="Times New Roman"/>
          <w:color w:val="000000"/>
          <w:sz w:val="20"/>
          <w:szCs w:val="20"/>
        </w:rPr>
        <w:t>23</w:t>
      </w:r>
    </w:p>
    <w:p w:rsidR="00000000" w:rsidRDefault="00FD7D3C">
      <w:pPr>
        <w:rPr>
          <w:rFonts w:eastAsia="Times New Roman"/>
        </w:rPr>
      </w:pPr>
      <w:r>
        <w:rPr>
          <w:rFonts w:eastAsia="Times New Roman"/>
        </w:rPr>
        <w:pict>
          <v:rect id="_x0000_i1068" style="width:0;height:1.5pt" o:hralign="center" o:hrstd="t" o:hr="t" fillcolor="#a0a0a0" stroked="f"/>
        </w:pict>
      </w:r>
    </w:p>
    <w:p w:rsidR="00000000" w:rsidRDefault="00FD7D3C">
      <w:pPr>
        <w:divId w:val="559898805"/>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jc w:val="center"/>
        <w:rPr>
          <w:rFonts w:eastAsia="Times New Roman"/>
        </w:rPr>
      </w:pPr>
      <w:r>
        <w:rPr>
          <w:rFonts w:eastAsia="Times New Roman"/>
          <w:noProof/>
        </w:rPr>
        <w:drawing>
          <wp:inline distT="0" distB="0" distL="0" distR="0">
            <wp:extent cx="304800" cy="30480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FD7D3C">
      <w:pPr>
        <w:jc w:val="center"/>
        <w:rPr>
          <w:rFonts w:eastAsia="Times New Roman"/>
        </w:rPr>
      </w:pPr>
      <w:r>
        <w:rPr>
          <w:rFonts w:eastAsia="Times New Roman"/>
          <w:b/>
          <w:bCs/>
          <w:color w:val="231F20"/>
          <w:sz w:val="20"/>
          <w:szCs w:val="20"/>
        </w:rPr>
        <w:t>Small</w:t>
      </w:r>
      <w:r>
        <w:rPr>
          <w:rFonts w:eastAsia="Times New Roman"/>
          <w:b/>
          <w:bCs/>
          <w:color w:val="231F20"/>
        </w:rPr>
        <w:t xml:space="preserve"> </w:t>
      </w:r>
      <w:r>
        <w:rPr>
          <w:rFonts w:eastAsia="Times New Roman"/>
          <w:b/>
          <w:bCs/>
          <w:color w:val="231F20"/>
          <w:sz w:val="20"/>
          <w:szCs w:val="20"/>
        </w:rPr>
        <w:t>Molecule</w:t>
      </w:r>
      <w:r>
        <w:rPr>
          <w:rFonts w:eastAsia="Times New Roman"/>
          <w:b/>
          <w:bCs/>
          <w:color w:val="231F20"/>
        </w:rPr>
        <w:t xml:space="preserve"> </w:t>
      </w:r>
      <w:r>
        <w:rPr>
          <w:rFonts w:ascii="Arial" w:eastAsia="Times New Roman" w:hAnsi="Arial" w:cs="Arial"/>
          <w:color w:val="231F20"/>
          <w:sz w:val="20"/>
          <w:szCs w:val="20"/>
        </w:rPr>
        <w:t>α</w:t>
      </w:r>
      <w:r>
        <w:rPr>
          <w:rFonts w:eastAsia="Times New Roman"/>
          <w:b/>
          <w:bCs/>
          <w:color w:val="231F20"/>
          <w:sz w:val="20"/>
          <w:szCs w:val="20"/>
        </w:rPr>
        <w:t>vβ8</w:t>
      </w:r>
      <w:r>
        <w:rPr>
          <w:rFonts w:eastAsia="Times New Roman"/>
          <w:b/>
          <w:bCs/>
          <w:color w:val="231F20"/>
        </w:rPr>
        <w:t xml:space="preserve"> </w:t>
      </w:r>
      <w:r>
        <w:rPr>
          <w:rFonts w:eastAsia="Times New Roman"/>
          <w:b/>
          <w:bCs/>
          <w:color w:val="231F20"/>
          <w:sz w:val="20"/>
          <w:szCs w:val="20"/>
        </w:rPr>
        <w:t>Inhibitors</w:t>
      </w:r>
      <w:r>
        <w:rPr>
          <w:rFonts w:eastAsia="Times New Roman"/>
          <w:b/>
          <w:bCs/>
          <w:color w:val="231F20"/>
        </w:rPr>
        <w:t xml:space="preserve"> </w:t>
      </w:r>
      <w:r>
        <w:rPr>
          <w:rFonts w:eastAsia="Times New Roman"/>
          <w:b/>
          <w:bCs/>
          <w:color w:val="231F20"/>
          <w:sz w:val="20"/>
          <w:szCs w:val="20"/>
        </w:rPr>
        <w:t>Enhanced</w:t>
      </w:r>
      <w:r>
        <w:rPr>
          <w:rFonts w:eastAsia="Times New Roman"/>
          <w:b/>
          <w:bCs/>
          <w:color w:val="231F20"/>
        </w:rPr>
        <w:t xml:space="preserve"> </w:t>
      </w:r>
      <w:r>
        <w:rPr>
          <w:rFonts w:eastAsia="Times New Roman"/>
          <w:b/>
          <w:bCs/>
          <w:color w:val="231F20"/>
          <w:sz w:val="20"/>
          <w:szCs w:val="20"/>
        </w:rPr>
        <w:t>PD-1 Activity</w:t>
      </w:r>
      <w:r>
        <w:rPr>
          <w:rFonts w:eastAsia="Times New Roman"/>
          <w:b/>
          <w:bCs/>
          <w:color w:val="231F20"/>
        </w:rPr>
        <w:t xml:space="preserve"> </w:t>
      </w:r>
      <w:r>
        <w:rPr>
          <w:rFonts w:eastAsia="Times New Roman"/>
          <w:b/>
          <w:bCs/>
          <w:color w:val="231F20"/>
          <w:sz w:val="20"/>
          <w:szCs w:val="20"/>
        </w:rPr>
        <w:t>in an EMT6</w:t>
      </w:r>
      <w:r>
        <w:rPr>
          <w:rFonts w:eastAsia="Times New Roman"/>
          <w:b/>
          <w:bCs/>
          <w:color w:val="231F20"/>
        </w:rPr>
        <w:t xml:space="preserve"> </w:t>
      </w:r>
      <w:r>
        <w:rPr>
          <w:rFonts w:eastAsia="Times New Roman"/>
          <w:b/>
          <w:bCs/>
          <w:color w:val="231F20"/>
          <w:sz w:val="20"/>
          <w:szCs w:val="20"/>
        </w:rPr>
        <w:t>Anti-PD-1 Resistant</w:t>
      </w:r>
      <w:r>
        <w:rPr>
          <w:rFonts w:eastAsia="Times New Roman"/>
          <w:b/>
          <w:bCs/>
          <w:color w:val="231F20"/>
        </w:rPr>
        <w:t xml:space="preserve"> </w:t>
      </w:r>
      <w:r>
        <w:rPr>
          <w:rFonts w:eastAsia="Times New Roman"/>
          <w:b/>
          <w:bCs/>
          <w:color w:val="231F20"/>
          <w:sz w:val="20"/>
          <w:szCs w:val="20"/>
        </w:rPr>
        <w:t>Mouse Tumor Model</w:t>
      </w:r>
    </w:p>
    <w:p w:rsidR="00000000" w:rsidRDefault="00FD7D3C">
      <w:pPr>
        <w:jc w:val="center"/>
        <w:rPr>
          <w:rFonts w:eastAsia="Times New Roman"/>
        </w:rPr>
      </w:pPr>
      <w:r>
        <w:rPr>
          <w:rFonts w:eastAsia="Times New Roman"/>
          <w:noProof/>
        </w:rPr>
        <w:drawing>
          <wp:inline distT="0" distB="0" distL="0" distR="0">
            <wp:extent cx="304800" cy="30480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FD7D3C">
      <w:pPr>
        <w:divId w:val="1180703310"/>
        <w:rPr>
          <w:rFonts w:eastAsia="Times New Roman"/>
        </w:rPr>
      </w:pPr>
      <w:r>
        <w:rPr>
          <w:rFonts w:eastAsia="Times New Roman"/>
          <w:b/>
          <w:bCs/>
          <w:color w:val="231F20"/>
          <w:sz w:val="20"/>
          <w:szCs w:val="20"/>
        </w:rPr>
        <w:t xml:space="preserve">Lead </w:t>
      </w:r>
      <w:r>
        <w:rPr>
          <w:rFonts w:eastAsia="Times New Roman"/>
          <w:b/>
          <w:bCs/>
          <w:color w:val="231F20"/>
          <w:sz w:val="20"/>
          <w:szCs w:val="20"/>
        </w:rPr>
        <w:t>α</w:t>
      </w:r>
      <w:r>
        <w:rPr>
          <w:rFonts w:eastAsia="Times New Roman"/>
          <w:b/>
          <w:bCs/>
          <w:color w:val="231F20"/>
          <w:sz w:val="13"/>
          <w:szCs w:val="13"/>
        </w:rPr>
        <w:t>V</w:t>
      </w:r>
      <w:r>
        <w:rPr>
          <w:rFonts w:eastAsia="Times New Roman"/>
          <w:b/>
          <w:bCs/>
          <w:color w:val="231F20"/>
          <w:sz w:val="20"/>
          <w:szCs w:val="20"/>
        </w:rPr>
        <w:t>β</w:t>
      </w:r>
      <w:r>
        <w:rPr>
          <w:rFonts w:eastAsia="Times New Roman"/>
          <w:b/>
          <w:bCs/>
          <w:color w:val="231F20"/>
          <w:sz w:val="13"/>
          <w:szCs w:val="13"/>
        </w:rPr>
        <w:t>8/</w:t>
      </w:r>
      <w:r>
        <w:rPr>
          <w:rFonts w:eastAsia="Times New Roman"/>
          <w:b/>
          <w:bCs/>
          <w:color w:val="231F20"/>
          <w:sz w:val="13"/>
          <w:szCs w:val="13"/>
        </w:rPr>
        <w:t>1</w:t>
      </w:r>
      <w:r>
        <w:rPr>
          <w:rFonts w:eastAsia="Times New Roman"/>
          <w:b/>
          <w:bCs/>
          <w:color w:val="231F20"/>
          <w:sz w:val="20"/>
          <w:szCs w:val="20"/>
        </w:rPr>
        <w:t xml:space="preserve"> Inhibitor Superior to Clinical Stage </w:t>
      </w:r>
      <w:r>
        <w:rPr>
          <w:rFonts w:eastAsia="Times New Roman"/>
          <w:b/>
          <w:bCs/>
          <w:color w:val="231F20"/>
          <w:sz w:val="20"/>
          <w:szCs w:val="20"/>
        </w:rPr>
        <w:t>α</w:t>
      </w:r>
      <w:r>
        <w:rPr>
          <w:rFonts w:eastAsia="Times New Roman"/>
          <w:b/>
          <w:bCs/>
          <w:color w:val="231F20"/>
          <w:sz w:val="13"/>
          <w:szCs w:val="13"/>
        </w:rPr>
        <w:t>V</w:t>
      </w:r>
      <w:r>
        <w:rPr>
          <w:rFonts w:eastAsia="Times New Roman"/>
          <w:b/>
          <w:bCs/>
          <w:color w:val="231F20"/>
          <w:sz w:val="20"/>
          <w:szCs w:val="20"/>
        </w:rPr>
        <w:t>β</w:t>
      </w:r>
      <w:r>
        <w:rPr>
          <w:rFonts w:eastAsia="Times New Roman"/>
          <w:b/>
          <w:bCs/>
          <w:color w:val="231F20"/>
          <w:sz w:val="13"/>
          <w:szCs w:val="13"/>
        </w:rPr>
        <w:t>8</w:t>
      </w:r>
      <w:r>
        <w:rPr>
          <w:rFonts w:eastAsia="Times New Roman"/>
          <w:b/>
          <w:bCs/>
          <w:color w:val="231F20"/>
          <w:sz w:val="20"/>
          <w:szCs w:val="20"/>
        </w:rPr>
        <w:t xml:space="preserve"> </w:t>
      </w:r>
      <w:r>
        <w:rPr>
          <w:rFonts w:eastAsia="Times New Roman"/>
          <w:b/>
          <w:bCs/>
          <w:color w:val="231F20"/>
          <w:sz w:val="20"/>
          <w:szCs w:val="20"/>
        </w:rPr>
        <w:t xml:space="preserve">Antibody in Pan02 Pancreatic Mouse Syngeneic </w:t>
      </w:r>
      <w:r>
        <w:rPr>
          <w:rFonts w:eastAsia="Times New Roman"/>
          <w:b/>
          <w:bCs/>
          <w:color w:val="231F20"/>
        </w:rPr>
        <w:t>Model</w:t>
      </w:r>
    </w:p>
    <w:p w:rsidR="00000000" w:rsidRDefault="00FD7D3C">
      <w:pPr>
        <w:ind w:firstLine="1080"/>
        <w:divId w:val="1129279053"/>
        <w:rPr>
          <w:rFonts w:eastAsia="Times New Roman"/>
        </w:rPr>
      </w:pPr>
      <w:r>
        <w:rPr>
          <w:rFonts w:eastAsia="Times New Roman"/>
          <w:b/>
          <w:bCs/>
          <w:i/>
          <w:iCs/>
          <w:color w:val="000000"/>
          <w:sz w:val="20"/>
          <w:szCs w:val="20"/>
        </w:rPr>
        <w:t>Our Muscular Dystrophy Program</w:t>
      </w:r>
    </w:p>
    <w:p w:rsidR="00000000" w:rsidRDefault="00FD7D3C">
      <w:pPr>
        <w:ind w:firstLine="1080"/>
        <w:divId w:val="977496772"/>
        <w:rPr>
          <w:rFonts w:eastAsia="Times New Roman"/>
        </w:rPr>
      </w:pPr>
      <w:r>
        <w:rPr>
          <w:rFonts w:eastAsia="Times New Roman"/>
          <w:color w:val="000000"/>
          <w:sz w:val="20"/>
          <w:szCs w:val="20"/>
        </w:rPr>
        <w:t>Muscular Dystrophy comprises a group of inherited diseases, all characterized by inborn errors in dystrophin, a protein that anchors muscle cells to the extracellular matrix,</w:t>
      </w:r>
      <w:r>
        <w:rPr>
          <w:rFonts w:eastAsia="Times New Roman"/>
          <w:color w:val="000000"/>
          <w:sz w:val="20"/>
          <w:szCs w:val="20"/>
        </w:rPr>
        <w:t xml:space="preserve"> or ECM, and facilitates contraction of skeletal muscles. Mutations in the gene that codes for dystrophin can cause the dystrophin protein to be misshapen and ineffective in anchoring the muscle cell to the extracellular matrix. The lack of dystrophin anch</w:t>
      </w:r>
      <w:r>
        <w:rPr>
          <w:rFonts w:eastAsia="Times New Roman"/>
          <w:color w:val="000000"/>
          <w:sz w:val="20"/>
          <w:szCs w:val="20"/>
        </w:rPr>
        <w:t>oring results in damage to skeletal muscle cells upon contraction. Over time, muscle cells are unable to regenerate, and are eventually replaced by fat and fibrosis, resulting in loss of muscle function. Severe forms of muscular dystrophy cause progressive</w:t>
      </w:r>
      <w:r>
        <w:rPr>
          <w:rFonts w:eastAsia="Times New Roman"/>
          <w:color w:val="000000"/>
          <w:sz w:val="20"/>
          <w:szCs w:val="20"/>
        </w:rPr>
        <w:t xml:space="preserve"> weakening of the heart and diaphragm, leading to death.</w:t>
      </w:r>
    </w:p>
    <w:p w:rsidR="00000000" w:rsidRDefault="00FD7D3C">
      <w:pPr>
        <w:ind w:firstLine="1080"/>
        <w:divId w:val="430858234"/>
        <w:rPr>
          <w:rFonts w:eastAsia="Times New Roman"/>
        </w:rPr>
      </w:pPr>
      <w:r>
        <w:rPr>
          <w:rFonts w:eastAsia="Times New Roman"/>
          <w:color w:val="000000"/>
          <w:sz w:val="20"/>
          <w:szCs w:val="20"/>
        </w:rPr>
        <w:t xml:space="preserve">The most common form of muscular dystrophy is Duchenne muscular dystrophy, or DMD, which affects 1 in 3,500 boys worldwide. Disease progression varies, usually presenting with muscle weakness around age four. Most DMD patients need a wheelchair by age 12, </w:t>
      </w:r>
      <w:r>
        <w:rPr>
          <w:rFonts w:eastAsia="Times New Roman"/>
          <w:color w:val="000000"/>
          <w:sz w:val="20"/>
          <w:szCs w:val="20"/>
        </w:rPr>
        <w:t>with most dying in their 20’s. DMD is caused by mutations to the DMD gene, which codes for dystrophin.</w:t>
      </w:r>
    </w:p>
    <w:p w:rsidR="00000000" w:rsidRDefault="00FD7D3C">
      <w:pPr>
        <w:ind w:firstLine="1080"/>
        <w:divId w:val="204221023"/>
        <w:rPr>
          <w:rFonts w:eastAsia="Times New Roman"/>
        </w:rPr>
      </w:pPr>
      <w:r>
        <w:rPr>
          <w:rFonts w:eastAsia="Times New Roman"/>
          <w:color w:val="000000"/>
          <w:sz w:val="20"/>
          <w:szCs w:val="20"/>
        </w:rPr>
        <w:t>Treatment for DMD is mostly focused on mitigating the symptoms. Aggressive management of dilated cardiomyopathy with anti-congestive medications is used,</w:t>
      </w:r>
      <w:r>
        <w:rPr>
          <w:rFonts w:eastAsia="Times New Roman"/>
          <w:color w:val="000000"/>
          <w:sz w:val="20"/>
          <w:szCs w:val="20"/>
        </w:rPr>
        <w:t xml:space="preserve"> including cardiac transplantation in severe cases. Assistive devices for respiratory complications may be needed, especially at night. The steroid prednisone is given to improve the strength and function of individuals with DMD. Prednisone has been shown </w:t>
      </w:r>
      <w:r>
        <w:rPr>
          <w:rFonts w:eastAsia="Times New Roman"/>
          <w:color w:val="000000"/>
          <w:sz w:val="20"/>
          <w:szCs w:val="20"/>
        </w:rPr>
        <w:t xml:space="preserve">to prolong the ability to walk by 2 to 5 years. While a new treatment, eteplirsen, was recently approved in a subset of patients, this remains an area of tremendous unmet medical need. There are a number of novel modalities such as gene therapy and CRISPR </w:t>
      </w:r>
      <w:r>
        <w:rPr>
          <w:rFonts w:eastAsia="Times New Roman"/>
          <w:color w:val="000000"/>
          <w:sz w:val="20"/>
          <w:szCs w:val="20"/>
        </w:rPr>
        <w:t>being explored as potential treatments for DMD, but they remain years from approval.</w:t>
      </w:r>
    </w:p>
    <w:p w:rsidR="00000000" w:rsidRDefault="00FD7D3C">
      <w:pPr>
        <w:ind w:firstLine="1080"/>
        <w:divId w:val="621616804"/>
        <w:rPr>
          <w:rFonts w:eastAsia="Times New Roman"/>
        </w:rPr>
      </w:pPr>
      <w:r>
        <w:rPr>
          <w:rFonts w:eastAsia="Times New Roman"/>
          <w:color w:val="000000"/>
          <w:sz w:val="20"/>
          <w:szCs w:val="20"/>
        </w:rPr>
        <w:t>We have identified a target integrin receptor that acts as a natural compensatory mechanism that anchors the muscle cell to the ECM in DMD, as well as other types of muscu</w:t>
      </w:r>
      <w:r>
        <w:rPr>
          <w:rFonts w:eastAsia="Times New Roman"/>
          <w:color w:val="000000"/>
          <w:sz w:val="20"/>
          <w:szCs w:val="20"/>
        </w:rPr>
        <w:t xml:space="preserve">lar dystrophy. It is expressed on the surface of skeletal muscle cells and has been shown to be upregulated in patients with muscular dystrophy. The target integrin is able to bind to laminin in the ECM and serve as a substitute for the dystrophin complex </w:t>
      </w:r>
      <w:r>
        <w:rPr>
          <w:rFonts w:eastAsia="Times New Roman"/>
          <w:color w:val="000000"/>
          <w:sz w:val="20"/>
          <w:szCs w:val="20"/>
        </w:rPr>
        <w:t xml:space="preserve">that normally holds muscle cells to the ECM. </w:t>
      </w:r>
    </w:p>
    <w:p w:rsidR="00000000" w:rsidRDefault="00FD7D3C">
      <w:pPr>
        <w:jc w:val="center"/>
        <w:divId w:val="282932226"/>
        <w:rPr>
          <w:rFonts w:eastAsia="Times New Roman"/>
        </w:rPr>
      </w:pPr>
      <w:r>
        <w:rPr>
          <w:rFonts w:eastAsia="Times New Roman"/>
          <w:color w:val="000000"/>
          <w:sz w:val="20"/>
          <w:szCs w:val="20"/>
        </w:rPr>
        <w:t>24</w:t>
      </w:r>
    </w:p>
    <w:p w:rsidR="00000000" w:rsidRDefault="00FD7D3C">
      <w:pPr>
        <w:rPr>
          <w:rFonts w:eastAsia="Times New Roman"/>
        </w:rPr>
      </w:pPr>
      <w:r>
        <w:rPr>
          <w:rFonts w:eastAsia="Times New Roman"/>
        </w:rPr>
        <w:pict>
          <v:rect id="_x0000_i1071" style="width:0;height:1.5pt" o:hralign="center" o:hrstd="t" o:hr="t" fillcolor="#a0a0a0" stroked="f"/>
        </w:pict>
      </w:r>
    </w:p>
    <w:p w:rsidR="00000000" w:rsidRDefault="00FD7D3C">
      <w:pPr>
        <w:divId w:val="1980302752"/>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divId w:val="44565675"/>
        <w:rPr>
          <w:rFonts w:eastAsia="Times New Roman"/>
        </w:rPr>
      </w:pPr>
      <w:r>
        <w:rPr>
          <w:rFonts w:eastAsia="Times New Roman"/>
          <w:color w:val="000000"/>
          <w:sz w:val="20"/>
          <w:szCs w:val="20"/>
        </w:rPr>
        <w:t>This compensatory mechanism serves to stabilize the muscle cell membrane, which decreases musc</w:t>
      </w:r>
      <w:r>
        <w:rPr>
          <w:rFonts w:eastAsia="Times New Roman"/>
          <w:color w:val="000000"/>
          <w:sz w:val="20"/>
          <w:szCs w:val="20"/>
        </w:rPr>
        <w:t>le damage upon contraction. Moreover, mutations in this integrin, or in the laminin protein that it binds to, have been reported, and result in congenital myopathies with phenotypes similar to those of muscular dystrophy. Like other integrins, our integrin</w:t>
      </w:r>
      <w:r>
        <w:rPr>
          <w:rFonts w:eastAsia="Times New Roman"/>
          <w:color w:val="000000"/>
          <w:sz w:val="20"/>
          <w:szCs w:val="20"/>
        </w:rPr>
        <w:t xml:space="preserve"> target can exist in various conformations, some of which are active, and others that are not. The natural compensatory ability of the target is limited by the number of integrin receptors in the active conformation</w:t>
      </w:r>
      <w:r>
        <w:rPr>
          <w:rFonts w:eastAsia="Times New Roman"/>
          <w:color w:val="231F20"/>
        </w:rPr>
        <w:t xml:space="preserve"> </w:t>
      </w:r>
      <w:r>
        <w:rPr>
          <w:rFonts w:eastAsia="Times New Roman"/>
          <w:color w:val="231F20"/>
          <w:sz w:val="20"/>
          <w:szCs w:val="20"/>
        </w:rPr>
        <w:t>at</w:t>
      </w:r>
      <w:r>
        <w:rPr>
          <w:rFonts w:eastAsia="Times New Roman"/>
          <w:color w:val="231F20"/>
        </w:rPr>
        <w:t xml:space="preserve"> </w:t>
      </w:r>
      <w:r>
        <w:rPr>
          <w:rFonts w:eastAsia="Times New Roman"/>
          <w:color w:val="231F20"/>
          <w:sz w:val="20"/>
          <w:szCs w:val="20"/>
        </w:rPr>
        <w:t>any given</w:t>
      </w:r>
      <w:r>
        <w:rPr>
          <w:rFonts w:eastAsia="Times New Roman"/>
          <w:color w:val="231F20"/>
        </w:rPr>
        <w:t xml:space="preserve"> </w:t>
      </w:r>
      <w:r>
        <w:rPr>
          <w:rFonts w:eastAsia="Times New Roman"/>
          <w:color w:val="231F20"/>
          <w:sz w:val="20"/>
          <w:szCs w:val="20"/>
        </w:rPr>
        <w:t>time.</w:t>
      </w:r>
    </w:p>
    <w:p w:rsidR="00000000" w:rsidRDefault="00FD7D3C">
      <w:pPr>
        <w:spacing w:before="200"/>
        <w:jc w:val="center"/>
        <w:divId w:val="697269410"/>
        <w:rPr>
          <w:rFonts w:eastAsia="Times New Roman"/>
        </w:rPr>
      </w:pPr>
      <w:r>
        <w:rPr>
          <w:rFonts w:eastAsia="Times New Roman"/>
          <w:noProof/>
        </w:rPr>
        <w:drawing>
          <wp:inline distT="0" distB="0" distL="0" distR="0">
            <wp:extent cx="304800" cy="30480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FD7D3C">
      <w:pPr>
        <w:ind w:firstLine="1080"/>
        <w:divId w:val="50078026"/>
        <w:rPr>
          <w:rFonts w:eastAsia="Times New Roman"/>
        </w:rPr>
      </w:pPr>
      <w:r>
        <w:rPr>
          <w:rFonts w:eastAsia="Times New Roman"/>
          <w:color w:val="000000"/>
          <w:sz w:val="20"/>
          <w:szCs w:val="20"/>
        </w:rPr>
        <w:t>Our muscular dystrophy program utilizes an allosteric, agonistic, monoclonal antibody which binds to the alpha subunit of the tar</w:t>
      </w:r>
      <w:r>
        <w:rPr>
          <w:rFonts w:eastAsia="Times New Roman"/>
          <w:color w:val="000000"/>
          <w:sz w:val="20"/>
          <w:szCs w:val="20"/>
        </w:rPr>
        <w:t>get integrin and stabilizes it in its active conformation. By maximizing the number of target integrins that are active, the mAb is designed to increase the overall binding of the muscle cell membrane to the ECM and to stabilize the membrane.</w:t>
      </w:r>
    </w:p>
    <w:p w:rsidR="00000000" w:rsidRDefault="00FD7D3C">
      <w:pPr>
        <w:spacing w:before="200"/>
        <w:jc w:val="center"/>
        <w:divId w:val="844053805"/>
        <w:rPr>
          <w:rFonts w:eastAsia="Times New Roman"/>
        </w:rPr>
      </w:pPr>
      <w:r>
        <w:rPr>
          <w:rFonts w:eastAsia="Times New Roman"/>
          <w:noProof/>
        </w:rPr>
        <w:drawing>
          <wp:inline distT="0" distB="0" distL="0" distR="0">
            <wp:extent cx="304800" cy="30480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FD7D3C">
      <w:pPr>
        <w:jc w:val="center"/>
        <w:divId w:val="242227842"/>
        <w:rPr>
          <w:rFonts w:eastAsia="Times New Roman"/>
        </w:rPr>
      </w:pPr>
      <w:r>
        <w:rPr>
          <w:rFonts w:eastAsia="Times New Roman"/>
          <w:b/>
          <w:bCs/>
          <w:color w:val="000000"/>
          <w:sz w:val="20"/>
          <w:szCs w:val="20"/>
        </w:rPr>
        <w:t>All</w:t>
      </w:r>
      <w:r>
        <w:rPr>
          <w:rFonts w:eastAsia="Times New Roman"/>
          <w:b/>
          <w:bCs/>
          <w:color w:val="000000"/>
          <w:sz w:val="20"/>
          <w:szCs w:val="20"/>
        </w:rPr>
        <w:t>osteric agonistic monoclonal antibody binds to the inactive integrin inducing conformational change increasing laminin binding</w:t>
      </w:r>
    </w:p>
    <w:p w:rsidR="00000000" w:rsidRDefault="00FD7D3C">
      <w:pPr>
        <w:ind w:firstLine="1080"/>
        <w:divId w:val="55858547"/>
        <w:rPr>
          <w:rFonts w:eastAsia="Times New Roman"/>
        </w:rPr>
      </w:pPr>
      <w:r>
        <w:rPr>
          <w:rFonts w:eastAsia="Times New Roman"/>
          <w:color w:val="000000"/>
          <w:sz w:val="20"/>
          <w:szCs w:val="20"/>
        </w:rPr>
        <w:t xml:space="preserve">We have developed a humanized antibody that is highly potent and selective for the alpha subunit of the target integrin. Our mAb </w:t>
      </w:r>
      <w:r>
        <w:rPr>
          <w:rFonts w:eastAsia="Times New Roman"/>
          <w:color w:val="000000"/>
          <w:sz w:val="20"/>
          <w:szCs w:val="20"/>
        </w:rPr>
        <w:t>candidate has been tested in an mdx /DBA2 DMD mouse model where it showed significantly decreased muscle damage as measured through clinical biomarkers including serum creatinine kinase and troponin.</w:t>
      </w:r>
    </w:p>
    <w:p w:rsidR="00000000" w:rsidRDefault="00FD7D3C">
      <w:pPr>
        <w:jc w:val="center"/>
        <w:divId w:val="852499455"/>
        <w:rPr>
          <w:rFonts w:eastAsia="Times New Roman"/>
        </w:rPr>
      </w:pPr>
      <w:r>
        <w:rPr>
          <w:rFonts w:eastAsia="Times New Roman"/>
          <w:color w:val="000000"/>
          <w:sz w:val="20"/>
          <w:szCs w:val="20"/>
        </w:rPr>
        <w:t>25</w:t>
      </w:r>
    </w:p>
    <w:p w:rsidR="00000000" w:rsidRDefault="00FD7D3C">
      <w:pPr>
        <w:rPr>
          <w:rFonts w:eastAsia="Times New Roman"/>
        </w:rPr>
      </w:pPr>
      <w:r>
        <w:rPr>
          <w:rFonts w:eastAsia="Times New Roman"/>
        </w:rPr>
        <w:pict>
          <v:rect id="_x0000_i1074" style="width:0;height:1.5pt" o:hralign="center" o:hrstd="t" o:hr="t" fillcolor="#a0a0a0" stroked="f"/>
        </w:pict>
      </w:r>
    </w:p>
    <w:p w:rsidR="00000000" w:rsidRDefault="00FD7D3C">
      <w:pPr>
        <w:divId w:val="215701303"/>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spacing w:before="200"/>
        <w:jc w:val="center"/>
        <w:divId w:val="2071687768"/>
        <w:rPr>
          <w:rFonts w:eastAsia="Times New Roman"/>
        </w:rPr>
      </w:pPr>
      <w:r>
        <w:rPr>
          <w:rFonts w:eastAsia="Times New Roman"/>
          <w:noProof/>
        </w:rPr>
        <w:drawing>
          <wp:inline distT="0" distB="0" distL="0" distR="0">
            <wp:extent cx="304800" cy="30480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FD7D3C">
      <w:pPr>
        <w:jc w:val="center"/>
        <w:divId w:val="859664380"/>
        <w:rPr>
          <w:rFonts w:eastAsia="Times New Roman"/>
        </w:rPr>
      </w:pPr>
      <w:r>
        <w:rPr>
          <w:rFonts w:eastAsia="Times New Roman"/>
          <w:b/>
          <w:bCs/>
          <w:color w:val="000000"/>
          <w:sz w:val="20"/>
          <w:szCs w:val="20"/>
        </w:rPr>
        <w:t>Treatment with mAb resulted in decreased muscle d</w:t>
      </w:r>
      <w:r>
        <w:rPr>
          <w:rFonts w:eastAsia="Times New Roman"/>
          <w:b/>
          <w:bCs/>
          <w:color w:val="000000"/>
          <w:sz w:val="20"/>
          <w:szCs w:val="20"/>
        </w:rPr>
        <w:t>amage in a mdx/DBA2 mouse model</w:t>
      </w:r>
    </w:p>
    <w:p w:rsidR="00000000" w:rsidRDefault="00FD7D3C">
      <w:pPr>
        <w:ind w:firstLine="1080"/>
        <w:divId w:val="1017123819"/>
        <w:rPr>
          <w:rFonts w:eastAsia="Times New Roman"/>
        </w:rPr>
      </w:pPr>
      <w:r>
        <w:rPr>
          <w:rFonts w:eastAsia="Times New Roman"/>
          <w:color w:val="000000"/>
          <w:sz w:val="20"/>
          <w:szCs w:val="20"/>
        </w:rPr>
        <w:t>In addition to protecting against muscle damage, the antibody showed an increase in diaphragm contractility in the mice tested. The antibody was able to return diaphragm contractility to near the same level as the wild type controls. This is crucial, given</w:t>
      </w:r>
      <w:r>
        <w:rPr>
          <w:rFonts w:eastAsia="Times New Roman"/>
          <w:color w:val="000000"/>
          <w:sz w:val="20"/>
          <w:szCs w:val="20"/>
        </w:rPr>
        <w:t xml:space="preserve"> that the primary cause of death in patients with muscular dystrophy is cardiopulmonary failure resulting from progressive wasting of cardiac and respiratory muscles.</w:t>
      </w:r>
    </w:p>
    <w:p w:rsidR="00000000" w:rsidRDefault="00FD7D3C">
      <w:pPr>
        <w:spacing w:before="200"/>
        <w:jc w:val="center"/>
        <w:divId w:val="622804640"/>
        <w:rPr>
          <w:rFonts w:eastAsia="Times New Roman"/>
        </w:rPr>
      </w:pPr>
      <w:r>
        <w:rPr>
          <w:rFonts w:eastAsia="Times New Roman"/>
          <w:noProof/>
        </w:rPr>
        <w:drawing>
          <wp:inline distT="0" distB="0" distL="0" distR="0">
            <wp:extent cx="304800" cy="30480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FD7D3C">
      <w:pPr>
        <w:jc w:val="center"/>
        <w:divId w:val="543829568"/>
        <w:rPr>
          <w:rFonts w:eastAsia="Times New Roman"/>
        </w:rPr>
      </w:pPr>
      <w:r>
        <w:rPr>
          <w:rFonts w:eastAsia="Times New Roman"/>
          <w:b/>
          <w:bCs/>
          <w:color w:val="000000"/>
          <w:sz w:val="20"/>
          <w:szCs w:val="20"/>
        </w:rPr>
        <w:t xml:space="preserve">Agonistic mAb restored diaphragm force back to the same level </w:t>
      </w:r>
      <w:r>
        <w:rPr>
          <w:rFonts w:eastAsia="Times New Roman"/>
          <w:color w:val="000000"/>
          <w:sz w:val="20"/>
          <w:szCs w:val="20"/>
        </w:rPr>
        <w:t>as</w:t>
      </w:r>
      <w:r>
        <w:rPr>
          <w:rFonts w:eastAsia="Times New Roman"/>
          <w:b/>
          <w:bCs/>
          <w:color w:val="000000"/>
          <w:sz w:val="20"/>
          <w:szCs w:val="20"/>
        </w:rPr>
        <w:t xml:space="preserve"> wild type control</w:t>
      </w:r>
    </w:p>
    <w:p w:rsidR="00000000" w:rsidRDefault="00FD7D3C">
      <w:pPr>
        <w:ind w:firstLine="720"/>
        <w:divId w:val="1863856662"/>
        <w:rPr>
          <w:rFonts w:eastAsia="Times New Roman"/>
        </w:rPr>
      </w:pPr>
      <w:r>
        <w:rPr>
          <w:rFonts w:eastAsia="Times New Roman"/>
          <w:color w:val="000000"/>
          <w:sz w:val="20"/>
          <w:szCs w:val="20"/>
        </w:rPr>
        <w:t xml:space="preserve">The antibody protected the gastrocnemius muscle from eccentric injury in which the muscle loses contractile force </w:t>
      </w:r>
      <w:r>
        <w:rPr>
          <w:rFonts w:eastAsia="Times New Roman"/>
          <w:color w:val="000000"/>
          <w:sz w:val="20"/>
          <w:szCs w:val="20"/>
        </w:rPr>
        <w:t>over a series of contractions. Interestingly, mice treated with an antibody that blocks the integrin receptor showed an increase in eccentric injury.</w:t>
      </w:r>
    </w:p>
    <w:p w:rsidR="00000000" w:rsidRDefault="00FD7D3C">
      <w:pPr>
        <w:jc w:val="center"/>
        <w:divId w:val="146434392"/>
        <w:rPr>
          <w:rFonts w:eastAsia="Times New Roman"/>
        </w:rPr>
      </w:pPr>
      <w:r>
        <w:rPr>
          <w:rFonts w:eastAsia="Times New Roman"/>
          <w:color w:val="000000"/>
          <w:sz w:val="20"/>
          <w:szCs w:val="20"/>
        </w:rPr>
        <w:t>26</w:t>
      </w:r>
    </w:p>
    <w:p w:rsidR="00000000" w:rsidRDefault="00FD7D3C">
      <w:pPr>
        <w:rPr>
          <w:rFonts w:eastAsia="Times New Roman"/>
        </w:rPr>
      </w:pPr>
      <w:r>
        <w:rPr>
          <w:rFonts w:eastAsia="Times New Roman"/>
        </w:rPr>
        <w:pict>
          <v:rect id="_x0000_i1077" style="width:0;height:1.5pt" o:hralign="center" o:hrstd="t" o:hr="t" fillcolor="#a0a0a0" stroked="f"/>
        </w:pict>
      </w:r>
    </w:p>
    <w:p w:rsidR="00000000" w:rsidRDefault="00FD7D3C">
      <w:pPr>
        <w:divId w:val="1551190226"/>
        <w:rPr>
          <w:rFonts w:eastAsia="Times New Roman"/>
        </w:rPr>
      </w:pPr>
      <w:hyperlink w:anchor="i988625df783e4cc0a27bd76df388da57_7" w:history="1">
        <w:r>
          <w:rPr>
            <w:rStyle w:val="a3"/>
            <w:rFonts w:eastAsia="Times New Roman"/>
            <w:sz w:val="20"/>
            <w:szCs w:val="20"/>
          </w:rPr>
          <w:t>Table of</w:t>
        </w:r>
        <w:r>
          <w:rPr>
            <w:rStyle w:val="a3"/>
            <w:rFonts w:eastAsia="Times New Roman"/>
            <w:sz w:val="20"/>
            <w:szCs w:val="20"/>
          </w:rPr>
          <w:t xml:space="preserve"> Contents</w:t>
        </w:r>
      </w:hyperlink>
    </w:p>
    <w:p w:rsidR="00000000" w:rsidRDefault="00FD7D3C">
      <w:pPr>
        <w:spacing w:before="200"/>
        <w:jc w:val="center"/>
        <w:divId w:val="657998656"/>
        <w:rPr>
          <w:rFonts w:eastAsia="Times New Roman"/>
        </w:rPr>
      </w:pPr>
      <w:r>
        <w:rPr>
          <w:rFonts w:eastAsia="Times New Roman"/>
          <w:noProof/>
        </w:rPr>
        <w:drawing>
          <wp:inline distT="0" distB="0" distL="0" distR="0">
            <wp:extent cx="304800" cy="304800"/>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FD7D3C">
      <w:pPr>
        <w:jc w:val="center"/>
        <w:divId w:val="224146037"/>
        <w:rPr>
          <w:rFonts w:eastAsia="Times New Roman"/>
        </w:rPr>
      </w:pPr>
      <w:r>
        <w:rPr>
          <w:rFonts w:eastAsia="Times New Roman"/>
          <w:b/>
          <w:bCs/>
          <w:color w:val="000000"/>
          <w:sz w:val="20"/>
          <w:szCs w:val="20"/>
        </w:rPr>
        <w:t>Integrin Agonistic Antibody Protected Gastrocnemius Muscle from Eccentric Injury While Antagonistic Antibody Increased Injury</w:t>
      </w:r>
    </w:p>
    <w:p w:rsidR="00000000" w:rsidRDefault="00FD7D3C">
      <w:pPr>
        <w:ind w:firstLine="1080"/>
        <w:divId w:val="1371682655"/>
        <w:rPr>
          <w:rFonts w:eastAsia="Times New Roman"/>
        </w:rPr>
      </w:pPr>
      <w:r>
        <w:rPr>
          <w:rFonts w:eastAsia="Times New Roman"/>
          <w:color w:val="000000"/>
          <w:sz w:val="20"/>
          <w:szCs w:val="20"/>
        </w:rPr>
        <w:t>Lastly, our mAb showed a reduction in hydroxy</w:t>
      </w:r>
      <w:r>
        <w:rPr>
          <w:rFonts w:eastAsia="Times New Roman"/>
          <w:color w:val="000000"/>
          <w:sz w:val="20"/>
          <w:szCs w:val="20"/>
        </w:rPr>
        <w:t>proline levels in the gastrocnemius muscles of the test mice, suggesting less fibrosis in the muscles, possibly as a result of decreased muscle damage.</w:t>
      </w:r>
    </w:p>
    <w:p w:rsidR="00000000" w:rsidRDefault="00FD7D3C">
      <w:pPr>
        <w:spacing w:before="200"/>
        <w:jc w:val="center"/>
        <w:divId w:val="1156216619"/>
        <w:rPr>
          <w:rFonts w:eastAsia="Times New Roman"/>
        </w:rPr>
      </w:pPr>
      <w:r>
        <w:rPr>
          <w:rFonts w:eastAsia="Times New Roman"/>
          <w:noProof/>
        </w:rPr>
        <w:drawing>
          <wp:inline distT="0" distB="0" distL="0" distR="0">
            <wp:extent cx="304800" cy="304800"/>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FD7D3C">
      <w:pPr>
        <w:ind w:firstLine="1080"/>
        <w:divId w:val="1492519963"/>
        <w:rPr>
          <w:rFonts w:eastAsia="Times New Roman"/>
        </w:rPr>
      </w:pPr>
      <w:r>
        <w:rPr>
          <w:rFonts w:eastAsia="Times New Roman"/>
          <w:b/>
          <w:bCs/>
          <w:color w:val="000000"/>
          <w:sz w:val="20"/>
          <w:szCs w:val="20"/>
        </w:rPr>
        <w:t>Agonistic mAb significantly reduced collagen content in gastrocnemius muscles of treated mice</w:t>
      </w:r>
    </w:p>
    <w:p w:rsidR="00000000" w:rsidRDefault="00FD7D3C">
      <w:pPr>
        <w:ind w:firstLine="1080"/>
        <w:divId w:val="1624143922"/>
        <w:rPr>
          <w:rFonts w:eastAsia="Times New Roman"/>
        </w:rPr>
      </w:pPr>
      <w:r>
        <w:rPr>
          <w:rFonts w:eastAsia="Times New Roman"/>
          <w:color w:val="231F20"/>
          <w:sz w:val="20"/>
          <w:szCs w:val="20"/>
        </w:rPr>
        <w:t>We have nominated a development candidate and are currently conducting chemistry, manufacturing and controls, or CMC, s</w:t>
      </w:r>
      <w:r>
        <w:rPr>
          <w:rFonts w:eastAsia="Times New Roman"/>
          <w:color w:val="231F20"/>
          <w:sz w:val="20"/>
          <w:szCs w:val="20"/>
        </w:rPr>
        <w:t>cale-up activities. This program is currently undergoing IND enabling studies with IND submission expected by the end of 2022.</w:t>
      </w:r>
    </w:p>
    <w:p w:rsidR="00000000" w:rsidRDefault="00FD7D3C">
      <w:pPr>
        <w:ind w:firstLine="1080"/>
        <w:divId w:val="1212689650"/>
        <w:rPr>
          <w:rFonts w:eastAsia="Times New Roman"/>
        </w:rPr>
      </w:pPr>
      <w:r>
        <w:rPr>
          <w:rFonts w:eastAsia="Times New Roman"/>
          <w:b/>
          <w:bCs/>
          <w:color w:val="231F20"/>
          <w:sz w:val="20"/>
          <w:szCs w:val="20"/>
        </w:rPr>
        <w:t>Impact of the COVID-19 Pandemic</w:t>
      </w:r>
    </w:p>
    <w:p w:rsidR="00000000" w:rsidRDefault="00FD7D3C">
      <w:pPr>
        <w:ind w:firstLine="1080"/>
        <w:divId w:val="1563171529"/>
        <w:rPr>
          <w:rFonts w:eastAsia="Times New Roman"/>
        </w:rPr>
      </w:pPr>
      <w:r>
        <w:rPr>
          <w:rFonts w:eastAsia="Times New Roman"/>
          <w:color w:val="231F20"/>
          <w:sz w:val="20"/>
          <w:szCs w:val="20"/>
        </w:rPr>
        <w:t>The COVID-19 pandemic has caused and continues to cause significant industry-wide delays in clini</w:t>
      </w:r>
      <w:r>
        <w:rPr>
          <w:rFonts w:eastAsia="Times New Roman"/>
          <w:color w:val="231F20"/>
          <w:sz w:val="20"/>
          <w:szCs w:val="20"/>
        </w:rPr>
        <w:t>cal trials. There are multiple causes of these delays, including reluctance of patients to enroll or continue in trials for fear of exposure to coronavirus, local and regional shelter-in-place orders and regulations that discourage, hamper, or prohibit pat</w:t>
      </w:r>
      <w:r>
        <w:rPr>
          <w:rFonts w:eastAsia="Times New Roman"/>
          <w:color w:val="231F20"/>
          <w:sz w:val="20"/>
          <w:szCs w:val="20"/>
        </w:rPr>
        <w:t>ient visits, healthcare providers and health systems shifting away from clinical trials toward the acute care of COVID-19 patients and the FDA and other regulators making product candidates for the treatment of COVID-19 a priority over product candidates u</w:t>
      </w:r>
      <w:r>
        <w:rPr>
          <w:rFonts w:eastAsia="Times New Roman"/>
          <w:color w:val="231F20"/>
          <w:sz w:val="20"/>
          <w:szCs w:val="20"/>
        </w:rPr>
        <w:t>nrelated to the pandemic.</w:t>
      </w:r>
    </w:p>
    <w:p w:rsidR="00000000" w:rsidRDefault="00FD7D3C">
      <w:pPr>
        <w:ind w:firstLine="1080"/>
        <w:divId w:val="525100102"/>
        <w:rPr>
          <w:rFonts w:eastAsia="Times New Roman"/>
        </w:rPr>
      </w:pPr>
      <w:r>
        <w:rPr>
          <w:rFonts w:eastAsia="Times New Roman"/>
          <w:color w:val="231F20"/>
          <w:sz w:val="20"/>
          <w:szCs w:val="20"/>
        </w:rPr>
        <w:t>People living with IPF are considered at higher risk for developing serious illness if they become infected by the coronavirus. These patients may be instructed to avoid non-essential visits to medical centers, and to instead self</w:t>
      </w:r>
      <w:r>
        <w:rPr>
          <w:rFonts w:eastAsia="Times New Roman"/>
          <w:color w:val="231F20"/>
          <w:sz w:val="20"/>
          <w:szCs w:val="20"/>
        </w:rPr>
        <w:t>-isolate at home. We have successfully implemented a hybrid approach to clinical trial participation with home-health solutions for both our IPF and PSC clinical trials designed to minimize the requirements for visits to healthcare facilities in order to m</w:t>
      </w:r>
      <w:r>
        <w:rPr>
          <w:rFonts w:eastAsia="Times New Roman"/>
          <w:color w:val="231F20"/>
          <w:sz w:val="20"/>
          <w:szCs w:val="20"/>
        </w:rPr>
        <w:t>itigate COVID-19 infection risk in these vulnerable populations.</w:t>
      </w:r>
    </w:p>
    <w:p w:rsidR="00000000" w:rsidRDefault="00FD7D3C">
      <w:pPr>
        <w:ind w:firstLine="1080"/>
        <w:divId w:val="2100055697"/>
        <w:rPr>
          <w:rFonts w:eastAsia="Times New Roman"/>
        </w:rPr>
      </w:pPr>
      <w:r>
        <w:rPr>
          <w:rFonts w:eastAsia="Times New Roman"/>
          <w:color w:val="231F20"/>
          <w:sz w:val="20"/>
          <w:szCs w:val="20"/>
        </w:rPr>
        <w:t>We note the high level of difficulty in projecting the effects of the COVID-19 pandemic on our programs and our company, given the rapid and dramatic evolution in the course and impact of the</w:t>
      </w:r>
      <w:r>
        <w:rPr>
          <w:rFonts w:eastAsia="Times New Roman"/>
          <w:color w:val="231F20"/>
          <w:sz w:val="20"/>
          <w:szCs w:val="20"/>
        </w:rPr>
        <w:t xml:space="preserve"> pandemic and the societal and governmental response to it.</w:t>
      </w:r>
    </w:p>
    <w:p w:rsidR="00000000" w:rsidRDefault="00FD7D3C">
      <w:pPr>
        <w:jc w:val="center"/>
        <w:divId w:val="917905778"/>
        <w:rPr>
          <w:rFonts w:eastAsia="Times New Roman"/>
        </w:rPr>
      </w:pPr>
      <w:r>
        <w:rPr>
          <w:rFonts w:eastAsia="Times New Roman"/>
          <w:color w:val="000000"/>
          <w:sz w:val="20"/>
          <w:szCs w:val="20"/>
        </w:rPr>
        <w:t>27</w:t>
      </w:r>
    </w:p>
    <w:p w:rsidR="00000000" w:rsidRDefault="00FD7D3C">
      <w:pPr>
        <w:rPr>
          <w:rFonts w:eastAsia="Times New Roman"/>
        </w:rPr>
      </w:pPr>
      <w:r>
        <w:rPr>
          <w:rFonts w:eastAsia="Times New Roman"/>
        </w:rPr>
        <w:pict>
          <v:rect id="_x0000_i1080" style="width:0;height:1.5pt" o:hralign="center" o:hrstd="t" o:hr="t" fillcolor="#a0a0a0" stroked="f"/>
        </w:pict>
      </w:r>
    </w:p>
    <w:p w:rsidR="00000000" w:rsidRDefault="00FD7D3C">
      <w:pPr>
        <w:divId w:val="164591383"/>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ind w:firstLine="1080"/>
        <w:divId w:val="1786726228"/>
        <w:rPr>
          <w:rFonts w:eastAsia="Times New Roman"/>
        </w:rPr>
      </w:pPr>
      <w:r>
        <w:rPr>
          <w:rFonts w:eastAsia="Times New Roman"/>
          <w:b/>
          <w:bCs/>
          <w:color w:val="000000"/>
          <w:sz w:val="20"/>
          <w:szCs w:val="20"/>
        </w:rPr>
        <w:t>Competition</w:t>
      </w:r>
    </w:p>
    <w:p w:rsidR="00000000" w:rsidRDefault="00FD7D3C">
      <w:pPr>
        <w:ind w:firstLine="1080"/>
        <w:divId w:val="1807703631"/>
        <w:rPr>
          <w:rFonts w:eastAsia="Times New Roman"/>
        </w:rPr>
      </w:pPr>
      <w:r>
        <w:rPr>
          <w:rFonts w:eastAsia="Times New Roman"/>
          <w:color w:val="231F20"/>
          <w:sz w:val="20"/>
          <w:szCs w:val="20"/>
        </w:rPr>
        <w:t>The biotechnology and biopharmaceutical industries are characterized by rapidly advancing technologies, strong competition and an emphasis on proprietary products. While we believe that our technology, knowledge, experience and scientific personnel provide</w:t>
      </w:r>
      <w:r>
        <w:rPr>
          <w:rFonts w:eastAsia="Times New Roman"/>
          <w:color w:val="231F20"/>
          <w:sz w:val="20"/>
          <w:szCs w:val="20"/>
        </w:rPr>
        <w:t xml:space="preserve"> us with competitive advantages, we face substantial competition from many different sources, including larger pharmaceutical companies with greater resources. Smaller specialty biotechnology and biopharmaceutical companies, academic research institutions,</w:t>
      </w:r>
      <w:r>
        <w:rPr>
          <w:rFonts w:eastAsia="Times New Roman"/>
          <w:color w:val="231F20"/>
          <w:sz w:val="20"/>
          <w:szCs w:val="20"/>
        </w:rPr>
        <w:t xml:space="preserve"> governmental agencies, as well as public and private institutions are also potential sources of competitive products and technologies, including through collaborative arrangements with large and established biopharmaceutical companies. We also face compet</w:t>
      </w:r>
      <w:r>
        <w:rPr>
          <w:rFonts w:eastAsia="Times New Roman"/>
          <w:color w:val="231F20"/>
          <w:sz w:val="20"/>
          <w:szCs w:val="20"/>
        </w:rPr>
        <w:t xml:space="preserve">ition in recruiting and retaining qualified scientific and management personnel, establishing clinical trial sites and enrolling patients for clinical trials, and acquiring technologies complementary to, or necessary for, our programs. We believe that the </w:t>
      </w:r>
      <w:r>
        <w:rPr>
          <w:rFonts w:eastAsia="Times New Roman"/>
          <w:color w:val="231F20"/>
          <w:sz w:val="20"/>
          <w:szCs w:val="20"/>
        </w:rPr>
        <w:t>key competitive factors affecting the success of any of our product candidates will include efficacy, safety profile, convenience, method of administration, cost, level of promotional activity and intellectual property protection.</w:t>
      </w:r>
    </w:p>
    <w:p w:rsidR="00000000" w:rsidRDefault="00FD7D3C">
      <w:pPr>
        <w:ind w:firstLine="1080"/>
        <w:divId w:val="655888293"/>
        <w:rPr>
          <w:rFonts w:eastAsia="Times New Roman"/>
        </w:rPr>
      </w:pPr>
      <w:r>
        <w:rPr>
          <w:rFonts w:eastAsia="Times New Roman"/>
          <w:color w:val="231F20"/>
          <w:sz w:val="20"/>
          <w:szCs w:val="20"/>
        </w:rPr>
        <w:t>There are a number of bio</w:t>
      </w:r>
      <w:r>
        <w:rPr>
          <w:rFonts w:eastAsia="Times New Roman"/>
          <w:color w:val="231F20"/>
          <w:sz w:val="20"/>
          <w:szCs w:val="20"/>
        </w:rPr>
        <w:t>pharmaceutical and biotechnology companies that are currently pursuing the development of products for the treatment of fibrosis. Companies that we are aware of that are targeting the treatment of various fibrosis indications through inhibiting various par</w:t>
      </w:r>
      <w:r>
        <w:rPr>
          <w:rFonts w:eastAsia="Times New Roman"/>
          <w:color w:val="231F20"/>
          <w:sz w:val="20"/>
          <w:szCs w:val="20"/>
        </w:rPr>
        <w:t xml:space="preserve">ts of the TGF-β pathway include large companies with significant financial resources such as </w:t>
      </w:r>
      <w:r>
        <w:rPr>
          <w:rFonts w:eastAsia="Times New Roman"/>
          <w:color w:val="000000"/>
          <w:sz w:val="20"/>
          <w:szCs w:val="20"/>
        </w:rPr>
        <w:t>AbbVie Inc., AstraZeneca plc, Bristol Myers Squibb Co., Corbus Pharmaceutical, DiCE Therapeutics, Inc., FibroGen, Inc., Gilead Sciences, Inc., Galapagos NV, Morphi</w:t>
      </w:r>
      <w:r>
        <w:rPr>
          <w:rFonts w:eastAsia="Times New Roman"/>
          <w:color w:val="000000"/>
          <w:sz w:val="20"/>
          <w:szCs w:val="20"/>
        </w:rPr>
        <w:t>c Therapeutics, Inc., Novartis AG, and Takeda Pharmaceutical Company</w:t>
      </w:r>
      <w:r>
        <w:rPr>
          <w:rFonts w:eastAsia="Times New Roman"/>
          <w:color w:val="231F20"/>
          <w:sz w:val="20"/>
          <w:szCs w:val="20"/>
        </w:rPr>
        <w:t>. However, we know of no other companies currently in clinical development with an orally bioavailable small molecule, selective integrin inhibitor.</w:t>
      </w:r>
    </w:p>
    <w:p w:rsidR="00000000" w:rsidRDefault="00FD7D3C">
      <w:pPr>
        <w:ind w:firstLine="1080"/>
        <w:divId w:val="695808911"/>
        <w:rPr>
          <w:rFonts w:eastAsia="Times New Roman"/>
        </w:rPr>
      </w:pPr>
      <w:r>
        <w:rPr>
          <w:rFonts w:eastAsia="Times New Roman"/>
          <w:color w:val="231F20"/>
          <w:sz w:val="20"/>
          <w:szCs w:val="20"/>
        </w:rPr>
        <w:t>Prior to February 2021, Galapagos’ Phas</w:t>
      </w:r>
      <w:r>
        <w:rPr>
          <w:rFonts w:eastAsia="Times New Roman"/>
          <w:color w:val="231F20"/>
          <w:sz w:val="20"/>
          <w:szCs w:val="20"/>
        </w:rPr>
        <w:t xml:space="preserve">e 3 autotaxin inhibitor GLPG-1690 and FibroGen’s Phase 3 monoclonal antibody against connective tissue growth factor, or CTGF, were the two most advanced development candidates for treatment of IPF. Galapagos announced that it terminated both of its Phase </w:t>
      </w:r>
      <w:r>
        <w:rPr>
          <w:rFonts w:eastAsia="Times New Roman"/>
          <w:color w:val="231F20"/>
          <w:sz w:val="20"/>
          <w:szCs w:val="20"/>
        </w:rPr>
        <w:t>3 trials of GLPG-1690 in IPF in February 2021 due to an unfavorable benefit-risk profile.</w:t>
      </w:r>
    </w:p>
    <w:p w:rsidR="00000000" w:rsidRDefault="00FD7D3C">
      <w:pPr>
        <w:ind w:firstLine="1080"/>
        <w:divId w:val="445126991"/>
        <w:rPr>
          <w:rFonts w:eastAsia="Times New Roman"/>
        </w:rPr>
      </w:pPr>
      <w:r>
        <w:rPr>
          <w:rFonts w:eastAsia="Times New Roman"/>
          <w:color w:val="231F20"/>
          <w:sz w:val="20"/>
          <w:szCs w:val="20"/>
        </w:rPr>
        <w:t>Although our novel approach is unique from most other existing or investigational therapies across the disease areas where we are focusing our development, we will ne</w:t>
      </w:r>
      <w:r>
        <w:rPr>
          <w:rFonts w:eastAsia="Times New Roman"/>
          <w:color w:val="231F20"/>
          <w:sz w:val="20"/>
          <w:szCs w:val="20"/>
        </w:rPr>
        <w:t>ed to compete with currently approved therapies, and potentially those in currently in development if they are approved. We are aware of several marketed and investigational products in our leading disease areas, including but not limited to:</w:t>
      </w:r>
    </w:p>
    <w:p w:rsidR="00000000" w:rsidRDefault="00FD7D3C">
      <w:pPr>
        <w:ind w:hanging="1260"/>
        <w:divId w:val="1875575827"/>
        <w:rPr>
          <w:rFonts w:eastAsia="Times New Roman"/>
        </w:rPr>
      </w:pPr>
      <w:r>
        <w:rPr>
          <w:rFonts w:eastAsia="Times New Roman"/>
          <w:color w:val="000000"/>
          <w:sz w:val="20"/>
          <w:szCs w:val="20"/>
        </w:rPr>
        <w:t>•</w:t>
      </w:r>
      <w:r>
        <w:rPr>
          <w:rFonts w:eastAsia="Times New Roman"/>
          <w:i/>
          <w:iCs/>
          <w:color w:val="000000"/>
          <w:sz w:val="20"/>
          <w:szCs w:val="20"/>
        </w:rPr>
        <w:t>IPF</w:t>
      </w:r>
      <w:r>
        <w:rPr>
          <w:rFonts w:eastAsia="Times New Roman"/>
          <w:color w:val="000000"/>
          <w:sz w:val="20"/>
          <w:szCs w:val="20"/>
        </w:rPr>
        <w:t>: There a</w:t>
      </w:r>
      <w:r>
        <w:rPr>
          <w:rFonts w:eastAsia="Times New Roman"/>
          <w:color w:val="000000"/>
          <w:sz w:val="20"/>
          <w:szCs w:val="20"/>
        </w:rPr>
        <w:t xml:space="preserve">re currently two approved products for the treatment of IPF; Esbriet, marketed by Roche Holding AG, and Ofev, marketed by Boehringer Ingelheim GmbH. Companies currently developing product candidates in IPF include AbbVie, </w:t>
      </w:r>
      <w:r>
        <w:rPr>
          <w:rFonts w:eastAsia="Times New Roman"/>
          <w:color w:val="231F20"/>
          <w:sz w:val="20"/>
          <w:szCs w:val="20"/>
        </w:rPr>
        <w:t>Endeavor Biomedicines,</w:t>
      </w:r>
      <w:r>
        <w:rPr>
          <w:rFonts w:eastAsia="Times New Roman"/>
          <w:color w:val="000000"/>
          <w:sz w:val="20"/>
          <w:szCs w:val="20"/>
        </w:rPr>
        <w:t xml:space="preserve"> FibroGen, G</w:t>
      </w:r>
      <w:r>
        <w:rPr>
          <w:rFonts w:eastAsia="Times New Roman"/>
          <w:color w:val="000000"/>
          <w:sz w:val="20"/>
          <w:szCs w:val="20"/>
        </w:rPr>
        <w:t>alapagos, Kadmon Holdings, Inc., Galecto Biotech, Inc., Roche Holding AG and Liminal BioSciences, Inc.</w:t>
      </w:r>
    </w:p>
    <w:p w:rsidR="00000000" w:rsidRDefault="00FD7D3C">
      <w:pPr>
        <w:ind w:hanging="1260"/>
        <w:divId w:val="1187522901"/>
        <w:rPr>
          <w:rFonts w:eastAsia="Times New Roman"/>
        </w:rPr>
      </w:pPr>
      <w:r>
        <w:rPr>
          <w:rFonts w:eastAsia="Times New Roman"/>
          <w:color w:val="000000"/>
          <w:sz w:val="20"/>
          <w:szCs w:val="20"/>
        </w:rPr>
        <w:t>•</w:t>
      </w:r>
      <w:r>
        <w:rPr>
          <w:rFonts w:eastAsia="Times New Roman"/>
          <w:i/>
          <w:iCs/>
          <w:color w:val="000000"/>
          <w:sz w:val="20"/>
          <w:szCs w:val="20"/>
        </w:rPr>
        <w:t>PSC</w:t>
      </w:r>
      <w:r>
        <w:rPr>
          <w:rFonts w:eastAsia="Times New Roman"/>
          <w:color w:val="000000"/>
          <w:sz w:val="20"/>
          <w:szCs w:val="20"/>
        </w:rPr>
        <w:t>: There are currently no approved therapies for the treatment of PSC. Companies currently developing product candidates in PSC include Gilead Science</w:t>
      </w:r>
      <w:r>
        <w:rPr>
          <w:rFonts w:eastAsia="Times New Roman"/>
          <w:color w:val="000000"/>
          <w:sz w:val="20"/>
          <w:szCs w:val="20"/>
        </w:rPr>
        <w:t>s, Inc., AbbVie Inc., Dr. Falk Pharma and Intercept Pharmaceuticals, Inc.</w:t>
      </w:r>
    </w:p>
    <w:p w:rsidR="00000000" w:rsidRDefault="00FD7D3C">
      <w:pPr>
        <w:ind w:hanging="1260"/>
        <w:divId w:val="689069599"/>
        <w:rPr>
          <w:rFonts w:eastAsia="Times New Roman"/>
        </w:rPr>
      </w:pPr>
      <w:r>
        <w:rPr>
          <w:rFonts w:eastAsia="Times New Roman"/>
          <w:color w:val="000000"/>
          <w:sz w:val="20"/>
          <w:szCs w:val="20"/>
        </w:rPr>
        <w:t>•</w:t>
      </w:r>
      <w:r>
        <w:rPr>
          <w:rFonts w:eastAsia="Times New Roman"/>
          <w:i/>
          <w:iCs/>
          <w:color w:val="000000"/>
          <w:sz w:val="20"/>
          <w:szCs w:val="20"/>
        </w:rPr>
        <w:t>NASH</w:t>
      </w:r>
      <w:r>
        <w:rPr>
          <w:rFonts w:eastAsia="Times New Roman"/>
          <w:color w:val="000000"/>
          <w:sz w:val="20"/>
          <w:szCs w:val="20"/>
        </w:rPr>
        <w:t>: There are currently no FDA-approved therapies for the treatment of NASH. There are a number of companies developing product candidates for the treatment of NASH including Inte</w:t>
      </w:r>
      <w:r>
        <w:rPr>
          <w:rFonts w:eastAsia="Times New Roman"/>
          <w:color w:val="000000"/>
          <w:sz w:val="20"/>
          <w:szCs w:val="20"/>
        </w:rPr>
        <w:t>rcept, Pfizer Inc., Gilead, AbbVie, Novartis, AstraZeneca plc, Eli Lilly &amp; Company, GlaxoSmithKline plc, Amgen, Inc., BMS, Johnson &amp; Johnson, Merck &amp; Co., Inc., Roche, Sanofi S.A., Takeda Pharmace</w:t>
      </w:r>
      <w:r>
        <w:rPr>
          <w:rFonts w:eastAsia="Times New Roman"/>
          <w:color w:val="231F20"/>
          <w:sz w:val="20"/>
          <w:szCs w:val="20"/>
        </w:rPr>
        <w:t xml:space="preserve">uticals, Novo Nordisk, Genfit SA, Madrigal Pharmaceuticals, </w:t>
      </w:r>
      <w:r>
        <w:rPr>
          <w:rFonts w:eastAsia="Times New Roman"/>
          <w:color w:val="231F20"/>
          <w:sz w:val="20"/>
          <w:szCs w:val="20"/>
        </w:rPr>
        <w:t>Inc., Viking Therapeutics, Inc., Cirius Therapeutics, Inc., NGM Biopharmaceuticals, Akero Therapeutics, Inc. and Metacrine, Inc. Most of the drugs currently in development for NASH are focused on decreasing liver fat or improving liver inflammation as oppo</w:t>
      </w:r>
      <w:r>
        <w:rPr>
          <w:rFonts w:eastAsia="Times New Roman"/>
          <w:color w:val="231F20"/>
          <w:sz w:val="20"/>
          <w:szCs w:val="20"/>
        </w:rPr>
        <w:t>sed to direct liver anti-fibrotic approaches.</w:t>
      </w:r>
    </w:p>
    <w:p w:rsidR="00000000" w:rsidRDefault="00FD7D3C">
      <w:pPr>
        <w:ind w:firstLine="1080"/>
        <w:divId w:val="1629315012"/>
        <w:rPr>
          <w:rFonts w:eastAsia="Times New Roman"/>
        </w:rPr>
      </w:pPr>
      <w:r>
        <w:rPr>
          <w:rFonts w:eastAsia="Times New Roman"/>
          <w:color w:val="231F20"/>
          <w:sz w:val="20"/>
          <w:szCs w:val="20"/>
        </w:rPr>
        <w:t>The availability of reimbursement from government and other third-party payors will also significantly affect the pricing and competitiveness of our product candidates, if approved for marketing. Our competitor</w:t>
      </w:r>
      <w:r>
        <w:rPr>
          <w:rFonts w:eastAsia="Times New Roman"/>
          <w:color w:val="231F20"/>
          <w:sz w:val="20"/>
          <w:szCs w:val="20"/>
        </w:rPr>
        <w:t>s also may obtain FDA or other regulatory approval for their products more rapidly than we do, which could result in our competitors establishing a strong market position before we are able to enter the market.</w:t>
      </w:r>
    </w:p>
    <w:p w:rsidR="00000000" w:rsidRDefault="00FD7D3C">
      <w:pPr>
        <w:divId w:val="1966227887"/>
        <w:rPr>
          <w:rFonts w:eastAsia="Times New Roman"/>
        </w:rPr>
      </w:pPr>
    </w:p>
    <w:p w:rsidR="00000000" w:rsidRDefault="00FD7D3C">
      <w:pPr>
        <w:jc w:val="center"/>
        <w:divId w:val="2109301533"/>
        <w:rPr>
          <w:rFonts w:eastAsia="Times New Roman"/>
        </w:rPr>
      </w:pPr>
      <w:r>
        <w:rPr>
          <w:rFonts w:eastAsia="Times New Roman"/>
          <w:color w:val="000000"/>
          <w:sz w:val="20"/>
          <w:szCs w:val="20"/>
        </w:rPr>
        <w:t>28</w:t>
      </w:r>
    </w:p>
    <w:p w:rsidR="00000000" w:rsidRDefault="00FD7D3C">
      <w:pPr>
        <w:rPr>
          <w:rFonts w:eastAsia="Times New Roman"/>
        </w:rPr>
      </w:pPr>
      <w:r>
        <w:rPr>
          <w:rFonts w:eastAsia="Times New Roman"/>
        </w:rPr>
        <w:pict>
          <v:rect id="_x0000_i1081" style="width:0;height:1.5pt" o:hralign="center" o:hrstd="t" o:hr="t" fillcolor="#a0a0a0" stroked="f"/>
        </w:pict>
      </w:r>
    </w:p>
    <w:p w:rsidR="00000000" w:rsidRDefault="00FD7D3C">
      <w:pPr>
        <w:divId w:val="1532956694"/>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divId w:val="1269580424"/>
        <w:rPr>
          <w:rFonts w:eastAsia="Times New Roman"/>
        </w:rPr>
      </w:pPr>
      <w:r>
        <w:rPr>
          <w:rFonts w:eastAsia="Times New Roman"/>
          <w:b/>
          <w:bCs/>
          <w:color w:val="000000"/>
          <w:sz w:val="20"/>
          <w:szCs w:val="20"/>
        </w:rPr>
        <w:t>Intellectual Property</w:t>
      </w:r>
    </w:p>
    <w:p w:rsidR="00000000" w:rsidRDefault="00FD7D3C">
      <w:pPr>
        <w:divId w:val="2098018584"/>
        <w:rPr>
          <w:rFonts w:eastAsia="Times New Roman"/>
        </w:rPr>
      </w:pPr>
      <w:r>
        <w:rPr>
          <w:rFonts w:eastAsia="Times New Roman"/>
          <w:b/>
          <w:bCs/>
          <w:i/>
          <w:iCs/>
          <w:color w:val="000000"/>
          <w:sz w:val="20"/>
          <w:szCs w:val="20"/>
        </w:rPr>
        <w:t>Overview</w:t>
      </w:r>
    </w:p>
    <w:p w:rsidR="00000000" w:rsidRDefault="00FD7D3C">
      <w:pPr>
        <w:ind w:firstLine="720"/>
        <w:divId w:val="1451391515"/>
        <w:rPr>
          <w:rFonts w:eastAsia="Times New Roman"/>
        </w:rPr>
      </w:pPr>
      <w:r>
        <w:rPr>
          <w:rFonts w:eastAsia="Times New Roman"/>
          <w:color w:val="000000"/>
          <w:sz w:val="20"/>
          <w:szCs w:val="20"/>
        </w:rPr>
        <w:t>We strive to protect and enhance the proprietary technology, inventions, and improvements that are commercially important to the development of our business, including seeking, maintaining, and defending patent rights, whether developed internally or licen</w:t>
      </w:r>
      <w:r>
        <w:rPr>
          <w:rFonts w:eastAsia="Times New Roman"/>
          <w:color w:val="000000"/>
          <w:sz w:val="20"/>
          <w:szCs w:val="20"/>
        </w:rPr>
        <w:t>sed from third parties. We also rely on trade secrets relating to our proprietary technology platform and on know-how, continuing technological innovation and in-licensing opportunities to develop, strengthen, and maintain our proprietary position in the f</w:t>
      </w:r>
      <w:r>
        <w:rPr>
          <w:rFonts w:eastAsia="Times New Roman"/>
          <w:color w:val="000000"/>
          <w:sz w:val="20"/>
          <w:szCs w:val="20"/>
        </w:rPr>
        <w:t>ield of fibrosis that may be important for the development of our business. We additionally may rely on regulatory protection afforded through data exclusivity, market exclusivity, and patent term extensions, where available.</w:t>
      </w:r>
    </w:p>
    <w:p w:rsidR="00000000" w:rsidRDefault="00FD7D3C">
      <w:pPr>
        <w:ind w:firstLine="720"/>
        <w:divId w:val="484442575"/>
        <w:rPr>
          <w:rFonts w:eastAsia="Times New Roman"/>
        </w:rPr>
      </w:pPr>
      <w:r>
        <w:rPr>
          <w:rFonts w:eastAsia="Times New Roman"/>
          <w:color w:val="000000"/>
          <w:sz w:val="20"/>
          <w:szCs w:val="20"/>
        </w:rPr>
        <w:t>Our commercial success may dep</w:t>
      </w:r>
      <w:r>
        <w:rPr>
          <w:rFonts w:eastAsia="Times New Roman"/>
          <w:color w:val="000000"/>
          <w:sz w:val="20"/>
          <w:szCs w:val="20"/>
        </w:rPr>
        <w:t>end in part on our ability to: obtain and maintain patent and other proprietary protection for commercially important technology, inventions and know-how related to our business; defend and enforce our patents; preserve the confidentiality of our trade sec</w:t>
      </w:r>
      <w:r>
        <w:rPr>
          <w:rFonts w:eastAsia="Times New Roman"/>
          <w:color w:val="000000"/>
          <w:sz w:val="20"/>
          <w:szCs w:val="20"/>
        </w:rPr>
        <w:t>rets; and operate without infringing the valid enforceable patents and proprietary rights of third parties. Our ability to stop third parties from making, using, selling, offering to sell, or importing our products may depend on the extent to which we have</w:t>
      </w:r>
      <w:r>
        <w:rPr>
          <w:rFonts w:eastAsia="Times New Roman"/>
          <w:color w:val="000000"/>
          <w:sz w:val="20"/>
          <w:szCs w:val="20"/>
        </w:rPr>
        <w:t xml:space="preserve"> rights under valid and enforceable licenses, patents, or trade secrets that cover these activities. In some cases, enforcement of these rights may depend on third party licensors. With respect to both licensed and company-owned intellectual property, we c</w:t>
      </w:r>
      <w:r>
        <w:rPr>
          <w:rFonts w:eastAsia="Times New Roman"/>
          <w:color w:val="000000"/>
          <w:sz w:val="20"/>
          <w:szCs w:val="20"/>
        </w:rPr>
        <w:t>annot be sure that patents will be granted with respect to any of our pending patent applications or with respect to any patent applications filed by us in the future, nor can we be sure that any of our existing patents or any patents that may be granted t</w:t>
      </w:r>
      <w:r>
        <w:rPr>
          <w:rFonts w:eastAsia="Times New Roman"/>
          <w:color w:val="000000"/>
          <w:sz w:val="20"/>
          <w:szCs w:val="20"/>
        </w:rPr>
        <w:t>o us in the future will be commercially useful in protecting our commercial products and methods of manufacturing the same.</w:t>
      </w:r>
    </w:p>
    <w:p w:rsidR="00000000" w:rsidRDefault="00FD7D3C">
      <w:pPr>
        <w:ind w:firstLine="720"/>
        <w:divId w:val="1988388420"/>
        <w:rPr>
          <w:rFonts w:eastAsia="Times New Roman"/>
        </w:rPr>
      </w:pPr>
      <w:r>
        <w:rPr>
          <w:rFonts w:eastAsia="Times New Roman"/>
          <w:color w:val="000000"/>
          <w:sz w:val="20"/>
          <w:szCs w:val="20"/>
        </w:rPr>
        <w:t>As of February 25, 2022, we own, co-own or license over 170 pending patent applications worldwide in over 20 patent families, includ</w:t>
      </w:r>
      <w:r>
        <w:rPr>
          <w:rFonts w:eastAsia="Times New Roman"/>
          <w:color w:val="000000"/>
          <w:sz w:val="20"/>
          <w:szCs w:val="20"/>
        </w:rPr>
        <w:t>ing United States and corresponding foreign patent applications. As of February 25, 2022, four U.S. patents and one Japanese patent have issued to us that are generally expected to expire between the years 2037 to 2039, subject to possible patent term adju</w:t>
      </w:r>
      <w:r>
        <w:rPr>
          <w:rFonts w:eastAsia="Times New Roman"/>
          <w:color w:val="000000"/>
          <w:sz w:val="20"/>
          <w:szCs w:val="20"/>
        </w:rPr>
        <w:t xml:space="preserve">stment and/or extension. Our policy is to file patent applications to protect technology, inventions and improvements to inventions that are commercially important to the development of our business. We seek United States and foreign patent protection for </w:t>
      </w:r>
      <w:r>
        <w:rPr>
          <w:rFonts w:eastAsia="Times New Roman"/>
          <w:color w:val="000000"/>
          <w:sz w:val="20"/>
          <w:szCs w:val="20"/>
        </w:rPr>
        <w:t>a variety of technologies, including, research compounds and methods, candidate compounds and antibodies for modulating the activity of integrins, methods for treating diseases of interest, and methods for manufacturing our products. We also intend to seek</w:t>
      </w:r>
      <w:r>
        <w:rPr>
          <w:rFonts w:eastAsia="Times New Roman"/>
          <w:color w:val="000000"/>
          <w:sz w:val="20"/>
          <w:szCs w:val="20"/>
        </w:rPr>
        <w:t xml:space="preserve"> patent protection or rely upon trade secret rights to protect other technologies that may be used to discover and validate targets and that may be used to identify and develop novel products. We seek protection, in part, through confidentiality and propri</w:t>
      </w:r>
      <w:r>
        <w:rPr>
          <w:rFonts w:eastAsia="Times New Roman"/>
          <w:color w:val="000000"/>
          <w:sz w:val="20"/>
          <w:szCs w:val="20"/>
        </w:rPr>
        <w:t>etary information agreements. We are a party to various other license agreements that give us rights to use specific technologies in our research and development.</w:t>
      </w:r>
    </w:p>
    <w:p w:rsidR="00000000" w:rsidRDefault="00FD7D3C">
      <w:pPr>
        <w:divId w:val="1780761392"/>
        <w:rPr>
          <w:rFonts w:eastAsia="Times New Roman"/>
        </w:rPr>
      </w:pPr>
      <w:r>
        <w:rPr>
          <w:rFonts w:eastAsia="Times New Roman"/>
          <w:b/>
          <w:bCs/>
          <w:i/>
          <w:iCs/>
          <w:color w:val="000000"/>
          <w:sz w:val="20"/>
          <w:szCs w:val="20"/>
        </w:rPr>
        <w:t>Company Owned IP</w:t>
      </w:r>
    </w:p>
    <w:p w:rsidR="00000000" w:rsidRDefault="00FD7D3C">
      <w:pPr>
        <w:ind w:firstLine="720"/>
        <w:divId w:val="843403443"/>
        <w:rPr>
          <w:rFonts w:eastAsia="Times New Roman"/>
        </w:rPr>
      </w:pPr>
      <w:r>
        <w:rPr>
          <w:rFonts w:eastAsia="Times New Roman"/>
          <w:color w:val="000000"/>
          <w:sz w:val="20"/>
          <w:szCs w:val="20"/>
        </w:rPr>
        <w:t>We own multiple families of patent applications that are directed to small-molecule compositions capable of modulating integrins and methods for treating or preventing diseases associated with integrins. Certain applications in these families relate to our</w:t>
      </w:r>
      <w:r>
        <w:rPr>
          <w:rFonts w:eastAsia="Times New Roman"/>
          <w:color w:val="000000"/>
          <w:sz w:val="20"/>
          <w:szCs w:val="20"/>
        </w:rPr>
        <w:t xml:space="preserve"> PLN-74809 and PLN-1474 small-molecule product candidates, backup compounds and structural analogs, various unit dosages, dosing regimens, and routes of administration. We are also pursuing innovative ways to modulate integrin function using antibodies and</w:t>
      </w:r>
      <w:r>
        <w:rPr>
          <w:rFonts w:eastAsia="Times New Roman"/>
          <w:color w:val="000000"/>
          <w:sz w:val="20"/>
          <w:szCs w:val="20"/>
        </w:rPr>
        <w:t xml:space="preserve"> have six pending patent application to that technology in the United States. Patents that may issue from these company owned applications are generally expected to expire between the years 2037 to 2042, subject to possible patent term adjustment and/or ex</w:t>
      </w:r>
      <w:r>
        <w:rPr>
          <w:rFonts w:eastAsia="Times New Roman"/>
          <w:color w:val="000000"/>
          <w:sz w:val="20"/>
          <w:szCs w:val="20"/>
        </w:rPr>
        <w:t>tension.</w:t>
      </w:r>
    </w:p>
    <w:p w:rsidR="00000000" w:rsidRDefault="00FD7D3C">
      <w:pPr>
        <w:divId w:val="19820287"/>
        <w:rPr>
          <w:rFonts w:eastAsia="Times New Roman"/>
        </w:rPr>
      </w:pPr>
      <w:r>
        <w:rPr>
          <w:rFonts w:eastAsia="Times New Roman"/>
          <w:b/>
          <w:bCs/>
          <w:i/>
          <w:iCs/>
          <w:color w:val="000000"/>
          <w:sz w:val="20"/>
          <w:szCs w:val="20"/>
        </w:rPr>
        <w:t>Trademark Protection</w:t>
      </w:r>
    </w:p>
    <w:p w:rsidR="00000000" w:rsidRDefault="00FD7D3C">
      <w:pPr>
        <w:ind w:firstLine="720"/>
        <w:divId w:val="1268462991"/>
        <w:rPr>
          <w:rFonts w:eastAsia="Times New Roman"/>
        </w:rPr>
      </w:pPr>
      <w:r>
        <w:rPr>
          <w:rFonts w:eastAsia="Times New Roman"/>
          <w:color w:val="000000"/>
          <w:sz w:val="20"/>
          <w:szCs w:val="20"/>
        </w:rPr>
        <w:t>We have two registered U.S. trademarks for use in connection with our products. We may pursue additional registrations for future products in markets of interest.</w:t>
      </w:r>
    </w:p>
    <w:p w:rsidR="00000000" w:rsidRDefault="00FD7D3C">
      <w:pPr>
        <w:divId w:val="914126006"/>
        <w:rPr>
          <w:rFonts w:eastAsia="Times New Roman"/>
        </w:rPr>
      </w:pPr>
      <w:r>
        <w:rPr>
          <w:rFonts w:eastAsia="Times New Roman"/>
          <w:b/>
          <w:bCs/>
          <w:i/>
          <w:iCs/>
          <w:color w:val="000000"/>
          <w:sz w:val="20"/>
          <w:szCs w:val="20"/>
        </w:rPr>
        <w:t>Trade Secret Protection</w:t>
      </w:r>
    </w:p>
    <w:p w:rsidR="00000000" w:rsidRDefault="00FD7D3C">
      <w:pPr>
        <w:ind w:firstLine="720"/>
        <w:divId w:val="294651452"/>
        <w:rPr>
          <w:rFonts w:eastAsia="Times New Roman"/>
        </w:rPr>
      </w:pPr>
      <w:r>
        <w:rPr>
          <w:rFonts w:eastAsia="Times New Roman"/>
          <w:color w:val="000000"/>
          <w:sz w:val="20"/>
          <w:szCs w:val="20"/>
        </w:rPr>
        <w:t xml:space="preserve">We may rely, in some circumstances, on </w:t>
      </w:r>
      <w:r>
        <w:rPr>
          <w:rFonts w:eastAsia="Times New Roman"/>
          <w:color w:val="000000"/>
          <w:sz w:val="20"/>
          <w:szCs w:val="20"/>
        </w:rPr>
        <w:t>trade secrets to protect our technology. We seek to protect our proprietary technology and processes, in part, by entering into confidentiality agreements with our employees, consultants, scientific advisors, and contractors. We also seek to preserve the i</w:t>
      </w:r>
      <w:r>
        <w:rPr>
          <w:rFonts w:eastAsia="Times New Roman"/>
          <w:color w:val="000000"/>
          <w:sz w:val="20"/>
          <w:szCs w:val="20"/>
        </w:rPr>
        <w:t>ntegrity and confidentiality of our data and trade secrets by maintaining physical security of our premises and physical and electronic security of our information technology systems.</w:t>
      </w:r>
    </w:p>
    <w:p w:rsidR="00000000" w:rsidRDefault="00FD7D3C">
      <w:pPr>
        <w:ind w:firstLine="720"/>
        <w:divId w:val="719789697"/>
        <w:rPr>
          <w:rFonts w:eastAsia="Times New Roman"/>
        </w:rPr>
      </w:pPr>
      <w:r>
        <w:rPr>
          <w:rFonts w:eastAsia="Times New Roman"/>
          <w:color w:val="000000"/>
          <w:sz w:val="20"/>
          <w:szCs w:val="20"/>
        </w:rPr>
        <w:t xml:space="preserve">In addition to the above, we have established expertise and development </w:t>
      </w:r>
      <w:r>
        <w:rPr>
          <w:rFonts w:eastAsia="Times New Roman"/>
          <w:color w:val="000000"/>
          <w:sz w:val="20"/>
          <w:szCs w:val="20"/>
        </w:rPr>
        <w:t xml:space="preserve">capabilities focused in the areas of preclinical research and development, manufacturing and manufacturing process development, quality control, quality </w:t>
      </w:r>
    </w:p>
    <w:p w:rsidR="00000000" w:rsidRDefault="00FD7D3C">
      <w:pPr>
        <w:jc w:val="center"/>
        <w:divId w:val="1061442868"/>
        <w:rPr>
          <w:rFonts w:eastAsia="Times New Roman"/>
        </w:rPr>
      </w:pPr>
      <w:r>
        <w:rPr>
          <w:rFonts w:eastAsia="Times New Roman"/>
          <w:color w:val="000000"/>
          <w:sz w:val="20"/>
          <w:szCs w:val="20"/>
        </w:rPr>
        <w:t>29</w:t>
      </w:r>
    </w:p>
    <w:p w:rsidR="00000000" w:rsidRDefault="00FD7D3C">
      <w:pPr>
        <w:rPr>
          <w:rFonts w:eastAsia="Times New Roman"/>
        </w:rPr>
      </w:pPr>
      <w:r>
        <w:rPr>
          <w:rFonts w:eastAsia="Times New Roman"/>
        </w:rPr>
        <w:pict>
          <v:rect id="_x0000_i1082" style="width:0;height:1.5pt" o:hralign="center" o:hrstd="t" o:hr="t" fillcolor="#a0a0a0" stroked="f"/>
        </w:pict>
      </w:r>
    </w:p>
    <w:p w:rsidR="00000000" w:rsidRDefault="00FD7D3C">
      <w:pPr>
        <w:divId w:val="1511946856"/>
        <w:rPr>
          <w:rFonts w:eastAsia="Times New Roman"/>
        </w:rPr>
      </w:pPr>
      <w:hyperlink w:anchor="i988625df783e4cc0a27bd76df388da57_7" w:history="1">
        <w:r>
          <w:rPr>
            <w:rStyle w:val="a3"/>
            <w:rFonts w:eastAsia="Times New Roman"/>
            <w:sz w:val="20"/>
            <w:szCs w:val="20"/>
          </w:rPr>
          <w:t>Tabl</w:t>
        </w:r>
        <w:r>
          <w:rPr>
            <w:rStyle w:val="a3"/>
            <w:rFonts w:eastAsia="Times New Roman"/>
            <w:sz w:val="20"/>
            <w:szCs w:val="20"/>
          </w:rPr>
          <w:t>e of Contents</w:t>
        </w:r>
      </w:hyperlink>
    </w:p>
    <w:p w:rsidR="00000000" w:rsidRDefault="00FD7D3C">
      <w:pPr>
        <w:divId w:val="351418722"/>
        <w:rPr>
          <w:rFonts w:eastAsia="Times New Roman"/>
        </w:rPr>
      </w:pPr>
      <w:r>
        <w:rPr>
          <w:rFonts w:eastAsia="Times New Roman"/>
          <w:color w:val="000000"/>
          <w:sz w:val="20"/>
          <w:szCs w:val="20"/>
        </w:rPr>
        <w:t>assurance, regulatory affairs, and clinical trial design and implementation. We believe that our focus and expertise will help us develop products based on our proprietary intellectual property.</w:t>
      </w:r>
    </w:p>
    <w:p w:rsidR="00000000" w:rsidRDefault="00FD7D3C">
      <w:pPr>
        <w:divId w:val="88233156"/>
        <w:rPr>
          <w:rFonts w:eastAsia="Times New Roman"/>
        </w:rPr>
      </w:pPr>
      <w:r>
        <w:rPr>
          <w:rFonts w:eastAsia="Times New Roman"/>
          <w:b/>
          <w:bCs/>
          <w:color w:val="000000"/>
          <w:sz w:val="20"/>
          <w:szCs w:val="20"/>
        </w:rPr>
        <w:t>License Agreements</w:t>
      </w:r>
    </w:p>
    <w:p w:rsidR="00000000" w:rsidRDefault="00FD7D3C">
      <w:pPr>
        <w:divId w:val="274093235"/>
        <w:rPr>
          <w:rFonts w:eastAsia="Times New Roman"/>
        </w:rPr>
      </w:pPr>
      <w:r>
        <w:rPr>
          <w:rFonts w:eastAsia="Times New Roman"/>
          <w:b/>
          <w:bCs/>
          <w:i/>
          <w:iCs/>
          <w:color w:val="000000"/>
          <w:sz w:val="20"/>
          <w:szCs w:val="20"/>
        </w:rPr>
        <w:t>Novartis Collaboration and L</w:t>
      </w:r>
      <w:r>
        <w:rPr>
          <w:rFonts w:eastAsia="Times New Roman"/>
          <w:b/>
          <w:bCs/>
          <w:i/>
          <w:iCs/>
          <w:color w:val="000000"/>
          <w:sz w:val="20"/>
          <w:szCs w:val="20"/>
        </w:rPr>
        <w:t>icense Agreement</w:t>
      </w:r>
    </w:p>
    <w:p w:rsidR="00000000" w:rsidRDefault="00FD7D3C">
      <w:pPr>
        <w:ind w:firstLine="720"/>
        <w:divId w:val="2118090577"/>
        <w:rPr>
          <w:rFonts w:eastAsia="Times New Roman"/>
        </w:rPr>
      </w:pPr>
      <w:r>
        <w:rPr>
          <w:rFonts w:eastAsia="Times New Roman"/>
          <w:color w:val="000000"/>
          <w:sz w:val="20"/>
          <w:szCs w:val="20"/>
        </w:rPr>
        <w:t>In October 2019, we entered into a collaboration and license agreement, or the Novartis Agreement, with Novartis Institutes for Biomedical Research, Inc., or Novartis, for the research, development, and commercialization of PLN-1474, and u</w:t>
      </w:r>
      <w:r>
        <w:rPr>
          <w:rFonts w:eastAsia="Times New Roman"/>
          <w:color w:val="000000"/>
          <w:sz w:val="20"/>
          <w:szCs w:val="20"/>
        </w:rPr>
        <w:t>p to three additional integrin targets, or the Research Targets. Under the terms of the Novartis Agreement, we will be responsible for the clinical development and manufacture of PLN-1474 through the first-in-human study and Novartis will then be responsib</w:t>
      </w:r>
      <w:r>
        <w:rPr>
          <w:rFonts w:eastAsia="Times New Roman"/>
          <w:color w:val="000000"/>
          <w:sz w:val="20"/>
          <w:szCs w:val="20"/>
        </w:rPr>
        <w:t>le for all future development, manufacturing, and commercialization. Following the completion of our Phase 1 clinical trial for PLN-1474, the PLN-1474 IND was transferred to Novartis in the first quarter of 2021.</w:t>
      </w:r>
    </w:p>
    <w:p w:rsidR="00000000" w:rsidRDefault="00FD7D3C">
      <w:pPr>
        <w:ind w:firstLine="720"/>
        <w:divId w:val="1938323882"/>
        <w:rPr>
          <w:rFonts w:eastAsia="Times New Roman"/>
        </w:rPr>
      </w:pPr>
      <w:r>
        <w:rPr>
          <w:rFonts w:eastAsia="Times New Roman"/>
          <w:color w:val="000000"/>
          <w:sz w:val="20"/>
          <w:szCs w:val="20"/>
        </w:rPr>
        <w:t>During the research term, which shall initi</w:t>
      </w:r>
      <w:r>
        <w:rPr>
          <w:rFonts w:eastAsia="Times New Roman"/>
          <w:color w:val="000000"/>
          <w:sz w:val="20"/>
          <w:szCs w:val="20"/>
        </w:rPr>
        <w:t>ally be three years and extendable, we will collaborate, through a joint steering committee, with Novartis on up to three separate research programs, to biologically validate certain potential Research Targets and identify and synthesize potential research</w:t>
      </w:r>
      <w:r>
        <w:rPr>
          <w:rFonts w:eastAsia="Times New Roman"/>
          <w:color w:val="000000"/>
          <w:sz w:val="20"/>
          <w:szCs w:val="20"/>
        </w:rPr>
        <w:t xml:space="preserve"> compounds for each Research Target in accordance with the applicable research plan. We will be responsible for advancing product candidates targeting selected Research Targets to development candidate stage and Novartis will then be responsible for all fu</w:t>
      </w:r>
      <w:r>
        <w:rPr>
          <w:rFonts w:eastAsia="Times New Roman"/>
          <w:color w:val="000000"/>
          <w:sz w:val="20"/>
          <w:szCs w:val="20"/>
        </w:rPr>
        <w:t>ture development, manufacturing, and commercialization.</w:t>
      </w:r>
    </w:p>
    <w:p w:rsidR="00000000" w:rsidRDefault="00FD7D3C">
      <w:pPr>
        <w:ind w:firstLine="720"/>
        <w:divId w:val="566108261"/>
        <w:rPr>
          <w:rFonts w:eastAsia="Times New Roman"/>
        </w:rPr>
      </w:pPr>
      <w:r>
        <w:rPr>
          <w:rFonts w:eastAsia="Times New Roman"/>
          <w:color w:val="000000"/>
          <w:sz w:val="20"/>
          <w:szCs w:val="20"/>
        </w:rPr>
        <w:t>We have also granted to Novartis an (i) exclusive (even as to us), transferable, sublicensable license to certain of our technology to commercialize licensed products in the field and (ii) co-exclusiv</w:t>
      </w:r>
      <w:r>
        <w:rPr>
          <w:rFonts w:eastAsia="Times New Roman"/>
          <w:color w:val="000000"/>
          <w:sz w:val="20"/>
          <w:szCs w:val="20"/>
        </w:rPr>
        <w:t>e (with us), transferable, sublicensable license to research, develop and manufacture certain licensed compounds and licensed products for disease treatment worldwide. Upon the completion of the first Phase 1 study, such co-exclusive license shall become e</w:t>
      </w:r>
      <w:r>
        <w:rPr>
          <w:rFonts w:eastAsia="Times New Roman"/>
          <w:color w:val="000000"/>
          <w:sz w:val="20"/>
          <w:szCs w:val="20"/>
        </w:rPr>
        <w:t>xclusive for Novartis.</w:t>
      </w:r>
    </w:p>
    <w:p w:rsidR="00000000" w:rsidRDefault="00FD7D3C">
      <w:pPr>
        <w:ind w:firstLine="720"/>
        <w:divId w:val="1412195500"/>
        <w:rPr>
          <w:rFonts w:eastAsia="Times New Roman"/>
        </w:rPr>
      </w:pPr>
      <w:r>
        <w:rPr>
          <w:rFonts w:eastAsia="Times New Roman"/>
          <w:color w:val="000000"/>
          <w:sz w:val="20"/>
          <w:szCs w:val="20"/>
        </w:rPr>
        <w:t>In addition, pursuant to the Novartis Agreement, we have granted to Novartis and its affiliates an (i) exclusive (even as to us), transferable, sublicensable license to certain of our technology to commercialize certain research prod</w:t>
      </w:r>
      <w:r>
        <w:rPr>
          <w:rFonts w:eastAsia="Times New Roman"/>
          <w:color w:val="000000"/>
          <w:sz w:val="20"/>
          <w:szCs w:val="20"/>
        </w:rPr>
        <w:t>ucts in the field and (ii) a coexclusive (with us), transferable, sublicensable license to develop, manufacture, and commercialize certain selected research compounds and research products for disease treatment worldwide. Upon the selection of relevant can</w:t>
      </w:r>
      <w:r>
        <w:rPr>
          <w:rFonts w:eastAsia="Times New Roman"/>
          <w:color w:val="000000"/>
          <w:sz w:val="20"/>
          <w:szCs w:val="20"/>
        </w:rPr>
        <w:t>didate small molecule compound selective modulator, such co-exclusive license shall become exclusive for Novartis.</w:t>
      </w:r>
    </w:p>
    <w:p w:rsidR="00000000" w:rsidRDefault="00FD7D3C">
      <w:pPr>
        <w:ind w:firstLine="720"/>
        <w:divId w:val="1138230996"/>
        <w:rPr>
          <w:rFonts w:eastAsia="Times New Roman"/>
        </w:rPr>
      </w:pPr>
      <w:r>
        <w:rPr>
          <w:rFonts w:eastAsia="Times New Roman"/>
          <w:color w:val="000000"/>
          <w:sz w:val="20"/>
          <w:szCs w:val="20"/>
        </w:rPr>
        <w:t xml:space="preserve">Pursuant to the agreement, we received an upfront, non-refundable license fee of $50.0 million and $25.0 million upon first patient dosed in </w:t>
      </w:r>
      <w:r>
        <w:rPr>
          <w:rFonts w:eastAsia="Times New Roman"/>
          <w:color w:val="000000"/>
          <w:sz w:val="20"/>
          <w:szCs w:val="20"/>
        </w:rPr>
        <w:t>our Phase 1 trial of PLN-1474. Additional contingent payments totaling $391.0 million are due to us upon achievement of specified research, development, regulatory and commercial events and Novartis shall pay us tiered royalties, on a product-by-product ba</w:t>
      </w:r>
      <w:r>
        <w:rPr>
          <w:rFonts w:eastAsia="Times New Roman"/>
          <w:color w:val="000000"/>
          <w:sz w:val="20"/>
          <w:szCs w:val="20"/>
        </w:rPr>
        <w:t>sis based on annual nets sales of products at percentages ranging from high-single digits to low teens of the applicable licensed products and mid-single digits to high-single digits for any products resulting from the research programs. Also, Novartis agr</w:t>
      </w:r>
      <w:r>
        <w:rPr>
          <w:rFonts w:eastAsia="Times New Roman"/>
          <w:color w:val="000000"/>
          <w:sz w:val="20"/>
          <w:szCs w:val="20"/>
        </w:rPr>
        <w:t>eed to provide up to $19.6 million and up to $13.4 million in funding for the research and development activities associated with PLN-1474 and integrin research targets, respectively. As of December 31, 2021 approximately $2.0 million of aggregate research</w:t>
      </w:r>
      <w:r>
        <w:rPr>
          <w:rFonts w:eastAsia="Times New Roman"/>
          <w:color w:val="000000"/>
          <w:sz w:val="20"/>
          <w:szCs w:val="20"/>
        </w:rPr>
        <w:t xml:space="preserve"> and development funding remains available for use under the arrangement. </w:t>
      </w:r>
    </w:p>
    <w:p w:rsidR="00000000" w:rsidRDefault="00FD7D3C">
      <w:pPr>
        <w:ind w:firstLine="720"/>
        <w:divId w:val="58137962"/>
        <w:rPr>
          <w:rFonts w:eastAsia="Times New Roman"/>
        </w:rPr>
      </w:pPr>
      <w:r>
        <w:rPr>
          <w:rFonts w:eastAsia="Times New Roman"/>
          <w:color w:val="000000"/>
          <w:sz w:val="20"/>
          <w:szCs w:val="20"/>
        </w:rPr>
        <w:t>Unless earlier terminated, the Novartis Agreement will expire upon the expiration of all royalty obligations. The royalty period will expire on a product-by-product and country-by-c</w:t>
      </w:r>
      <w:r>
        <w:rPr>
          <w:rFonts w:eastAsia="Times New Roman"/>
          <w:color w:val="000000"/>
          <w:sz w:val="20"/>
          <w:szCs w:val="20"/>
        </w:rPr>
        <w:t>ountry basis upon the later of (i) ten years from the first commercial sale, (ii) the expiration of all regulatory or data exclusivity and (iii) the expiration of the last-to-expire valid patent claim. Novartis has the right to terminate the Novartis Agree</w:t>
      </w:r>
      <w:r>
        <w:rPr>
          <w:rFonts w:eastAsia="Times New Roman"/>
          <w:color w:val="000000"/>
          <w:sz w:val="20"/>
          <w:szCs w:val="20"/>
        </w:rPr>
        <w:t xml:space="preserve">ment for convenience on a target-by-target basis upon sixty (60) days’ prior written notice, so long as such right is exercised prior to the first commercial sale of any licensed product or research product with respect to the applicable target. After the </w:t>
      </w:r>
      <w:r>
        <w:rPr>
          <w:rFonts w:eastAsia="Times New Roman"/>
          <w:color w:val="000000"/>
          <w:sz w:val="20"/>
          <w:szCs w:val="20"/>
        </w:rPr>
        <w:t>first commercial sale, Novartis has the right to terminate the Novartis Agreement for convenience on a target-by-target basis upon six (6) months’ prior written notice. We may not terminate the agreement for convenience. Either we or Novartis may terminate</w:t>
      </w:r>
      <w:r>
        <w:rPr>
          <w:rFonts w:eastAsia="Times New Roman"/>
          <w:color w:val="000000"/>
          <w:sz w:val="20"/>
          <w:szCs w:val="20"/>
        </w:rPr>
        <w:t xml:space="preserve"> the Novartis Agreement if the other party is in material breach and such breach is not cured within the specified cure period. In addition, either we or Novartis may terminate the Novartis Agreement in the event of specified insolvency events involving th</w:t>
      </w:r>
      <w:r>
        <w:rPr>
          <w:rFonts w:eastAsia="Times New Roman"/>
          <w:color w:val="000000"/>
          <w:sz w:val="20"/>
          <w:szCs w:val="20"/>
        </w:rPr>
        <w:t>e other party. If we terminate the agreement as a result of Novartis’ uncured material breach or Novartis terminates at will, we retain a royalty-bearing, non-exclusive license to certain Novartis technology in order to develop, manufacture and commerciali</w:t>
      </w:r>
      <w:r>
        <w:rPr>
          <w:rFonts w:eastAsia="Times New Roman"/>
          <w:color w:val="000000"/>
          <w:sz w:val="20"/>
          <w:szCs w:val="20"/>
        </w:rPr>
        <w:t>ze certain compounds and products as set forth in the Novartis Agreement, subject to certain conditions.</w:t>
      </w:r>
    </w:p>
    <w:p w:rsidR="00000000" w:rsidRDefault="00FD7D3C">
      <w:pPr>
        <w:divId w:val="1995795579"/>
        <w:rPr>
          <w:rFonts w:eastAsia="Times New Roman"/>
        </w:rPr>
      </w:pPr>
      <w:r>
        <w:rPr>
          <w:rFonts w:eastAsia="Times New Roman"/>
          <w:b/>
          <w:bCs/>
          <w:i/>
          <w:iCs/>
          <w:color w:val="000000"/>
          <w:sz w:val="20"/>
          <w:szCs w:val="20"/>
        </w:rPr>
        <w:t>Adimab Collaboration Agreement</w:t>
      </w:r>
    </w:p>
    <w:p w:rsidR="00000000" w:rsidRDefault="00FD7D3C">
      <w:pPr>
        <w:ind w:firstLine="720"/>
        <w:divId w:val="1102068096"/>
        <w:rPr>
          <w:rFonts w:eastAsia="Times New Roman"/>
        </w:rPr>
      </w:pPr>
      <w:r>
        <w:rPr>
          <w:rFonts w:eastAsia="Times New Roman"/>
          <w:color w:val="000000"/>
          <w:sz w:val="20"/>
          <w:szCs w:val="20"/>
        </w:rPr>
        <w:t>In October 2018, we entered into a collaboration agreement, or the Adimab Agreement, with Adimab, LLC, or Adimab, for th</w:t>
      </w:r>
      <w:r>
        <w:rPr>
          <w:rFonts w:eastAsia="Times New Roman"/>
          <w:color w:val="000000"/>
          <w:sz w:val="20"/>
          <w:szCs w:val="20"/>
        </w:rPr>
        <w:t xml:space="preserve">e discovery and optimization of proprietary antibodies as potential therapeutic product candidates. Adimab </w:t>
      </w:r>
    </w:p>
    <w:p w:rsidR="00000000" w:rsidRDefault="00FD7D3C">
      <w:pPr>
        <w:jc w:val="center"/>
        <w:divId w:val="127938347"/>
        <w:rPr>
          <w:rFonts w:eastAsia="Times New Roman"/>
        </w:rPr>
      </w:pPr>
      <w:r>
        <w:rPr>
          <w:rFonts w:eastAsia="Times New Roman"/>
          <w:color w:val="000000"/>
          <w:sz w:val="20"/>
          <w:szCs w:val="20"/>
        </w:rPr>
        <w:t>30</w:t>
      </w:r>
    </w:p>
    <w:p w:rsidR="00000000" w:rsidRDefault="00FD7D3C">
      <w:pPr>
        <w:rPr>
          <w:rFonts w:eastAsia="Times New Roman"/>
        </w:rPr>
      </w:pPr>
      <w:r>
        <w:rPr>
          <w:rFonts w:eastAsia="Times New Roman"/>
        </w:rPr>
        <w:pict>
          <v:rect id="_x0000_i1083" style="width:0;height:1.5pt" o:hralign="center" o:hrstd="t" o:hr="t" fillcolor="#a0a0a0" stroked="f"/>
        </w:pict>
      </w:r>
    </w:p>
    <w:p w:rsidR="00000000" w:rsidRDefault="00FD7D3C">
      <w:pPr>
        <w:divId w:val="1260330037"/>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divId w:val="239608515"/>
        <w:rPr>
          <w:rFonts w:eastAsia="Times New Roman"/>
        </w:rPr>
      </w:pPr>
      <w:r>
        <w:rPr>
          <w:rFonts w:eastAsia="Times New Roman"/>
          <w:color w:val="000000"/>
          <w:sz w:val="20"/>
          <w:szCs w:val="20"/>
        </w:rPr>
        <w:t>has granted to us an exclusive option to acquire the rights to a number of discovered antibodies for development and commercialization as biopharmaceutical products. We have granted Adimab a non-exclusive, non-sublicensable license under our technology dur</w:t>
      </w:r>
      <w:r>
        <w:rPr>
          <w:rFonts w:eastAsia="Times New Roman"/>
          <w:color w:val="000000"/>
          <w:sz w:val="20"/>
          <w:szCs w:val="20"/>
        </w:rPr>
        <w:t>ing each research program to perform Adimab’s responsibilities under such research plan.</w:t>
      </w:r>
    </w:p>
    <w:p w:rsidR="00000000" w:rsidRDefault="00FD7D3C">
      <w:pPr>
        <w:ind w:firstLine="720"/>
        <w:divId w:val="366295872"/>
        <w:rPr>
          <w:rFonts w:eastAsia="Times New Roman"/>
        </w:rPr>
      </w:pPr>
      <w:r>
        <w:rPr>
          <w:rFonts w:eastAsia="Times New Roman"/>
          <w:color w:val="000000"/>
          <w:sz w:val="20"/>
          <w:szCs w:val="20"/>
        </w:rPr>
        <w:t xml:space="preserve">If we choose to exercise our option with respect to a specific research program, we are required to pay Adimab a non-creditable, non-refundable high six-figure option </w:t>
      </w:r>
      <w:r>
        <w:rPr>
          <w:rFonts w:eastAsia="Times New Roman"/>
          <w:color w:val="000000"/>
          <w:sz w:val="20"/>
          <w:szCs w:val="20"/>
        </w:rPr>
        <w:t>exercise fee, and milestone payments upon the achievement of certain clinical and regulatory milestone events in the development of therapeutic products and diagnostic products which use the antibodies we have obtained pursuant to our exclusive option of a</w:t>
      </w:r>
      <w:r>
        <w:rPr>
          <w:rFonts w:eastAsia="Times New Roman"/>
          <w:color w:val="000000"/>
          <w:sz w:val="20"/>
          <w:szCs w:val="20"/>
        </w:rPr>
        <w:t xml:space="preserve">pproximately $12 million for each therapeutic product. For any product that is commercialized pursuant to the Adimab Agreement, we are required to pay Adimab low single digit percentage tiered royalty payments based on annual aggregate worldwide net sales </w:t>
      </w:r>
      <w:r>
        <w:rPr>
          <w:rFonts w:eastAsia="Times New Roman"/>
          <w:color w:val="000000"/>
          <w:sz w:val="20"/>
          <w:szCs w:val="20"/>
        </w:rPr>
        <w:t>thresholds for such products, subject to reduction as specified in the Adimab Agreement. Royalty terms with respect to each product will expire on a country-by-country basis upon the later of (a) ten years after the first commercial sale of such product in</w:t>
      </w:r>
      <w:r>
        <w:rPr>
          <w:rFonts w:eastAsia="Times New Roman"/>
          <w:color w:val="000000"/>
          <w:sz w:val="20"/>
          <w:szCs w:val="20"/>
        </w:rPr>
        <w:t xml:space="preserve"> such country and (b) the expiration of the last patent related to any antibody acquired by us pursuant to our option from a specified research program.</w:t>
      </w:r>
    </w:p>
    <w:p w:rsidR="00000000" w:rsidRDefault="00FD7D3C">
      <w:pPr>
        <w:divId w:val="559485263"/>
        <w:rPr>
          <w:rFonts w:eastAsia="Times New Roman"/>
        </w:rPr>
      </w:pPr>
      <w:r>
        <w:rPr>
          <w:rFonts w:eastAsia="Times New Roman"/>
          <w:b/>
          <w:bCs/>
          <w:color w:val="000000"/>
          <w:sz w:val="20"/>
          <w:szCs w:val="20"/>
        </w:rPr>
        <w:t>Manufacturing</w:t>
      </w:r>
    </w:p>
    <w:p w:rsidR="00000000" w:rsidRDefault="00FD7D3C">
      <w:pPr>
        <w:ind w:firstLine="720"/>
        <w:divId w:val="486702321"/>
        <w:rPr>
          <w:rFonts w:eastAsia="Times New Roman"/>
        </w:rPr>
      </w:pPr>
      <w:r>
        <w:rPr>
          <w:rFonts w:eastAsia="Times New Roman"/>
          <w:color w:val="000000"/>
          <w:sz w:val="20"/>
          <w:szCs w:val="20"/>
        </w:rPr>
        <w:t>Our product candidates, PLN-74809 and PLN-1474, are small molecule inhibitors amenable to</w:t>
      </w:r>
      <w:r>
        <w:rPr>
          <w:rFonts w:eastAsia="Times New Roman"/>
          <w:color w:val="000000"/>
          <w:sz w:val="20"/>
          <w:szCs w:val="20"/>
        </w:rPr>
        <w:t xml:space="preserve"> standard formulation technologies. We have confirmed the utility of the synthetic process and manufactured multi-kilogram quantities sufficient to provide drug product for our clinical trials. The manufacturing process of the drug substance for such produ</w:t>
      </w:r>
      <w:r>
        <w:rPr>
          <w:rFonts w:eastAsia="Times New Roman"/>
          <w:color w:val="000000"/>
          <w:sz w:val="20"/>
          <w:szCs w:val="20"/>
        </w:rPr>
        <w:t xml:space="preserve">ct candidates is robust and accessed from readily available starting materials. The synthetic route is amenable to large-scale production and does not require unusual equipment or handling during the manufacturing process. </w:t>
      </w:r>
    </w:p>
    <w:p w:rsidR="00000000" w:rsidRDefault="00FD7D3C">
      <w:pPr>
        <w:ind w:firstLine="720"/>
        <w:divId w:val="1301807117"/>
        <w:rPr>
          <w:rFonts w:eastAsia="Times New Roman"/>
        </w:rPr>
      </w:pPr>
      <w:r>
        <w:rPr>
          <w:rFonts w:eastAsia="Times New Roman"/>
          <w:color w:val="000000"/>
          <w:sz w:val="20"/>
          <w:szCs w:val="20"/>
        </w:rPr>
        <w:t>We do not own or operate facilities for clinical drug manufacturing, storage, distribution, or quality testing. All of our clinical manufacturing is outsourced to third-party manufacturers. Our agreements with third-party manufacturers include confidential</w:t>
      </w:r>
      <w:r>
        <w:rPr>
          <w:rFonts w:eastAsia="Times New Roman"/>
          <w:color w:val="000000"/>
          <w:sz w:val="20"/>
          <w:szCs w:val="20"/>
        </w:rPr>
        <w:t>ity and intellectual property provisions as well as routine quality audits. We also rely on internal personnel with extensive cGMP manufacturing experience in order to ensure effective technology transfer and to manage the manufacturing and development pro</w:t>
      </w:r>
      <w:r>
        <w:rPr>
          <w:rFonts w:eastAsia="Times New Roman"/>
          <w:color w:val="000000"/>
          <w:sz w:val="20"/>
          <w:szCs w:val="20"/>
        </w:rPr>
        <w:t xml:space="preserve">cesses conducted by third-party manufacturers. </w:t>
      </w:r>
    </w:p>
    <w:p w:rsidR="00000000" w:rsidRDefault="00FD7D3C">
      <w:pPr>
        <w:ind w:firstLine="720"/>
        <w:divId w:val="129640613"/>
        <w:rPr>
          <w:rFonts w:eastAsia="Times New Roman"/>
        </w:rPr>
      </w:pPr>
      <w:r>
        <w:rPr>
          <w:rFonts w:eastAsia="Times New Roman"/>
          <w:color w:val="000000"/>
          <w:sz w:val="20"/>
          <w:szCs w:val="20"/>
        </w:rPr>
        <w:t>We have established an adequate supply of the drug substance for PLN-74809 from our North American, European and Asian contract manufacturing organizations, or CMOs, to satisfy both our clinical and preclinic</w:t>
      </w:r>
      <w:r>
        <w:rPr>
          <w:rFonts w:eastAsia="Times New Roman"/>
          <w:color w:val="000000"/>
          <w:sz w:val="20"/>
          <w:szCs w:val="20"/>
        </w:rPr>
        <w:t xml:space="preserve">al requirements. To mitigate supply chain risk and maximize flexibility, we have qualified two, geographically disparate CMOs for the manufacture of PLN-74809 active pharmaceutical ingredient and are currently engaging secondary raw material suppliers and </w:t>
      </w:r>
      <w:r>
        <w:rPr>
          <w:rFonts w:eastAsia="Times New Roman"/>
          <w:color w:val="000000"/>
          <w:sz w:val="20"/>
          <w:szCs w:val="20"/>
        </w:rPr>
        <w:t>drug product manufacturers to further mitigate global supply chain risk. The responsibility for manufacture and supply of drug substance for PLN-1474 has been transferred to Novartis pursuant to our collaboration and license agreement.</w:t>
      </w:r>
    </w:p>
    <w:p w:rsidR="00000000" w:rsidRDefault="00FD7D3C">
      <w:pPr>
        <w:ind w:firstLine="720"/>
        <w:divId w:val="1240212519"/>
        <w:rPr>
          <w:rFonts w:eastAsia="Times New Roman"/>
        </w:rPr>
      </w:pPr>
      <w:r>
        <w:rPr>
          <w:rFonts w:eastAsia="Times New Roman"/>
          <w:color w:val="000000"/>
          <w:sz w:val="20"/>
          <w:szCs w:val="20"/>
        </w:rPr>
        <w:t>As our development p</w:t>
      </w:r>
      <w:r>
        <w:rPr>
          <w:rFonts w:eastAsia="Times New Roman"/>
          <w:color w:val="000000"/>
          <w:sz w:val="20"/>
          <w:szCs w:val="20"/>
        </w:rPr>
        <w:t>rograms expand and we build new process efficiencies, we expect to continually evaluate this strategy with the objective of satisfying demand for our clinical trials and, if approved, the manufacture, sale, and distribution of commercial products.</w:t>
      </w:r>
    </w:p>
    <w:p w:rsidR="00000000" w:rsidRDefault="00FD7D3C">
      <w:pPr>
        <w:divId w:val="1972205820"/>
        <w:rPr>
          <w:rFonts w:eastAsia="Times New Roman"/>
        </w:rPr>
      </w:pPr>
      <w:r>
        <w:rPr>
          <w:rFonts w:eastAsia="Times New Roman"/>
          <w:b/>
          <w:bCs/>
          <w:color w:val="000000"/>
          <w:sz w:val="20"/>
          <w:szCs w:val="20"/>
        </w:rPr>
        <w:t>Governme</w:t>
      </w:r>
      <w:r>
        <w:rPr>
          <w:rFonts w:eastAsia="Times New Roman"/>
          <w:b/>
          <w:bCs/>
          <w:color w:val="000000"/>
          <w:sz w:val="20"/>
          <w:szCs w:val="20"/>
        </w:rPr>
        <w:t>nt Regulation</w:t>
      </w:r>
    </w:p>
    <w:p w:rsidR="00000000" w:rsidRDefault="00FD7D3C">
      <w:pPr>
        <w:ind w:firstLine="720"/>
        <w:divId w:val="230430882"/>
        <w:rPr>
          <w:rFonts w:eastAsia="Times New Roman"/>
        </w:rPr>
      </w:pPr>
      <w:r>
        <w:rPr>
          <w:rFonts w:eastAsia="Times New Roman"/>
          <w:color w:val="000000"/>
          <w:sz w:val="20"/>
          <w:szCs w:val="20"/>
        </w:rPr>
        <w:t>The FDA and comparable regulatory authorities in state and local jurisdictions and in other countries impose substantial and burdensome requirements upon companies involved in the clinical development, manufacture, marketing, and distribution</w:t>
      </w:r>
      <w:r>
        <w:rPr>
          <w:rFonts w:eastAsia="Times New Roman"/>
          <w:color w:val="000000"/>
          <w:sz w:val="20"/>
          <w:szCs w:val="20"/>
        </w:rPr>
        <w:t xml:space="preserve"> of drugs, such as those we are developing. These agencies and other federal, state, and local entities regulate, among other things, the research and development, testing, manufacture, quality control, safety, effectiveness, labeling, storage, record keep</w:t>
      </w:r>
      <w:r>
        <w:rPr>
          <w:rFonts w:eastAsia="Times New Roman"/>
          <w:color w:val="000000"/>
          <w:sz w:val="20"/>
          <w:szCs w:val="20"/>
        </w:rPr>
        <w:t>ing, approval, advertising and promotion, distribution, post-approval monitoring and reporting, sampling and export and import of our product candidates.</w:t>
      </w:r>
    </w:p>
    <w:p w:rsidR="00000000" w:rsidRDefault="00FD7D3C">
      <w:pPr>
        <w:divId w:val="402535376"/>
        <w:rPr>
          <w:rFonts w:eastAsia="Times New Roman"/>
        </w:rPr>
      </w:pPr>
      <w:r>
        <w:rPr>
          <w:rFonts w:eastAsia="Times New Roman"/>
          <w:b/>
          <w:bCs/>
          <w:i/>
          <w:iCs/>
          <w:color w:val="000000"/>
          <w:sz w:val="20"/>
          <w:szCs w:val="20"/>
        </w:rPr>
        <w:t>U.S. government regulation of drug products</w:t>
      </w:r>
    </w:p>
    <w:p w:rsidR="00000000" w:rsidRDefault="00FD7D3C">
      <w:pPr>
        <w:ind w:firstLine="720"/>
        <w:divId w:val="1432773550"/>
        <w:rPr>
          <w:rFonts w:eastAsia="Times New Roman"/>
        </w:rPr>
      </w:pPr>
      <w:r>
        <w:rPr>
          <w:rFonts w:eastAsia="Times New Roman"/>
          <w:color w:val="000000"/>
          <w:sz w:val="20"/>
          <w:szCs w:val="20"/>
        </w:rPr>
        <w:t>In the United States, the FDA regulates drugs under the Fe</w:t>
      </w:r>
      <w:r>
        <w:rPr>
          <w:rFonts w:eastAsia="Times New Roman"/>
          <w:color w:val="000000"/>
          <w:sz w:val="20"/>
          <w:szCs w:val="20"/>
        </w:rPr>
        <w:t>deral Food, Drug, and Cosmetic Act, or FDCA, and its implementing regulations. The FDA also regulates biological products under the FDCA and the Public Health Service Act, or PHSA. If we advance clinical development of a biological product candidate in the</w:t>
      </w:r>
      <w:r>
        <w:rPr>
          <w:rFonts w:eastAsia="Times New Roman"/>
          <w:color w:val="000000"/>
          <w:sz w:val="20"/>
          <w:szCs w:val="20"/>
        </w:rPr>
        <w:t xml:space="preserve"> future, these development activities will be subject to additional regulatory requirements specific to biological products. The process of obtaining regulatory approvals and the subsequent compliance with applicable federal, state, local and foreign statu</w:t>
      </w:r>
      <w:r>
        <w:rPr>
          <w:rFonts w:eastAsia="Times New Roman"/>
          <w:color w:val="000000"/>
          <w:sz w:val="20"/>
          <w:szCs w:val="20"/>
        </w:rPr>
        <w:t>tes and regulations requires the expenditure of substantial time and financial resources. Failure to comply with the applicable U.S. requirements at any time during the product development process, approval process or after approval, may subject an applica</w:t>
      </w:r>
      <w:r>
        <w:rPr>
          <w:rFonts w:eastAsia="Times New Roman"/>
          <w:color w:val="000000"/>
          <w:sz w:val="20"/>
          <w:szCs w:val="20"/>
        </w:rPr>
        <w:t xml:space="preserve">nt to a variety of administrative or judicial sanctions, such as the FDA’s refusal to approve pending New Drug Applications, or NDAs, </w:t>
      </w:r>
    </w:p>
    <w:p w:rsidR="00000000" w:rsidRDefault="00FD7D3C">
      <w:pPr>
        <w:jc w:val="center"/>
        <w:divId w:val="1077937858"/>
        <w:rPr>
          <w:rFonts w:eastAsia="Times New Roman"/>
        </w:rPr>
      </w:pPr>
      <w:r>
        <w:rPr>
          <w:rFonts w:eastAsia="Times New Roman"/>
          <w:color w:val="000000"/>
          <w:sz w:val="20"/>
          <w:szCs w:val="20"/>
        </w:rPr>
        <w:t>31</w:t>
      </w:r>
    </w:p>
    <w:p w:rsidR="00000000" w:rsidRDefault="00FD7D3C">
      <w:pPr>
        <w:rPr>
          <w:rFonts w:eastAsia="Times New Roman"/>
        </w:rPr>
      </w:pPr>
      <w:r>
        <w:rPr>
          <w:rFonts w:eastAsia="Times New Roman"/>
        </w:rPr>
        <w:pict>
          <v:rect id="_x0000_i1084" style="width:0;height:1.5pt" o:hralign="center" o:hrstd="t" o:hr="t" fillcolor="#a0a0a0" stroked="f"/>
        </w:pict>
      </w:r>
    </w:p>
    <w:p w:rsidR="00000000" w:rsidRDefault="00FD7D3C">
      <w:pPr>
        <w:divId w:val="1129515760"/>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divId w:val="566762298"/>
        <w:rPr>
          <w:rFonts w:eastAsia="Times New Roman"/>
        </w:rPr>
      </w:pPr>
      <w:r>
        <w:rPr>
          <w:rFonts w:eastAsia="Times New Roman"/>
          <w:color w:val="000000"/>
          <w:sz w:val="20"/>
          <w:szCs w:val="20"/>
        </w:rPr>
        <w:t>withdr</w:t>
      </w:r>
      <w:r>
        <w:rPr>
          <w:rFonts w:eastAsia="Times New Roman"/>
          <w:color w:val="000000"/>
          <w:sz w:val="20"/>
          <w:szCs w:val="20"/>
        </w:rPr>
        <w:t>awal of an approval, imposition of a clinical hold, issuance of warning letters, product recalls, product seizures, total or partial suspension of production or distribution, injunctions, fines, refusals of government contracts, restitution, disgorgement o</w:t>
      </w:r>
      <w:r>
        <w:rPr>
          <w:rFonts w:eastAsia="Times New Roman"/>
          <w:color w:val="000000"/>
          <w:sz w:val="20"/>
          <w:szCs w:val="20"/>
        </w:rPr>
        <w:t>r civil or criminal penalties.</w:t>
      </w:r>
    </w:p>
    <w:p w:rsidR="00000000" w:rsidRDefault="00FD7D3C">
      <w:pPr>
        <w:ind w:firstLine="720"/>
        <w:divId w:val="448937270"/>
        <w:rPr>
          <w:rFonts w:eastAsia="Times New Roman"/>
        </w:rPr>
      </w:pPr>
      <w:r>
        <w:rPr>
          <w:rFonts w:eastAsia="Times New Roman"/>
          <w:color w:val="000000"/>
          <w:sz w:val="20"/>
          <w:szCs w:val="20"/>
        </w:rPr>
        <w:t>The process required by the FDA before a drug may be marketed in the United States generally involves the following:</w:t>
      </w:r>
    </w:p>
    <w:p w:rsidR="00000000" w:rsidRDefault="00FD7D3C">
      <w:pPr>
        <w:ind w:hanging="720"/>
        <w:divId w:val="1325475834"/>
        <w:rPr>
          <w:rFonts w:eastAsia="Times New Roman"/>
        </w:rPr>
      </w:pPr>
      <w:r>
        <w:rPr>
          <w:rFonts w:eastAsia="Times New Roman"/>
          <w:color w:val="000000"/>
          <w:sz w:val="20"/>
          <w:szCs w:val="20"/>
        </w:rPr>
        <w:t>•Completion of preclinical laboratory tests, animal studies and formulation studies in compliance with the F</w:t>
      </w:r>
      <w:r>
        <w:rPr>
          <w:rFonts w:eastAsia="Times New Roman"/>
          <w:color w:val="000000"/>
          <w:sz w:val="20"/>
          <w:szCs w:val="20"/>
        </w:rPr>
        <w:t>DA’s good laboratory practice, or GLP, regulations;</w:t>
      </w:r>
    </w:p>
    <w:p w:rsidR="00000000" w:rsidRDefault="00FD7D3C">
      <w:pPr>
        <w:ind w:hanging="720"/>
        <w:divId w:val="760491522"/>
        <w:rPr>
          <w:rFonts w:eastAsia="Times New Roman"/>
        </w:rPr>
      </w:pPr>
      <w:r>
        <w:rPr>
          <w:rFonts w:eastAsia="Times New Roman"/>
          <w:color w:val="000000"/>
          <w:sz w:val="20"/>
          <w:szCs w:val="20"/>
        </w:rPr>
        <w:t>•Submission to the FDA of an investigational new drug application, or IND, which must become effective before human clinical trials may begin;</w:t>
      </w:r>
    </w:p>
    <w:p w:rsidR="00000000" w:rsidRDefault="00FD7D3C">
      <w:pPr>
        <w:ind w:hanging="720"/>
        <w:divId w:val="582377228"/>
        <w:rPr>
          <w:rFonts w:eastAsia="Times New Roman"/>
        </w:rPr>
      </w:pPr>
      <w:r>
        <w:rPr>
          <w:rFonts w:eastAsia="Times New Roman"/>
          <w:color w:val="000000"/>
          <w:sz w:val="20"/>
          <w:szCs w:val="20"/>
        </w:rPr>
        <w:t>•Approval by an independent institutional review board, or IR</w:t>
      </w:r>
      <w:r>
        <w:rPr>
          <w:rFonts w:eastAsia="Times New Roman"/>
          <w:color w:val="000000"/>
          <w:sz w:val="20"/>
          <w:szCs w:val="20"/>
        </w:rPr>
        <w:t>B, at each clinical site before each trial may be initiated;</w:t>
      </w:r>
    </w:p>
    <w:p w:rsidR="00000000" w:rsidRDefault="00FD7D3C">
      <w:pPr>
        <w:ind w:hanging="720"/>
        <w:divId w:val="1908491444"/>
        <w:rPr>
          <w:rFonts w:eastAsia="Times New Roman"/>
        </w:rPr>
      </w:pPr>
      <w:r>
        <w:rPr>
          <w:rFonts w:eastAsia="Times New Roman"/>
          <w:color w:val="000000"/>
          <w:sz w:val="20"/>
          <w:szCs w:val="20"/>
        </w:rPr>
        <w:t>•Performance of adequate and well-controlled human clinical trials in accordance with good clinical practice, or GCP, requirements to establish the safety and efficacy of the proposed drug produc</w:t>
      </w:r>
      <w:r>
        <w:rPr>
          <w:rFonts w:eastAsia="Times New Roman"/>
          <w:color w:val="000000"/>
          <w:sz w:val="20"/>
          <w:szCs w:val="20"/>
        </w:rPr>
        <w:t>t for each indication;</w:t>
      </w:r>
    </w:p>
    <w:p w:rsidR="00000000" w:rsidRDefault="00FD7D3C">
      <w:pPr>
        <w:ind w:hanging="720"/>
        <w:divId w:val="1493839596"/>
        <w:rPr>
          <w:rFonts w:eastAsia="Times New Roman"/>
        </w:rPr>
      </w:pPr>
      <w:r>
        <w:rPr>
          <w:rFonts w:eastAsia="Times New Roman"/>
          <w:color w:val="000000"/>
          <w:sz w:val="20"/>
          <w:szCs w:val="20"/>
        </w:rPr>
        <w:t>•Submission to the FDA of an NDA;</w:t>
      </w:r>
    </w:p>
    <w:p w:rsidR="00000000" w:rsidRDefault="00FD7D3C">
      <w:pPr>
        <w:ind w:hanging="720"/>
        <w:divId w:val="471943649"/>
        <w:rPr>
          <w:rFonts w:eastAsia="Times New Roman"/>
        </w:rPr>
      </w:pPr>
      <w:r>
        <w:rPr>
          <w:rFonts w:eastAsia="Times New Roman"/>
          <w:color w:val="000000"/>
          <w:sz w:val="20"/>
          <w:szCs w:val="20"/>
        </w:rPr>
        <w:t>•Satisfactory completion of an FDA advisory committee review, if applicable;</w:t>
      </w:r>
    </w:p>
    <w:p w:rsidR="00000000" w:rsidRDefault="00FD7D3C">
      <w:pPr>
        <w:ind w:hanging="720"/>
        <w:divId w:val="1768110515"/>
        <w:rPr>
          <w:rFonts w:eastAsia="Times New Roman"/>
        </w:rPr>
      </w:pPr>
      <w:r>
        <w:rPr>
          <w:rFonts w:eastAsia="Times New Roman"/>
          <w:color w:val="000000"/>
          <w:sz w:val="20"/>
          <w:szCs w:val="20"/>
        </w:rPr>
        <w:t>•Satisfactory completion of an FDA inspection of the manufacturing facility or facilities at which the product is produced</w:t>
      </w:r>
      <w:r>
        <w:rPr>
          <w:rFonts w:eastAsia="Times New Roman"/>
          <w:color w:val="000000"/>
          <w:sz w:val="20"/>
          <w:szCs w:val="20"/>
        </w:rPr>
        <w:t xml:space="preserve"> to assess compliance with current good manufacturing practice, or cGMP, requirements and to assure that the facilities, methods and controls are adequate to preserve the drug’s identity, strength, quality and purity;</w:t>
      </w:r>
    </w:p>
    <w:p w:rsidR="00000000" w:rsidRDefault="00FD7D3C">
      <w:pPr>
        <w:ind w:hanging="720"/>
        <w:divId w:val="844974898"/>
        <w:rPr>
          <w:rFonts w:eastAsia="Times New Roman"/>
        </w:rPr>
      </w:pPr>
      <w:r>
        <w:rPr>
          <w:rFonts w:eastAsia="Times New Roman"/>
          <w:color w:val="000000"/>
          <w:sz w:val="20"/>
          <w:szCs w:val="20"/>
        </w:rPr>
        <w:t>•Satisfactory completion of FDA audits</w:t>
      </w:r>
      <w:r>
        <w:rPr>
          <w:rFonts w:eastAsia="Times New Roman"/>
          <w:color w:val="000000"/>
          <w:sz w:val="20"/>
          <w:szCs w:val="20"/>
        </w:rPr>
        <w:t xml:space="preserve"> of clinical trial sites to assure compliance with GCPs and the integrity of the clinical data;</w:t>
      </w:r>
    </w:p>
    <w:p w:rsidR="00000000" w:rsidRDefault="00FD7D3C">
      <w:pPr>
        <w:ind w:hanging="720"/>
        <w:divId w:val="1825661215"/>
        <w:rPr>
          <w:rFonts w:eastAsia="Times New Roman"/>
        </w:rPr>
      </w:pPr>
      <w:r>
        <w:rPr>
          <w:rFonts w:eastAsia="Times New Roman"/>
          <w:color w:val="000000"/>
          <w:sz w:val="20"/>
          <w:szCs w:val="20"/>
        </w:rPr>
        <w:t>•Payment of user fees and securing FDA approval of the NDA; and</w:t>
      </w:r>
    </w:p>
    <w:p w:rsidR="00000000" w:rsidRDefault="00FD7D3C">
      <w:pPr>
        <w:ind w:hanging="720"/>
        <w:divId w:val="397365025"/>
        <w:rPr>
          <w:rFonts w:eastAsia="Times New Roman"/>
        </w:rPr>
      </w:pPr>
      <w:r>
        <w:rPr>
          <w:rFonts w:eastAsia="Times New Roman"/>
          <w:color w:val="000000"/>
          <w:sz w:val="20"/>
          <w:szCs w:val="20"/>
        </w:rPr>
        <w:t>•Compliance with any post-approval requirements, including the potential requirement to implemen</w:t>
      </w:r>
      <w:r>
        <w:rPr>
          <w:rFonts w:eastAsia="Times New Roman"/>
          <w:color w:val="000000"/>
          <w:sz w:val="20"/>
          <w:szCs w:val="20"/>
        </w:rPr>
        <w:t>t a Risk Evaluation and Mitigation Strategy, or REMS, and the potential requirement to conduct post-approval studies.</w:t>
      </w:r>
    </w:p>
    <w:p w:rsidR="00000000" w:rsidRDefault="00FD7D3C">
      <w:pPr>
        <w:divId w:val="1075053541"/>
        <w:rPr>
          <w:rFonts w:eastAsia="Times New Roman"/>
        </w:rPr>
      </w:pPr>
      <w:r>
        <w:rPr>
          <w:rFonts w:eastAsia="Times New Roman"/>
          <w:b/>
          <w:bCs/>
          <w:i/>
          <w:iCs/>
          <w:color w:val="000000"/>
          <w:sz w:val="20"/>
          <w:szCs w:val="20"/>
        </w:rPr>
        <w:t>Preclinical studies</w:t>
      </w:r>
    </w:p>
    <w:p w:rsidR="00000000" w:rsidRDefault="00FD7D3C">
      <w:pPr>
        <w:ind w:firstLine="720"/>
        <w:divId w:val="1707824947"/>
        <w:rPr>
          <w:rFonts w:eastAsia="Times New Roman"/>
        </w:rPr>
      </w:pPr>
      <w:r>
        <w:rPr>
          <w:rFonts w:eastAsia="Times New Roman"/>
          <w:color w:val="000000"/>
          <w:sz w:val="20"/>
          <w:szCs w:val="20"/>
        </w:rPr>
        <w:t>Preclinical studies include laboratory evaluation of product chemistry, toxicity and formulation, as well as animal studies to assess potential safety and efficacy. An IND sponsor must submit the results of the preclinical tests, together with manufacturin</w:t>
      </w:r>
      <w:r>
        <w:rPr>
          <w:rFonts w:eastAsia="Times New Roman"/>
          <w:color w:val="000000"/>
          <w:sz w:val="20"/>
          <w:szCs w:val="20"/>
        </w:rPr>
        <w:t>g information, analytical data and any available clinical data or literature, among other things, to the FDA as part of an IND. Some preclinical testing may continue even after the IND is submitted. An IND automatically becomes effective 30 days after rece</w:t>
      </w:r>
      <w:r>
        <w:rPr>
          <w:rFonts w:eastAsia="Times New Roman"/>
          <w:color w:val="000000"/>
          <w:sz w:val="20"/>
          <w:szCs w:val="20"/>
        </w:rPr>
        <w:t>ipt by the FDA, unless before that time the FDA raises concerns or questions related to one or more proposed clinical trials and places the clinical trial on a clinical hold. In such a case, the IND sponsor and the FDA must resolve any outstanding concerns</w:t>
      </w:r>
      <w:r>
        <w:rPr>
          <w:rFonts w:eastAsia="Times New Roman"/>
          <w:color w:val="000000"/>
          <w:sz w:val="20"/>
          <w:szCs w:val="20"/>
        </w:rPr>
        <w:t xml:space="preserve"> before the clinical trial can begin. As a result, submission of an IND may not result in the FDA allowing clinical trials to initiate.</w:t>
      </w:r>
    </w:p>
    <w:p w:rsidR="00000000" w:rsidRDefault="00FD7D3C">
      <w:pPr>
        <w:divId w:val="1505901569"/>
        <w:rPr>
          <w:rFonts w:eastAsia="Times New Roman"/>
        </w:rPr>
      </w:pPr>
      <w:r>
        <w:rPr>
          <w:rFonts w:eastAsia="Times New Roman"/>
          <w:b/>
          <w:bCs/>
          <w:i/>
          <w:iCs/>
          <w:color w:val="000000"/>
          <w:sz w:val="20"/>
          <w:szCs w:val="20"/>
        </w:rPr>
        <w:t>Clinical trials</w:t>
      </w:r>
    </w:p>
    <w:p w:rsidR="00000000" w:rsidRDefault="00FD7D3C">
      <w:pPr>
        <w:ind w:firstLine="720"/>
        <w:divId w:val="55130994"/>
        <w:rPr>
          <w:rFonts w:eastAsia="Times New Roman"/>
        </w:rPr>
      </w:pPr>
      <w:r>
        <w:rPr>
          <w:rFonts w:eastAsia="Times New Roman"/>
          <w:color w:val="000000"/>
          <w:sz w:val="20"/>
          <w:szCs w:val="20"/>
        </w:rPr>
        <w:t>Clinical trials involve the administration of the investigational new drug to human subjects under the s</w:t>
      </w:r>
      <w:r>
        <w:rPr>
          <w:rFonts w:eastAsia="Times New Roman"/>
          <w:color w:val="000000"/>
          <w:sz w:val="20"/>
          <w:szCs w:val="20"/>
        </w:rPr>
        <w:t>upervision of qualified investigators in accordance with GCP requirements, which include the requirement that all research subjects provide their informed consent in writing for their participation in any clinical trial. Clinical trials are conducted under</w:t>
      </w:r>
      <w:r>
        <w:rPr>
          <w:rFonts w:eastAsia="Times New Roman"/>
          <w:color w:val="000000"/>
          <w:sz w:val="20"/>
          <w:szCs w:val="20"/>
        </w:rPr>
        <w:t xml:space="preserve"> protocols detailing, among other things, the objectives of the trial, the parameters to be used in monitoring safety, and the effectiveness criteria to be evaluated. A protocol for each clinical trial and any subsequent protocol amendments must be submitt</w:t>
      </w:r>
      <w:r>
        <w:rPr>
          <w:rFonts w:eastAsia="Times New Roman"/>
          <w:color w:val="000000"/>
          <w:sz w:val="20"/>
          <w:szCs w:val="20"/>
        </w:rPr>
        <w:t>ed to the FDA as part of the IND. In addition, an IRB at each institution participating in the clinical trial must review and approve the plan for any clinical trial before it initiates at that institution. Information about certain clinical trials must be</w:t>
      </w:r>
      <w:r>
        <w:rPr>
          <w:rFonts w:eastAsia="Times New Roman"/>
          <w:color w:val="000000"/>
          <w:sz w:val="20"/>
          <w:szCs w:val="20"/>
        </w:rPr>
        <w:t xml:space="preserve"> submitted within specific timeframes to the National Institutes of Health, or NIH, for public dissemination on their www.clinicaltrials.gov website.</w:t>
      </w:r>
    </w:p>
    <w:p w:rsidR="00000000" w:rsidRDefault="00FD7D3C">
      <w:pPr>
        <w:jc w:val="center"/>
        <w:divId w:val="527572398"/>
        <w:rPr>
          <w:rFonts w:eastAsia="Times New Roman"/>
        </w:rPr>
      </w:pPr>
      <w:r>
        <w:rPr>
          <w:rFonts w:eastAsia="Times New Roman"/>
          <w:color w:val="000000"/>
          <w:sz w:val="20"/>
          <w:szCs w:val="20"/>
        </w:rPr>
        <w:t>32</w:t>
      </w:r>
    </w:p>
    <w:p w:rsidR="00000000" w:rsidRDefault="00FD7D3C">
      <w:pPr>
        <w:rPr>
          <w:rFonts w:eastAsia="Times New Roman"/>
        </w:rPr>
      </w:pPr>
      <w:r>
        <w:rPr>
          <w:rFonts w:eastAsia="Times New Roman"/>
        </w:rPr>
        <w:pict>
          <v:rect id="_x0000_i1085" style="width:0;height:1.5pt" o:hralign="center" o:hrstd="t" o:hr="t" fillcolor="#a0a0a0" stroked="f"/>
        </w:pict>
      </w:r>
    </w:p>
    <w:p w:rsidR="00000000" w:rsidRDefault="00FD7D3C">
      <w:pPr>
        <w:divId w:val="503935416"/>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ind w:firstLine="720"/>
        <w:divId w:val="1311860986"/>
        <w:rPr>
          <w:rFonts w:eastAsia="Times New Roman"/>
        </w:rPr>
      </w:pPr>
      <w:r>
        <w:rPr>
          <w:rFonts w:eastAsia="Times New Roman"/>
          <w:color w:val="000000"/>
          <w:sz w:val="20"/>
          <w:szCs w:val="20"/>
        </w:rPr>
        <w:t>Human clinical trials are typically conducted in three sequential phases, which may overlap or be combined:</w:t>
      </w:r>
    </w:p>
    <w:p w:rsidR="00000000" w:rsidRDefault="00FD7D3C">
      <w:pPr>
        <w:ind w:hanging="720"/>
        <w:divId w:val="2026784521"/>
        <w:rPr>
          <w:rFonts w:eastAsia="Times New Roman"/>
        </w:rPr>
      </w:pPr>
      <w:r>
        <w:rPr>
          <w:rFonts w:eastAsia="Times New Roman"/>
          <w:color w:val="000000"/>
          <w:sz w:val="20"/>
          <w:szCs w:val="20"/>
        </w:rPr>
        <w:t>•Phase 1: The drug is initially introduced into healthy human subjects or patients with the target disease or condition and tested</w:t>
      </w:r>
      <w:r>
        <w:rPr>
          <w:rFonts w:eastAsia="Times New Roman"/>
          <w:color w:val="000000"/>
          <w:sz w:val="20"/>
          <w:szCs w:val="20"/>
        </w:rPr>
        <w:t xml:space="preserve"> for safety, dosage tolerance, absorption, metabolism, distribution, excretion and, if possible, to gain an early indication of its effectiveness.</w:t>
      </w:r>
    </w:p>
    <w:p w:rsidR="00000000" w:rsidRDefault="00FD7D3C">
      <w:pPr>
        <w:ind w:hanging="720"/>
        <w:divId w:val="1345285686"/>
        <w:rPr>
          <w:rFonts w:eastAsia="Times New Roman"/>
        </w:rPr>
      </w:pPr>
      <w:r>
        <w:rPr>
          <w:rFonts w:eastAsia="Times New Roman"/>
          <w:color w:val="000000"/>
          <w:sz w:val="20"/>
          <w:szCs w:val="20"/>
        </w:rPr>
        <w:t>•Phase 2: The drug is administered to a limited patient population to identify possible adverse effects and s</w:t>
      </w:r>
      <w:r>
        <w:rPr>
          <w:rFonts w:eastAsia="Times New Roman"/>
          <w:color w:val="000000"/>
          <w:sz w:val="20"/>
          <w:szCs w:val="20"/>
        </w:rPr>
        <w:t>afety risks, to preliminarily evaluate the efficacy of the product for specific targeted diseases and to determine dosage tolerance and optimal dosage.</w:t>
      </w:r>
    </w:p>
    <w:p w:rsidR="00000000" w:rsidRDefault="00FD7D3C">
      <w:pPr>
        <w:ind w:hanging="720"/>
        <w:divId w:val="661541730"/>
        <w:rPr>
          <w:rFonts w:eastAsia="Times New Roman"/>
        </w:rPr>
      </w:pPr>
      <w:r>
        <w:rPr>
          <w:rFonts w:eastAsia="Times New Roman"/>
          <w:color w:val="000000"/>
          <w:sz w:val="20"/>
          <w:szCs w:val="20"/>
        </w:rPr>
        <w:t>•Phase 3: The drug is administered to an expanded patient population, generally at geographically disper</w:t>
      </w:r>
      <w:r>
        <w:rPr>
          <w:rFonts w:eastAsia="Times New Roman"/>
          <w:color w:val="000000"/>
          <w:sz w:val="20"/>
          <w:szCs w:val="20"/>
        </w:rPr>
        <w:t>sed clinical trial sites, in well-controlled clinical trials to generate enough data to statistically evaluate the efficacy and safety of the product for approval, to establish the overall risk-benefit profile of the product, and to provide adequate inform</w:t>
      </w:r>
      <w:r>
        <w:rPr>
          <w:rFonts w:eastAsia="Times New Roman"/>
          <w:color w:val="000000"/>
          <w:sz w:val="20"/>
          <w:szCs w:val="20"/>
        </w:rPr>
        <w:t>ation for the labeling of the product.</w:t>
      </w:r>
    </w:p>
    <w:p w:rsidR="00000000" w:rsidRDefault="00FD7D3C">
      <w:pPr>
        <w:ind w:firstLine="720"/>
        <w:divId w:val="1727945112"/>
        <w:rPr>
          <w:rFonts w:eastAsia="Times New Roman"/>
        </w:rPr>
      </w:pPr>
      <w:r>
        <w:rPr>
          <w:rFonts w:eastAsia="Times New Roman"/>
          <w:color w:val="000000"/>
          <w:sz w:val="20"/>
          <w:szCs w:val="20"/>
        </w:rPr>
        <w:t>Progress reports detailing the results of the clinical trials must be submitted at least annually to the FDA and more frequently if serious adverse events occur. Phase 1, Phase 2 and Phase 3 trials may not be complete</w:t>
      </w:r>
      <w:r>
        <w:rPr>
          <w:rFonts w:eastAsia="Times New Roman"/>
          <w:color w:val="000000"/>
          <w:sz w:val="20"/>
          <w:szCs w:val="20"/>
        </w:rPr>
        <w:t xml:space="preserve">d successfully within any specified period, or at all. Furthermore, the FDA or the sponsor may suspend or terminate a clinical trial at any time on various grounds, including a finding that the research subjects are being exposed to an unacceptable health </w:t>
      </w:r>
      <w:r>
        <w:rPr>
          <w:rFonts w:eastAsia="Times New Roman"/>
          <w:color w:val="000000"/>
          <w:sz w:val="20"/>
          <w:szCs w:val="20"/>
        </w:rPr>
        <w:t>risk. Similarly, an IRB can suspend or terminate approval of a clinical trial at its institution if the clinical trial is not being conducted in accordance with the IRB’s requirements or if the drug has been associated with unexpected serious harm to patie</w:t>
      </w:r>
      <w:r>
        <w:rPr>
          <w:rFonts w:eastAsia="Times New Roman"/>
          <w:color w:val="000000"/>
          <w:sz w:val="20"/>
          <w:szCs w:val="20"/>
        </w:rPr>
        <w:t>nts.</w:t>
      </w:r>
    </w:p>
    <w:p w:rsidR="00000000" w:rsidRDefault="00FD7D3C">
      <w:pPr>
        <w:divId w:val="1105686612"/>
        <w:rPr>
          <w:rFonts w:eastAsia="Times New Roman"/>
        </w:rPr>
      </w:pPr>
      <w:r>
        <w:rPr>
          <w:rFonts w:eastAsia="Times New Roman"/>
          <w:b/>
          <w:bCs/>
          <w:i/>
          <w:iCs/>
          <w:color w:val="000000"/>
          <w:sz w:val="20"/>
          <w:szCs w:val="20"/>
        </w:rPr>
        <w:t>Marketing approval</w:t>
      </w:r>
    </w:p>
    <w:p w:rsidR="00000000" w:rsidRDefault="00FD7D3C">
      <w:pPr>
        <w:ind w:firstLine="720"/>
        <w:divId w:val="1567765561"/>
        <w:rPr>
          <w:rFonts w:eastAsia="Times New Roman"/>
        </w:rPr>
      </w:pPr>
      <w:r>
        <w:rPr>
          <w:rFonts w:eastAsia="Times New Roman"/>
          <w:color w:val="000000"/>
          <w:sz w:val="20"/>
          <w:szCs w:val="20"/>
        </w:rPr>
        <w:t>Assuming successful completion of the required clinical testing, the results of the preclinical and clinical studies, together with detailed information relating to the product’s chemistry, manufacture, controls, and proposed labeli</w:t>
      </w:r>
      <w:r>
        <w:rPr>
          <w:rFonts w:eastAsia="Times New Roman"/>
          <w:color w:val="000000"/>
          <w:sz w:val="20"/>
          <w:szCs w:val="20"/>
        </w:rPr>
        <w:t xml:space="preserve">ng, among other things, are submitted to the FDA as part of an NDA requesting approval to market the product for one or more indications. In most cases, the submission of an NDA is subject to a substantial application user fee. Under the Prescription Drug </w:t>
      </w:r>
      <w:r>
        <w:rPr>
          <w:rFonts w:eastAsia="Times New Roman"/>
          <w:color w:val="000000"/>
          <w:sz w:val="20"/>
          <w:szCs w:val="20"/>
        </w:rPr>
        <w:t>User Fee Act, or PDUFA, guidelines that are currently in effect, the FDA has a goal of ten months from the date of “filing” of a standard NDA, for a new molecular entity to review and act on the submission. This review typically takes twelve months from th</w:t>
      </w:r>
      <w:r>
        <w:rPr>
          <w:rFonts w:eastAsia="Times New Roman"/>
          <w:color w:val="000000"/>
          <w:sz w:val="20"/>
          <w:szCs w:val="20"/>
        </w:rPr>
        <w:t>e date the NDA is submitted to FDA because the FDA has approximately two months to make a “filing” decision.</w:t>
      </w:r>
    </w:p>
    <w:p w:rsidR="00000000" w:rsidRDefault="00FD7D3C">
      <w:pPr>
        <w:ind w:firstLine="720"/>
        <w:divId w:val="337074712"/>
        <w:rPr>
          <w:rFonts w:eastAsia="Times New Roman"/>
        </w:rPr>
      </w:pPr>
      <w:r>
        <w:rPr>
          <w:rFonts w:eastAsia="Times New Roman"/>
          <w:color w:val="000000"/>
          <w:sz w:val="20"/>
          <w:szCs w:val="20"/>
        </w:rPr>
        <w:t>In addition, under the Pediatric Research Equity Act of 2003, or PREA, as amended and reauthorized, certain NDAs or supplements to an NDA must cont</w:t>
      </w:r>
      <w:r>
        <w:rPr>
          <w:rFonts w:eastAsia="Times New Roman"/>
          <w:color w:val="000000"/>
          <w:sz w:val="20"/>
          <w:szCs w:val="20"/>
        </w:rPr>
        <w:t xml:space="preserve">ain data that are adequate to assess the safety and effectiveness of the drug for the claimed indications in all relevant pediatric subpopulations, and to support dosing and administration for each pediatric subpopulation for which the product is safe and </w:t>
      </w:r>
      <w:r>
        <w:rPr>
          <w:rFonts w:eastAsia="Times New Roman"/>
          <w:color w:val="000000"/>
          <w:sz w:val="20"/>
          <w:szCs w:val="20"/>
        </w:rPr>
        <w:t>effective. The FDA may, on its own initiative or at the request of the applicant, grant deferrals for submission of some or all pediatric data until after approval of the product for use in adults, or full or partial waivers from the pediatric data require</w:t>
      </w:r>
      <w:r>
        <w:rPr>
          <w:rFonts w:eastAsia="Times New Roman"/>
          <w:color w:val="000000"/>
          <w:sz w:val="20"/>
          <w:szCs w:val="20"/>
        </w:rPr>
        <w:t>ments. An Agreed Initial Pediatric Study Plan requesting a waiver from the requirement to conduct clinical studies has been submitted to the FDA.</w:t>
      </w:r>
    </w:p>
    <w:p w:rsidR="00000000" w:rsidRDefault="00FD7D3C">
      <w:pPr>
        <w:ind w:firstLine="720"/>
        <w:divId w:val="1764911161"/>
        <w:rPr>
          <w:rFonts w:eastAsia="Times New Roman"/>
        </w:rPr>
      </w:pPr>
      <w:r>
        <w:rPr>
          <w:rFonts w:eastAsia="Times New Roman"/>
          <w:color w:val="000000"/>
          <w:sz w:val="20"/>
          <w:szCs w:val="20"/>
        </w:rPr>
        <w:t>The FDA also may require submission of a risk evaluation and mitigation strategy, or REMS, plan to ensure that</w:t>
      </w:r>
      <w:r>
        <w:rPr>
          <w:rFonts w:eastAsia="Times New Roman"/>
          <w:color w:val="000000"/>
          <w:sz w:val="20"/>
          <w:szCs w:val="20"/>
        </w:rPr>
        <w:t xml:space="preserve"> the benefits of the drug outweigh its risks. The REMS plan could include medication guides, physician communication plans, assessment plans, and/or elements to assure safe use, such as restricted distribution methods, patient registries, or other risk min</w:t>
      </w:r>
      <w:r>
        <w:rPr>
          <w:rFonts w:eastAsia="Times New Roman"/>
          <w:color w:val="000000"/>
          <w:sz w:val="20"/>
          <w:szCs w:val="20"/>
        </w:rPr>
        <w:t>imization tools.</w:t>
      </w:r>
    </w:p>
    <w:p w:rsidR="00000000" w:rsidRDefault="00FD7D3C">
      <w:pPr>
        <w:ind w:firstLine="720"/>
        <w:divId w:val="1777020506"/>
        <w:rPr>
          <w:rFonts w:eastAsia="Times New Roman"/>
        </w:rPr>
      </w:pPr>
      <w:r>
        <w:rPr>
          <w:rFonts w:eastAsia="Times New Roman"/>
          <w:color w:val="000000"/>
          <w:sz w:val="20"/>
          <w:szCs w:val="20"/>
        </w:rPr>
        <w:t>The FDA conducts a preliminary review of all NDAs within the first 60 days after submission, before accepting them for filing, to determine whether they are sufficiently complete to permit substantive review. The FDA may request additional</w:t>
      </w:r>
      <w:r>
        <w:rPr>
          <w:rFonts w:eastAsia="Times New Roman"/>
          <w:color w:val="000000"/>
          <w:sz w:val="20"/>
          <w:szCs w:val="20"/>
        </w:rPr>
        <w:t xml:space="preserve"> information rather than accept an NDA for filing. In this event, the application must be resubmitted with the additional information. The resubmitted application is also subject to review before the FDA accepts it for filing. Once the submission is accept</w:t>
      </w:r>
      <w:r>
        <w:rPr>
          <w:rFonts w:eastAsia="Times New Roman"/>
          <w:color w:val="000000"/>
          <w:sz w:val="20"/>
          <w:szCs w:val="20"/>
        </w:rPr>
        <w:t xml:space="preserve">ed for filing, the FDA begins an in-depth substantive review. The FDA reviews an NDA to determine, among other things, whether the drug is safe and effective and whether the facility in which it is manufactured, processed, packaged or held meets standards </w:t>
      </w:r>
      <w:r>
        <w:rPr>
          <w:rFonts w:eastAsia="Times New Roman"/>
          <w:color w:val="000000"/>
          <w:sz w:val="20"/>
          <w:szCs w:val="20"/>
        </w:rPr>
        <w:t>designed to assure the product’s continued safety, quality and purity.</w:t>
      </w:r>
    </w:p>
    <w:p w:rsidR="00000000" w:rsidRDefault="00FD7D3C">
      <w:pPr>
        <w:ind w:firstLine="720"/>
        <w:divId w:val="931016247"/>
        <w:rPr>
          <w:rFonts w:eastAsia="Times New Roman"/>
        </w:rPr>
      </w:pPr>
      <w:r>
        <w:rPr>
          <w:rFonts w:eastAsia="Times New Roman"/>
          <w:color w:val="000000"/>
          <w:sz w:val="20"/>
          <w:szCs w:val="20"/>
        </w:rPr>
        <w:t>The FDA may refer an application for a novel drug to an advisory committee. An advisory committee is a panel of independent experts, including clinicians and other scientific experts, w</w:t>
      </w:r>
      <w:r>
        <w:rPr>
          <w:rFonts w:eastAsia="Times New Roman"/>
          <w:color w:val="000000"/>
          <w:sz w:val="20"/>
          <w:szCs w:val="20"/>
        </w:rPr>
        <w:t>hich reviews, evaluates and provides a recommendation as to whether the application should be approved and under what conditions. The FDA is not bound by the recommendations of an advisory committee, but it considers such recommendations carefully when mak</w:t>
      </w:r>
      <w:r>
        <w:rPr>
          <w:rFonts w:eastAsia="Times New Roman"/>
          <w:color w:val="000000"/>
          <w:sz w:val="20"/>
          <w:szCs w:val="20"/>
        </w:rPr>
        <w:t>ing decisions.</w:t>
      </w:r>
    </w:p>
    <w:p w:rsidR="00000000" w:rsidRDefault="00FD7D3C">
      <w:pPr>
        <w:jc w:val="center"/>
        <w:divId w:val="2101095973"/>
        <w:rPr>
          <w:rFonts w:eastAsia="Times New Roman"/>
        </w:rPr>
      </w:pPr>
      <w:r>
        <w:rPr>
          <w:rFonts w:eastAsia="Times New Roman"/>
          <w:color w:val="000000"/>
          <w:sz w:val="20"/>
          <w:szCs w:val="20"/>
        </w:rPr>
        <w:t>33</w:t>
      </w:r>
    </w:p>
    <w:p w:rsidR="00000000" w:rsidRDefault="00FD7D3C">
      <w:pPr>
        <w:rPr>
          <w:rFonts w:eastAsia="Times New Roman"/>
        </w:rPr>
      </w:pPr>
      <w:r>
        <w:rPr>
          <w:rFonts w:eastAsia="Times New Roman"/>
        </w:rPr>
        <w:pict>
          <v:rect id="_x0000_i1086" style="width:0;height:1.5pt" o:hralign="center" o:hrstd="t" o:hr="t" fillcolor="#a0a0a0" stroked="f"/>
        </w:pict>
      </w:r>
    </w:p>
    <w:p w:rsidR="00000000" w:rsidRDefault="00FD7D3C">
      <w:pPr>
        <w:divId w:val="1876697910"/>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ind w:firstLine="720"/>
        <w:divId w:val="546067218"/>
        <w:rPr>
          <w:rFonts w:eastAsia="Times New Roman"/>
        </w:rPr>
      </w:pPr>
      <w:r>
        <w:rPr>
          <w:rFonts w:eastAsia="Times New Roman"/>
          <w:color w:val="000000"/>
          <w:sz w:val="20"/>
          <w:szCs w:val="20"/>
        </w:rPr>
        <w:t xml:space="preserve">Before approving an NDA, the FDA typically will inspect the facility or facilities where the product is manufactured. The FDA </w:t>
      </w:r>
      <w:r>
        <w:rPr>
          <w:rFonts w:eastAsia="Times New Roman"/>
          <w:color w:val="000000"/>
          <w:sz w:val="20"/>
          <w:szCs w:val="20"/>
        </w:rPr>
        <w:t>will not approve an application unless it determines that the manufacturing processes and facilities are in compliance with cGMP requirements and adequate to assure consistent production of the product within required specifications. Additionally, before a</w:t>
      </w:r>
      <w:r>
        <w:rPr>
          <w:rFonts w:eastAsia="Times New Roman"/>
          <w:color w:val="000000"/>
          <w:sz w:val="20"/>
          <w:szCs w:val="20"/>
        </w:rPr>
        <w:t>pproving an NDA, the FDA may inspect one or more clinical trial sites to assure compliance with GCP requirements.</w:t>
      </w:r>
    </w:p>
    <w:p w:rsidR="00000000" w:rsidRDefault="00FD7D3C">
      <w:pPr>
        <w:ind w:firstLine="720"/>
        <w:divId w:val="216624815"/>
        <w:rPr>
          <w:rFonts w:eastAsia="Times New Roman"/>
        </w:rPr>
      </w:pPr>
      <w:r>
        <w:rPr>
          <w:rFonts w:eastAsia="Times New Roman"/>
          <w:color w:val="000000"/>
          <w:sz w:val="20"/>
          <w:szCs w:val="20"/>
        </w:rPr>
        <w:t>After evaluating the NDA and all related information, including the advisory committee recommendation, if any, and inspection reports regardin</w:t>
      </w:r>
      <w:r>
        <w:rPr>
          <w:rFonts w:eastAsia="Times New Roman"/>
          <w:color w:val="000000"/>
          <w:sz w:val="20"/>
          <w:szCs w:val="20"/>
        </w:rPr>
        <w:t>g the manufacturing facilities and clinical trial sites, the FDA may issue an approval letter, or, in some cases, a complete response letter. A complete response letter generally contains a statement of specific conditions that must be met in order to secu</w:t>
      </w:r>
      <w:r>
        <w:rPr>
          <w:rFonts w:eastAsia="Times New Roman"/>
          <w:color w:val="000000"/>
          <w:sz w:val="20"/>
          <w:szCs w:val="20"/>
        </w:rPr>
        <w:t>re final approval of the NDA and may require additional clinical or preclinical testing in order for FDA to reconsider the application. Even with submission of this additional information, the FDA ultimately may decide that the application does not satisfy</w:t>
      </w:r>
      <w:r>
        <w:rPr>
          <w:rFonts w:eastAsia="Times New Roman"/>
          <w:color w:val="000000"/>
          <w:sz w:val="20"/>
          <w:szCs w:val="20"/>
        </w:rPr>
        <w:t xml:space="preserve"> the regulatory criteria for approval. If and when those conditions have been met to the FDA’s satisfaction, the FDA will typically issue an approval letter. An approval letter authorizes commercial marketing of the drug with specific prescribing informati</w:t>
      </w:r>
      <w:r>
        <w:rPr>
          <w:rFonts w:eastAsia="Times New Roman"/>
          <w:color w:val="000000"/>
          <w:sz w:val="20"/>
          <w:szCs w:val="20"/>
        </w:rPr>
        <w:t>on for specific indications.</w:t>
      </w:r>
    </w:p>
    <w:p w:rsidR="00000000" w:rsidRDefault="00FD7D3C">
      <w:pPr>
        <w:ind w:firstLine="720"/>
        <w:divId w:val="1561938030"/>
        <w:rPr>
          <w:rFonts w:eastAsia="Times New Roman"/>
        </w:rPr>
      </w:pPr>
      <w:r>
        <w:rPr>
          <w:rFonts w:eastAsia="Times New Roman"/>
          <w:color w:val="000000"/>
          <w:sz w:val="20"/>
          <w:szCs w:val="20"/>
        </w:rPr>
        <w:t xml:space="preserve">Even if the FDA approves a product, it may limit the approved indications for use of the product, require that contraindications, warnings or precautions be included in the product labeling, require that post-approval studies, </w:t>
      </w:r>
      <w:r>
        <w:rPr>
          <w:rFonts w:eastAsia="Times New Roman"/>
          <w:color w:val="000000"/>
          <w:sz w:val="20"/>
          <w:szCs w:val="20"/>
        </w:rPr>
        <w:t>including Phase 4 clinical trials, be conducted to further assess a drug’s safety after approval, require testing and surveillance programs to monitor the product after commercialization, or impose other conditions, including distribution and use restricti</w:t>
      </w:r>
      <w:r>
        <w:rPr>
          <w:rFonts w:eastAsia="Times New Roman"/>
          <w:color w:val="000000"/>
          <w:sz w:val="20"/>
          <w:szCs w:val="20"/>
        </w:rPr>
        <w:t>ons or other risk management mechanisms under a REMS, which can materially affect the potential market and profitability of the product. The FDA may prevent or limit further marketing of a product based on the results of post-marketing studies or surveilla</w:t>
      </w:r>
      <w:r>
        <w:rPr>
          <w:rFonts w:eastAsia="Times New Roman"/>
          <w:color w:val="000000"/>
          <w:sz w:val="20"/>
          <w:szCs w:val="20"/>
        </w:rPr>
        <w:t>nce programs. After approval, some types of changes to the approved product, such as adding new indications, manufacturing changes, and additional labeling claims, are subject to further testing requirements and FDA review and approval.</w:t>
      </w:r>
    </w:p>
    <w:p w:rsidR="00000000" w:rsidRDefault="00FD7D3C">
      <w:pPr>
        <w:divId w:val="1027096820"/>
        <w:rPr>
          <w:rFonts w:eastAsia="Times New Roman"/>
        </w:rPr>
      </w:pPr>
      <w:r>
        <w:rPr>
          <w:rFonts w:eastAsia="Times New Roman"/>
          <w:b/>
          <w:bCs/>
          <w:i/>
          <w:iCs/>
          <w:color w:val="000000"/>
          <w:sz w:val="20"/>
          <w:szCs w:val="20"/>
        </w:rPr>
        <w:t>Orphan drug designa</w:t>
      </w:r>
      <w:r>
        <w:rPr>
          <w:rFonts w:eastAsia="Times New Roman"/>
          <w:b/>
          <w:bCs/>
          <w:i/>
          <w:iCs/>
          <w:color w:val="000000"/>
          <w:sz w:val="20"/>
          <w:szCs w:val="20"/>
        </w:rPr>
        <w:t>tion and exclusivity</w:t>
      </w:r>
    </w:p>
    <w:p w:rsidR="00000000" w:rsidRDefault="00FD7D3C">
      <w:pPr>
        <w:ind w:firstLine="720"/>
        <w:divId w:val="1880586778"/>
        <w:rPr>
          <w:rFonts w:eastAsia="Times New Roman"/>
        </w:rPr>
      </w:pPr>
      <w:r>
        <w:rPr>
          <w:rFonts w:eastAsia="Times New Roman"/>
          <w:color w:val="000000"/>
          <w:sz w:val="20"/>
          <w:szCs w:val="20"/>
        </w:rPr>
        <w:t xml:space="preserve">Under the Orphan Drug Act, the FDA may designate a drug product as an “orphan drug” if it is intended to treat a rare disease or condition (generally meaning that it affects fewer than 200,000 individuals in the United States, or more </w:t>
      </w:r>
      <w:r>
        <w:rPr>
          <w:rFonts w:eastAsia="Times New Roman"/>
          <w:color w:val="000000"/>
          <w:sz w:val="20"/>
          <w:szCs w:val="20"/>
        </w:rPr>
        <w:t xml:space="preserve">in cases in which there is no reasonable expectation that the cost of developing and making a drug product available in the United States for treatment of the disease or condition will be recovered from sales of the product). A company must request orphan </w:t>
      </w:r>
      <w:r>
        <w:rPr>
          <w:rFonts w:eastAsia="Times New Roman"/>
          <w:color w:val="000000"/>
          <w:sz w:val="20"/>
          <w:szCs w:val="20"/>
        </w:rPr>
        <w:t>product designation before submitting an NDA. If the request is granted, the FDA will disclose the identity of the therapeutic agent and its potential use. Orphan product designation does not convey any advantage in or shorten the duration of the regulator</w:t>
      </w:r>
      <w:r>
        <w:rPr>
          <w:rFonts w:eastAsia="Times New Roman"/>
          <w:color w:val="000000"/>
          <w:sz w:val="20"/>
          <w:szCs w:val="20"/>
        </w:rPr>
        <w:t>y review and approval process.</w:t>
      </w:r>
    </w:p>
    <w:p w:rsidR="00000000" w:rsidRDefault="00FD7D3C">
      <w:pPr>
        <w:ind w:firstLine="720"/>
        <w:divId w:val="1729185994"/>
        <w:rPr>
          <w:rFonts w:eastAsia="Times New Roman"/>
        </w:rPr>
      </w:pPr>
      <w:r>
        <w:rPr>
          <w:rFonts w:eastAsia="Times New Roman"/>
          <w:color w:val="000000"/>
          <w:sz w:val="20"/>
          <w:szCs w:val="20"/>
        </w:rPr>
        <w:t>If a product with orphan status receives the first FDA approval for the disease or condition for which it has such designation or for a select indication or use within the rare disease or condition for which it was designated</w:t>
      </w:r>
      <w:r>
        <w:rPr>
          <w:rFonts w:eastAsia="Times New Roman"/>
          <w:color w:val="000000"/>
          <w:sz w:val="20"/>
          <w:szCs w:val="20"/>
        </w:rPr>
        <w:t>, the product generally will be receiving orphan product exclusivity. Orphan product exclusivity means that the FDA may not approve any other applications for the same product for the same indication for seven years, except in certain limited circumstances</w:t>
      </w:r>
      <w:r>
        <w:rPr>
          <w:rFonts w:eastAsia="Times New Roman"/>
          <w:color w:val="000000"/>
          <w:sz w:val="20"/>
          <w:szCs w:val="20"/>
        </w:rPr>
        <w:t xml:space="preserve">. If a drug or drug product designated as an orphan product ultimately receives marketing approval for an indication broader than what was designated in its orphan product application, it may not be entitled to exclusivity. Orphan exclusivity will not bar </w:t>
      </w:r>
      <w:r>
        <w:rPr>
          <w:rFonts w:eastAsia="Times New Roman"/>
          <w:color w:val="000000"/>
          <w:sz w:val="20"/>
          <w:szCs w:val="20"/>
        </w:rPr>
        <w:t>approval of another product under certain circumstances, including if a subsequent product with the same active ingredient for the same indication is shown to be clinically superior to the approved product on the basis of greater efficacy or safety, or pro</w:t>
      </w:r>
      <w:r>
        <w:rPr>
          <w:rFonts w:eastAsia="Times New Roman"/>
          <w:color w:val="000000"/>
          <w:sz w:val="20"/>
          <w:szCs w:val="20"/>
        </w:rPr>
        <w:t>viding a major contribution to patient care, or if the company with orphan drug exclusivity is not able to meet market demand. Further, the FDA may approve more than one product for the same orphan indication or disease as long as the products contain diff</w:t>
      </w:r>
      <w:r>
        <w:rPr>
          <w:rFonts w:eastAsia="Times New Roman"/>
          <w:color w:val="000000"/>
          <w:sz w:val="20"/>
          <w:szCs w:val="20"/>
        </w:rPr>
        <w:t>erent active ingredients. Moreover, competitors may receive approval of different products for the indication for which the orphan product has exclusivity or obtain approval for the same product but for a different indication for which the orphan product h</w:t>
      </w:r>
      <w:r>
        <w:rPr>
          <w:rFonts w:eastAsia="Times New Roman"/>
          <w:color w:val="000000"/>
          <w:sz w:val="20"/>
          <w:szCs w:val="20"/>
        </w:rPr>
        <w:t>as exclusivity.</w:t>
      </w:r>
    </w:p>
    <w:p w:rsidR="00000000" w:rsidRDefault="00FD7D3C">
      <w:pPr>
        <w:divId w:val="23751890"/>
        <w:rPr>
          <w:rFonts w:eastAsia="Times New Roman"/>
        </w:rPr>
      </w:pPr>
      <w:r>
        <w:rPr>
          <w:rFonts w:eastAsia="Times New Roman"/>
          <w:b/>
          <w:bCs/>
          <w:i/>
          <w:iCs/>
          <w:color w:val="000000"/>
          <w:sz w:val="20"/>
          <w:szCs w:val="20"/>
        </w:rPr>
        <w:t>U.S. marketing exclusivity</w:t>
      </w:r>
    </w:p>
    <w:p w:rsidR="00000000" w:rsidRDefault="00FD7D3C">
      <w:pPr>
        <w:ind w:firstLine="720"/>
        <w:divId w:val="1511139804"/>
        <w:rPr>
          <w:rFonts w:eastAsia="Times New Roman"/>
        </w:rPr>
      </w:pPr>
      <w:r>
        <w:rPr>
          <w:rFonts w:eastAsia="Times New Roman"/>
          <w:color w:val="000000"/>
          <w:sz w:val="20"/>
          <w:szCs w:val="20"/>
        </w:rPr>
        <w:t>Market exclusivity provisions under the FDCA also can delay the submission or the approval of certain applications. The FDCA provides a five-year period of non-patent marketing exclusivity within the United States to the first applicant to gain approval of</w:t>
      </w:r>
      <w:r>
        <w:rPr>
          <w:rFonts w:eastAsia="Times New Roman"/>
          <w:color w:val="000000"/>
          <w:sz w:val="20"/>
          <w:szCs w:val="20"/>
        </w:rPr>
        <w:t xml:space="preserve"> an NDA for a new chemical entity. A drug is a new chemical entity if the FDA has not previously approved any other new drug containing the same active moiety, which is the molecule or ion responsible for the action of the drug substance. During the exclus</w:t>
      </w:r>
      <w:r>
        <w:rPr>
          <w:rFonts w:eastAsia="Times New Roman"/>
          <w:color w:val="000000"/>
          <w:sz w:val="20"/>
          <w:szCs w:val="20"/>
        </w:rPr>
        <w:t>ivity period, the FDA may not accept for review an Abbreviated New Drug Application, or ANDA, or a 505(b)(2) NDA submitted by another company for another version of such drug where the applicant does not own or have a legal right of reference to all the da</w:t>
      </w:r>
      <w:r>
        <w:rPr>
          <w:rFonts w:eastAsia="Times New Roman"/>
          <w:color w:val="000000"/>
          <w:sz w:val="20"/>
          <w:szCs w:val="20"/>
        </w:rPr>
        <w:t xml:space="preserve">ta required for approval. However, an application may be submitted after four years if it contains a certification of patent invalidity or non-infringement. The FDCA also </w:t>
      </w:r>
    </w:p>
    <w:p w:rsidR="00000000" w:rsidRDefault="00FD7D3C">
      <w:pPr>
        <w:jc w:val="center"/>
        <w:divId w:val="2059157363"/>
        <w:rPr>
          <w:rFonts w:eastAsia="Times New Roman"/>
        </w:rPr>
      </w:pPr>
      <w:r>
        <w:rPr>
          <w:rFonts w:eastAsia="Times New Roman"/>
          <w:color w:val="000000"/>
          <w:sz w:val="20"/>
          <w:szCs w:val="20"/>
        </w:rPr>
        <w:t>34</w:t>
      </w:r>
    </w:p>
    <w:p w:rsidR="00000000" w:rsidRDefault="00FD7D3C">
      <w:pPr>
        <w:rPr>
          <w:rFonts w:eastAsia="Times New Roman"/>
        </w:rPr>
      </w:pPr>
      <w:r>
        <w:rPr>
          <w:rFonts w:eastAsia="Times New Roman"/>
        </w:rPr>
        <w:pict>
          <v:rect id="_x0000_i1087" style="width:0;height:1.5pt" o:hralign="center" o:hrstd="t" o:hr="t" fillcolor="#a0a0a0" stroked="f"/>
        </w:pict>
      </w:r>
    </w:p>
    <w:p w:rsidR="00000000" w:rsidRDefault="00FD7D3C">
      <w:pPr>
        <w:divId w:val="1830244968"/>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divId w:val="1865946711"/>
        <w:rPr>
          <w:rFonts w:eastAsia="Times New Roman"/>
        </w:rPr>
      </w:pPr>
      <w:r>
        <w:rPr>
          <w:rFonts w:eastAsia="Times New Roman"/>
          <w:color w:val="000000"/>
          <w:sz w:val="20"/>
          <w:szCs w:val="20"/>
        </w:rPr>
        <w:t>provides three years of marketing exclusivity for a NDA, 505(b)(2) NDA or supplement to an existing NDA if new clinical investigations, other than bioavailability studies, that were conducted or sponsored by the applicant ar</w:t>
      </w:r>
      <w:r>
        <w:rPr>
          <w:rFonts w:eastAsia="Times New Roman"/>
          <w:color w:val="000000"/>
          <w:sz w:val="20"/>
          <w:szCs w:val="20"/>
        </w:rPr>
        <w:t>e deemed by the FDA to be essential to the approval of the application, for example, new indications, dosages or strengths of an existing drug. This three-year exclusivity covers only the conditions of use associated with the new clinical investigations an</w:t>
      </w:r>
      <w:r>
        <w:rPr>
          <w:rFonts w:eastAsia="Times New Roman"/>
          <w:color w:val="000000"/>
          <w:sz w:val="20"/>
          <w:szCs w:val="20"/>
        </w:rPr>
        <w:t xml:space="preserve">d does not prohibit the FDA from approving ANDAs for the original non-modified version of the drug. Five-year and three-year exclusivity will not delay the submission or approval of a full NDA. However, an applicant submitting a full NDA would be required </w:t>
      </w:r>
      <w:r>
        <w:rPr>
          <w:rFonts w:eastAsia="Times New Roman"/>
          <w:color w:val="000000"/>
          <w:sz w:val="20"/>
          <w:szCs w:val="20"/>
        </w:rPr>
        <w:t>to conduct or obtain a right of reference to all of the preclinical studies and adequate and well-controlled clinical trials necessary to demonstrate safety and effectiveness.</w:t>
      </w:r>
    </w:p>
    <w:p w:rsidR="00000000" w:rsidRDefault="00FD7D3C">
      <w:pPr>
        <w:ind w:firstLine="720"/>
        <w:divId w:val="83765337"/>
        <w:rPr>
          <w:rFonts w:eastAsia="Times New Roman"/>
        </w:rPr>
      </w:pPr>
      <w:r>
        <w:rPr>
          <w:rFonts w:eastAsia="Times New Roman"/>
          <w:color w:val="000000"/>
          <w:sz w:val="20"/>
          <w:szCs w:val="20"/>
        </w:rPr>
        <w:t>Pediatric exclusivity is another type of regulatory market exclusivity in the Un</w:t>
      </w:r>
      <w:r>
        <w:rPr>
          <w:rFonts w:eastAsia="Times New Roman"/>
          <w:color w:val="000000"/>
          <w:sz w:val="20"/>
          <w:szCs w:val="20"/>
        </w:rPr>
        <w:t xml:space="preserve">ited States. Pediatric exclusivity, if granted, adds six months to existing regulatory exclusivity periods. This six-month exclusivity may be granted based on the voluntary completion of a pediatric trial in accordance with an FDA-issued “Written Request” </w:t>
      </w:r>
      <w:r>
        <w:rPr>
          <w:rFonts w:eastAsia="Times New Roman"/>
          <w:color w:val="000000"/>
          <w:sz w:val="20"/>
          <w:szCs w:val="20"/>
        </w:rPr>
        <w:t>for such a trial.</w:t>
      </w:r>
    </w:p>
    <w:p w:rsidR="00000000" w:rsidRDefault="00FD7D3C">
      <w:pPr>
        <w:divId w:val="2142769235"/>
        <w:rPr>
          <w:rFonts w:eastAsia="Times New Roman"/>
        </w:rPr>
      </w:pPr>
      <w:r>
        <w:rPr>
          <w:rFonts w:eastAsia="Times New Roman"/>
          <w:b/>
          <w:bCs/>
          <w:i/>
          <w:iCs/>
          <w:color w:val="000000"/>
          <w:sz w:val="20"/>
          <w:szCs w:val="20"/>
        </w:rPr>
        <w:t>Post-approval requirements</w:t>
      </w:r>
    </w:p>
    <w:p w:rsidR="00000000" w:rsidRDefault="00FD7D3C">
      <w:pPr>
        <w:ind w:firstLine="720"/>
        <w:divId w:val="1333609741"/>
        <w:rPr>
          <w:rFonts w:eastAsia="Times New Roman"/>
        </w:rPr>
      </w:pPr>
      <w:r>
        <w:rPr>
          <w:rFonts w:eastAsia="Times New Roman"/>
          <w:color w:val="000000"/>
          <w:sz w:val="20"/>
          <w:szCs w:val="20"/>
        </w:rPr>
        <w:t>Drugs manufactured or distributed pursuant to FDA approvals are subject to pervasive and continuing regulation by the FDA, including, among other things, requirements relating to recordkeeping, periodic reporting, product sampling and distribution, adverti</w:t>
      </w:r>
      <w:r>
        <w:rPr>
          <w:rFonts w:eastAsia="Times New Roman"/>
          <w:color w:val="000000"/>
          <w:sz w:val="20"/>
          <w:szCs w:val="20"/>
        </w:rPr>
        <w:t>sing and promotion and reporting of adverse experiences with the product. After approval, most changes to the approved product, such as adding new indications or other labeling claims are subject to prior FDA review and approval. There are continuing, annu</w:t>
      </w:r>
      <w:r>
        <w:rPr>
          <w:rFonts w:eastAsia="Times New Roman"/>
          <w:color w:val="000000"/>
          <w:sz w:val="20"/>
          <w:szCs w:val="20"/>
        </w:rPr>
        <w:t>al user fee requirements for any marketed products and the establishments where such products are manufactured, as well as new application fees for supplemental applications with clinical data.</w:t>
      </w:r>
    </w:p>
    <w:p w:rsidR="00000000" w:rsidRDefault="00FD7D3C">
      <w:pPr>
        <w:ind w:firstLine="720"/>
        <w:divId w:val="639728532"/>
        <w:rPr>
          <w:rFonts w:eastAsia="Times New Roman"/>
        </w:rPr>
      </w:pPr>
      <w:r>
        <w:rPr>
          <w:rFonts w:eastAsia="Times New Roman"/>
          <w:color w:val="000000"/>
          <w:sz w:val="20"/>
          <w:szCs w:val="20"/>
        </w:rPr>
        <w:t>The FDA may impose a number of post-approval requirements as a</w:t>
      </w:r>
      <w:r>
        <w:rPr>
          <w:rFonts w:eastAsia="Times New Roman"/>
          <w:color w:val="000000"/>
          <w:sz w:val="20"/>
          <w:szCs w:val="20"/>
        </w:rPr>
        <w:t xml:space="preserve"> condition of approval of an NDA. For example, the FDA may require post-marketing testing, including Phase 4 clinical trials, and surveillance to further assess and monitor the product’s safety and effectiveness after commercialization.</w:t>
      </w:r>
    </w:p>
    <w:p w:rsidR="00000000" w:rsidRDefault="00FD7D3C">
      <w:pPr>
        <w:ind w:firstLine="720"/>
        <w:divId w:val="409472627"/>
        <w:rPr>
          <w:rFonts w:eastAsia="Times New Roman"/>
        </w:rPr>
      </w:pPr>
      <w:r>
        <w:rPr>
          <w:rFonts w:eastAsia="Times New Roman"/>
          <w:color w:val="000000"/>
          <w:sz w:val="20"/>
          <w:szCs w:val="20"/>
        </w:rPr>
        <w:t>In addition, drug m</w:t>
      </w:r>
      <w:r>
        <w:rPr>
          <w:rFonts w:eastAsia="Times New Roman"/>
          <w:color w:val="000000"/>
          <w:sz w:val="20"/>
          <w:szCs w:val="20"/>
        </w:rPr>
        <w:t>anufacturers and other entities involved in the manufacture and distribution of approved drugs are required to register their establishments with the FDA and state agencies and are subject to periodic unannounced inspections by the FDA and these state agen</w:t>
      </w:r>
      <w:r>
        <w:rPr>
          <w:rFonts w:eastAsia="Times New Roman"/>
          <w:color w:val="000000"/>
          <w:sz w:val="20"/>
          <w:szCs w:val="20"/>
        </w:rPr>
        <w:t>cies for compliance with cGMP requirements. Changes to the manufacturing process are strictly regulated and often require prior FDA approval before being implemented. FDA regulations also require investigation and correction of any deviations from cGMP req</w:t>
      </w:r>
      <w:r>
        <w:rPr>
          <w:rFonts w:eastAsia="Times New Roman"/>
          <w:color w:val="000000"/>
          <w:sz w:val="20"/>
          <w:szCs w:val="20"/>
        </w:rPr>
        <w:t>uirements and impose reporting and documentation requirements upon the sponsor and any third-party manufacturers that the sponsor may decide to use. Accordingly, manufacturers must continue to expend time, money, and effort in the area of production and qu</w:t>
      </w:r>
      <w:r>
        <w:rPr>
          <w:rFonts w:eastAsia="Times New Roman"/>
          <w:color w:val="000000"/>
          <w:sz w:val="20"/>
          <w:szCs w:val="20"/>
        </w:rPr>
        <w:t>ality control to maintain cGMP compliance.</w:t>
      </w:r>
    </w:p>
    <w:p w:rsidR="00000000" w:rsidRDefault="00FD7D3C">
      <w:pPr>
        <w:ind w:firstLine="720"/>
        <w:divId w:val="1466583085"/>
        <w:rPr>
          <w:rFonts w:eastAsia="Times New Roman"/>
        </w:rPr>
      </w:pPr>
      <w:r>
        <w:rPr>
          <w:rFonts w:eastAsia="Times New Roman"/>
          <w:color w:val="000000"/>
          <w:sz w:val="20"/>
          <w:szCs w:val="20"/>
        </w:rPr>
        <w:t xml:space="preserve">Once an approval of a drug is granted, the FDA may withdraw the approval if compliance with regulatory requirements and standards is not maintained or if problems occur after the product reaches the market. Later </w:t>
      </w:r>
      <w:r>
        <w:rPr>
          <w:rFonts w:eastAsia="Times New Roman"/>
          <w:color w:val="000000"/>
          <w:sz w:val="20"/>
          <w:szCs w:val="20"/>
        </w:rPr>
        <w:t xml:space="preserve">discovery of previously unknown problems with a product, including adverse events of unanticipated severity or frequency, or with manufacturing processes, or failure to comply with regulatory requirements, may result in mandatory revisions to the approved </w:t>
      </w:r>
      <w:r>
        <w:rPr>
          <w:rFonts w:eastAsia="Times New Roman"/>
          <w:color w:val="000000"/>
          <w:sz w:val="20"/>
          <w:szCs w:val="20"/>
        </w:rPr>
        <w:t>labeling to add new safety information; imposition of post-market studies or clinical trials to assess new safety risks; or imposition of distribution or other restrictions under a REMS program. Other potential consequences include, among other things:</w:t>
      </w:r>
    </w:p>
    <w:p w:rsidR="00000000" w:rsidRDefault="00FD7D3C">
      <w:pPr>
        <w:ind w:hanging="720"/>
        <w:divId w:val="24643056"/>
        <w:rPr>
          <w:rFonts w:eastAsia="Times New Roman"/>
        </w:rPr>
      </w:pPr>
      <w:r>
        <w:rPr>
          <w:rFonts w:eastAsia="Times New Roman"/>
          <w:color w:val="000000"/>
          <w:sz w:val="20"/>
          <w:szCs w:val="20"/>
        </w:rPr>
        <w:t>•Re</w:t>
      </w:r>
      <w:r>
        <w:rPr>
          <w:rFonts w:eastAsia="Times New Roman"/>
          <w:color w:val="000000"/>
          <w:sz w:val="20"/>
          <w:szCs w:val="20"/>
        </w:rPr>
        <w:t>strictions on the marketing or manufacturing of the product, complete withdrawal of the product from the market or product recalls;</w:t>
      </w:r>
    </w:p>
    <w:p w:rsidR="00000000" w:rsidRDefault="00FD7D3C">
      <w:pPr>
        <w:ind w:hanging="720"/>
        <w:divId w:val="1083795628"/>
        <w:rPr>
          <w:rFonts w:eastAsia="Times New Roman"/>
        </w:rPr>
      </w:pPr>
      <w:r>
        <w:rPr>
          <w:rFonts w:eastAsia="Times New Roman"/>
          <w:color w:val="000000"/>
          <w:sz w:val="20"/>
          <w:szCs w:val="20"/>
        </w:rPr>
        <w:t>•Fines, warning letters or holds on post-approval clinical trials;</w:t>
      </w:r>
    </w:p>
    <w:p w:rsidR="00000000" w:rsidRDefault="00FD7D3C">
      <w:pPr>
        <w:ind w:hanging="720"/>
        <w:divId w:val="997877869"/>
        <w:rPr>
          <w:rFonts w:eastAsia="Times New Roman"/>
        </w:rPr>
      </w:pPr>
      <w:r>
        <w:rPr>
          <w:rFonts w:eastAsia="Times New Roman"/>
          <w:color w:val="000000"/>
          <w:sz w:val="20"/>
          <w:szCs w:val="20"/>
        </w:rPr>
        <w:t>•Refusal of the FDA to approve pending NDAs or supplement</w:t>
      </w:r>
      <w:r>
        <w:rPr>
          <w:rFonts w:eastAsia="Times New Roman"/>
          <w:color w:val="000000"/>
          <w:sz w:val="20"/>
          <w:szCs w:val="20"/>
        </w:rPr>
        <w:t>s to approved NDAs, or suspension or revocation of product approvals;</w:t>
      </w:r>
    </w:p>
    <w:p w:rsidR="00000000" w:rsidRDefault="00FD7D3C">
      <w:pPr>
        <w:ind w:hanging="720"/>
        <w:divId w:val="1110667704"/>
        <w:rPr>
          <w:rFonts w:eastAsia="Times New Roman"/>
        </w:rPr>
      </w:pPr>
      <w:r>
        <w:rPr>
          <w:rFonts w:eastAsia="Times New Roman"/>
          <w:color w:val="000000"/>
          <w:sz w:val="20"/>
          <w:szCs w:val="20"/>
        </w:rPr>
        <w:t>•Product seizure or detention, or refusal to permit the import or export of products; and</w:t>
      </w:r>
    </w:p>
    <w:p w:rsidR="00000000" w:rsidRDefault="00FD7D3C">
      <w:pPr>
        <w:ind w:hanging="720"/>
        <w:divId w:val="925961107"/>
        <w:rPr>
          <w:rFonts w:eastAsia="Times New Roman"/>
        </w:rPr>
      </w:pPr>
      <w:r>
        <w:rPr>
          <w:rFonts w:eastAsia="Times New Roman"/>
          <w:color w:val="000000"/>
          <w:sz w:val="20"/>
          <w:szCs w:val="20"/>
        </w:rPr>
        <w:t>•Injunctions or the imposition of civil or criminal penalties.</w:t>
      </w:r>
    </w:p>
    <w:p w:rsidR="00000000" w:rsidRDefault="00FD7D3C">
      <w:pPr>
        <w:ind w:firstLine="720"/>
        <w:divId w:val="10882603"/>
        <w:rPr>
          <w:rFonts w:eastAsia="Times New Roman"/>
        </w:rPr>
      </w:pPr>
      <w:r>
        <w:rPr>
          <w:rFonts w:eastAsia="Times New Roman"/>
          <w:color w:val="000000"/>
          <w:sz w:val="20"/>
          <w:szCs w:val="20"/>
        </w:rPr>
        <w:t>The FDA strictly regulates market</w:t>
      </w:r>
      <w:r>
        <w:rPr>
          <w:rFonts w:eastAsia="Times New Roman"/>
          <w:color w:val="000000"/>
          <w:sz w:val="20"/>
          <w:szCs w:val="20"/>
        </w:rPr>
        <w:t>ing, labeling, advertising, and promotion of products that are placed on the market. Drugs may be promoted by a manufacturer and any third parties acting on behalf of a manufacturer only for the approved indications and in a manner consistent with the appr</w:t>
      </w:r>
      <w:r>
        <w:rPr>
          <w:rFonts w:eastAsia="Times New Roman"/>
          <w:color w:val="000000"/>
          <w:sz w:val="20"/>
          <w:szCs w:val="20"/>
        </w:rPr>
        <w:t xml:space="preserve">oved label for the product. The FDA and other agencies actively enforce the laws and regulations prohibiting the promotion of off-label uses, and a company that is found to have improperly promoted off-label uses may be subject to significant liability. </w:t>
      </w:r>
    </w:p>
    <w:p w:rsidR="00000000" w:rsidRDefault="00FD7D3C">
      <w:pPr>
        <w:jc w:val="center"/>
        <w:divId w:val="453062567"/>
        <w:rPr>
          <w:rFonts w:eastAsia="Times New Roman"/>
        </w:rPr>
      </w:pPr>
      <w:r>
        <w:rPr>
          <w:rFonts w:eastAsia="Times New Roman"/>
          <w:color w:val="000000"/>
          <w:sz w:val="20"/>
          <w:szCs w:val="20"/>
        </w:rPr>
        <w:t>3</w:t>
      </w:r>
      <w:r>
        <w:rPr>
          <w:rFonts w:eastAsia="Times New Roman"/>
          <w:color w:val="000000"/>
          <w:sz w:val="20"/>
          <w:szCs w:val="20"/>
        </w:rPr>
        <w:t>5</w:t>
      </w:r>
    </w:p>
    <w:p w:rsidR="00000000" w:rsidRDefault="00FD7D3C">
      <w:pPr>
        <w:rPr>
          <w:rFonts w:eastAsia="Times New Roman"/>
        </w:rPr>
      </w:pPr>
      <w:r>
        <w:rPr>
          <w:rFonts w:eastAsia="Times New Roman"/>
        </w:rPr>
        <w:pict>
          <v:rect id="_x0000_i1088" style="width:0;height:1.5pt" o:hralign="center" o:hrstd="t" o:hr="t" fillcolor="#a0a0a0" stroked="f"/>
        </w:pict>
      </w:r>
    </w:p>
    <w:p w:rsidR="00000000" w:rsidRDefault="00FD7D3C">
      <w:pPr>
        <w:divId w:val="1879657357"/>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divId w:val="1312978527"/>
        <w:rPr>
          <w:rFonts w:eastAsia="Times New Roman"/>
        </w:rPr>
      </w:pPr>
      <w:r>
        <w:rPr>
          <w:rFonts w:eastAsia="Times New Roman"/>
          <w:b/>
          <w:bCs/>
          <w:i/>
          <w:iCs/>
          <w:color w:val="000000"/>
          <w:sz w:val="20"/>
          <w:szCs w:val="20"/>
        </w:rPr>
        <w:t>Other healthcare laws</w:t>
      </w:r>
    </w:p>
    <w:p w:rsidR="00000000" w:rsidRDefault="00FD7D3C">
      <w:pPr>
        <w:ind w:firstLine="720"/>
        <w:divId w:val="1467699081"/>
        <w:rPr>
          <w:rFonts w:eastAsia="Times New Roman"/>
        </w:rPr>
      </w:pPr>
      <w:r>
        <w:rPr>
          <w:rFonts w:eastAsia="Times New Roman"/>
          <w:color w:val="000000"/>
          <w:sz w:val="20"/>
          <w:szCs w:val="20"/>
        </w:rPr>
        <w:t>Healthcare providers, physicians, and third party payors play a primary role in the recommendation and prescription of d</w:t>
      </w:r>
      <w:r>
        <w:rPr>
          <w:rFonts w:eastAsia="Times New Roman"/>
          <w:color w:val="000000"/>
          <w:sz w:val="20"/>
          <w:szCs w:val="20"/>
        </w:rPr>
        <w:t>rug products for which we obtain marketing approval. Arrangements with third party payors, healthcare providers and physicians, in connection with the clinical research, sales, marketing and promotion of products, once approved, and related activities, may</w:t>
      </w:r>
      <w:r>
        <w:rPr>
          <w:rFonts w:eastAsia="Times New Roman"/>
          <w:color w:val="000000"/>
          <w:sz w:val="20"/>
          <w:szCs w:val="20"/>
        </w:rPr>
        <w:t xml:space="preserve"> expose a pharmaceutical manufacturer to broadly applicable fraud and abuse and other healthcare laws and regulations. In the United States, these laws include, without limitation, state and federal anti- kickback, false claims, physician transparency, and</w:t>
      </w:r>
      <w:r>
        <w:rPr>
          <w:rFonts w:eastAsia="Times New Roman"/>
          <w:color w:val="000000"/>
          <w:sz w:val="20"/>
          <w:szCs w:val="20"/>
        </w:rPr>
        <w:t xml:space="preserve"> patient data privacy and security laws and regulations, including but not limited to those described below:</w:t>
      </w:r>
    </w:p>
    <w:p w:rsidR="00000000" w:rsidRDefault="00FD7D3C">
      <w:pPr>
        <w:ind w:hanging="720"/>
        <w:divId w:val="1517115726"/>
        <w:rPr>
          <w:rFonts w:eastAsia="Times New Roman"/>
        </w:rPr>
      </w:pPr>
      <w:r>
        <w:rPr>
          <w:rFonts w:ascii="Arial" w:eastAsia="Times New Roman" w:hAnsi="Arial" w:cs="Arial"/>
          <w:color w:val="000000"/>
          <w:sz w:val="18"/>
          <w:szCs w:val="18"/>
        </w:rPr>
        <w:t>•</w:t>
      </w:r>
      <w:r>
        <w:rPr>
          <w:rFonts w:eastAsia="Times New Roman"/>
          <w:color w:val="000000"/>
          <w:sz w:val="20"/>
          <w:szCs w:val="20"/>
        </w:rPr>
        <w:t>the federal Anti-Kickback Statute, or AKS, which makes it illegal for any person, including a prescription drug manufacturer (or a party acting on</w:t>
      </w:r>
      <w:r>
        <w:rPr>
          <w:rFonts w:eastAsia="Times New Roman"/>
          <w:color w:val="000000"/>
          <w:sz w:val="20"/>
          <w:szCs w:val="20"/>
        </w:rPr>
        <w:t xml:space="preserve"> its behalf) to knowingly and willfully solicit, receive, offer or pay any remuneration (including any kickback, bribe, or rebate), directly or indirectly, overtly or covertly, in cash or in kind, that is intended to induce or reward, referrals including t</w:t>
      </w:r>
      <w:r>
        <w:rPr>
          <w:rFonts w:eastAsia="Times New Roman"/>
          <w:color w:val="000000"/>
          <w:sz w:val="20"/>
          <w:szCs w:val="20"/>
        </w:rPr>
        <w:t>he purchase recommendation, order or prescription of a particular drug for which payment may be made under a federal healthcare program, such as the Medicare and Medicaid programs. A person or entity does not need to have actual knowledge of the statute or</w:t>
      </w:r>
      <w:r>
        <w:rPr>
          <w:rFonts w:eastAsia="Times New Roman"/>
          <w:color w:val="000000"/>
          <w:sz w:val="20"/>
          <w:szCs w:val="20"/>
        </w:rPr>
        <w:t xml:space="preserve"> specific intent to violate it in order to have committed a violation. In addition, the government may assert that a claim including items or services resulting from a violation of the federal Anti-Kickback Statute constitutes a false or fraudulent claim f</w:t>
      </w:r>
      <w:r>
        <w:rPr>
          <w:rFonts w:eastAsia="Times New Roman"/>
          <w:color w:val="000000"/>
          <w:sz w:val="20"/>
          <w:szCs w:val="20"/>
        </w:rPr>
        <w:t>or purposes of the federal False Claims Act, or FCA. A conviction for violation of the federal Anti-Kickback Statute can result in criminal fines and/or imprisonment and requires mandatory exclusion from participation in federal health care programs. Exclu</w:t>
      </w:r>
      <w:r>
        <w:rPr>
          <w:rFonts w:eastAsia="Times New Roman"/>
          <w:color w:val="000000"/>
          <w:sz w:val="20"/>
          <w:szCs w:val="20"/>
        </w:rPr>
        <w:t>sion from the federal healthcare programs may also be imposed if the government determines that an entity has committed acts that are prohibited by the federal Anti-Kickback Statute. Although there are a number of statutory exceptions and regulatory safe h</w:t>
      </w:r>
      <w:r>
        <w:rPr>
          <w:rFonts w:eastAsia="Times New Roman"/>
          <w:color w:val="000000"/>
          <w:sz w:val="20"/>
          <w:szCs w:val="20"/>
        </w:rPr>
        <w:t>arbors to the federal Anti-Kickback Statute protecting certain common business arrangements and activities from prosecution or regulatory sanctions, the exceptions and safe harbors are drawn narrowly, and practices that involve remuneration to those who pr</w:t>
      </w:r>
      <w:r>
        <w:rPr>
          <w:rFonts w:eastAsia="Times New Roman"/>
          <w:color w:val="000000"/>
          <w:sz w:val="20"/>
          <w:szCs w:val="20"/>
        </w:rPr>
        <w:t xml:space="preserve">escribe, purchase, or recommend pharmaceutical and biological products, may be subject to scrutiny if they do not fit squarely within an exception or safe harbor; </w:t>
      </w:r>
    </w:p>
    <w:p w:rsidR="00000000" w:rsidRDefault="00FD7D3C">
      <w:pPr>
        <w:ind w:hanging="720"/>
        <w:divId w:val="916789447"/>
        <w:rPr>
          <w:rFonts w:eastAsia="Times New Roman"/>
        </w:rPr>
      </w:pPr>
      <w:r>
        <w:rPr>
          <w:rFonts w:ascii="Arial" w:eastAsia="Times New Roman" w:hAnsi="Arial" w:cs="Arial"/>
          <w:color w:val="000000"/>
          <w:sz w:val="17"/>
          <w:szCs w:val="17"/>
        </w:rPr>
        <w:t>•</w:t>
      </w:r>
      <w:r>
        <w:rPr>
          <w:rFonts w:eastAsia="Times New Roman"/>
          <w:color w:val="000000"/>
          <w:sz w:val="20"/>
          <w:szCs w:val="20"/>
        </w:rPr>
        <w:t xml:space="preserve">the federal civil and criminal false claims laws, including the FCA, which can be enforced </w:t>
      </w:r>
      <w:r>
        <w:rPr>
          <w:rFonts w:eastAsia="Times New Roman"/>
          <w:color w:val="000000"/>
          <w:sz w:val="20"/>
          <w:szCs w:val="20"/>
        </w:rPr>
        <w:t>through “qui tam” or “whistleblower” actions, and civil monetary penalty laws, which impose criminal and civil penalties against individuals or entities for, among other things, knowingly presenting, or causing to be presented, claims for payment or approv</w:t>
      </w:r>
      <w:r>
        <w:rPr>
          <w:rFonts w:eastAsia="Times New Roman"/>
          <w:color w:val="000000"/>
          <w:sz w:val="20"/>
          <w:szCs w:val="20"/>
        </w:rPr>
        <w:t>al from Medicare, Medicaid, or other federal health care programs that are false or fraudulent; knowingly making or causing a false statement material to a false or fraudulent claim or an obligation to pay or transmit money or property to the federal gover</w:t>
      </w:r>
      <w:r>
        <w:rPr>
          <w:rFonts w:eastAsia="Times New Roman"/>
          <w:color w:val="000000"/>
          <w:sz w:val="20"/>
          <w:szCs w:val="20"/>
        </w:rPr>
        <w:t>nment; or knowingly concealing or knowingly and improperly avoiding or decreasing such an obligation. Similar to the federal Anti-Kickback Statute, a person or entity does not need to have actual knowledge of these statutes or specific intent to violate th</w:t>
      </w:r>
      <w:r>
        <w:rPr>
          <w:rFonts w:eastAsia="Times New Roman"/>
          <w:color w:val="000000"/>
          <w:sz w:val="20"/>
          <w:szCs w:val="20"/>
        </w:rPr>
        <w:t>em in order to have committed a violation. FCA liability is potentially significant in the healthcare industry because the statute provides for treble damages and significant mandatory penalties per false or fraudulent claim or statement for violations;</w:t>
      </w:r>
    </w:p>
    <w:p w:rsidR="00000000" w:rsidRDefault="00FD7D3C">
      <w:pPr>
        <w:ind w:hanging="720"/>
        <w:divId w:val="186719954"/>
        <w:rPr>
          <w:rFonts w:eastAsia="Times New Roman"/>
        </w:rPr>
      </w:pPr>
      <w:r>
        <w:rPr>
          <w:rFonts w:eastAsia="Times New Roman"/>
          <w:color w:val="000000"/>
          <w:sz w:val="20"/>
          <w:szCs w:val="20"/>
        </w:rPr>
        <w:t>•t</w:t>
      </w:r>
      <w:r>
        <w:rPr>
          <w:rFonts w:eastAsia="Times New Roman"/>
          <w:color w:val="000000"/>
          <w:sz w:val="20"/>
          <w:szCs w:val="20"/>
        </w:rPr>
        <w:t>he federal Health Insurance Portability and Accountability Act of 1996, or HIPAA, which created additional federal criminal statutes that prohibit knowingly and willfully executing, or attempting to execute, a scheme to defraud any healthcare benefit progr</w:t>
      </w:r>
      <w:r>
        <w:rPr>
          <w:rFonts w:eastAsia="Times New Roman"/>
          <w:color w:val="000000"/>
          <w:sz w:val="20"/>
          <w:szCs w:val="20"/>
        </w:rPr>
        <w:t>am or obtain, by means of false or fraudulent pretenses, representations, or promises, any of the money or property owned by, or under the custody or control of, any healthcare benefit program, regardless of the payor (e.g., public or private) and knowingl</w:t>
      </w:r>
      <w:r>
        <w:rPr>
          <w:rFonts w:eastAsia="Times New Roman"/>
          <w:color w:val="000000"/>
          <w:sz w:val="20"/>
          <w:szCs w:val="20"/>
        </w:rPr>
        <w:t>y and willfully falsifying, concealing or covering up by any trick or device a material fact or making any materially false statements in connection with the delivery of, or payment for, healthcare benefits, items or services relating to healthcare matters</w:t>
      </w:r>
      <w:r>
        <w:rPr>
          <w:rFonts w:eastAsia="Times New Roman"/>
          <w:color w:val="000000"/>
          <w:sz w:val="20"/>
          <w:szCs w:val="20"/>
        </w:rPr>
        <w:t>;</w:t>
      </w:r>
    </w:p>
    <w:p w:rsidR="00000000" w:rsidRDefault="00FD7D3C">
      <w:pPr>
        <w:ind w:hanging="720"/>
        <w:divId w:val="1905334157"/>
        <w:rPr>
          <w:rFonts w:eastAsia="Times New Roman"/>
        </w:rPr>
      </w:pPr>
      <w:r>
        <w:rPr>
          <w:rFonts w:eastAsia="Times New Roman"/>
          <w:color w:val="000000"/>
          <w:sz w:val="20"/>
          <w:szCs w:val="20"/>
        </w:rPr>
        <w:t>•HIPAA, as amended by the Health Information Technology for Economic and Clinical Health Act of 2009, or HITECH, and their respective implementing regulations, which impose requirements on certain covered healthcare providers, health plans, and healthcar</w:t>
      </w:r>
      <w:r>
        <w:rPr>
          <w:rFonts w:eastAsia="Times New Roman"/>
          <w:color w:val="000000"/>
          <w:sz w:val="20"/>
          <w:szCs w:val="20"/>
        </w:rPr>
        <w:t>e clearinghouses as well as their respective business associates that perform services for them that involve the creation, use, receipt, maintenance or disclosure of individually identifiable health information, relating to the privacy, security and transm</w:t>
      </w:r>
      <w:r>
        <w:rPr>
          <w:rFonts w:eastAsia="Times New Roman"/>
          <w:color w:val="000000"/>
          <w:sz w:val="20"/>
          <w:szCs w:val="20"/>
        </w:rPr>
        <w:t>ission of individually identifiable health information;</w:t>
      </w:r>
    </w:p>
    <w:p w:rsidR="00000000" w:rsidRDefault="00FD7D3C">
      <w:pPr>
        <w:ind w:hanging="720"/>
        <w:divId w:val="127863402"/>
        <w:rPr>
          <w:rFonts w:eastAsia="Times New Roman"/>
        </w:rPr>
      </w:pPr>
      <w:r>
        <w:rPr>
          <w:rFonts w:eastAsia="Times New Roman"/>
          <w:color w:val="000000"/>
          <w:sz w:val="20"/>
          <w:szCs w:val="20"/>
        </w:rPr>
        <w:t>•the federal Physician Payments Sunshine Act, created under Patient Protection and Affordable Care Act, as amended by the Health Care and Education Reconciliation Act of 2010, or collectively, the ACA</w:t>
      </w:r>
      <w:r>
        <w:rPr>
          <w:rFonts w:eastAsia="Times New Roman"/>
          <w:color w:val="000000"/>
          <w:sz w:val="20"/>
          <w:szCs w:val="20"/>
        </w:rPr>
        <w:t xml:space="preserve">, and </w:t>
      </w:r>
    </w:p>
    <w:p w:rsidR="00000000" w:rsidRDefault="00FD7D3C">
      <w:pPr>
        <w:jc w:val="center"/>
        <w:divId w:val="1246267"/>
        <w:rPr>
          <w:rFonts w:eastAsia="Times New Roman"/>
        </w:rPr>
      </w:pPr>
      <w:r>
        <w:rPr>
          <w:rFonts w:eastAsia="Times New Roman"/>
          <w:color w:val="000000"/>
          <w:sz w:val="20"/>
          <w:szCs w:val="20"/>
        </w:rPr>
        <w:t>36</w:t>
      </w:r>
    </w:p>
    <w:p w:rsidR="00000000" w:rsidRDefault="00FD7D3C">
      <w:pPr>
        <w:rPr>
          <w:rFonts w:eastAsia="Times New Roman"/>
        </w:rPr>
      </w:pPr>
      <w:r>
        <w:rPr>
          <w:rFonts w:eastAsia="Times New Roman"/>
        </w:rPr>
        <w:pict>
          <v:rect id="_x0000_i1089" style="width:0;height:1.5pt" o:hralign="center" o:hrstd="t" o:hr="t" fillcolor="#a0a0a0" stroked="f"/>
        </w:pict>
      </w:r>
    </w:p>
    <w:p w:rsidR="00000000" w:rsidRDefault="00FD7D3C">
      <w:pPr>
        <w:divId w:val="1204758130"/>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divId w:val="1734624865"/>
        <w:rPr>
          <w:rFonts w:eastAsia="Times New Roman"/>
        </w:rPr>
      </w:pPr>
      <w:r>
        <w:rPr>
          <w:rFonts w:eastAsia="Times New Roman"/>
          <w:color w:val="000000"/>
          <w:sz w:val="20"/>
          <w:szCs w:val="20"/>
        </w:rPr>
        <w:t>its implementing regulations, which require manufacturers of drugs, devices, biological products and medical supplies for which payment is available under Medicare, Medicaid or the Children’s Health Insurance Program to report annually to the Centers for M</w:t>
      </w:r>
      <w:r>
        <w:rPr>
          <w:rFonts w:eastAsia="Times New Roman"/>
          <w:color w:val="000000"/>
          <w:sz w:val="20"/>
          <w:szCs w:val="20"/>
        </w:rPr>
        <w:t>edicare and Medicaid Services, or CMS, under the Open Payments Program, information related to payments or other transfers of value made to physicians (defined to include doctors, dentists, optometrists, podiatrists and chiropractors) and teaching hospital</w:t>
      </w:r>
      <w:r>
        <w:rPr>
          <w:rFonts w:eastAsia="Times New Roman"/>
          <w:color w:val="000000"/>
          <w:sz w:val="20"/>
          <w:szCs w:val="20"/>
        </w:rPr>
        <w:t xml:space="preserve">s, as well as ownership and investment interests held by physicians and their immediate family members. Effective January 1, 2022, these reporting obligations will extend to include transfers of value made during the previous year to certain non-physician </w:t>
      </w:r>
      <w:r>
        <w:rPr>
          <w:rFonts w:eastAsia="Times New Roman"/>
          <w:color w:val="000000"/>
          <w:sz w:val="20"/>
          <w:szCs w:val="20"/>
        </w:rPr>
        <w:t>providers such as physician assistants and nurse practitioners; and</w:t>
      </w:r>
    </w:p>
    <w:p w:rsidR="00000000" w:rsidRDefault="00FD7D3C">
      <w:pPr>
        <w:ind w:hanging="720"/>
        <w:divId w:val="336157476"/>
        <w:rPr>
          <w:rFonts w:eastAsia="Times New Roman"/>
        </w:rPr>
      </w:pPr>
      <w:r>
        <w:rPr>
          <w:rFonts w:eastAsia="Times New Roman"/>
          <w:color w:val="000000"/>
          <w:sz w:val="20"/>
          <w:szCs w:val="20"/>
        </w:rPr>
        <w:t>•analogous state and foreign laws and regulations, such as state and foreign anti-kickback, false claims, consumer protection, transparency and disclosure laws, and unfair competition laws</w:t>
      </w:r>
      <w:r>
        <w:rPr>
          <w:rFonts w:eastAsia="Times New Roman"/>
          <w:color w:val="000000"/>
          <w:sz w:val="20"/>
          <w:szCs w:val="20"/>
        </w:rPr>
        <w:t xml:space="preserve"> which may apply to pharmaceutical business practices, including but not limited to, research, distribution, sales and marketing arrangements as well as submitting claims involving healthcare items or services reimbursed by any third-party payor, including</w:t>
      </w:r>
      <w:r>
        <w:rPr>
          <w:rFonts w:eastAsia="Times New Roman"/>
          <w:color w:val="000000"/>
          <w:sz w:val="20"/>
          <w:szCs w:val="20"/>
        </w:rPr>
        <w:t xml:space="preserve"> commercial insurers; state laws that require pharmaceutical companies to comply with the pharmaceutical industry’s voluntary compliance guidelines and the relevant compliance guidance promulgated by the federal government that otherwise restricts payments</w:t>
      </w:r>
      <w:r>
        <w:rPr>
          <w:rFonts w:eastAsia="Times New Roman"/>
          <w:color w:val="000000"/>
          <w:sz w:val="20"/>
          <w:szCs w:val="20"/>
        </w:rPr>
        <w:t xml:space="preserve"> that may be made to healthcare providers and other potential referral sources; state laws that require drug manufacturers to file reports with states regarding pricing and marketing information, such as the tracking and reporting of gifts, compensations a</w:t>
      </w:r>
      <w:r>
        <w:rPr>
          <w:rFonts w:eastAsia="Times New Roman"/>
          <w:color w:val="000000"/>
          <w:sz w:val="20"/>
          <w:szCs w:val="20"/>
        </w:rPr>
        <w:t>nd other remuneration and items of value provided to healthcare professionals and entities; state and local laws requiring the registration of pharmaceutical sales representatives; and state and foreign laws governing the privacy and security of health inf</w:t>
      </w:r>
      <w:r>
        <w:rPr>
          <w:rFonts w:eastAsia="Times New Roman"/>
          <w:color w:val="000000"/>
          <w:sz w:val="20"/>
          <w:szCs w:val="20"/>
        </w:rPr>
        <w:t>ormation in certain circumstances, many of which differ from each other in significant ways and may not have the same effect, thus complicating compliance efforts.</w:t>
      </w:r>
    </w:p>
    <w:p w:rsidR="00000000" w:rsidRDefault="00FD7D3C">
      <w:pPr>
        <w:ind w:firstLine="720"/>
        <w:divId w:val="672924645"/>
        <w:rPr>
          <w:rFonts w:eastAsia="Times New Roman"/>
        </w:rPr>
      </w:pPr>
      <w:r>
        <w:rPr>
          <w:rFonts w:eastAsia="Times New Roman"/>
          <w:color w:val="000000"/>
          <w:sz w:val="20"/>
          <w:szCs w:val="20"/>
        </w:rPr>
        <w:t>Because of the breadth of these laws, it is possible that some of a pharmaceutical manufactu</w:t>
      </w:r>
      <w:r>
        <w:rPr>
          <w:rFonts w:eastAsia="Times New Roman"/>
          <w:color w:val="000000"/>
          <w:sz w:val="20"/>
          <w:szCs w:val="20"/>
        </w:rPr>
        <w:t>rer’s business activities could be subject to challenge under one or more of such laws. Efforts to ensure that business arrangements comply with applicable healthcare laws involve substantial costs. It is possible that governmental and enforcement authorit</w:t>
      </w:r>
      <w:r>
        <w:rPr>
          <w:rFonts w:eastAsia="Times New Roman"/>
          <w:color w:val="000000"/>
          <w:sz w:val="20"/>
          <w:szCs w:val="20"/>
        </w:rPr>
        <w:t>ies will conclude that a pharmaceutical manufacturer’s business practices do not comply with current or future statutes, regulations or case law interpreting applicable fraud and abuse or other healthcare laws and regulations. If any such actions are insti</w:t>
      </w:r>
      <w:r>
        <w:rPr>
          <w:rFonts w:eastAsia="Times New Roman"/>
          <w:color w:val="000000"/>
          <w:sz w:val="20"/>
          <w:szCs w:val="20"/>
        </w:rPr>
        <w:t>tuted against a pharmaceutical manufacturer, and it is not successful in defending itself or asserting its rights, those actions could have a significant impact on its business, including the imposition of significant civil, criminal and administrative pen</w:t>
      </w:r>
      <w:r>
        <w:rPr>
          <w:rFonts w:eastAsia="Times New Roman"/>
          <w:color w:val="000000"/>
          <w:sz w:val="20"/>
          <w:szCs w:val="20"/>
        </w:rPr>
        <w:t>alties, damages, disgorgement, imprisonment, monetary fines, possible exclusion from participation in Medicare, Medicaid and other federal healthcare programs, reporting obligations and oversight if a pharmaceutical manufacturer becomes subject to integrit</w:t>
      </w:r>
      <w:r>
        <w:rPr>
          <w:rFonts w:eastAsia="Times New Roman"/>
          <w:color w:val="000000"/>
          <w:sz w:val="20"/>
          <w:szCs w:val="20"/>
        </w:rPr>
        <w:t xml:space="preserve">y and oversight agreements to resolve allegations of non-compliance, contractual damages, reputational harm, diminished profits and future earnings, and curtailment of operations, any of which could adversely affect a pharmaceutical manufacturer’s ability </w:t>
      </w:r>
      <w:r>
        <w:rPr>
          <w:rFonts w:eastAsia="Times New Roman"/>
          <w:color w:val="000000"/>
          <w:sz w:val="20"/>
          <w:szCs w:val="20"/>
        </w:rPr>
        <w:t>to operate its business and the results of operations. In addition, commercialization of any drug product outside the United States will also likely be subject to foreign equivalents of the healthcare laws mentioned above, among other foreign laws.</w:t>
      </w:r>
    </w:p>
    <w:p w:rsidR="00000000" w:rsidRDefault="00FD7D3C">
      <w:pPr>
        <w:ind w:firstLine="720"/>
        <w:divId w:val="1975326249"/>
        <w:rPr>
          <w:rFonts w:eastAsia="Times New Roman"/>
        </w:rPr>
      </w:pPr>
      <w:r>
        <w:rPr>
          <w:rFonts w:eastAsia="Times New Roman"/>
          <w:color w:val="000000"/>
          <w:sz w:val="20"/>
          <w:szCs w:val="20"/>
        </w:rPr>
        <w:t xml:space="preserve">In the </w:t>
      </w:r>
      <w:r>
        <w:rPr>
          <w:rFonts w:eastAsia="Times New Roman"/>
          <w:color w:val="000000"/>
          <w:sz w:val="20"/>
          <w:szCs w:val="20"/>
        </w:rPr>
        <w:t>U.S., numerous federal and state laws, and regulations, including state data breach notification laws, state health information privacy laws, and federal and state consumer protection laws, govern the collection, use, disclosure, and protection of health-r</w:t>
      </w:r>
      <w:r>
        <w:rPr>
          <w:rFonts w:eastAsia="Times New Roman"/>
          <w:color w:val="000000"/>
          <w:sz w:val="20"/>
          <w:szCs w:val="20"/>
        </w:rPr>
        <w:t>elated and other personal information. For example, in June 2018, the State of California enacted the California Consumer Privacy Act of 2018, or the CCPA, which came into effect on January 1, 2020 and provides new data privacy rights for consumers and new</w:t>
      </w:r>
      <w:r>
        <w:rPr>
          <w:rFonts w:eastAsia="Times New Roman"/>
          <w:color w:val="000000"/>
          <w:sz w:val="20"/>
          <w:szCs w:val="20"/>
        </w:rPr>
        <w:t xml:space="preserve"> operational requirements for companies, which may increase our compliance costs and potential liability. The CCPA gives California residents expanded rights to access and delete their personal information, opt out of certain personal information sharing, </w:t>
      </w:r>
      <w:r>
        <w:rPr>
          <w:rFonts w:eastAsia="Times New Roman"/>
          <w:color w:val="000000"/>
          <w:sz w:val="20"/>
          <w:szCs w:val="20"/>
        </w:rPr>
        <w:t xml:space="preserve">and receive detailed information about how their personal information is used. The CCPA provides for civil penalties for violations, as well as a private right of action for data breaches that is expected to increase data breach litigation. While there is </w:t>
      </w:r>
      <w:r>
        <w:rPr>
          <w:rFonts w:eastAsia="Times New Roman"/>
          <w:color w:val="000000"/>
          <w:sz w:val="20"/>
          <w:szCs w:val="20"/>
        </w:rPr>
        <w:t>currently an exception for protected health information that is subject to HIPAA and clinical trial regulations, as currently written, the CCPA impacts certain of our business activities. The CCPA could mark the beginning of a trend toward more stringent s</w:t>
      </w:r>
      <w:r>
        <w:rPr>
          <w:rFonts w:eastAsia="Times New Roman"/>
          <w:color w:val="000000"/>
          <w:sz w:val="20"/>
          <w:szCs w:val="20"/>
        </w:rPr>
        <w:t>tate privacy legislation in the U.S., which could increase our potential liability and adversely affect our business.</w:t>
      </w:r>
    </w:p>
    <w:p w:rsidR="00000000" w:rsidRDefault="00FD7D3C">
      <w:pPr>
        <w:ind w:firstLine="1080"/>
        <w:divId w:val="542985243"/>
        <w:rPr>
          <w:rFonts w:eastAsia="Times New Roman"/>
        </w:rPr>
      </w:pPr>
      <w:r>
        <w:rPr>
          <w:rFonts w:eastAsia="Times New Roman"/>
          <w:color w:val="000000"/>
          <w:sz w:val="20"/>
          <w:szCs w:val="20"/>
        </w:rPr>
        <w:t>In the event we decide to conduct clinical trials or continue to enroll subjects in our ongoing or future clinical trials, we may be subje</w:t>
      </w:r>
      <w:r>
        <w:rPr>
          <w:rFonts w:eastAsia="Times New Roman"/>
          <w:color w:val="000000"/>
          <w:sz w:val="20"/>
          <w:szCs w:val="20"/>
        </w:rPr>
        <w:t>ct to additional privacy restrictions. The collection, use, storage, disclosure, transfer, or other processing of personal data regarding individuals in the European Economic Area, or EEA, including personal health data, is subject to the EU General Data P</w:t>
      </w:r>
      <w:r>
        <w:rPr>
          <w:rFonts w:eastAsia="Times New Roman"/>
          <w:color w:val="000000"/>
          <w:sz w:val="20"/>
          <w:szCs w:val="20"/>
        </w:rPr>
        <w:t>rotection Regulation, or GDPR, which became effective on May 25, 2018. The GDPR is wide-ranging in scope and imposes numerous requirements on companies that process personal data, including requirements relating to processing health and other sensitive dat</w:t>
      </w:r>
      <w:r>
        <w:rPr>
          <w:rFonts w:eastAsia="Times New Roman"/>
          <w:color w:val="000000"/>
          <w:sz w:val="20"/>
          <w:szCs w:val="20"/>
        </w:rPr>
        <w:t xml:space="preserve">a, obtaining consent of the individuals to whom the </w:t>
      </w:r>
    </w:p>
    <w:p w:rsidR="00000000" w:rsidRDefault="00FD7D3C">
      <w:pPr>
        <w:jc w:val="center"/>
        <w:divId w:val="1333073064"/>
        <w:rPr>
          <w:rFonts w:eastAsia="Times New Roman"/>
        </w:rPr>
      </w:pPr>
      <w:r>
        <w:rPr>
          <w:rFonts w:eastAsia="Times New Roman"/>
          <w:color w:val="000000"/>
          <w:sz w:val="20"/>
          <w:szCs w:val="20"/>
        </w:rPr>
        <w:t>37</w:t>
      </w:r>
    </w:p>
    <w:p w:rsidR="00000000" w:rsidRDefault="00FD7D3C">
      <w:pPr>
        <w:rPr>
          <w:rFonts w:eastAsia="Times New Roman"/>
        </w:rPr>
      </w:pPr>
      <w:r>
        <w:rPr>
          <w:rFonts w:eastAsia="Times New Roman"/>
        </w:rPr>
        <w:pict>
          <v:rect id="_x0000_i1090" style="width:0;height:1.5pt" o:hralign="center" o:hrstd="t" o:hr="t" fillcolor="#a0a0a0" stroked="f"/>
        </w:pict>
      </w:r>
    </w:p>
    <w:p w:rsidR="00000000" w:rsidRDefault="00FD7D3C">
      <w:pPr>
        <w:divId w:val="1989243293"/>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divId w:val="23336862"/>
        <w:rPr>
          <w:rFonts w:eastAsia="Times New Roman"/>
        </w:rPr>
      </w:pPr>
      <w:r>
        <w:rPr>
          <w:rFonts w:eastAsia="Times New Roman"/>
          <w:color w:val="000000"/>
          <w:sz w:val="20"/>
          <w:szCs w:val="20"/>
        </w:rPr>
        <w:t>personal data relates, providing information to individuals regarding data processing ac</w:t>
      </w:r>
      <w:r>
        <w:rPr>
          <w:rFonts w:eastAsia="Times New Roman"/>
          <w:color w:val="000000"/>
          <w:sz w:val="20"/>
          <w:szCs w:val="20"/>
        </w:rPr>
        <w:t>tivities, implementing safeguards to protect the security and confidentiality of personal data, providing notification of data breaches, and taking certain measures when engaging third-party processors. The GDPR also imposes strict rules on the transfer of</w:t>
      </w:r>
      <w:r>
        <w:rPr>
          <w:rFonts w:eastAsia="Times New Roman"/>
          <w:color w:val="000000"/>
          <w:sz w:val="20"/>
          <w:szCs w:val="20"/>
        </w:rPr>
        <w:t xml:space="preserve"> personal data to countries outside the EEA, including the United States, and permits data protection authorities to impose large penalties for violations of the GDPR, including potential fines of up to €20 million or 4% of annual global revenues, whicheve</w:t>
      </w:r>
      <w:r>
        <w:rPr>
          <w:rFonts w:eastAsia="Times New Roman"/>
          <w:color w:val="000000"/>
          <w:sz w:val="20"/>
          <w:szCs w:val="20"/>
        </w:rPr>
        <w:t>r is greater. The GDPR also confers a private right of action on data subjects and consumer associations to lodge complaints with supervisory authorities, seek judicial remedies, and obtain compensation for damages resulting from violations of the GDPR. In</w:t>
      </w:r>
      <w:r>
        <w:rPr>
          <w:rFonts w:eastAsia="Times New Roman"/>
          <w:color w:val="000000"/>
          <w:sz w:val="20"/>
          <w:szCs w:val="20"/>
        </w:rPr>
        <w:t xml:space="preserve"> addition, the GDPR includes restrictions on cross-border data transfers. The GDPR may increase our responsibility and liability in relation to personal data that we process where such processing is subject to the GDPR, and we may be required to put in pla</w:t>
      </w:r>
      <w:r>
        <w:rPr>
          <w:rFonts w:eastAsia="Times New Roman"/>
          <w:color w:val="000000"/>
          <w:sz w:val="20"/>
          <w:szCs w:val="20"/>
        </w:rPr>
        <w:t>ce additional mechanisms to ensure compliance with the GDPR, including as implemented by individual countries. Compliance with the GDPR will be a rigorous and time-intensive process that may increase our cost of doing business or require us to change our b</w:t>
      </w:r>
      <w:r>
        <w:rPr>
          <w:rFonts w:eastAsia="Times New Roman"/>
          <w:color w:val="000000"/>
          <w:sz w:val="20"/>
          <w:szCs w:val="20"/>
        </w:rPr>
        <w:t>usiness practices, and despite those efforts, there is a risk that we may be subject to fines and penalties, litigation, and reputational harm in connection with our European activities.</w:t>
      </w:r>
    </w:p>
    <w:p w:rsidR="00000000" w:rsidRDefault="00FD7D3C">
      <w:pPr>
        <w:ind w:firstLine="1080"/>
        <w:divId w:val="483356926"/>
        <w:rPr>
          <w:rFonts w:eastAsia="Times New Roman"/>
        </w:rPr>
      </w:pPr>
      <w:r>
        <w:rPr>
          <w:rFonts w:eastAsia="Times New Roman"/>
          <w:color w:val="000000"/>
          <w:sz w:val="20"/>
          <w:szCs w:val="20"/>
        </w:rPr>
        <w:t>In addition, further to the UK’s exit from the EU on January 31, 2020</w:t>
      </w:r>
      <w:r>
        <w:rPr>
          <w:rFonts w:eastAsia="Times New Roman"/>
          <w:color w:val="000000"/>
          <w:sz w:val="20"/>
          <w:szCs w:val="20"/>
        </w:rPr>
        <w:t>, the GDPR ceased to apply in the UK at the end of the transition period on December 31, 2020. However, as of January 1, 2021, the UK’s European Union (Withdrawal) Act 2018 incorporated the GDPR (as it existed on December 31, 2020 but subject to certain UK</w:t>
      </w:r>
      <w:r>
        <w:rPr>
          <w:rFonts w:eastAsia="Times New Roman"/>
          <w:color w:val="000000"/>
          <w:sz w:val="20"/>
          <w:szCs w:val="20"/>
        </w:rPr>
        <w:t xml:space="preserve"> specific amendments) into UK law (referred to as the 'UK GDPR'). The UK GDPR and the UK Data Protection Act 2018 set out the UK’s data protection regime, which is independent from but aligned to the EU’s data protection regime. Non-compliance with the UK </w:t>
      </w:r>
      <w:r>
        <w:rPr>
          <w:rFonts w:eastAsia="Times New Roman"/>
          <w:color w:val="000000"/>
          <w:sz w:val="20"/>
          <w:szCs w:val="20"/>
        </w:rPr>
        <w:t>GDPR may result in monetary penalties of up to £17.5 million or 4% of worldwide revenue, whichever is higher. The UK, however, is now regarded as a third country under the EU’s GDPR which means that transfers of personal data from the EEA to the UK will be</w:t>
      </w:r>
      <w:r>
        <w:rPr>
          <w:rFonts w:eastAsia="Times New Roman"/>
          <w:color w:val="000000"/>
          <w:sz w:val="20"/>
          <w:szCs w:val="20"/>
        </w:rPr>
        <w:t xml:space="preserve"> restricted unless an appropriate safeguard, as recognized by the EU’s GDPR, has been put in place. Although, under the EU-UK Trade Cooperation Agreement it is lawful to transfer personal data between the UK and the EEA for a 6-month period following the e</w:t>
      </w:r>
      <w:r>
        <w:rPr>
          <w:rFonts w:eastAsia="Times New Roman"/>
          <w:color w:val="000000"/>
          <w:sz w:val="20"/>
          <w:szCs w:val="20"/>
        </w:rPr>
        <w:t>nd of the transition period, with a view to achieving an adequacy decision from the European Commission during that period. Like the EU GDPR, the UK GDPR restricts personal data transfers outside the UK to countries not regarded by the UK as providing adeq</w:t>
      </w:r>
      <w:r>
        <w:rPr>
          <w:rFonts w:eastAsia="Times New Roman"/>
          <w:color w:val="000000"/>
          <w:sz w:val="20"/>
          <w:szCs w:val="20"/>
        </w:rPr>
        <w:t>uate protection (this means that personal data transfers from the UK to the EEA remain free flowing).</w:t>
      </w:r>
    </w:p>
    <w:p w:rsidR="00000000" w:rsidRDefault="00FD7D3C">
      <w:pPr>
        <w:ind w:firstLine="1080"/>
        <w:divId w:val="1578320832"/>
        <w:rPr>
          <w:rFonts w:eastAsia="Times New Roman"/>
        </w:rPr>
      </w:pPr>
      <w:r>
        <w:rPr>
          <w:rFonts w:eastAsia="Times New Roman"/>
          <w:color w:val="000000"/>
          <w:sz w:val="20"/>
          <w:szCs w:val="20"/>
        </w:rPr>
        <w:t>Internationally, our operations may also be subject to increased scrutiny or attention from foreign data protection authorities. For example, our clinical</w:t>
      </w:r>
      <w:r>
        <w:rPr>
          <w:rFonts w:eastAsia="Times New Roman"/>
          <w:color w:val="000000"/>
          <w:sz w:val="20"/>
          <w:szCs w:val="20"/>
        </w:rPr>
        <w:t xml:space="preserve"> trial programs and research collaborations in the EU may implicate the EU General Data Protection Regulation (EU) 2016/679 (EU GDPR) and certain national EU Member State laws amending the same. </w:t>
      </w:r>
    </w:p>
    <w:p w:rsidR="00000000" w:rsidRDefault="00FD7D3C">
      <w:pPr>
        <w:ind w:firstLine="1080"/>
        <w:divId w:val="1141653093"/>
        <w:rPr>
          <w:rFonts w:eastAsia="Times New Roman"/>
        </w:rPr>
      </w:pPr>
      <w:r>
        <w:rPr>
          <w:rFonts w:eastAsia="Times New Roman"/>
          <w:color w:val="000000"/>
          <w:sz w:val="20"/>
          <w:szCs w:val="20"/>
        </w:rPr>
        <w:t>The EU GDPR governs the processing of personal data (i.e., d</w:t>
      </w:r>
      <w:r>
        <w:rPr>
          <w:rFonts w:eastAsia="Times New Roman"/>
          <w:color w:val="000000"/>
          <w:sz w:val="20"/>
          <w:szCs w:val="20"/>
        </w:rPr>
        <w:t>ata which identifies an individual or from which an individual is identifiable), including clinical trial data (even in a key-coded form), and grants individuals various data protection rights (e.g., the right to erasure of personal data). The EU GDPR impo</w:t>
      </w:r>
      <w:r>
        <w:rPr>
          <w:rFonts w:eastAsia="Times New Roman"/>
          <w:color w:val="000000"/>
          <w:sz w:val="20"/>
          <w:szCs w:val="20"/>
        </w:rPr>
        <w:t>ses a number of obligations on companies, including inter alia: (i) accountability and transparency requirements, and enhanced requirements for obtaining valid consent; (ii) obligations to consider data protection as any new products or services are develo</w:t>
      </w:r>
      <w:r>
        <w:rPr>
          <w:rFonts w:eastAsia="Times New Roman"/>
          <w:color w:val="000000"/>
          <w:sz w:val="20"/>
          <w:szCs w:val="20"/>
        </w:rPr>
        <w:t xml:space="preserve">ped and to limit the amount of personal data processed; and (iii) obligations to implement appropriate technical and organizational measures to safeguard personal data and to report certain personal data breaches to the supervisory authority without undue </w:t>
      </w:r>
      <w:r>
        <w:rPr>
          <w:rFonts w:eastAsia="Times New Roman"/>
          <w:color w:val="000000"/>
          <w:sz w:val="20"/>
          <w:szCs w:val="20"/>
        </w:rPr>
        <w:t xml:space="preserve">delay (and no later than 72 hours where feasible). The EU GDPR also provides that EU Member States may introduce further restrictions at a national level, restricting the processing of genetic and/or health data, which could result in increased compliance </w:t>
      </w:r>
      <w:r>
        <w:rPr>
          <w:rFonts w:eastAsia="Times New Roman"/>
          <w:color w:val="000000"/>
          <w:sz w:val="20"/>
          <w:szCs w:val="20"/>
        </w:rPr>
        <w:t xml:space="preserve">costs / efforts. </w:t>
      </w:r>
    </w:p>
    <w:p w:rsidR="00000000" w:rsidRDefault="00FD7D3C">
      <w:pPr>
        <w:ind w:firstLine="1080"/>
        <w:divId w:val="923223530"/>
        <w:rPr>
          <w:rFonts w:eastAsia="Times New Roman"/>
        </w:rPr>
      </w:pPr>
      <w:r>
        <w:rPr>
          <w:rFonts w:eastAsia="Times New Roman"/>
          <w:color w:val="000000"/>
          <w:sz w:val="20"/>
          <w:szCs w:val="20"/>
        </w:rPr>
        <w:t>In addition, the EU GDPR prohibits the transfer of personal data from the EEA to the United States and other jurisdictions that the European Commission does not recognize as having “adequate” data protection laws unless a data transfer me</w:t>
      </w:r>
      <w:r>
        <w:rPr>
          <w:rFonts w:eastAsia="Times New Roman"/>
          <w:color w:val="000000"/>
          <w:sz w:val="20"/>
          <w:szCs w:val="20"/>
        </w:rPr>
        <w:t>chanism has been put in place. In July 2020, the Court of Justice of the European Union limited how organizations could lawfully transfer personal data from the EEA to the United States by invalidating the EU-US Privacy Shield for purposes of international</w:t>
      </w:r>
      <w:r>
        <w:rPr>
          <w:rFonts w:eastAsia="Times New Roman"/>
          <w:color w:val="000000"/>
          <w:sz w:val="20"/>
          <w:szCs w:val="20"/>
        </w:rPr>
        <w:t xml:space="preserve"> transfers and imposed further restrictions on use of standard contractual clauses (SCCs) (i.e., an EU-style data transfer agreement) including, a requirement for companies to carry out a transfer privacy impact assessment, which among other things, assess</w:t>
      </w:r>
      <w:r>
        <w:rPr>
          <w:rFonts w:eastAsia="Times New Roman"/>
          <w:color w:val="000000"/>
          <w:sz w:val="20"/>
          <w:szCs w:val="20"/>
        </w:rPr>
        <w:t>es laws governing access to personal data in the recipient country and considers whether supplementary measures that provide privacy protections additional to those provided under SCCs will need to be implemented to ensure an essentially equivalent level o</w:t>
      </w:r>
      <w:r>
        <w:rPr>
          <w:rFonts w:eastAsia="Times New Roman"/>
          <w:color w:val="000000"/>
          <w:sz w:val="20"/>
          <w:szCs w:val="20"/>
        </w:rPr>
        <w:t>f data protection to that afforded in the EEA. Moreover, new versions of the SCCs (new EU SCCs) have recently been published requiring additional compliance and implementation efforts.</w:t>
      </w:r>
    </w:p>
    <w:p w:rsidR="00000000" w:rsidRDefault="00FD7D3C">
      <w:pPr>
        <w:ind w:firstLine="1080"/>
        <w:divId w:val="1354839289"/>
        <w:rPr>
          <w:rFonts w:eastAsia="Times New Roman"/>
        </w:rPr>
      </w:pPr>
      <w:r>
        <w:rPr>
          <w:rFonts w:eastAsia="Times New Roman"/>
          <w:color w:val="000000"/>
          <w:sz w:val="20"/>
          <w:szCs w:val="20"/>
        </w:rPr>
        <w:t>Administrative fines for non-compliance with the EU GDPR can be signifi</w:t>
      </w:r>
      <w:r>
        <w:rPr>
          <w:rFonts w:eastAsia="Times New Roman"/>
          <w:color w:val="000000"/>
          <w:sz w:val="20"/>
          <w:szCs w:val="20"/>
        </w:rPr>
        <w:t>cant and can amount to up to the greater of €20 million or 4% of annual worldwide turnover. The EU GDPR also confers a private right of action on data subjects and consumer associations to lodge complaints with supervisory authorities, seek judicial remedi</w:t>
      </w:r>
      <w:r>
        <w:rPr>
          <w:rFonts w:eastAsia="Times New Roman"/>
          <w:color w:val="000000"/>
          <w:sz w:val="20"/>
          <w:szCs w:val="20"/>
        </w:rPr>
        <w:t xml:space="preserve">es and obtain compensation for damages resulting from violations of the EU GDPR. </w:t>
      </w:r>
    </w:p>
    <w:p w:rsidR="00000000" w:rsidRDefault="00FD7D3C">
      <w:pPr>
        <w:jc w:val="center"/>
        <w:divId w:val="1287810221"/>
        <w:rPr>
          <w:rFonts w:eastAsia="Times New Roman"/>
        </w:rPr>
      </w:pPr>
      <w:r>
        <w:rPr>
          <w:rFonts w:eastAsia="Times New Roman"/>
          <w:color w:val="000000"/>
          <w:sz w:val="20"/>
          <w:szCs w:val="20"/>
        </w:rPr>
        <w:t>38</w:t>
      </w:r>
    </w:p>
    <w:p w:rsidR="00000000" w:rsidRDefault="00FD7D3C">
      <w:pPr>
        <w:rPr>
          <w:rFonts w:eastAsia="Times New Roman"/>
        </w:rPr>
      </w:pPr>
      <w:r>
        <w:rPr>
          <w:rFonts w:eastAsia="Times New Roman"/>
        </w:rPr>
        <w:pict>
          <v:rect id="_x0000_i1091" style="width:0;height:1.5pt" o:hralign="center" o:hrstd="t" o:hr="t" fillcolor="#a0a0a0" stroked="f"/>
        </w:pict>
      </w:r>
    </w:p>
    <w:p w:rsidR="00000000" w:rsidRDefault="00FD7D3C">
      <w:pPr>
        <w:divId w:val="1116414499"/>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ind w:firstLine="1080"/>
        <w:divId w:val="317731918"/>
        <w:rPr>
          <w:rFonts w:eastAsia="Times New Roman"/>
        </w:rPr>
      </w:pPr>
      <w:r>
        <w:rPr>
          <w:rFonts w:eastAsia="Times New Roman"/>
          <w:color w:val="000000"/>
          <w:sz w:val="20"/>
          <w:szCs w:val="20"/>
        </w:rPr>
        <w:t xml:space="preserve">Relatedly, following the United Kingdom’s withdrawal from </w:t>
      </w:r>
      <w:r>
        <w:rPr>
          <w:rFonts w:eastAsia="Times New Roman"/>
          <w:color w:val="000000"/>
          <w:sz w:val="20"/>
          <w:szCs w:val="20"/>
        </w:rPr>
        <w:t xml:space="preserve">the EU (i.e., Brexit), the EU GDPR has been implemented in the United Kingdom (as the UK GDPR). The UK GDPR site alongside the UK Data Protection Act 2018 which implements certain derogations in the EU GDPR into UK law. The requirements of the UK GDPR are </w:t>
      </w:r>
      <w:r>
        <w:rPr>
          <w:rFonts w:eastAsia="Times New Roman"/>
          <w:color w:val="000000"/>
          <w:sz w:val="20"/>
          <w:szCs w:val="20"/>
        </w:rPr>
        <w:t>(at this time) largely aligned with those under the EU GDPR and as such, may lead to similar compliance and operational costs with potential fines for non-compliance of up to £17.5 million or 4% of annual worldwide turnover. As a result, we are potentially</w:t>
      </w:r>
      <w:r>
        <w:rPr>
          <w:rFonts w:eastAsia="Times New Roman"/>
          <w:color w:val="000000"/>
          <w:sz w:val="20"/>
          <w:szCs w:val="20"/>
        </w:rPr>
        <w:t xml:space="preserve"> exposed to two parallel data protection regimes, each of which authorizes fines and the potential for divergent enforcement actions. It should also be noted that the new EU SCCs do not automatically apply in the UK since Brexit, and the UK Government has </w:t>
      </w:r>
      <w:r>
        <w:rPr>
          <w:rFonts w:eastAsia="Times New Roman"/>
          <w:color w:val="000000"/>
          <w:sz w:val="20"/>
          <w:szCs w:val="20"/>
        </w:rPr>
        <w:t>not yet formally acknowledged the new EU SCCs, i.e., as a valid data transfer mechanism under the UK GDPR. Indeed, on 11 August 2021, the UK Information Commissioner’s Office (ICO) launched a public consultation on its draft international data transfer agr</w:t>
      </w:r>
      <w:r>
        <w:rPr>
          <w:rFonts w:eastAsia="Times New Roman"/>
          <w:color w:val="000000"/>
          <w:sz w:val="20"/>
          <w:szCs w:val="20"/>
        </w:rPr>
        <w:t>eement and guidance. This included the publication of a draft UK addendum that can be used with the new EU SCCs – however, this is not (at this time) finalized and as such, for the time being transfers from the UK to a third country should continue to be m</w:t>
      </w:r>
      <w:r>
        <w:rPr>
          <w:rFonts w:eastAsia="Times New Roman"/>
          <w:color w:val="000000"/>
          <w:sz w:val="20"/>
          <w:szCs w:val="20"/>
        </w:rPr>
        <w:t>ade in reliance on the ‘old’ SCCs.</w:t>
      </w:r>
    </w:p>
    <w:p w:rsidR="00000000" w:rsidRDefault="00FD7D3C">
      <w:pPr>
        <w:ind w:firstLine="1080"/>
        <w:divId w:val="1033458397"/>
        <w:rPr>
          <w:rFonts w:eastAsia="Times New Roman"/>
        </w:rPr>
      </w:pPr>
      <w:r>
        <w:rPr>
          <w:rFonts w:eastAsia="Times New Roman"/>
          <w:b/>
          <w:bCs/>
          <w:i/>
          <w:iCs/>
          <w:color w:val="000000"/>
          <w:sz w:val="20"/>
          <w:szCs w:val="20"/>
        </w:rPr>
        <w:t>Current and future healthcare reform legislation</w:t>
      </w:r>
    </w:p>
    <w:p w:rsidR="00000000" w:rsidRDefault="00FD7D3C">
      <w:pPr>
        <w:ind w:firstLine="1080"/>
        <w:divId w:val="263075080"/>
        <w:rPr>
          <w:rFonts w:eastAsia="Times New Roman"/>
        </w:rPr>
      </w:pPr>
      <w:r>
        <w:rPr>
          <w:rFonts w:eastAsia="Times New Roman"/>
          <w:color w:val="000000"/>
          <w:sz w:val="20"/>
          <w:szCs w:val="20"/>
        </w:rPr>
        <w:t>In both the United States and certain foreign jurisdictions, there have been a number of legislative and regulatory changes to the health care system. In the United States,</w:t>
      </w:r>
      <w:r>
        <w:rPr>
          <w:rFonts w:eastAsia="Times New Roman"/>
          <w:color w:val="000000"/>
          <w:sz w:val="20"/>
          <w:szCs w:val="20"/>
        </w:rPr>
        <w:t xml:space="preserve"> in March 2010, the Patient Protection and Affordable Care Act, as amended by the Health Care and Education Reconciliation Act, collectively known as the ACA, was enacted, which substantially changed the way healthcare is financed by both governmental and </w:t>
      </w:r>
      <w:r>
        <w:rPr>
          <w:rFonts w:eastAsia="Times New Roman"/>
          <w:color w:val="000000"/>
          <w:sz w:val="20"/>
          <w:szCs w:val="20"/>
        </w:rPr>
        <w:t>private payors, and significantly affected the pharmaceutical industry. The ACA, among other things, addressed a new methodology by which rebates owed by manufacturers under the Medicaid Drug Rebate Program are calculated for drugs that are inhaled, infuse</w:t>
      </w:r>
      <w:r>
        <w:rPr>
          <w:rFonts w:eastAsia="Times New Roman"/>
          <w:color w:val="000000"/>
          <w:sz w:val="20"/>
          <w:szCs w:val="20"/>
        </w:rPr>
        <w:t>d, instilled, implanted or injected, increased the minimum Medicaid rebates owed by manufacturers under the Medicaid Drug Rebate Program and extended the rebate program to individuals enrolled in Medicaid managed care organizations, established annual fees</w:t>
      </w:r>
      <w:r>
        <w:rPr>
          <w:rFonts w:eastAsia="Times New Roman"/>
          <w:color w:val="000000"/>
          <w:sz w:val="20"/>
          <w:szCs w:val="20"/>
        </w:rPr>
        <w:t xml:space="preserve"> and taxes on manufacturers of certain branded prescription drugs, and created a new Medicare Part D coverage gap discount program, in which manufacturers must agree to offer 50% (increased to 70% pursuant to the Bipartisan Budget Act of 2018, effective as</w:t>
      </w:r>
      <w:r>
        <w:rPr>
          <w:rFonts w:eastAsia="Times New Roman"/>
          <w:color w:val="000000"/>
          <w:sz w:val="20"/>
          <w:szCs w:val="20"/>
        </w:rPr>
        <w:t xml:space="preserve"> of 2019) point-of-sale discounts off negotiated prices of applicable brand drugs to eligible beneficiaries during their coverage gap period, as a condition for the manufacturer’s outpatient drugs to be covered under Medicare Part D. There have been numero</w:t>
      </w:r>
      <w:r>
        <w:rPr>
          <w:rFonts w:eastAsia="Times New Roman"/>
          <w:color w:val="000000"/>
          <w:sz w:val="20"/>
          <w:szCs w:val="20"/>
        </w:rPr>
        <w:t>us historic judicial, administrative, executive, and legislative challenges and amendments (including recent amendments that expand access to care) to certain aspects of the ACA. In June 2021, the Supreme Court dismissed a lawsuit challenging the constitut</w:t>
      </w:r>
      <w:r>
        <w:rPr>
          <w:rFonts w:eastAsia="Times New Roman"/>
          <w:color w:val="000000"/>
          <w:sz w:val="20"/>
          <w:szCs w:val="20"/>
        </w:rPr>
        <w:t>ionality of certain aspects of the AC, without ruling on the meris of the constitutionality arguments. In the future, there may be additional legislative, regulatory, executive, or judicial actions that result in healthcare reform. It remains to be seen pr</w:t>
      </w:r>
      <w:r>
        <w:rPr>
          <w:rFonts w:eastAsia="Times New Roman"/>
          <w:color w:val="000000"/>
          <w:sz w:val="20"/>
          <w:szCs w:val="20"/>
        </w:rPr>
        <w:t xml:space="preserve">ecisely what any new reforms will provide, when or if they will be enacted, and what impact they will have on the availability and cost of healthcare items and services, including drug products. </w:t>
      </w:r>
    </w:p>
    <w:p w:rsidR="00000000" w:rsidRDefault="00FD7D3C">
      <w:pPr>
        <w:ind w:firstLine="1080"/>
        <w:divId w:val="59981255"/>
        <w:rPr>
          <w:rFonts w:eastAsia="Times New Roman"/>
        </w:rPr>
      </w:pPr>
      <w:r>
        <w:rPr>
          <w:rFonts w:eastAsia="Times New Roman"/>
          <w:color w:val="000000"/>
          <w:sz w:val="20"/>
          <w:szCs w:val="20"/>
        </w:rPr>
        <w:t xml:space="preserve">Other legislative and regulatory changes have been proposed </w:t>
      </w:r>
      <w:r>
        <w:rPr>
          <w:rFonts w:eastAsia="Times New Roman"/>
          <w:color w:val="000000"/>
          <w:sz w:val="20"/>
          <w:szCs w:val="20"/>
        </w:rPr>
        <w:t>or adopted in the United States since the ACA was enacted, including several legislative and regulatory changes that are focused on capping or reducing healthcare costs, as well as measures that would address healthcare fraud and abuse, value-based care, d</w:t>
      </w:r>
      <w:r>
        <w:rPr>
          <w:rFonts w:eastAsia="Times New Roman"/>
          <w:color w:val="000000"/>
          <w:sz w:val="20"/>
          <w:szCs w:val="20"/>
        </w:rPr>
        <w:t xml:space="preserve">rug pricing and other reforms. </w:t>
      </w:r>
    </w:p>
    <w:p w:rsidR="00000000" w:rsidRDefault="00FD7D3C">
      <w:pPr>
        <w:ind w:firstLine="1080"/>
        <w:divId w:val="274286919"/>
        <w:rPr>
          <w:rFonts w:eastAsia="Times New Roman"/>
        </w:rPr>
      </w:pPr>
      <w:r>
        <w:rPr>
          <w:rFonts w:eastAsia="Times New Roman"/>
          <w:color w:val="000000"/>
          <w:sz w:val="20"/>
          <w:szCs w:val="20"/>
        </w:rPr>
        <w:t>The increasing efforts by governmental and third-party payors in the United States and abroad to cap or reduce healthcare costs may cause such organizations to limit both coverage and the level of reimbursement for newly app</w:t>
      </w:r>
      <w:r>
        <w:rPr>
          <w:rFonts w:eastAsia="Times New Roman"/>
          <w:color w:val="000000"/>
          <w:sz w:val="20"/>
          <w:szCs w:val="20"/>
        </w:rPr>
        <w:t>roved products and, as a result, they may not cover or provide adequate payment for our product candidates. There has been increasing legislative, regulatory and enforcement interest in the United States with respect to specialty drug pricing practices. Fo</w:t>
      </w:r>
      <w:r>
        <w:rPr>
          <w:rFonts w:eastAsia="Times New Roman"/>
          <w:color w:val="000000"/>
          <w:sz w:val="20"/>
          <w:szCs w:val="20"/>
        </w:rPr>
        <w:t>r example, there have been several recent U.S. Congressional inquiries and proposed and enacted federal and state legislation designed to, among other things, bring more transparency to drug pricing, reduce the cost of prescription drugs under Medicare, re</w:t>
      </w:r>
      <w:r>
        <w:rPr>
          <w:rFonts w:eastAsia="Times New Roman"/>
          <w:color w:val="000000"/>
          <w:sz w:val="20"/>
          <w:szCs w:val="20"/>
        </w:rPr>
        <w:t>view the relationship between pricing and manufacturer patient programs, and reform government program reimbursement methodologies for drugs.</w:t>
      </w:r>
    </w:p>
    <w:p w:rsidR="00000000" w:rsidRDefault="00FD7D3C">
      <w:pPr>
        <w:ind w:firstLine="1080"/>
        <w:divId w:val="1321956635"/>
        <w:rPr>
          <w:rFonts w:eastAsia="Times New Roman"/>
        </w:rPr>
      </w:pPr>
      <w:r>
        <w:rPr>
          <w:rFonts w:eastAsia="Times New Roman"/>
          <w:color w:val="000000"/>
          <w:sz w:val="20"/>
          <w:szCs w:val="20"/>
        </w:rPr>
        <w:t>At the state level, legislatures are increasingly passing legislation and implementing regulations designed to con</w:t>
      </w:r>
      <w:r>
        <w:rPr>
          <w:rFonts w:eastAsia="Times New Roman"/>
          <w:color w:val="000000"/>
          <w:sz w:val="20"/>
          <w:szCs w:val="20"/>
        </w:rPr>
        <w:t xml:space="preserve">trol biopharmaceutical and biologic product pricing, including price or patient reimbursement constraints, discounts, restrictions on certain product access and marketing cost disclosure and transparency measures, and, in some cases, designed to encourage </w:t>
      </w:r>
      <w:r>
        <w:rPr>
          <w:rFonts w:eastAsia="Times New Roman"/>
          <w:color w:val="000000"/>
          <w:sz w:val="20"/>
          <w:szCs w:val="20"/>
        </w:rPr>
        <w:t>importation from other countries and bulk purchasing.</w:t>
      </w:r>
    </w:p>
    <w:p w:rsidR="00000000" w:rsidRDefault="00FD7D3C">
      <w:pPr>
        <w:ind w:firstLine="1080"/>
        <w:divId w:val="623266789"/>
        <w:rPr>
          <w:rFonts w:eastAsia="Times New Roman"/>
        </w:rPr>
      </w:pPr>
      <w:r>
        <w:rPr>
          <w:rFonts w:eastAsia="Times New Roman"/>
          <w:color w:val="000000"/>
          <w:sz w:val="20"/>
          <w:szCs w:val="20"/>
        </w:rPr>
        <w:t>These laws, regulations, and actions, and any state or federal healthcare reform measures that may be adopted in the future, could reduce coverage or reimbursement Medicare and other government programs, may result in a similar reduction in coverage or pay</w:t>
      </w:r>
      <w:r>
        <w:rPr>
          <w:rFonts w:eastAsia="Times New Roman"/>
          <w:color w:val="000000"/>
          <w:sz w:val="20"/>
          <w:szCs w:val="20"/>
        </w:rPr>
        <w:t xml:space="preserve">ment from private payers, and may otherwise affect the prices we may obtain for any of our product candidates for which we may obtain regulatory approval or the frequency with which any such product candidate is prescribed or used. Additionally, we expect </w:t>
      </w:r>
      <w:r>
        <w:rPr>
          <w:rFonts w:eastAsia="Times New Roman"/>
          <w:color w:val="000000"/>
          <w:sz w:val="20"/>
          <w:szCs w:val="20"/>
        </w:rPr>
        <w:t>to experience pricing pressures in connection with the sale of any future approved product candidates due to the trend toward managed healthcare, the increasing influence of health maintenance organizations, cost containment initiatives and additional legi</w:t>
      </w:r>
      <w:r>
        <w:rPr>
          <w:rFonts w:eastAsia="Times New Roman"/>
          <w:color w:val="000000"/>
          <w:sz w:val="20"/>
          <w:szCs w:val="20"/>
        </w:rPr>
        <w:t>slative changes.</w:t>
      </w:r>
    </w:p>
    <w:p w:rsidR="00000000" w:rsidRDefault="00FD7D3C">
      <w:pPr>
        <w:jc w:val="center"/>
        <w:divId w:val="691759552"/>
        <w:rPr>
          <w:rFonts w:eastAsia="Times New Roman"/>
        </w:rPr>
      </w:pPr>
      <w:r>
        <w:rPr>
          <w:rFonts w:eastAsia="Times New Roman"/>
          <w:color w:val="000000"/>
          <w:sz w:val="20"/>
          <w:szCs w:val="20"/>
        </w:rPr>
        <w:t>39</w:t>
      </w:r>
    </w:p>
    <w:p w:rsidR="00000000" w:rsidRDefault="00FD7D3C">
      <w:pPr>
        <w:rPr>
          <w:rFonts w:eastAsia="Times New Roman"/>
        </w:rPr>
      </w:pPr>
      <w:r>
        <w:rPr>
          <w:rFonts w:eastAsia="Times New Roman"/>
        </w:rPr>
        <w:pict>
          <v:rect id="_x0000_i1092" style="width:0;height:1.5pt" o:hralign="center" o:hrstd="t" o:hr="t" fillcolor="#a0a0a0" stroked="f"/>
        </w:pict>
      </w:r>
    </w:p>
    <w:p w:rsidR="00000000" w:rsidRDefault="00FD7D3C">
      <w:pPr>
        <w:divId w:val="576869203"/>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ind w:firstLine="1080"/>
        <w:divId w:val="2012099337"/>
        <w:rPr>
          <w:rFonts w:eastAsia="Times New Roman"/>
        </w:rPr>
      </w:pPr>
      <w:r>
        <w:rPr>
          <w:rFonts w:eastAsia="Times New Roman"/>
          <w:color w:val="000000"/>
          <w:sz w:val="20"/>
          <w:szCs w:val="20"/>
        </w:rPr>
        <w:t>Legislative and regulatory proposals, and enactment of laws, at the foreign, federal, and state levels, directed at containing or lowering the cost of healthcare, will likely continue into the future.</w:t>
      </w:r>
    </w:p>
    <w:p w:rsidR="00000000" w:rsidRDefault="00FD7D3C">
      <w:pPr>
        <w:divId w:val="67583989"/>
        <w:rPr>
          <w:rFonts w:eastAsia="Times New Roman"/>
        </w:rPr>
      </w:pPr>
    </w:p>
    <w:p w:rsidR="00000000" w:rsidRDefault="00FD7D3C">
      <w:pPr>
        <w:divId w:val="879323709"/>
        <w:rPr>
          <w:rFonts w:eastAsia="Times New Roman"/>
        </w:rPr>
      </w:pPr>
      <w:r>
        <w:rPr>
          <w:rFonts w:eastAsia="Times New Roman"/>
          <w:b/>
          <w:bCs/>
          <w:i/>
          <w:iCs/>
          <w:color w:val="000000"/>
          <w:sz w:val="20"/>
          <w:szCs w:val="20"/>
        </w:rPr>
        <w:t>Rest of World Regulation</w:t>
      </w:r>
    </w:p>
    <w:p w:rsidR="00000000" w:rsidRDefault="00FD7D3C">
      <w:pPr>
        <w:ind w:firstLine="1080"/>
        <w:divId w:val="1277761713"/>
        <w:rPr>
          <w:rFonts w:eastAsia="Times New Roman"/>
        </w:rPr>
      </w:pPr>
      <w:r>
        <w:rPr>
          <w:rFonts w:eastAsia="Times New Roman"/>
          <w:color w:val="000000"/>
          <w:sz w:val="20"/>
          <w:szCs w:val="20"/>
        </w:rPr>
        <w:t xml:space="preserve">For other countries outside </w:t>
      </w:r>
      <w:r>
        <w:rPr>
          <w:rFonts w:eastAsia="Times New Roman"/>
          <w:color w:val="000000"/>
          <w:sz w:val="20"/>
          <w:szCs w:val="20"/>
        </w:rPr>
        <w:t>of the European Union and the United States, such as countries in Eastern Europe, Latin America or Asia, the requirements governing product development, the conduct of clinical trials, manufacturing, distribution, marketing approval, product licensing, pri</w:t>
      </w:r>
      <w:r>
        <w:rPr>
          <w:rFonts w:eastAsia="Times New Roman"/>
          <w:color w:val="000000"/>
          <w:sz w:val="20"/>
          <w:szCs w:val="20"/>
        </w:rPr>
        <w:t>cing and reimbursement vary from country to country. Additionally, clinical trials must be conducted in accordance with GCP requirements and the applicable regulatory requirements and the ethical principles that have their origin in the Declaration of Hels</w:t>
      </w:r>
      <w:r>
        <w:rPr>
          <w:rFonts w:eastAsia="Times New Roman"/>
          <w:color w:val="000000"/>
          <w:sz w:val="20"/>
          <w:szCs w:val="20"/>
        </w:rPr>
        <w:t>inki.</w:t>
      </w:r>
    </w:p>
    <w:p w:rsidR="00000000" w:rsidRDefault="00FD7D3C">
      <w:pPr>
        <w:ind w:firstLine="1080"/>
        <w:divId w:val="1283489039"/>
        <w:rPr>
          <w:rFonts w:eastAsia="Times New Roman"/>
        </w:rPr>
      </w:pPr>
      <w:r>
        <w:rPr>
          <w:rFonts w:eastAsia="Times New Roman"/>
          <w:color w:val="000000"/>
          <w:sz w:val="20"/>
          <w:szCs w:val="20"/>
        </w:rPr>
        <w:t>If we fail to comply with applicable foreign regulatory requirements, we may be subject to, among other things, fines, suspension or withdrawal of regulatory approvals, product recalls, seizure of products, operating restrictions, and criminal prosec</w:t>
      </w:r>
      <w:r>
        <w:rPr>
          <w:rFonts w:eastAsia="Times New Roman"/>
          <w:color w:val="000000"/>
          <w:sz w:val="20"/>
          <w:szCs w:val="20"/>
        </w:rPr>
        <w:t>ution.</w:t>
      </w:r>
    </w:p>
    <w:p w:rsidR="00000000" w:rsidRDefault="00FD7D3C">
      <w:pPr>
        <w:ind w:firstLine="1080"/>
        <w:divId w:val="1505516919"/>
        <w:rPr>
          <w:rFonts w:eastAsia="Times New Roman"/>
        </w:rPr>
      </w:pPr>
      <w:r>
        <w:rPr>
          <w:rFonts w:eastAsia="Times New Roman"/>
          <w:color w:val="000000"/>
          <w:sz w:val="20"/>
          <w:szCs w:val="20"/>
        </w:rPr>
        <w:t>Additionally, to the extent that any of our product candidates, once approved, are sold in a foreign country, we may be subject to applicable post-marketing requirements, including safety surveillance, anti-fraud and abuse laws and implementation of</w:t>
      </w:r>
      <w:r>
        <w:rPr>
          <w:rFonts w:eastAsia="Times New Roman"/>
          <w:color w:val="000000"/>
          <w:sz w:val="20"/>
          <w:szCs w:val="20"/>
        </w:rPr>
        <w:t xml:space="preserve"> corporate compliance programs and reporting of payments or other transfers of value to healthcare professionals.</w:t>
      </w:r>
    </w:p>
    <w:p w:rsidR="00000000" w:rsidRDefault="00FD7D3C">
      <w:pPr>
        <w:divId w:val="1326590082"/>
        <w:rPr>
          <w:rFonts w:eastAsia="Times New Roman"/>
        </w:rPr>
      </w:pPr>
      <w:r>
        <w:rPr>
          <w:rFonts w:eastAsia="Times New Roman"/>
          <w:b/>
          <w:bCs/>
          <w:i/>
          <w:iCs/>
          <w:color w:val="000000"/>
          <w:sz w:val="20"/>
          <w:szCs w:val="20"/>
        </w:rPr>
        <w:t>European Union clinical trials regulation</w:t>
      </w:r>
    </w:p>
    <w:p w:rsidR="00000000" w:rsidRDefault="00FD7D3C">
      <w:pPr>
        <w:ind w:firstLine="1080"/>
        <w:divId w:val="244151247"/>
        <w:rPr>
          <w:rFonts w:eastAsia="Times New Roman"/>
        </w:rPr>
      </w:pPr>
      <w:r>
        <w:rPr>
          <w:rFonts w:eastAsia="Times New Roman"/>
          <w:color w:val="000000"/>
          <w:sz w:val="20"/>
          <w:szCs w:val="20"/>
        </w:rPr>
        <w:t>In the EU, a Clinical Trial Application, or CTA, must be submitted for each clinical trial to each c</w:t>
      </w:r>
      <w:r>
        <w:rPr>
          <w:rFonts w:eastAsia="Times New Roman"/>
          <w:color w:val="000000"/>
          <w:sz w:val="20"/>
          <w:szCs w:val="20"/>
        </w:rPr>
        <w:t>ountry’s national competent authority, or NCA, and at least one independent Ethics Committee, or EC, much like the FDA and an IRB, respectively. Once the CTA is approved in accordance with a country’s requirements, the corresponding clinical trial may proc</w:t>
      </w:r>
      <w:r>
        <w:rPr>
          <w:rFonts w:eastAsia="Times New Roman"/>
          <w:color w:val="000000"/>
          <w:sz w:val="20"/>
          <w:szCs w:val="20"/>
        </w:rPr>
        <w:t xml:space="preserve">eed. Under the current regime (the EU Clinical Trials Directive 2001/20/EC and corresponding national laws) all suspected unexpected serious adverse reactions to the investigated drug that occur during the clinical trial have to be reported to the NCA and </w:t>
      </w:r>
      <w:r>
        <w:rPr>
          <w:rFonts w:eastAsia="Times New Roman"/>
          <w:color w:val="000000"/>
          <w:sz w:val="20"/>
          <w:szCs w:val="20"/>
        </w:rPr>
        <w:t>ECs of the Member State where they occurred.</w:t>
      </w:r>
    </w:p>
    <w:p w:rsidR="00000000" w:rsidRDefault="00FD7D3C">
      <w:pPr>
        <w:ind w:firstLine="1080"/>
        <w:divId w:val="1787694259"/>
        <w:rPr>
          <w:rFonts w:eastAsia="Times New Roman"/>
        </w:rPr>
      </w:pPr>
      <w:r>
        <w:rPr>
          <w:rFonts w:eastAsia="Times New Roman"/>
          <w:color w:val="000000"/>
          <w:sz w:val="20"/>
          <w:szCs w:val="20"/>
        </w:rPr>
        <w:t>In April 2014, the EU adopted a new Clinical Trials Regulation (EU) No 536/2014, or Regulation, which entered into effect on January 31, 2022. The Regulation replaces the Clinical Trials Directive 2001/20/EC and</w:t>
      </w:r>
      <w:r>
        <w:rPr>
          <w:rFonts w:eastAsia="Times New Roman"/>
          <w:color w:val="000000"/>
          <w:sz w:val="20"/>
          <w:szCs w:val="20"/>
        </w:rPr>
        <w:t xml:space="preserve"> overhauls the current system of approvals for clinical trials in the EU. Specifically, the Regulation is directly applicable in all Member States (meaning that no national implementing legislation in each EU Member State is required) and aims at simplifyi</w:t>
      </w:r>
      <w:r>
        <w:rPr>
          <w:rFonts w:eastAsia="Times New Roman"/>
          <w:color w:val="000000"/>
          <w:sz w:val="20"/>
          <w:szCs w:val="20"/>
        </w:rPr>
        <w:t xml:space="preserve">ng and streamlining the approval of clinical trials in the EU. For instance, the new Regulation provides for a streamlined application procedure via a single-entry point and strictly defined deadlines for the assessment of CTAs. </w:t>
      </w:r>
    </w:p>
    <w:p w:rsidR="00000000" w:rsidRDefault="00FD7D3C">
      <w:pPr>
        <w:ind w:firstLine="1080"/>
        <w:divId w:val="916786444"/>
        <w:rPr>
          <w:rFonts w:eastAsia="Times New Roman"/>
        </w:rPr>
      </w:pPr>
      <w:r>
        <w:rPr>
          <w:rFonts w:eastAsia="Times New Roman"/>
          <w:color w:val="000000"/>
          <w:sz w:val="20"/>
          <w:szCs w:val="20"/>
        </w:rPr>
        <w:t>In addition to data privac</w:t>
      </w:r>
      <w:r>
        <w:rPr>
          <w:rFonts w:eastAsia="Times New Roman"/>
          <w:color w:val="000000"/>
          <w:sz w:val="20"/>
          <w:szCs w:val="20"/>
        </w:rPr>
        <w:t>y requirements, many jurisdictions have mandatory clinical trial information obligations on sponsors. In the EU this is under the Transparency Regulation No 1049/ 2001, EMA Policy 0043, EMA Policy 0070, as well as the Clinical Trials Regulation No 536/2014</w:t>
      </w:r>
      <w:r>
        <w:rPr>
          <w:rFonts w:eastAsia="Times New Roman"/>
          <w:color w:val="000000"/>
          <w:sz w:val="20"/>
          <w:szCs w:val="20"/>
        </w:rPr>
        <w:t>, all of which impose on sponsors the obligation to make publicly available certain information stemming from clinical studies. In the EU, the transparency framework provides for a wide right for (EU-based at the moment) interested parties to submit an acc</w:t>
      </w:r>
      <w:r>
        <w:rPr>
          <w:rFonts w:eastAsia="Times New Roman"/>
          <w:color w:val="000000"/>
          <w:sz w:val="20"/>
          <w:szCs w:val="20"/>
        </w:rPr>
        <w:t>ess to documents request to the EMA for information included in the marketing authorization application dossier for approved medicinal products. Only very limited information is exempted from disclosure, i.e. commercially confidential information (which is</w:t>
      </w:r>
      <w:r>
        <w:rPr>
          <w:rFonts w:eastAsia="Times New Roman"/>
          <w:color w:val="000000"/>
          <w:sz w:val="20"/>
          <w:szCs w:val="20"/>
        </w:rPr>
        <w:t xml:space="preserve"> construed increasingly narrowly) and protected personal data. It is possible for competitors to access and use this data in their own research and development programs anywhere in the world, once this data is in the public domain.</w:t>
      </w:r>
    </w:p>
    <w:p w:rsidR="00000000" w:rsidRDefault="00FD7D3C">
      <w:pPr>
        <w:ind w:firstLine="1080"/>
        <w:divId w:val="474421079"/>
        <w:rPr>
          <w:rFonts w:eastAsia="Times New Roman"/>
        </w:rPr>
      </w:pPr>
      <w:r>
        <w:rPr>
          <w:rFonts w:eastAsia="Times New Roman"/>
          <w:b/>
          <w:bCs/>
          <w:i/>
          <w:iCs/>
          <w:color w:val="000000"/>
          <w:sz w:val="20"/>
          <w:szCs w:val="20"/>
        </w:rPr>
        <w:t>European drug review and</w:t>
      </w:r>
      <w:r>
        <w:rPr>
          <w:rFonts w:eastAsia="Times New Roman"/>
          <w:b/>
          <w:bCs/>
          <w:i/>
          <w:iCs/>
          <w:color w:val="000000"/>
          <w:sz w:val="20"/>
          <w:szCs w:val="20"/>
        </w:rPr>
        <w:t xml:space="preserve"> approval</w:t>
      </w:r>
    </w:p>
    <w:p w:rsidR="00000000" w:rsidRDefault="00FD7D3C">
      <w:pPr>
        <w:ind w:firstLine="1080"/>
        <w:divId w:val="51538487"/>
        <w:rPr>
          <w:rFonts w:eastAsia="Times New Roman"/>
        </w:rPr>
      </w:pPr>
      <w:r>
        <w:rPr>
          <w:rFonts w:eastAsia="Times New Roman"/>
          <w:color w:val="000000"/>
          <w:sz w:val="20"/>
          <w:szCs w:val="20"/>
        </w:rPr>
        <w:t>To obtain a marketing authorization in the European Economic Area, or EEA (comprising the EU Member States, plus Norway, Iceland, and Liechtenstein), a company may submit marketing authorization applications either under a centralized procedure a</w:t>
      </w:r>
      <w:r>
        <w:rPr>
          <w:rFonts w:eastAsia="Times New Roman"/>
          <w:color w:val="000000"/>
          <w:sz w:val="20"/>
          <w:szCs w:val="20"/>
        </w:rPr>
        <w:t>dministered by the European Medicines Agency, or EMA, or one of the procedures administered by competent authorities in the EEA Member States (decentralized procedure, national procedure, or mutual recognition procedure). The centralized procedure is compu</w:t>
      </w:r>
      <w:r>
        <w:rPr>
          <w:rFonts w:eastAsia="Times New Roman"/>
          <w:color w:val="000000"/>
          <w:sz w:val="20"/>
          <w:szCs w:val="20"/>
        </w:rPr>
        <w:t>lsory for certain medicines, including those produced by biotechnology, products designated as orphan medicinal products, advanced therapy medicinal products (gene therapy, somatic cell therapy and tissue-engineered products) and those with a new active su</w:t>
      </w:r>
      <w:r>
        <w:rPr>
          <w:rFonts w:eastAsia="Times New Roman"/>
          <w:color w:val="000000"/>
          <w:sz w:val="20"/>
          <w:szCs w:val="20"/>
        </w:rPr>
        <w:t>bstance indicated for the treatment of HIV, AIDS, cancer, neurodegenerative disorders, autoimmune and other immune dysfunctions, viral diseases, or diabetes. The centralized procedure is optional for those medicines which contain a new active substance, or</w:t>
      </w:r>
      <w:r>
        <w:rPr>
          <w:rFonts w:eastAsia="Times New Roman"/>
          <w:color w:val="000000"/>
          <w:sz w:val="20"/>
          <w:szCs w:val="20"/>
        </w:rPr>
        <w:t xml:space="preserve"> which are a significant therapeutic, scientific, or technical innovation or whose authorization would be in the interest of public health. The centralized procedure provides for the grant of a single marketing authorization that is valid throughout the EE</w:t>
      </w:r>
      <w:r>
        <w:rPr>
          <w:rFonts w:eastAsia="Times New Roman"/>
          <w:color w:val="000000"/>
          <w:sz w:val="20"/>
          <w:szCs w:val="20"/>
        </w:rPr>
        <w:t xml:space="preserve">A. Under the centralized procedure, the maximum timeframe for the evaluation of a marketing authorization application, or MAA, by the EMA is 210 days, excluding clock stops, when additional written or oral information is to be provided by the applicant in </w:t>
      </w:r>
    </w:p>
    <w:p w:rsidR="00000000" w:rsidRDefault="00FD7D3C">
      <w:pPr>
        <w:jc w:val="center"/>
        <w:divId w:val="1504590958"/>
        <w:rPr>
          <w:rFonts w:eastAsia="Times New Roman"/>
        </w:rPr>
      </w:pPr>
      <w:r>
        <w:rPr>
          <w:rFonts w:eastAsia="Times New Roman"/>
          <w:color w:val="000000"/>
          <w:sz w:val="20"/>
          <w:szCs w:val="20"/>
        </w:rPr>
        <w:t>40</w:t>
      </w:r>
    </w:p>
    <w:p w:rsidR="00000000" w:rsidRDefault="00FD7D3C">
      <w:pPr>
        <w:rPr>
          <w:rFonts w:eastAsia="Times New Roman"/>
        </w:rPr>
      </w:pPr>
      <w:r>
        <w:rPr>
          <w:rFonts w:eastAsia="Times New Roman"/>
        </w:rPr>
        <w:pict>
          <v:rect id="_x0000_i1093" style="width:0;height:1.5pt" o:hralign="center" o:hrstd="t" o:hr="t" fillcolor="#a0a0a0" stroked="f"/>
        </w:pict>
      </w:r>
    </w:p>
    <w:p w:rsidR="00000000" w:rsidRDefault="00FD7D3C">
      <w:pPr>
        <w:divId w:val="494300575"/>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divId w:val="1879510458"/>
        <w:rPr>
          <w:rFonts w:eastAsia="Times New Roman"/>
        </w:rPr>
      </w:pPr>
      <w:r>
        <w:rPr>
          <w:rFonts w:eastAsia="Times New Roman"/>
          <w:color w:val="000000"/>
          <w:sz w:val="20"/>
          <w:szCs w:val="20"/>
        </w:rPr>
        <w:t>response to questions asked by the Committee for Medicinal Products for Human Use, or CHMP. Clock stops may extend the timeframe of evaluati</w:t>
      </w:r>
      <w:r>
        <w:rPr>
          <w:rFonts w:eastAsia="Times New Roman"/>
          <w:color w:val="000000"/>
          <w:sz w:val="20"/>
          <w:szCs w:val="20"/>
        </w:rPr>
        <w:t>on of a MAA considerably beyond 210 days. Where the CHMP gives a positive opinion, it provides the opinion together with supporting documentation to the European Commission, who make the final decision to grant a marketing authorization, which is issued wi</w:t>
      </w:r>
      <w:r>
        <w:rPr>
          <w:rFonts w:eastAsia="Times New Roman"/>
          <w:color w:val="000000"/>
          <w:sz w:val="20"/>
          <w:szCs w:val="20"/>
        </w:rPr>
        <w:t>thin 67 days of receipt of the EMA’s recommendation. Accelerated assessment might be granted by the CHMP in exceptional cases, when a medicinal product is expected to be of major public health interest, particularly from the point of view of therapeutic in</w:t>
      </w:r>
      <w:r>
        <w:rPr>
          <w:rFonts w:eastAsia="Times New Roman"/>
          <w:color w:val="000000"/>
          <w:sz w:val="20"/>
          <w:szCs w:val="20"/>
        </w:rPr>
        <w:t>novation. The timeframe for the evaluation of a MAA under the accelerated assessment procedure is 150 days, excluding clock stops, but it is possible that the CHMP may revert to the standard time limit for the centralized procedure if it determines that it</w:t>
      </w:r>
      <w:r>
        <w:rPr>
          <w:rFonts w:eastAsia="Times New Roman"/>
          <w:color w:val="000000"/>
          <w:sz w:val="20"/>
          <w:szCs w:val="20"/>
        </w:rPr>
        <w:t xml:space="preserve"> is no longer appropriate to conduct an accelerated assessment. As far as pediatric marketing authorization applications are concerned, all applications for marketing authorization for new medicines have to include the results of studies as described in an</w:t>
      </w:r>
      <w:r>
        <w:rPr>
          <w:rFonts w:eastAsia="Times New Roman"/>
          <w:color w:val="000000"/>
          <w:sz w:val="20"/>
          <w:szCs w:val="20"/>
        </w:rPr>
        <w:t xml:space="preserve"> agreed Pediatric Investigation Plan (PIP), unless the medicine is exempt because of a deferral or waiver.</w:t>
      </w:r>
    </w:p>
    <w:p w:rsidR="00000000" w:rsidRDefault="00FD7D3C">
      <w:pPr>
        <w:ind w:firstLine="1080"/>
        <w:divId w:val="848105280"/>
        <w:rPr>
          <w:rFonts w:eastAsia="Times New Roman"/>
        </w:rPr>
      </w:pPr>
      <w:r>
        <w:rPr>
          <w:rFonts w:eastAsia="Times New Roman"/>
          <w:color w:val="000000"/>
          <w:sz w:val="20"/>
          <w:szCs w:val="20"/>
        </w:rPr>
        <w:t xml:space="preserve">Through the decentralized procedure, a medicinal product that has not yet been authorized in the EEA can be simultaneously authorized in several EEA </w:t>
      </w:r>
      <w:r>
        <w:rPr>
          <w:rFonts w:eastAsia="Times New Roman"/>
          <w:color w:val="000000"/>
          <w:sz w:val="20"/>
          <w:szCs w:val="20"/>
        </w:rPr>
        <w:t>Member States. The mutual recognition procedure provides for mutual recognition of national approval decisions. Under this procedure, the holder of a national marketing authorization may submit an application to other EEA Member States. Within 90 days of r</w:t>
      </w:r>
      <w:r>
        <w:rPr>
          <w:rFonts w:eastAsia="Times New Roman"/>
          <w:color w:val="000000"/>
          <w:sz w:val="20"/>
          <w:szCs w:val="20"/>
        </w:rPr>
        <w:t>eceiving the applications and assessment reports, each Member State involved must decide whether to recognize the approval. If a Member State does not recognize the marketing authorization, the disputed points are eventually referred to the European Commis</w:t>
      </w:r>
      <w:r>
        <w:rPr>
          <w:rFonts w:eastAsia="Times New Roman"/>
          <w:color w:val="000000"/>
          <w:sz w:val="20"/>
          <w:szCs w:val="20"/>
        </w:rPr>
        <w:t>sion, whose decision is binding.</w:t>
      </w:r>
    </w:p>
    <w:p w:rsidR="00000000" w:rsidRDefault="00FD7D3C">
      <w:pPr>
        <w:ind w:firstLine="1080"/>
        <w:divId w:val="266735508"/>
        <w:rPr>
          <w:rFonts w:eastAsia="Times New Roman"/>
        </w:rPr>
      </w:pPr>
      <w:r>
        <w:rPr>
          <w:rFonts w:eastAsia="Times New Roman"/>
          <w:color w:val="000000"/>
          <w:sz w:val="20"/>
          <w:szCs w:val="20"/>
        </w:rPr>
        <w:t>To obtain a marketing authorization in Switzerland, a company must submit a marketing authorization application to Swissmedic, Switzerland’s national authorization and supervisory authority for medicinal products and medica</w:t>
      </w:r>
      <w:r>
        <w:rPr>
          <w:rFonts w:eastAsia="Times New Roman"/>
          <w:color w:val="000000"/>
          <w:sz w:val="20"/>
          <w:szCs w:val="20"/>
        </w:rPr>
        <w:t>l devices. There are no international agreements on mutual recognition of authorizations in relation to medicinal products. However, marketing authorization dossiers can be submitted to Swissmedic with clinical data, irrespective of the location where a cl</w:t>
      </w:r>
      <w:r>
        <w:rPr>
          <w:rFonts w:eastAsia="Times New Roman"/>
          <w:color w:val="000000"/>
          <w:sz w:val="20"/>
          <w:szCs w:val="20"/>
        </w:rPr>
        <w:t xml:space="preserve">inical trial was conducted, that were collected in accordance with globally applicable international standards such as the Good clinical Practice (GCP) of the International Conference on Harmonization (ICH), which are based on the Declaration of Helsinki. </w:t>
      </w:r>
      <w:r>
        <w:rPr>
          <w:rFonts w:eastAsia="Times New Roman"/>
          <w:color w:val="000000"/>
          <w:sz w:val="20"/>
          <w:szCs w:val="20"/>
        </w:rPr>
        <w:t>Furthermore, if a medicinal product or procedure is already authorized in a country having equivalent medicinal product control, the results of tests carried out for this purpose shall be taken into account. According to Swissmedic's practice, this include</w:t>
      </w:r>
      <w:r>
        <w:rPr>
          <w:rFonts w:eastAsia="Times New Roman"/>
          <w:color w:val="000000"/>
          <w:sz w:val="20"/>
          <w:szCs w:val="20"/>
        </w:rPr>
        <w:t>s the authorization procedures of the following countries: Australia, the member states of the EU, the EFTA states in the EEA (Liechtenstein, Norway and Iceland), Japan, Canada, New Zealand, Singapore and the United States.</w:t>
      </w:r>
    </w:p>
    <w:p w:rsidR="00000000" w:rsidRDefault="00FD7D3C">
      <w:pPr>
        <w:ind w:firstLine="1080"/>
        <w:divId w:val="612631369"/>
        <w:rPr>
          <w:rFonts w:eastAsia="Times New Roman"/>
        </w:rPr>
      </w:pPr>
      <w:r>
        <w:rPr>
          <w:rFonts w:eastAsia="Times New Roman"/>
          <w:color w:val="000000"/>
          <w:sz w:val="20"/>
          <w:szCs w:val="20"/>
        </w:rPr>
        <w:t>Now that the UK (which comprises</w:t>
      </w:r>
      <w:r>
        <w:rPr>
          <w:rFonts w:eastAsia="Times New Roman"/>
          <w:color w:val="000000"/>
          <w:sz w:val="20"/>
          <w:szCs w:val="20"/>
        </w:rPr>
        <w:t xml:space="preserve"> Great Britain and Northern Ireland) has left the EU, Great Britain will no longer be covered by centralized marketing authorizations (under the Northern Irish Protocol, centralized marketing authorizations will continue to be recognized in Northern Irelan</w:t>
      </w:r>
      <w:r>
        <w:rPr>
          <w:rFonts w:eastAsia="Times New Roman"/>
          <w:color w:val="000000"/>
          <w:sz w:val="20"/>
          <w:szCs w:val="20"/>
        </w:rPr>
        <w:t>d). All medicinal products with a current centralized marketing authorization were automatically converted to Great Britain marketing authorizations on January 1, 2021. For a period of two years from January 1, 2021, the Medicines and Healthcare Products R</w:t>
      </w:r>
      <w:r>
        <w:rPr>
          <w:rFonts w:eastAsia="Times New Roman"/>
          <w:color w:val="000000"/>
          <w:sz w:val="20"/>
          <w:szCs w:val="20"/>
        </w:rPr>
        <w:t>egulatory Agency (“MHRA”), the UK medicines regulator, may rely on a decision taken by the European Commission on the approval of a new marketing authorization in the centralized procedure. A separate application will, however, still be required.</w:t>
      </w:r>
    </w:p>
    <w:p w:rsidR="00000000" w:rsidRDefault="00FD7D3C">
      <w:pPr>
        <w:ind w:firstLine="1080"/>
        <w:divId w:val="497817538"/>
        <w:rPr>
          <w:rFonts w:eastAsia="Times New Roman"/>
        </w:rPr>
      </w:pPr>
      <w:r>
        <w:rPr>
          <w:rFonts w:eastAsia="Times New Roman"/>
          <w:color w:val="000000"/>
          <w:sz w:val="20"/>
          <w:szCs w:val="20"/>
        </w:rPr>
        <w:t xml:space="preserve">The MHRA </w:t>
      </w:r>
      <w:r>
        <w:rPr>
          <w:rFonts w:eastAsia="Times New Roman"/>
          <w:color w:val="000000"/>
          <w:sz w:val="20"/>
          <w:szCs w:val="20"/>
        </w:rPr>
        <w:t>has launched the Innovative Licensing and Access Pathway (ILAP), a new accelerated assessment procedure for marketing authorization applications that enables companies to enter the UK market faster.</w:t>
      </w:r>
    </w:p>
    <w:p w:rsidR="00000000" w:rsidRDefault="00FD7D3C">
      <w:pPr>
        <w:ind w:firstLine="1080"/>
        <w:divId w:val="127864266"/>
        <w:rPr>
          <w:rFonts w:eastAsia="Times New Roman"/>
        </w:rPr>
      </w:pPr>
      <w:r>
        <w:rPr>
          <w:rFonts w:eastAsia="Times New Roman"/>
          <w:b/>
          <w:bCs/>
          <w:i/>
          <w:iCs/>
          <w:color w:val="000000"/>
          <w:sz w:val="20"/>
          <w:szCs w:val="20"/>
        </w:rPr>
        <w:t>European orphan drug designation and exclusivity</w:t>
      </w:r>
    </w:p>
    <w:p w:rsidR="00000000" w:rsidRDefault="00FD7D3C">
      <w:pPr>
        <w:ind w:firstLine="1080"/>
        <w:divId w:val="117838834"/>
        <w:rPr>
          <w:rFonts w:eastAsia="Times New Roman"/>
        </w:rPr>
      </w:pPr>
      <w:r>
        <w:rPr>
          <w:rFonts w:eastAsia="Times New Roman"/>
          <w:color w:val="000000"/>
          <w:sz w:val="20"/>
          <w:szCs w:val="20"/>
        </w:rPr>
        <w:t>As in th</w:t>
      </w:r>
      <w:r>
        <w:rPr>
          <w:rFonts w:eastAsia="Times New Roman"/>
          <w:color w:val="000000"/>
          <w:sz w:val="20"/>
          <w:szCs w:val="20"/>
        </w:rPr>
        <w:t>e U.S., we may apply for designation of a product candidate as an orphan drug for the treatment of a specific indication in the EEA before the application for marketing authorization is made. The criteria for designating an “orphan medicinal product” in th</w:t>
      </w:r>
      <w:r>
        <w:rPr>
          <w:rFonts w:eastAsia="Times New Roman"/>
          <w:color w:val="000000"/>
          <w:sz w:val="20"/>
          <w:szCs w:val="20"/>
        </w:rPr>
        <w:t>e EEA are similar in principle to those in the United States. Under Article 3 of Regulation (EC) 141/2000, a medicinal product may be designated as an orphan medicinal product if it meets the following criteria: (1) is intended for the diagnosis, preventio</w:t>
      </w:r>
      <w:r>
        <w:rPr>
          <w:rFonts w:eastAsia="Times New Roman"/>
          <w:color w:val="000000"/>
          <w:sz w:val="20"/>
          <w:szCs w:val="20"/>
        </w:rPr>
        <w:t>n or treatment of a life-threatening or chronically debilitating condition; and (2) either the prevalence of such condition must not be more than five in 10,000 persons in the EU when the application is made, or without the benefits derived from orphan sta</w:t>
      </w:r>
      <w:r>
        <w:rPr>
          <w:rFonts w:eastAsia="Times New Roman"/>
          <w:color w:val="000000"/>
          <w:sz w:val="20"/>
          <w:szCs w:val="20"/>
        </w:rPr>
        <w:t>tus, it must be unlikely that the marketing of the medicine would generate sufficient return in the EU to justify the investment needed for its development; and (3) there exists no satisfactory method of diagnosis, prevention or treatment of such condition</w:t>
      </w:r>
      <w:r>
        <w:rPr>
          <w:rFonts w:eastAsia="Times New Roman"/>
          <w:color w:val="000000"/>
          <w:sz w:val="20"/>
          <w:szCs w:val="20"/>
        </w:rPr>
        <w:t xml:space="preserve"> authorized for marketing in the EU or if such a method exists, the product will be of significant benefit to those affected by the condition, as defined in Regulation (EC) 847/2000. Sponsors of orphan drugs can enjoy economic and marketing benefits, inclu</w:t>
      </w:r>
      <w:r>
        <w:rPr>
          <w:rFonts w:eastAsia="Times New Roman"/>
          <w:color w:val="000000"/>
          <w:sz w:val="20"/>
          <w:szCs w:val="20"/>
        </w:rPr>
        <w:t>ding a reduction of fees or fee waivers and up to ten years of market exclusivity for the approved indication which can be further extended by two years under certain circumstances; namely when the pediatric studies have been conducted in accordance with a</w:t>
      </w:r>
      <w:r>
        <w:rPr>
          <w:rFonts w:eastAsia="Times New Roman"/>
          <w:color w:val="000000"/>
          <w:sz w:val="20"/>
          <w:szCs w:val="20"/>
        </w:rPr>
        <w:t>n agreed PIP and other requirements are satisfied. During such period of market exclusivity, marketing authorization applications for “similar medicinal products” will not be accepted, unless another applicant can show that its product is safer, more effec</w:t>
      </w:r>
      <w:r>
        <w:rPr>
          <w:rFonts w:eastAsia="Times New Roman"/>
          <w:color w:val="000000"/>
          <w:sz w:val="20"/>
          <w:szCs w:val="20"/>
        </w:rPr>
        <w:t xml:space="preserve">tive or otherwise clinically superior to the orphan-designated product, the marketing authorization holder consents to the second </w:t>
      </w:r>
    </w:p>
    <w:p w:rsidR="00000000" w:rsidRDefault="00FD7D3C">
      <w:pPr>
        <w:jc w:val="center"/>
        <w:divId w:val="1178080298"/>
        <w:rPr>
          <w:rFonts w:eastAsia="Times New Roman"/>
        </w:rPr>
      </w:pPr>
      <w:r>
        <w:rPr>
          <w:rFonts w:eastAsia="Times New Roman"/>
          <w:color w:val="000000"/>
          <w:sz w:val="20"/>
          <w:szCs w:val="20"/>
        </w:rPr>
        <w:t>41</w:t>
      </w:r>
    </w:p>
    <w:p w:rsidR="00000000" w:rsidRDefault="00FD7D3C">
      <w:pPr>
        <w:rPr>
          <w:rFonts w:eastAsia="Times New Roman"/>
        </w:rPr>
      </w:pPr>
      <w:r>
        <w:rPr>
          <w:rFonts w:eastAsia="Times New Roman"/>
        </w:rPr>
        <w:pict>
          <v:rect id="_x0000_i1094" style="width:0;height:1.5pt" o:hralign="center" o:hrstd="t" o:hr="t" fillcolor="#a0a0a0" stroked="f"/>
        </w:pict>
      </w:r>
    </w:p>
    <w:p w:rsidR="00000000" w:rsidRDefault="00FD7D3C">
      <w:pPr>
        <w:divId w:val="2002079738"/>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divId w:val="724643853"/>
        <w:rPr>
          <w:rFonts w:eastAsia="Times New Roman"/>
        </w:rPr>
      </w:pPr>
      <w:r>
        <w:rPr>
          <w:rFonts w:eastAsia="Times New Roman"/>
          <w:color w:val="000000"/>
          <w:sz w:val="20"/>
          <w:szCs w:val="20"/>
        </w:rPr>
        <w:t>orphan medicinal product application, or where the marketing authorization holder cannot supply enough orphan medicinal product. In the EEA, a “similar medicinal product” is a medi</w:t>
      </w:r>
      <w:r>
        <w:rPr>
          <w:rFonts w:eastAsia="Times New Roman"/>
          <w:color w:val="000000"/>
          <w:sz w:val="20"/>
          <w:szCs w:val="20"/>
        </w:rPr>
        <w:t>cinal product containing a similar active substance or substances as contained in a currently authorized orphan medicinal product, and which is intended for the same therapeutic indication. The ten-year market exclusivity may be reduced to six years if, at</w:t>
      </w:r>
      <w:r>
        <w:rPr>
          <w:rFonts w:eastAsia="Times New Roman"/>
          <w:color w:val="000000"/>
          <w:sz w:val="20"/>
          <w:szCs w:val="20"/>
        </w:rPr>
        <w:t xml:space="preserve"> the end of the fifth year, it is established that the product no longer meets the criteria for orphan designation, for example, if the product is sufficiently profitable not to justify the maintenance of market exclusivity.</w:t>
      </w:r>
    </w:p>
    <w:p w:rsidR="00000000" w:rsidRDefault="00FD7D3C">
      <w:pPr>
        <w:ind w:firstLine="1080"/>
        <w:divId w:val="2022317255"/>
        <w:rPr>
          <w:rFonts w:eastAsia="Times New Roman"/>
        </w:rPr>
      </w:pPr>
      <w:r>
        <w:rPr>
          <w:rFonts w:eastAsia="Times New Roman"/>
          <w:b/>
          <w:bCs/>
          <w:i/>
          <w:iCs/>
          <w:color w:val="000000"/>
          <w:sz w:val="20"/>
          <w:szCs w:val="20"/>
        </w:rPr>
        <w:t>Brexit and the Regulatory Frame</w:t>
      </w:r>
      <w:r>
        <w:rPr>
          <w:rFonts w:eastAsia="Times New Roman"/>
          <w:b/>
          <w:bCs/>
          <w:i/>
          <w:iCs/>
          <w:color w:val="000000"/>
          <w:sz w:val="20"/>
          <w:szCs w:val="20"/>
        </w:rPr>
        <w:t>work in the United Kingdom</w:t>
      </w:r>
    </w:p>
    <w:p w:rsidR="00000000" w:rsidRDefault="00FD7D3C">
      <w:pPr>
        <w:ind w:firstLine="1080"/>
        <w:divId w:val="2099936811"/>
        <w:rPr>
          <w:rFonts w:eastAsia="Times New Roman"/>
        </w:rPr>
      </w:pPr>
      <w:r>
        <w:rPr>
          <w:rFonts w:eastAsia="Times New Roman"/>
          <w:color w:val="000000"/>
          <w:sz w:val="20"/>
          <w:szCs w:val="20"/>
        </w:rPr>
        <w:t>On January 31, 2020. A transition period began on February 1, 2020, during which EU pharmaceutical law remained applicable to the UK. This transition period ended on December 31, 2020. Since the regulatory framework in the UK cov</w:t>
      </w:r>
      <w:r>
        <w:rPr>
          <w:rFonts w:eastAsia="Times New Roman"/>
          <w:color w:val="000000"/>
          <w:sz w:val="20"/>
          <w:szCs w:val="20"/>
        </w:rPr>
        <w:t>ering the quality, safety and efficacy of pharmaceutical products, clinical trials, marketing authorization, commercial sales and distribution of pharmaceutical products is derived from EU Directives and Regulations, Brexit could materially impact the futu</w:t>
      </w:r>
      <w:r>
        <w:rPr>
          <w:rFonts w:eastAsia="Times New Roman"/>
          <w:color w:val="000000"/>
          <w:sz w:val="20"/>
          <w:szCs w:val="20"/>
        </w:rPr>
        <w:t>re regulatory regime which applies to products and the approval of product candidates in the UK, as UK legislation now has the potential to diverge from EU legislation. It remains to be seen how Brexit will impact regulatory requirements for product candid</w:t>
      </w:r>
      <w:r>
        <w:rPr>
          <w:rFonts w:eastAsia="Times New Roman"/>
          <w:color w:val="000000"/>
          <w:sz w:val="20"/>
          <w:szCs w:val="20"/>
        </w:rPr>
        <w:t>ates and products in the UK in the long-term. The MHRA published detailed guidance for industry and organizations to follow which will be updated as the UK’s regulatory position on medicinal products evolves over time.</w:t>
      </w:r>
    </w:p>
    <w:p w:rsidR="00000000" w:rsidRDefault="00FD7D3C">
      <w:pPr>
        <w:ind w:firstLine="1080"/>
        <w:divId w:val="1924147310"/>
        <w:rPr>
          <w:rFonts w:eastAsia="Times New Roman"/>
        </w:rPr>
      </w:pPr>
      <w:r>
        <w:rPr>
          <w:rFonts w:eastAsia="Times New Roman"/>
          <w:color w:val="000000"/>
          <w:sz w:val="20"/>
          <w:szCs w:val="20"/>
        </w:rPr>
        <w:t>The regulatory framework for medicine</w:t>
      </w:r>
      <w:r>
        <w:rPr>
          <w:rFonts w:eastAsia="Times New Roman"/>
          <w:color w:val="000000"/>
          <w:sz w:val="20"/>
          <w:szCs w:val="20"/>
        </w:rPr>
        <w:t>s that existed before the end of the transition period following Brexit has been preserved in UK domestic legislation as ‘retained EU law,’ which has prevented substantial divergence to the regulation of medicines. However, some changes to the UK legislati</w:t>
      </w:r>
      <w:r>
        <w:rPr>
          <w:rFonts w:eastAsia="Times New Roman"/>
          <w:color w:val="000000"/>
          <w:sz w:val="20"/>
          <w:szCs w:val="20"/>
        </w:rPr>
        <w:t>on have been necessary, including the implementation of the Northern Ireland Protocol (NIP), pursuant to which the EU pharmaceutical legal framework continues to apply in Northern Ireland (subject to periodic consent of the Northern Ireland Legislative Ass</w:t>
      </w:r>
      <w:r>
        <w:rPr>
          <w:rFonts w:eastAsia="Times New Roman"/>
          <w:color w:val="000000"/>
          <w:sz w:val="20"/>
          <w:szCs w:val="20"/>
        </w:rPr>
        <w:t>embly), and only products compliant with EU law can be placed in the Northern Ireland market. This dynamic adds an extra layer of regulatory complexity for companies withing to commercialize medicinal products in Great Britain (namely, England, Wales and S</w:t>
      </w:r>
      <w:r>
        <w:rPr>
          <w:rFonts w:eastAsia="Times New Roman"/>
          <w:color w:val="000000"/>
          <w:sz w:val="20"/>
          <w:szCs w:val="20"/>
        </w:rPr>
        <w:t>cotland, as EU law continues to apply in Northern Ireland), as such companies now need to comply with separate UK regulatory legal framework. The UK government is currently trying to renegotiate certain aspects of the Northern Ireland Protocol so this is a</w:t>
      </w:r>
      <w:r>
        <w:rPr>
          <w:rFonts w:eastAsia="Times New Roman"/>
          <w:color w:val="000000"/>
          <w:sz w:val="20"/>
          <w:szCs w:val="20"/>
        </w:rPr>
        <w:t>n unpredictable area for companies in the near future. The Trade and Cooperation Agreement signed between the UK and the EU allows for future deviation from the current regulatory framework and it is not known if and/or when any deviations may occur, which</w:t>
      </w:r>
      <w:r>
        <w:rPr>
          <w:rFonts w:eastAsia="Times New Roman"/>
          <w:color w:val="000000"/>
          <w:sz w:val="20"/>
          <w:szCs w:val="20"/>
        </w:rPr>
        <w:t xml:space="preserve"> may have an impact on development, manufacture, marketing authorization, commercial sales and distribution of pharmaceutical products.</w:t>
      </w:r>
    </w:p>
    <w:p w:rsidR="00000000" w:rsidRDefault="00FD7D3C">
      <w:pPr>
        <w:ind w:firstLine="1080"/>
        <w:divId w:val="405301523"/>
        <w:rPr>
          <w:rFonts w:eastAsia="Times New Roman"/>
        </w:rPr>
      </w:pPr>
      <w:r>
        <w:rPr>
          <w:rFonts w:eastAsia="Times New Roman"/>
          <w:b/>
          <w:bCs/>
          <w:i/>
          <w:iCs/>
          <w:color w:val="000000"/>
          <w:sz w:val="20"/>
          <w:szCs w:val="20"/>
        </w:rPr>
        <w:t>Coverage and reimbursement</w:t>
      </w:r>
    </w:p>
    <w:p w:rsidR="00000000" w:rsidRDefault="00FD7D3C">
      <w:pPr>
        <w:ind w:firstLine="1080"/>
        <w:divId w:val="533032690"/>
        <w:rPr>
          <w:rFonts w:eastAsia="Times New Roman"/>
        </w:rPr>
      </w:pPr>
      <w:r>
        <w:rPr>
          <w:rFonts w:eastAsia="Times New Roman"/>
          <w:color w:val="000000"/>
          <w:sz w:val="20"/>
          <w:szCs w:val="20"/>
        </w:rPr>
        <w:t>Successful commercialization of new drug products depends in part on the extent to which coverage and reimbursement, as applicable, for those drug products will be available from government health administration authorities, private health insurers, and ot</w:t>
      </w:r>
      <w:r>
        <w:rPr>
          <w:rFonts w:eastAsia="Times New Roman"/>
          <w:color w:val="000000"/>
          <w:sz w:val="20"/>
          <w:szCs w:val="20"/>
        </w:rPr>
        <w:t>her organizations. Government authorities and third-party payors, such as private health insurers and health maintenance organizations, decide which drug products they will cover and pay for and establish reimbursement levels. The availability and extent o</w:t>
      </w:r>
      <w:r>
        <w:rPr>
          <w:rFonts w:eastAsia="Times New Roman"/>
          <w:color w:val="000000"/>
          <w:sz w:val="20"/>
          <w:szCs w:val="20"/>
        </w:rPr>
        <w:t xml:space="preserve">f coverage and reimbursement by governmental and private payors is essential for most patients to be able to afford a drug product. Sales of drug products depend substantially, both domestically and abroad, on the extent to which drugs are covered and the </w:t>
      </w:r>
      <w:r>
        <w:rPr>
          <w:rFonts w:eastAsia="Times New Roman"/>
          <w:color w:val="000000"/>
          <w:sz w:val="20"/>
          <w:szCs w:val="20"/>
        </w:rPr>
        <w:t>costs of drugs products are paid for by health maintenance, managed care, pharmacy benefit and similar healthcare management organizations, or covered and reimbursed by government health administration authorities, private health coverage insurers and othe</w:t>
      </w:r>
      <w:r>
        <w:rPr>
          <w:rFonts w:eastAsia="Times New Roman"/>
          <w:color w:val="000000"/>
          <w:sz w:val="20"/>
          <w:szCs w:val="20"/>
        </w:rPr>
        <w:t>r third-party payors.</w:t>
      </w:r>
    </w:p>
    <w:p w:rsidR="00000000" w:rsidRDefault="00FD7D3C">
      <w:pPr>
        <w:ind w:firstLine="1080"/>
        <w:divId w:val="1741634390"/>
        <w:rPr>
          <w:rFonts w:eastAsia="Times New Roman"/>
        </w:rPr>
      </w:pPr>
      <w:r>
        <w:rPr>
          <w:rFonts w:eastAsia="Times New Roman"/>
          <w:color w:val="000000"/>
          <w:sz w:val="20"/>
          <w:szCs w:val="20"/>
        </w:rPr>
        <w:t xml:space="preserve">A primary trend in the U.S. healthcare industry and elsewhere is cost containment. Government authorities and third-party payors have attempted to control costs by limiting coverage and the amount of reimbursement for particular drug </w:t>
      </w:r>
      <w:r>
        <w:rPr>
          <w:rFonts w:eastAsia="Times New Roman"/>
          <w:color w:val="000000"/>
          <w:sz w:val="20"/>
          <w:szCs w:val="20"/>
        </w:rPr>
        <w:t>products. In many countries, the prices of drug products are subject to varying price control mechanisms as part of national health systems. In general, the prices of drug products under such systems are substantially lower than in the United States. Other</w:t>
      </w:r>
      <w:r>
        <w:rPr>
          <w:rFonts w:eastAsia="Times New Roman"/>
          <w:color w:val="000000"/>
          <w:sz w:val="20"/>
          <w:szCs w:val="20"/>
        </w:rPr>
        <w:t xml:space="preserve"> countries allow companies to fix their own prices for drug products but monitor and control company profits. Accordingly, in markets outside the United States, the reimbursement for drug products may be reduced compared with the United States.</w:t>
      </w:r>
    </w:p>
    <w:p w:rsidR="00000000" w:rsidRDefault="00FD7D3C">
      <w:pPr>
        <w:ind w:firstLine="1080"/>
        <w:divId w:val="1993368867"/>
        <w:rPr>
          <w:rFonts w:eastAsia="Times New Roman"/>
        </w:rPr>
      </w:pPr>
      <w:r>
        <w:rPr>
          <w:rFonts w:eastAsia="Times New Roman"/>
          <w:color w:val="000000"/>
          <w:sz w:val="20"/>
          <w:szCs w:val="20"/>
        </w:rPr>
        <w:t>In the Unit</w:t>
      </w:r>
      <w:r>
        <w:rPr>
          <w:rFonts w:eastAsia="Times New Roman"/>
          <w:color w:val="000000"/>
          <w:sz w:val="20"/>
          <w:szCs w:val="20"/>
        </w:rPr>
        <w:t>ed States, the decisions about Medicare reimbursement for new drug products are typically made by CMS, an agency within the HHS. CMS decides whether and to what extent a new drug product will be covered and reimbursed under Medicare, and private payors ten</w:t>
      </w:r>
      <w:r>
        <w:rPr>
          <w:rFonts w:eastAsia="Times New Roman"/>
          <w:color w:val="000000"/>
          <w:sz w:val="20"/>
          <w:szCs w:val="20"/>
        </w:rPr>
        <w:t>d to follow CMS coverage guidelines. However, no uniform policy of coverage and reimbursement for drug products exists among third-party payors and coverage and reimbursement levels for drug products can differ significantly from payor to payor.</w:t>
      </w:r>
    </w:p>
    <w:p w:rsidR="00000000" w:rsidRDefault="00FD7D3C">
      <w:pPr>
        <w:ind w:firstLine="1080"/>
        <w:divId w:val="556627852"/>
        <w:rPr>
          <w:rFonts w:eastAsia="Times New Roman"/>
        </w:rPr>
      </w:pPr>
      <w:r>
        <w:rPr>
          <w:rFonts w:eastAsia="Times New Roman"/>
          <w:color w:val="000000"/>
          <w:sz w:val="20"/>
          <w:szCs w:val="20"/>
        </w:rPr>
        <w:t>The Medica</w:t>
      </w:r>
      <w:r>
        <w:rPr>
          <w:rFonts w:eastAsia="Times New Roman"/>
          <w:color w:val="000000"/>
          <w:sz w:val="20"/>
          <w:szCs w:val="20"/>
        </w:rPr>
        <w:t>re Prescription Drug, Improvement, and Modernization Act of 2003, or the MMA, established the Medicare Part D program to provide a voluntary prescription drug benefit to Medicare beneficiaries. Under Part D, Medicare beneficiaries may enroll in prescriptio</w:t>
      </w:r>
      <w:r>
        <w:rPr>
          <w:rFonts w:eastAsia="Times New Roman"/>
          <w:color w:val="000000"/>
          <w:sz w:val="20"/>
          <w:szCs w:val="20"/>
        </w:rPr>
        <w:t xml:space="preserve">n drug plans offered by private entities that provide coverage of outpatient </w:t>
      </w:r>
    </w:p>
    <w:p w:rsidR="00000000" w:rsidRDefault="00FD7D3C">
      <w:pPr>
        <w:jc w:val="center"/>
        <w:divId w:val="1895584171"/>
        <w:rPr>
          <w:rFonts w:eastAsia="Times New Roman"/>
        </w:rPr>
      </w:pPr>
      <w:r>
        <w:rPr>
          <w:rFonts w:eastAsia="Times New Roman"/>
          <w:color w:val="000000"/>
          <w:sz w:val="20"/>
          <w:szCs w:val="20"/>
        </w:rPr>
        <w:t>42</w:t>
      </w:r>
    </w:p>
    <w:p w:rsidR="00000000" w:rsidRDefault="00FD7D3C">
      <w:pPr>
        <w:rPr>
          <w:rFonts w:eastAsia="Times New Roman"/>
        </w:rPr>
      </w:pPr>
      <w:r>
        <w:rPr>
          <w:rFonts w:eastAsia="Times New Roman"/>
        </w:rPr>
        <w:pict>
          <v:rect id="_x0000_i1095" style="width:0;height:1.5pt" o:hralign="center" o:hrstd="t" o:hr="t" fillcolor="#a0a0a0" stroked="f"/>
        </w:pict>
      </w:r>
    </w:p>
    <w:p w:rsidR="00000000" w:rsidRDefault="00FD7D3C">
      <w:pPr>
        <w:divId w:val="1289749525"/>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divId w:val="1820346402"/>
        <w:rPr>
          <w:rFonts w:eastAsia="Times New Roman"/>
        </w:rPr>
      </w:pPr>
      <w:r>
        <w:rPr>
          <w:rFonts w:eastAsia="Times New Roman"/>
          <w:color w:val="000000"/>
          <w:sz w:val="20"/>
          <w:szCs w:val="20"/>
        </w:rPr>
        <w:t>prescription drugs. While all Medicare drug plans must give at</w:t>
      </w:r>
      <w:r>
        <w:rPr>
          <w:rFonts w:eastAsia="Times New Roman"/>
          <w:color w:val="000000"/>
          <w:sz w:val="20"/>
          <w:szCs w:val="20"/>
        </w:rPr>
        <w:t xml:space="preserve"> least a standard level of coverage set by Medicare, Part D prescription drug plan sponsors are not required to pay for all covered Part D drugs, and each Part D prescription drug plan can develop its own drug formulary that identifies which drugs it will </w:t>
      </w:r>
      <w:r>
        <w:rPr>
          <w:rFonts w:eastAsia="Times New Roman"/>
          <w:color w:val="000000"/>
          <w:sz w:val="20"/>
          <w:szCs w:val="20"/>
        </w:rPr>
        <w:t>cover and at what tier or level. However, Part D prescription drug formularies must include drugs within each therapeutic category and class of covered Part D drugs, though not necessarily all the drugs in each category or class and with some exceptions fo</w:t>
      </w:r>
      <w:r>
        <w:rPr>
          <w:rFonts w:eastAsia="Times New Roman"/>
          <w:color w:val="000000"/>
          <w:sz w:val="20"/>
          <w:szCs w:val="20"/>
        </w:rPr>
        <w:t>r certain classes of drugs. Any formulary used by a Part D prescription drug plan must be developed and reviewed by a pharmacy and therapeutic committee. Government payment for some of the costs of prescription drugs may increase demand for drugs for which</w:t>
      </w:r>
      <w:r>
        <w:rPr>
          <w:rFonts w:eastAsia="Times New Roman"/>
          <w:color w:val="000000"/>
          <w:sz w:val="20"/>
          <w:szCs w:val="20"/>
        </w:rPr>
        <w:t xml:space="preserve"> we obtain marketing approval. Any negotiated prices for any of our products covered by a Part D prescription drug plan will likely be lower than the prices we might otherwise obtain. Moreover, while the MMA Part D plan policies applies only to drug benefi</w:t>
      </w:r>
      <w:r>
        <w:rPr>
          <w:rFonts w:eastAsia="Times New Roman"/>
          <w:color w:val="000000"/>
          <w:sz w:val="20"/>
          <w:szCs w:val="20"/>
        </w:rPr>
        <w:t>ts for Medicare beneficiaries, private payors often follow Medicare coverage policies and payment limitations in setting their own payment rates coverage guidelines. Any reduction in payment restrictions in Part D coverage that results from the MMA may res</w:t>
      </w:r>
      <w:r>
        <w:rPr>
          <w:rFonts w:eastAsia="Times New Roman"/>
          <w:color w:val="000000"/>
          <w:sz w:val="20"/>
          <w:szCs w:val="20"/>
        </w:rPr>
        <w:t>ult in a similar reduction in payment restrictions from non-governmental payors.</w:t>
      </w:r>
    </w:p>
    <w:p w:rsidR="00000000" w:rsidRDefault="00FD7D3C">
      <w:pPr>
        <w:ind w:firstLine="1080"/>
        <w:divId w:val="1554271771"/>
        <w:rPr>
          <w:rFonts w:eastAsia="Times New Roman"/>
        </w:rPr>
      </w:pPr>
      <w:r>
        <w:rPr>
          <w:rFonts w:eastAsia="Times New Roman"/>
          <w:color w:val="000000"/>
          <w:sz w:val="20"/>
          <w:szCs w:val="20"/>
        </w:rPr>
        <w:t>For a drug product to receive federal reimbursement under the Medicaid or Medicare Part B programs or to be sold directly to U.S. government agencies, the manufacturer must ex</w:t>
      </w:r>
      <w:r>
        <w:rPr>
          <w:rFonts w:eastAsia="Times New Roman"/>
          <w:color w:val="000000"/>
          <w:sz w:val="20"/>
          <w:szCs w:val="20"/>
        </w:rPr>
        <w:t>tend discounts to entities eligible to participate in the 340B drug pricing program. The required 340B discount on a given product is calculated based on the average manufacturer price, or AMP, and Medicaid rebate amounts reported by the manufacturer. As o</w:t>
      </w:r>
      <w:r>
        <w:rPr>
          <w:rFonts w:eastAsia="Times New Roman"/>
          <w:color w:val="000000"/>
          <w:sz w:val="20"/>
          <w:szCs w:val="20"/>
        </w:rPr>
        <w:t>f 2010, the ACA expanded the types of entities eligible to receive discounted 340B pricing, although under the current state of the law these newly eligible entities (with the exception of children’s hospitals) will not be eligible to receive discounted 34</w:t>
      </w:r>
      <w:r>
        <w:rPr>
          <w:rFonts w:eastAsia="Times New Roman"/>
          <w:color w:val="000000"/>
          <w:sz w:val="20"/>
          <w:szCs w:val="20"/>
        </w:rPr>
        <w:t xml:space="preserve">0B pricing on orphan drugs. As 340B drug pricing is determined based on AMP and Medicaid rebate data, the revisions to the Medicaid rebate formula and AMP definition described above could cause the required 340B discount to increase. The 340B drug pricing </w:t>
      </w:r>
      <w:r>
        <w:rPr>
          <w:rFonts w:eastAsia="Times New Roman"/>
          <w:color w:val="000000"/>
          <w:sz w:val="20"/>
          <w:szCs w:val="20"/>
        </w:rPr>
        <w:t>program may be subject to future changes in light of ongoing litigation and attempts to reform the program. It is unclear how any such changes could affect our obligation to offer 340B pricing to certain entities.</w:t>
      </w:r>
    </w:p>
    <w:p w:rsidR="00000000" w:rsidRDefault="00FD7D3C">
      <w:pPr>
        <w:ind w:firstLine="1080"/>
        <w:divId w:val="1873610644"/>
        <w:rPr>
          <w:rFonts w:eastAsia="Times New Roman"/>
        </w:rPr>
      </w:pPr>
      <w:r>
        <w:rPr>
          <w:rFonts w:eastAsia="Times New Roman"/>
          <w:color w:val="000000"/>
          <w:sz w:val="20"/>
          <w:szCs w:val="20"/>
        </w:rPr>
        <w:t>These laws, and future state and federal h</w:t>
      </w:r>
      <w:r>
        <w:rPr>
          <w:rFonts w:eastAsia="Times New Roman"/>
          <w:color w:val="000000"/>
          <w:sz w:val="20"/>
          <w:szCs w:val="20"/>
        </w:rPr>
        <w:t>ealthcare reform measures may be adopted in the future, any of which may result in additional reductions in Medicare and other healthcare funding and otherwise affect the prices we may obtain for any product candidates for which we may obtain regulatory ap</w:t>
      </w:r>
      <w:r>
        <w:rPr>
          <w:rFonts w:eastAsia="Times New Roman"/>
          <w:color w:val="000000"/>
          <w:sz w:val="20"/>
          <w:szCs w:val="20"/>
        </w:rPr>
        <w:t>proval or the frequency with which any such product candidate is prescribed or used.</w:t>
      </w:r>
    </w:p>
    <w:p w:rsidR="00000000" w:rsidRDefault="00FD7D3C">
      <w:pPr>
        <w:ind w:firstLine="1080"/>
        <w:divId w:val="818576320"/>
        <w:rPr>
          <w:rFonts w:eastAsia="Times New Roman"/>
        </w:rPr>
      </w:pPr>
      <w:r>
        <w:rPr>
          <w:rFonts w:eastAsia="Times New Roman"/>
          <w:color w:val="000000"/>
          <w:sz w:val="20"/>
          <w:szCs w:val="20"/>
        </w:rPr>
        <w:t>Outside of the United States, the pricing of pharmaceutical products and medical devices is subject to governmental control in many countries. For example, in the European</w:t>
      </w:r>
      <w:r>
        <w:rPr>
          <w:rFonts w:eastAsia="Times New Roman"/>
          <w:color w:val="000000"/>
          <w:sz w:val="20"/>
          <w:szCs w:val="20"/>
        </w:rPr>
        <w:t xml:space="preserve"> Union, pricing and reimbursement schemes vary widely from country to country. Some countries provide that products may be marketed only after a reimbursement price has been agreed. Some countries may require the completion of additional studies that compa</w:t>
      </w:r>
      <w:r>
        <w:rPr>
          <w:rFonts w:eastAsia="Times New Roman"/>
          <w:color w:val="000000"/>
          <w:sz w:val="20"/>
          <w:szCs w:val="20"/>
        </w:rPr>
        <w:t>re the cost effectiveness of a particular therapy to currently available therapies or so-called health technology assessments, in order to obtain reimbursement or pricing approval. The outcome of HTA assessments is decided on a national basis and some payo</w:t>
      </w:r>
      <w:r>
        <w:rPr>
          <w:rFonts w:eastAsia="Times New Roman"/>
          <w:color w:val="000000"/>
          <w:sz w:val="20"/>
          <w:szCs w:val="20"/>
        </w:rPr>
        <w:t>rs may not reimburse the use of assessed products or may reduce the rate of reimbursement for such products. In December 2021, the EU adopted a new Regulation on Health Technology Assessment. The Regulation creates collaborative structures and procedures t</w:t>
      </w:r>
      <w:r>
        <w:rPr>
          <w:rFonts w:eastAsia="Times New Roman"/>
          <w:color w:val="000000"/>
          <w:sz w:val="20"/>
          <w:szCs w:val="20"/>
        </w:rPr>
        <w:t>hat allow Member States to carry out joint clinical assessments, effect joint clinical consultations and identify jointly emerging health technologies and will come into effect in 2025.</w:t>
      </w:r>
    </w:p>
    <w:p w:rsidR="00000000" w:rsidRDefault="00FD7D3C">
      <w:pPr>
        <w:ind w:firstLine="1080"/>
        <w:divId w:val="692415346"/>
        <w:rPr>
          <w:rFonts w:eastAsia="Times New Roman"/>
        </w:rPr>
      </w:pPr>
      <w:r>
        <w:rPr>
          <w:rFonts w:eastAsia="Times New Roman"/>
          <w:color w:val="000000"/>
          <w:sz w:val="20"/>
          <w:szCs w:val="20"/>
        </w:rPr>
        <w:t>Other countries may allow companies to fix their own prices for produc</w:t>
      </w:r>
      <w:r>
        <w:rPr>
          <w:rFonts w:eastAsia="Times New Roman"/>
          <w:color w:val="000000"/>
          <w:sz w:val="20"/>
          <w:szCs w:val="20"/>
        </w:rPr>
        <w:t>ts but monitor and control product volumes and issue guidance to physicians to limit prescriptions. Efforts to control prices and utilization of pharmaceutical products and medical devices will likely continue as countries attempt to manage healthcare expe</w:t>
      </w:r>
      <w:r>
        <w:rPr>
          <w:rFonts w:eastAsia="Times New Roman"/>
          <w:color w:val="000000"/>
          <w:sz w:val="20"/>
          <w:szCs w:val="20"/>
        </w:rPr>
        <w:t>nditures.</w:t>
      </w:r>
    </w:p>
    <w:p w:rsidR="00000000" w:rsidRDefault="00FD7D3C">
      <w:pPr>
        <w:divId w:val="233129471"/>
        <w:rPr>
          <w:rFonts w:eastAsia="Times New Roman"/>
        </w:rPr>
      </w:pPr>
      <w:r>
        <w:rPr>
          <w:rFonts w:eastAsia="Times New Roman"/>
          <w:b/>
          <w:bCs/>
          <w:color w:val="000000"/>
          <w:sz w:val="20"/>
          <w:szCs w:val="20"/>
        </w:rPr>
        <w:t>Human Capital Resources</w:t>
      </w:r>
    </w:p>
    <w:p w:rsidR="00000000" w:rsidRDefault="00FD7D3C">
      <w:pPr>
        <w:ind w:firstLine="720"/>
        <w:divId w:val="1568343944"/>
        <w:rPr>
          <w:rFonts w:eastAsia="Times New Roman"/>
        </w:rPr>
      </w:pPr>
      <w:r>
        <w:rPr>
          <w:rFonts w:eastAsia="Times New Roman"/>
          <w:color w:val="000000"/>
          <w:sz w:val="20"/>
          <w:szCs w:val="20"/>
        </w:rPr>
        <w:t>As of December 31, 2021, we had 91 full-time employees, including 37 with Ph.D. or M.D. degrees and 64 who are engaged in research and development activities. None of our employees are represented by labor unions or covere</w:t>
      </w:r>
      <w:r>
        <w:rPr>
          <w:rFonts w:eastAsia="Times New Roman"/>
          <w:color w:val="000000"/>
          <w:sz w:val="20"/>
          <w:szCs w:val="20"/>
        </w:rPr>
        <w:t>d by collective bargaining agreements, and we have experienced no work stoppages. We consider our relationship with our employees to be good.</w:t>
      </w:r>
    </w:p>
    <w:p w:rsidR="00000000" w:rsidRDefault="00FD7D3C">
      <w:pPr>
        <w:ind w:firstLine="720"/>
        <w:divId w:val="2024282292"/>
        <w:rPr>
          <w:rFonts w:eastAsia="Times New Roman"/>
        </w:rPr>
      </w:pPr>
      <w:r>
        <w:rPr>
          <w:rFonts w:eastAsia="Times New Roman"/>
          <w:color w:val="000000"/>
          <w:sz w:val="20"/>
          <w:szCs w:val="20"/>
        </w:rPr>
        <w:t>We rely on skilled, experienced, and innovative employees to conduct the operations of our company and we continue</w:t>
      </w:r>
      <w:r>
        <w:rPr>
          <w:rFonts w:eastAsia="Times New Roman"/>
          <w:color w:val="000000"/>
          <w:sz w:val="20"/>
          <w:szCs w:val="20"/>
        </w:rPr>
        <w:t xml:space="preserve"> to face intense competition for our personnel from our competitors and other companies throughout our industry. The biotechnology industry is very competitive and recruiting and retaining such employees is important to the continued success of our busines</w:t>
      </w:r>
      <w:r>
        <w:rPr>
          <w:rFonts w:eastAsia="Times New Roman"/>
          <w:color w:val="000000"/>
          <w:sz w:val="20"/>
          <w:szCs w:val="20"/>
        </w:rPr>
        <w:t>s. We are committed to building an outstanding, committed team and we focus on a culture that values a focus on scientific innovation, inclusion, collaboration, and equity. We believe that each employee brings unique perspectives and strengths, and by embr</w:t>
      </w:r>
      <w:r>
        <w:rPr>
          <w:rFonts w:eastAsia="Times New Roman"/>
          <w:color w:val="000000"/>
          <w:sz w:val="20"/>
          <w:szCs w:val="20"/>
        </w:rPr>
        <w:t>acing these strengths, we can do our best work for patients. We focus on recruiting, retaining, and developing employees from a diverse range of backgrounds to conduct our research, development, and clinical activities.</w:t>
      </w:r>
    </w:p>
    <w:p w:rsidR="00000000" w:rsidRDefault="00FD7D3C">
      <w:pPr>
        <w:jc w:val="center"/>
        <w:divId w:val="791248442"/>
        <w:rPr>
          <w:rFonts w:eastAsia="Times New Roman"/>
        </w:rPr>
      </w:pPr>
      <w:r>
        <w:rPr>
          <w:rFonts w:eastAsia="Times New Roman"/>
          <w:color w:val="000000"/>
          <w:sz w:val="20"/>
          <w:szCs w:val="20"/>
        </w:rPr>
        <w:t>43</w:t>
      </w:r>
    </w:p>
    <w:p w:rsidR="00000000" w:rsidRDefault="00FD7D3C">
      <w:pPr>
        <w:rPr>
          <w:rFonts w:eastAsia="Times New Roman"/>
        </w:rPr>
      </w:pPr>
      <w:r>
        <w:rPr>
          <w:rFonts w:eastAsia="Times New Roman"/>
        </w:rPr>
        <w:pict>
          <v:rect id="_x0000_i1096" style="width:0;height:1.5pt" o:hralign="center" o:hrstd="t" o:hr="t" fillcolor="#a0a0a0" stroked="f"/>
        </w:pict>
      </w:r>
    </w:p>
    <w:p w:rsidR="00000000" w:rsidRDefault="00FD7D3C">
      <w:pPr>
        <w:divId w:val="196503192"/>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ind w:firstLine="720"/>
        <w:divId w:val="882715687"/>
        <w:rPr>
          <w:rFonts w:eastAsia="Times New Roman"/>
        </w:rPr>
      </w:pPr>
      <w:r>
        <w:rPr>
          <w:rFonts w:eastAsia="Times New Roman"/>
          <w:color w:val="000000"/>
          <w:sz w:val="20"/>
          <w:szCs w:val="20"/>
        </w:rPr>
        <w:t>As part of our measures to attract and retain a highly skilled workforce, we provide a number of benefits to our full-time employees, including medical, dental and vision insur</w:t>
      </w:r>
      <w:r>
        <w:rPr>
          <w:rFonts w:eastAsia="Times New Roman"/>
          <w:color w:val="000000"/>
          <w:sz w:val="20"/>
          <w:szCs w:val="20"/>
        </w:rPr>
        <w:t>ance, life insurance, 401k retirement program with a company match, flexible spending accounts, and paid holiday and vacation time. We provide our employees with competitive salaries and bonuses, opportunities for equity ownership, development opportunitie</w:t>
      </w:r>
      <w:r>
        <w:rPr>
          <w:rFonts w:eastAsia="Times New Roman"/>
          <w:color w:val="000000"/>
          <w:sz w:val="20"/>
          <w:szCs w:val="20"/>
        </w:rPr>
        <w:t>s that enable continued learning and growth and a robust employment package that promotes well-being across all aspects of their lives. In addition, we regularly conduct an employee survey to gauge employee engagement and identify areas of focus.</w:t>
      </w:r>
    </w:p>
    <w:p w:rsidR="00000000" w:rsidRDefault="00FD7D3C">
      <w:pPr>
        <w:ind w:firstLine="720"/>
        <w:divId w:val="1569418164"/>
        <w:rPr>
          <w:rFonts w:eastAsia="Times New Roman"/>
        </w:rPr>
      </w:pPr>
      <w:r>
        <w:rPr>
          <w:rFonts w:eastAsia="Times New Roman"/>
          <w:color w:val="000000"/>
          <w:sz w:val="20"/>
          <w:szCs w:val="20"/>
        </w:rPr>
        <w:t xml:space="preserve">In 2021, </w:t>
      </w:r>
      <w:r>
        <w:rPr>
          <w:rFonts w:eastAsia="Times New Roman"/>
          <w:color w:val="000000"/>
          <w:sz w:val="20"/>
          <w:szCs w:val="20"/>
        </w:rPr>
        <w:t xml:space="preserve">we maintained the employee benefits enhancements that were implemented in response to the COVID-19 pandemic. For example, we increased company-wide flexible work arrangements, provided resources to enable employees to work from home, and introduced weekly </w:t>
      </w:r>
      <w:r>
        <w:rPr>
          <w:rFonts w:eastAsia="Times New Roman"/>
          <w:color w:val="000000"/>
          <w:sz w:val="20"/>
          <w:szCs w:val="20"/>
        </w:rPr>
        <w:t>onsite COVID-19 testing for all employees routinely working onsite. Our management has continued to assess and respond to the evolving needs of our workforce throughout the pandemic.</w:t>
      </w:r>
    </w:p>
    <w:p w:rsidR="00000000" w:rsidRDefault="00FD7D3C">
      <w:pPr>
        <w:divId w:val="313804685"/>
        <w:rPr>
          <w:rFonts w:eastAsia="Times New Roman"/>
        </w:rPr>
      </w:pPr>
      <w:r>
        <w:rPr>
          <w:rFonts w:eastAsia="Times New Roman"/>
          <w:b/>
          <w:bCs/>
          <w:color w:val="000000"/>
          <w:sz w:val="20"/>
          <w:szCs w:val="20"/>
        </w:rPr>
        <w:t>Corporate and Available Information</w:t>
      </w:r>
    </w:p>
    <w:p w:rsidR="00000000" w:rsidRDefault="00FD7D3C">
      <w:pPr>
        <w:ind w:firstLine="720"/>
        <w:divId w:val="2107535771"/>
        <w:rPr>
          <w:rFonts w:eastAsia="Times New Roman"/>
        </w:rPr>
      </w:pPr>
      <w:r>
        <w:rPr>
          <w:rFonts w:eastAsia="Times New Roman"/>
          <w:color w:val="000000"/>
          <w:sz w:val="20"/>
          <w:szCs w:val="20"/>
        </w:rPr>
        <w:t>We were incorporated under the laws of the State of Delaware in June 2015. Our principal executive office is located at 260 Littlefield Avenue, South San Francisco, California 94080, and our telephone number is (650) 481-6770. Our website address is https:</w:t>
      </w:r>
      <w:r>
        <w:rPr>
          <w:rFonts w:eastAsia="Times New Roman"/>
          <w:color w:val="000000"/>
          <w:sz w:val="20"/>
          <w:szCs w:val="20"/>
        </w:rPr>
        <w:t>//pliantrx.com.</w:t>
      </w:r>
    </w:p>
    <w:p w:rsidR="00000000" w:rsidRDefault="00FD7D3C">
      <w:pPr>
        <w:ind w:firstLine="720"/>
        <w:divId w:val="1657763702"/>
        <w:rPr>
          <w:rFonts w:eastAsia="Times New Roman"/>
        </w:rPr>
      </w:pPr>
      <w:r>
        <w:rPr>
          <w:rFonts w:eastAsia="Times New Roman"/>
          <w:color w:val="000000"/>
          <w:sz w:val="20"/>
          <w:szCs w:val="20"/>
        </w:rPr>
        <w:t>We file or furnish electronically with the U.S. Securities and Exchange Commission (the “SEC”) annual reports on Form 10-K, quarterly reports on Form 10-Q, current reports on Form 8-K and amendments to those reports filed or furnished pursu</w:t>
      </w:r>
      <w:r>
        <w:rPr>
          <w:rFonts w:eastAsia="Times New Roman"/>
          <w:color w:val="000000"/>
          <w:sz w:val="20"/>
          <w:szCs w:val="20"/>
        </w:rPr>
        <w:t>ant to Section 13(a) or 15(d) of the Exchange Act. We make copies of these reports available free of charge through our investor relations website as soon as reasonably practicable after we file or furnish them with the SEC. The SEC maintains an Internet s</w:t>
      </w:r>
      <w:r>
        <w:rPr>
          <w:rFonts w:eastAsia="Times New Roman"/>
          <w:color w:val="000000"/>
          <w:sz w:val="20"/>
          <w:szCs w:val="20"/>
        </w:rPr>
        <w:t>ite that contains reports, proxy and information statements and other information regarding our filings at www.sec.gov.</w:t>
      </w:r>
    </w:p>
    <w:p w:rsidR="00000000" w:rsidRDefault="00FD7D3C">
      <w:pPr>
        <w:ind w:firstLine="720"/>
        <w:divId w:val="481315663"/>
        <w:rPr>
          <w:rFonts w:eastAsia="Times New Roman"/>
        </w:rPr>
      </w:pPr>
      <w:r>
        <w:rPr>
          <w:rFonts w:eastAsia="Times New Roman"/>
          <w:color w:val="000000"/>
          <w:sz w:val="20"/>
          <w:szCs w:val="20"/>
        </w:rPr>
        <w:t>Information contained on or accessible through our websites is not incorporated into, and does not form a part of, this Annual Report or</w:t>
      </w:r>
      <w:r>
        <w:rPr>
          <w:rFonts w:eastAsia="Times New Roman"/>
          <w:color w:val="000000"/>
          <w:sz w:val="20"/>
          <w:szCs w:val="20"/>
        </w:rPr>
        <w:t xml:space="preserve"> any other report or document we file with the SEC, and any references to our websites are intended to be inactive textual references only.</w:t>
      </w:r>
    </w:p>
    <w:p w:rsidR="00000000" w:rsidRDefault="00FD7D3C">
      <w:pPr>
        <w:divId w:val="607003164"/>
        <w:rPr>
          <w:rFonts w:eastAsia="Times New Roman"/>
        </w:rPr>
      </w:pPr>
      <w:r>
        <w:rPr>
          <w:rFonts w:eastAsia="Times New Roman"/>
          <w:b/>
          <w:bCs/>
          <w:color w:val="000000"/>
          <w:sz w:val="20"/>
          <w:szCs w:val="20"/>
        </w:rPr>
        <w:t>Item 1A. Risk Factors.</w:t>
      </w:r>
    </w:p>
    <w:p w:rsidR="00000000" w:rsidRDefault="00FD7D3C">
      <w:pPr>
        <w:jc w:val="center"/>
        <w:rPr>
          <w:rFonts w:eastAsia="Times New Roman"/>
        </w:rPr>
      </w:pPr>
      <w:r>
        <w:rPr>
          <w:rFonts w:eastAsia="Times New Roman"/>
          <w:b/>
          <w:bCs/>
          <w:color w:val="000000"/>
          <w:sz w:val="20"/>
          <w:szCs w:val="20"/>
        </w:rPr>
        <w:t>RISK FACTORS</w:t>
      </w:r>
    </w:p>
    <w:p w:rsidR="00000000" w:rsidRDefault="00FD7D3C">
      <w:pPr>
        <w:ind w:firstLine="1080"/>
        <w:divId w:val="236745478"/>
        <w:rPr>
          <w:rFonts w:eastAsia="Times New Roman"/>
        </w:rPr>
      </w:pPr>
      <w:r>
        <w:rPr>
          <w:rFonts w:eastAsia="Times New Roman"/>
          <w:b/>
          <w:bCs/>
          <w:color w:val="000000"/>
          <w:sz w:val="20"/>
          <w:szCs w:val="20"/>
        </w:rPr>
        <w:t>Risks Related to Our Financial Position and Need for Additional Capital</w:t>
      </w:r>
    </w:p>
    <w:p w:rsidR="00000000" w:rsidRDefault="00FD7D3C">
      <w:pPr>
        <w:ind w:firstLine="1080"/>
        <w:divId w:val="1341011578"/>
        <w:rPr>
          <w:rFonts w:eastAsia="Times New Roman"/>
        </w:rPr>
      </w:pPr>
      <w:r>
        <w:rPr>
          <w:rFonts w:eastAsia="Times New Roman"/>
          <w:b/>
          <w:bCs/>
          <w:i/>
          <w:iCs/>
          <w:color w:val="000000"/>
          <w:sz w:val="20"/>
          <w:szCs w:val="20"/>
        </w:rPr>
        <w:t>We have incurred significant net losses since inception and we expect to continue to incur significant net losses for the foreseeable future.</w:t>
      </w:r>
    </w:p>
    <w:p w:rsidR="00000000" w:rsidRDefault="00FD7D3C">
      <w:pPr>
        <w:ind w:firstLine="1080"/>
        <w:divId w:val="1857576188"/>
        <w:rPr>
          <w:rFonts w:eastAsia="Times New Roman"/>
        </w:rPr>
      </w:pPr>
      <w:r>
        <w:rPr>
          <w:rFonts w:eastAsia="Times New Roman"/>
          <w:color w:val="000000"/>
          <w:sz w:val="20"/>
          <w:szCs w:val="20"/>
        </w:rPr>
        <w:t>We have incurred significant net losses si</w:t>
      </w:r>
      <w:r>
        <w:rPr>
          <w:rFonts w:eastAsia="Times New Roman"/>
          <w:color w:val="000000"/>
          <w:sz w:val="20"/>
          <w:szCs w:val="20"/>
        </w:rPr>
        <w:t>nce our inception and have financed our operations principally through equity financing and our collaboration with Novartis. We continue to incur significant research and development and other expenses related to our ongoing operations. Our net loss was $9</w:t>
      </w:r>
      <w:r>
        <w:rPr>
          <w:rFonts w:eastAsia="Times New Roman"/>
          <w:color w:val="000000"/>
          <w:sz w:val="20"/>
          <w:szCs w:val="20"/>
        </w:rPr>
        <w:t xml:space="preserve">7.3 million $41.5 million and $631,000 for the years ended December 31, 2021, 2020 and 2019, respectively. As of December 31, 2021, we had an accumulated deficit of $215.1 million. We have devoted substantially all of our resources and efforts to research </w:t>
      </w:r>
      <w:r>
        <w:rPr>
          <w:rFonts w:eastAsia="Times New Roman"/>
          <w:color w:val="000000"/>
          <w:sz w:val="20"/>
          <w:szCs w:val="20"/>
        </w:rPr>
        <w:t>and development, and we expect that it will be at least several years, if ever, before we generate revenue from product sales. Even if we receive marketing approval for and commercialize one or more of our product candidates, we expect that we will continu</w:t>
      </w:r>
      <w:r>
        <w:rPr>
          <w:rFonts w:eastAsia="Times New Roman"/>
          <w:color w:val="000000"/>
          <w:sz w:val="20"/>
          <w:szCs w:val="20"/>
        </w:rPr>
        <w:t>e to incur substantial research and development and other expenses in order to further develop and, if approved, market additional potential product candidates.</w:t>
      </w:r>
    </w:p>
    <w:p w:rsidR="00000000" w:rsidRDefault="00FD7D3C">
      <w:pPr>
        <w:ind w:firstLine="1080"/>
        <w:divId w:val="1120876706"/>
        <w:rPr>
          <w:rFonts w:eastAsia="Times New Roman"/>
        </w:rPr>
      </w:pPr>
      <w:r>
        <w:rPr>
          <w:rFonts w:eastAsia="Times New Roman"/>
          <w:color w:val="000000"/>
          <w:sz w:val="20"/>
          <w:szCs w:val="20"/>
        </w:rPr>
        <w:t>We expect to continue to incur significant losses for the foreseeable future, and we anticipate</w:t>
      </w:r>
      <w:r>
        <w:rPr>
          <w:rFonts w:eastAsia="Times New Roman"/>
          <w:color w:val="000000"/>
          <w:sz w:val="20"/>
          <w:szCs w:val="20"/>
        </w:rPr>
        <w:t xml:space="preserve"> that our expenses will increase substantially if, and as, we:</w:t>
      </w:r>
    </w:p>
    <w:p w:rsidR="00000000" w:rsidRDefault="00FD7D3C">
      <w:pPr>
        <w:ind w:hanging="1260"/>
        <w:divId w:val="733700088"/>
        <w:rPr>
          <w:rFonts w:eastAsia="Times New Roman"/>
        </w:rPr>
      </w:pPr>
      <w:r>
        <w:rPr>
          <w:rFonts w:eastAsia="Times New Roman"/>
          <w:color w:val="000000"/>
          <w:sz w:val="20"/>
          <w:szCs w:val="20"/>
        </w:rPr>
        <w:t>•advance our lead product candidate, PLN-74809, and our other product candidates through clinical development, and, if successful, later-stage clinical trials;</w:t>
      </w:r>
    </w:p>
    <w:p w:rsidR="00000000" w:rsidRDefault="00FD7D3C">
      <w:pPr>
        <w:ind w:hanging="1260"/>
        <w:divId w:val="1586723204"/>
        <w:rPr>
          <w:rFonts w:eastAsia="Times New Roman"/>
        </w:rPr>
      </w:pPr>
      <w:r>
        <w:rPr>
          <w:rFonts w:eastAsia="Times New Roman"/>
          <w:color w:val="000000"/>
          <w:sz w:val="20"/>
          <w:szCs w:val="20"/>
        </w:rPr>
        <w:t>•discover and develop new product</w:t>
      </w:r>
      <w:r>
        <w:rPr>
          <w:rFonts w:eastAsia="Times New Roman"/>
          <w:color w:val="000000"/>
          <w:sz w:val="20"/>
          <w:szCs w:val="20"/>
        </w:rPr>
        <w:t xml:space="preserve"> candidates;</w:t>
      </w:r>
    </w:p>
    <w:p w:rsidR="00000000" w:rsidRDefault="00FD7D3C">
      <w:pPr>
        <w:ind w:hanging="1260"/>
        <w:divId w:val="1470243684"/>
        <w:rPr>
          <w:rFonts w:eastAsia="Times New Roman"/>
        </w:rPr>
      </w:pPr>
      <w:r>
        <w:rPr>
          <w:rFonts w:eastAsia="Times New Roman"/>
          <w:color w:val="000000"/>
          <w:sz w:val="20"/>
          <w:szCs w:val="20"/>
        </w:rPr>
        <w:t>•advance our preclinical development programs into clinical development;</w:t>
      </w:r>
    </w:p>
    <w:p w:rsidR="00000000" w:rsidRDefault="00FD7D3C">
      <w:pPr>
        <w:ind w:hanging="1260"/>
        <w:divId w:val="1219127415"/>
        <w:rPr>
          <w:rFonts w:eastAsia="Times New Roman"/>
        </w:rPr>
      </w:pPr>
      <w:r>
        <w:rPr>
          <w:rFonts w:eastAsia="Times New Roman"/>
          <w:color w:val="000000"/>
          <w:sz w:val="20"/>
          <w:szCs w:val="20"/>
        </w:rPr>
        <w:t>•further develop manufacturing processes and manufacture our product candidates;</w:t>
      </w:r>
    </w:p>
    <w:p w:rsidR="00000000" w:rsidRDefault="00FD7D3C">
      <w:pPr>
        <w:ind w:hanging="1260"/>
        <w:divId w:val="882987402"/>
        <w:rPr>
          <w:rFonts w:eastAsia="Times New Roman"/>
        </w:rPr>
      </w:pPr>
      <w:r>
        <w:rPr>
          <w:rFonts w:eastAsia="Times New Roman"/>
          <w:color w:val="000000"/>
          <w:sz w:val="20"/>
          <w:szCs w:val="20"/>
        </w:rPr>
        <w:t xml:space="preserve">•experience delays or interruptions to preclinical studies, clinical trials, our receipt </w:t>
      </w:r>
      <w:r>
        <w:rPr>
          <w:rFonts w:eastAsia="Times New Roman"/>
          <w:color w:val="000000"/>
          <w:sz w:val="20"/>
          <w:szCs w:val="20"/>
        </w:rPr>
        <w:t>of services from our third-party service providers on whom we rely, or our supply chain due to the COVID-19 pandemic;</w:t>
      </w:r>
    </w:p>
    <w:p w:rsidR="00000000" w:rsidRDefault="00FD7D3C">
      <w:pPr>
        <w:ind w:hanging="1260"/>
        <w:divId w:val="937326918"/>
        <w:rPr>
          <w:rFonts w:eastAsia="Times New Roman"/>
        </w:rPr>
      </w:pPr>
      <w:r>
        <w:rPr>
          <w:rFonts w:eastAsia="Times New Roman"/>
          <w:color w:val="000000"/>
          <w:sz w:val="20"/>
          <w:szCs w:val="20"/>
        </w:rPr>
        <w:t>•seek regulatory approvals for any product candidates that successfully complete clinical trials;</w:t>
      </w:r>
    </w:p>
    <w:p w:rsidR="00000000" w:rsidRDefault="00FD7D3C">
      <w:pPr>
        <w:jc w:val="center"/>
        <w:divId w:val="199326416"/>
        <w:rPr>
          <w:rFonts w:eastAsia="Times New Roman"/>
        </w:rPr>
      </w:pPr>
      <w:r>
        <w:rPr>
          <w:rFonts w:eastAsia="Times New Roman"/>
          <w:color w:val="000000"/>
          <w:sz w:val="20"/>
          <w:szCs w:val="20"/>
        </w:rPr>
        <w:t>44</w:t>
      </w:r>
    </w:p>
    <w:p w:rsidR="00000000" w:rsidRDefault="00FD7D3C">
      <w:pPr>
        <w:rPr>
          <w:rFonts w:eastAsia="Times New Roman"/>
        </w:rPr>
      </w:pPr>
      <w:r>
        <w:rPr>
          <w:rFonts w:eastAsia="Times New Roman"/>
        </w:rPr>
        <w:pict>
          <v:rect id="_x0000_i1097" style="width:0;height:1.5pt" o:hralign="center" o:hrstd="t" o:hr="t" fillcolor="#a0a0a0" stroked="f"/>
        </w:pict>
      </w:r>
    </w:p>
    <w:p w:rsidR="00000000" w:rsidRDefault="00FD7D3C">
      <w:pPr>
        <w:divId w:val="1477144309"/>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ind w:hanging="1260"/>
        <w:divId w:val="1685209567"/>
        <w:rPr>
          <w:rFonts w:eastAsia="Times New Roman"/>
        </w:rPr>
      </w:pPr>
      <w:r>
        <w:rPr>
          <w:rFonts w:eastAsia="Times New Roman"/>
          <w:color w:val="000000"/>
          <w:sz w:val="20"/>
          <w:szCs w:val="20"/>
        </w:rPr>
        <w:t>•commercialize PLN-74809, our other product candidates and any future product candidates, if approved;</w:t>
      </w:r>
    </w:p>
    <w:p w:rsidR="00000000" w:rsidRDefault="00FD7D3C">
      <w:pPr>
        <w:ind w:hanging="1260"/>
        <w:divId w:val="464473047"/>
        <w:rPr>
          <w:rFonts w:eastAsia="Times New Roman"/>
        </w:rPr>
      </w:pPr>
      <w:r>
        <w:rPr>
          <w:rFonts w:eastAsia="Times New Roman"/>
          <w:color w:val="000000"/>
          <w:sz w:val="20"/>
          <w:szCs w:val="20"/>
        </w:rPr>
        <w:t>•increase the amount of research and development activities to identify and d</w:t>
      </w:r>
      <w:r>
        <w:rPr>
          <w:rFonts w:eastAsia="Times New Roman"/>
          <w:color w:val="000000"/>
          <w:sz w:val="20"/>
          <w:szCs w:val="20"/>
        </w:rPr>
        <w:t>evelop product candidates;</w:t>
      </w:r>
    </w:p>
    <w:p w:rsidR="00000000" w:rsidRDefault="00FD7D3C">
      <w:pPr>
        <w:ind w:hanging="1260"/>
        <w:divId w:val="680205642"/>
        <w:rPr>
          <w:rFonts w:eastAsia="Times New Roman"/>
        </w:rPr>
      </w:pPr>
      <w:r>
        <w:rPr>
          <w:rFonts w:eastAsia="Times New Roman"/>
          <w:color w:val="000000"/>
          <w:sz w:val="20"/>
          <w:szCs w:val="20"/>
        </w:rPr>
        <w:t>•hire additional clinical development, quality control, scientific and management personnel;</w:t>
      </w:r>
    </w:p>
    <w:p w:rsidR="00000000" w:rsidRDefault="00FD7D3C">
      <w:pPr>
        <w:ind w:hanging="1260"/>
        <w:divId w:val="577323141"/>
        <w:rPr>
          <w:rFonts w:eastAsia="Times New Roman"/>
        </w:rPr>
      </w:pPr>
      <w:r>
        <w:rPr>
          <w:rFonts w:eastAsia="Times New Roman"/>
          <w:color w:val="000000"/>
          <w:sz w:val="20"/>
          <w:szCs w:val="20"/>
        </w:rPr>
        <w:t>•expand our operational, financial and management systems and increase personnel, including personnel to support our clinical developmen</w:t>
      </w:r>
      <w:r>
        <w:rPr>
          <w:rFonts w:eastAsia="Times New Roman"/>
          <w:color w:val="000000"/>
          <w:sz w:val="20"/>
          <w:szCs w:val="20"/>
        </w:rPr>
        <w:t>t and manufacturing efforts and our operations as a public company;</w:t>
      </w:r>
    </w:p>
    <w:p w:rsidR="00000000" w:rsidRDefault="00FD7D3C">
      <w:pPr>
        <w:ind w:hanging="1260"/>
        <w:divId w:val="971522936"/>
        <w:rPr>
          <w:rFonts w:eastAsia="Times New Roman"/>
        </w:rPr>
      </w:pPr>
      <w:r>
        <w:rPr>
          <w:rFonts w:eastAsia="Times New Roman"/>
          <w:color w:val="000000"/>
          <w:sz w:val="20"/>
          <w:szCs w:val="20"/>
        </w:rPr>
        <w:t>•establish a sales, marketing, medical affairs and distribution infrastructure to commercialize any products for which we may obtain marketing approval and intend to commercialize on our o</w:t>
      </w:r>
      <w:r>
        <w:rPr>
          <w:rFonts w:eastAsia="Times New Roman"/>
          <w:color w:val="000000"/>
          <w:sz w:val="20"/>
          <w:szCs w:val="20"/>
        </w:rPr>
        <w:t>wn or jointly with third parties;</w:t>
      </w:r>
    </w:p>
    <w:p w:rsidR="00000000" w:rsidRDefault="00FD7D3C">
      <w:pPr>
        <w:ind w:hanging="1260"/>
        <w:divId w:val="1586305572"/>
        <w:rPr>
          <w:rFonts w:eastAsia="Times New Roman"/>
        </w:rPr>
      </w:pPr>
      <w:r>
        <w:rPr>
          <w:rFonts w:eastAsia="Times New Roman"/>
          <w:color w:val="000000"/>
          <w:sz w:val="20"/>
          <w:szCs w:val="20"/>
        </w:rPr>
        <w:t>•maintain, expand and protect our intellectual property portfolio;</w:t>
      </w:r>
    </w:p>
    <w:p w:rsidR="00000000" w:rsidRDefault="00FD7D3C">
      <w:pPr>
        <w:ind w:hanging="1260"/>
        <w:divId w:val="1734696667"/>
        <w:rPr>
          <w:rFonts w:eastAsia="Times New Roman"/>
        </w:rPr>
      </w:pPr>
      <w:r>
        <w:rPr>
          <w:rFonts w:eastAsia="Times New Roman"/>
          <w:color w:val="000000"/>
          <w:sz w:val="20"/>
          <w:szCs w:val="20"/>
        </w:rPr>
        <w:t>•invest in or in-license other technologies or product candidates; and</w:t>
      </w:r>
    </w:p>
    <w:p w:rsidR="00000000" w:rsidRDefault="00FD7D3C">
      <w:pPr>
        <w:ind w:hanging="1260"/>
        <w:divId w:val="529924462"/>
        <w:rPr>
          <w:rFonts w:eastAsia="Times New Roman"/>
        </w:rPr>
      </w:pPr>
      <w:r>
        <w:rPr>
          <w:rFonts w:eastAsia="Times New Roman"/>
          <w:color w:val="000000"/>
          <w:sz w:val="20"/>
          <w:szCs w:val="20"/>
        </w:rPr>
        <w:t>•continue to build out our organization to engage in such activities.</w:t>
      </w:r>
    </w:p>
    <w:p w:rsidR="00000000" w:rsidRDefault="00FD7D3C">
      <w:pPr>
        <w:ind w:firstLine="1080"/>
        <w:divId w:val="1876699974"/>
        <w:rPr>
          <w:rFonts w:eastAsia="Times New Roman"/>
        </w:rPr>
      </w:pPr>
      <w:r>
        <w:rPr>
          <w:rFonts w:eastAsia="Times New Roman"/>
          <w:color w:val="000000"/>
          <w:sz w:val="20"/>
          <w:szCs w:val="20"/>
        </w:rPr>
        <w:t>To become and remain profitable, we must develop and eventually commercialize products with significant market potential. This will require us to be successful in a range of challenging activities, including completing preclinical studies and clinical tria</w:t>
      </w:r>
      <w:r>
        <w:rPr>
          <w:rFonts w:eastAsia="Times New Roman"/>
          <w:color w:val="000000"/>
          <w:sz w:val="20"/>
          <w:szCs w:val="20"/>
        </w:rPr>
        <w:t>ls, obtaining marketing approval for product candidates, manufacturing, marketing, and selling products for which we may obtain marketing approval and satisfying any post-marketing requirements. We may never succeed in any or all of these activities and, e</w:t>
      </w:r>
      <w:r>
        <w:rPr>
          <w:rFonts w:eastAsia="Times New Roman"/>
          <w:color w:val="000000"/>
          <w:sz w:val="20"/>
          <w:szCs w:val="20"/>
        </w:rPr>
        <w:t>ven if we do, we may never generate revenue that is significant enough to achieve profitability. If we do achieve profitability, we may not be able to sustain or increase profitability on a quarterly or annual basis. Our failure to become and remain profit</w:t>
      </w:r>
      <w:r>
        <w:rPr>
          <w:rFonts w:eastAsia="Times New Roman"/>
          <w:color w:val="000000"/>
          <w:sz w:val="20"/>
          <w:szCs w:val="20"/>
        </w:rPr>
        <w:t>able would decrease the value of our company and could impair our ability to raise capital, maintain our research and development efforts, expand our business, or continue our operations.</w:t>
      </w:r>
    </w:p>
    <w:p w:rsidR="00000000" w:rsidRDefault="00FD7D3C">
      <w:pPr>
        <w:ind w:firstLine="1080"/>
        <w:jc w:val="both"/>
        <w:divId w:val="836189707"/>
        <w:rPr>
          <w:rFonts w:eastAsia="Times New Roman"/>
        </w:rPr>
      </w:pPr>
      <w:r>
        <w:rPr>
          <w:rFonts w:eastAsia="Times New Roman"/>
          <w:b/>
          <w:bCs/>
          <w:i/>
          <w:iCs/>
          <w:color w:val="000000"/>
          <w:sz w:val="20"/>
          <w:szCs w:val="20"/>
        </w:rPr>
        <w:t>We will require substantial additional capital to finance our operat</w:t>
      </w:r>
      <w:r>
        <w:rPr>
          <w:rFonts w:eastAsia="Times New Roman"/>
          <w:b/>
          <w:bCs/>
          <w:i/>
          <w:iCs/>
          <w:color w:val="000000"/>
          <w:sz w:val="20"/>
          <w:szCs w:val="20"/>
        </w:rPr>
        <w:t>ions. If we are unable to raise such capital when needed, or on acceptable terms, we may be forced to delay, reduce and/or eliminate one or more of our research and drug development programs, future commercialization efforts or other operations.</w:t>
      </w:r>
    </w:p>
    <w:p w:rsidR="00000000" w:rsidRDefault="00FD7D3C">
      <w:pPr>
        <w:ind w:firstLine="1080"/>
        <w:divId w:val="938029993"/>
        <w:rPr>
          <w:rFonts w:eastAsia="Times New Roman"/>
        </w:rPr>
      </w:pPr>
      <w:r>
        <w:rPr>
          <w:rFonts w:eastAsia="Times New Roman"/>
          <w:color w:val="000000"/>
          <w:sz w:val="20"/>
          <w:szCs w:val="20"/>
        </w:rPr>
        <w:t>Developing</w:t>
      </w:r>
      <w:r>
        <w:rPr>
          <w:rFonts w:eastAsia="Times New Roman"/>
          <w:color w:val="000000"/>
          <w:sz w:val="20"/>
          <w:szCs w:val="20"/>
        </w:rPr>
        <w:t xml:space="preserve"> biopharmaceutical products, including conducting preclinical studies and clinical trials, is a very time-consuming, expensive, and uncertain process that takes years to complete. Our operations have consumed substantial amounts of cash since inception. We</w:t>
      </w:r>
      <w:r>
        <w:rPr>
          <w:rFonts w:eastAsia="Times New Roman"/>
          <w:color w:val="000000"/>
          <w:sz w:val="20"/>
          <w:szCs w:val="20"/>
        </w:rPr>
        <w:t xml:space="preserve"> expect our expenses to increase in connection with our ongoing activities, particularly as we conduct our planned clinical trials of PLN-74809 and any future product candidates that we may develop, seek regulatory approvals for our product candidates and </w:t>
      </w:r>
      <w:r>
        <w:rPr>
          <w:rFonts w:eastAsia="Times New Roman"/>
          <w:color w:val="000000"/>
          <w:sz w:val="20"/>
          <w:szCs w:val="20"/>
        </w:rPr>
        <w:t>to launch and commercialize any products for which we receive regulatory approval. We also expect to incur additional costs associated with operating as a public company. Accordingly, we will need to obtain substantial additional funding in order to mainta</w:t>
      </w:r>
      <w:r>
        <w:rPr>
          <w:rFonts w:eastAsia="Times New Roman"/>
          <w:color w:val="000000"/>
          <w:sz w:val="20"/>
          <w:szCs w:val="20"/>
        </w:rPr>
        <w:t>in our continuing operations. If we are unable to raise capital when needed or on acceptable terms, we may be forced to delay, reduce, or eliminate one or more of our research and drug development programs or future commercialization efforts.</w:t>
      </w:r>
    </w:p>
    <w:p w:rsidR="00000000" w:rsidRDefault="00FD7D3C">
      <w:pPr>
        <w:ind w:firstLine="1080"/>
        <w:divId w:val="17123187"/>
        <w:rPr>
          <w:rFonts w:eastAsia="Times New Roman"/>
        </w:rPr>
      </w:pPr>
      <w:r>
        <w:rPr>
          <w:rFonts w:eastAsia="Times New Roman"/>
          <w:color w:val="000000"/>
          <w:sz w:val="20"/>
          <w:szCs w:val="20"/>
        </w:rPr>
        <w:t>As of Decembe</w:t>
      </w:r>
      <w:r>
        <w:rPr>
          <w:rFonts w:eastAsia="Times New Roman"/>
          <w:color w:val="000000"/>
          <w:sz w:val="20"/>
          <w:szCs w:val="20"/>
        </w:rPr>
        <w:t>r 31, 2021, we had approximately $200.6 million in cash, cash equivalents and short-term investments. Based on our current operating plan, we believe that our existing cash, cash equivalents and short-term investments, will be sufficient to fund our operat</w:t>
      </w:r>
      <w:r>
        <w:rPr>
          <w:rFonts w:eastAsia="Times New Roman"/>
          <w:color w:val="000000"/>
          <w:sz w:val="20"/>
          <w:szCs w:val="20"/>
        </w:rPr>
        <w:t xml:space="preserve">ing expenses and capital expenditure requirements into the second half of 2023. However, our future capital requirements and the period for which our existing resources will support our operations may vary significantly from what we expect, and we will in </w:t>
      </w:r>
      <w:r>
        <w:rPr>
          <w:rFonts w:eastAsia="Times New Roman"/>
          <w:color w:val="000000"/>
          <w:sz w:val="20"/>
          <w:szCs w:val="20"/>
        </w:rPr>
        <w:t>any event require additional capital in order to complete clinical development of any of our current programs. Our monthly spending levels will vary based on new and ongoing development and corporate activities. Because the length of time and activities as</w:t>
      </w:r>
      <w:r>
        <w:rPr>
          <w:rFonts w:eastAsia="Times New Roman"/>
          <w:color w:val="000000"/>
          <w:sz w:val="20"/>
          <w:szCs w:val="20"/>
        </w:rPr>
        <w:t>sociated with development of our product candidates is highly uncertain, we are unable to estimate the actual funds we will require for development, marketing, and commercialization activities. Our future funding requirements, both near and long-term, will</w:t>
      </w:r>
      <w:r>
        <w:rPr>
          <w:rFonts w:eastAsia="Times New Roman"/>
          <w:color w:val="000000"/>
          <w:sz w:val="20"/>
          <w:szCs w:val="20"/>
        </w:rPr>
        <w:t xml:space="preserve"> depend on many factors, including, but not limited to:</w:t>
      </w:r>
    </w:p>
    <w:p w:rsidR="00000000" w:rsidRDefault="00FD7D3C">
      <w:pPr>
        <w:ind w:hanging="1260"/>
        <w:divId w:val="752631495"/>
        <w:rPr>
          <w:rFonts w:eastAsia="Times New Roman"/>
        </w:rPr>
      </w:pPr>
      <w:r>
        <w:rPr>
          <w:rFonts w:eastAsia="Times New Roman"/>
          <w:color w:val="000000"/>
          <w:sz w:val="20"/>
          <w:szCs w:val="20"/>
        </w:rPr>
        <w:t>•the initiation, progress, timing, costs and results of preclinical studies and clinical trials for our product candidates;</w:t>
      </w:r>
    </w:p>
    <w:p w:rsidR="00000000" w:rsidRDefault="00FD7D3C">
      <w:pPr>
        <w:ind w:hanging="1260"/>
        <w:divId w:val="1643002064"/>
        <w:rPr>
          <w:rFonts w:eastAsia="Times New Roman"/>
        </w:rPr>
      </w:pPr>
      <w:r>
        <w:rPr>
          <w:rFonts w:eastAsia="Times New Roman"/>
          <w:color w:val="000000"/>
          <w:sz w:val="20"/>
          <w:szCs w:val="20"/>
        </w:rPr>
        <w:t>•the clinical development plans we establish for these product candidates;</w:t>
      </w:r>
    </w:p>
    <w:p w:rsidR="00000000" w:rsidRDefault="00FD7D3C">
      <w:pPr>
        <w:ind w:hanging="1260"/>
        <w:divId w:val="534124041"/>
        <w:rPr>
          <w:rFonts w:eastAsia="Times New Roman"/>
        </w:rPr>
      </w:pPr>
      <w:r>
        <w:rPr>
          <w:rFonts w:eastAsia="Times New Roman"/>
          <w:color w:val="000000"/>
          <w:sz w:val="20"/>
          <w:szCs w:val="20"/>
        </w:rPr>
        <w:t>•</w:t>
      </w:r>
      <w:r>
        <w:rPr>
          <w:rFonts w:eastAsia="Times New Roman"/>
          <w:color w:val="000000"/>
          <w:sz w:val="20"/>
          <w:szCs w:val="20"/>
        </w:rPr>
        <w:t>the timelines of our clinical trials and the overall costs to conduct and complete the clinical trials due to the COVID-19 pandemic;</w:t>
      </w:r>
    </w:p>
    <w:p w:rsidR="00000000" w:rsidRDefault="00FD7D3C">
      <w:pPr>
        <w:jc w:val="center"/>
        <w:divId w:val="1776830298"/>
        <w:rPr>
          <w:rFonts w:eastAsia="Times New Roman"/>
        </w:rPr>
      </w:pPr>
      <w:r>
        <w:rPr>
          <w:rFonts w:eastAsia="Times New Roman"/>
          <w:color w:val="000000"/>
          <w:sz w:val="20"/>
          <w:szCs w:val="20"/>
        </w:rPr>
        <w:t>45</w:t>
      </w:r>
    </w:p>
    <w:p w:rsidR="00000000" w:rsidRDefault="00FD7D3C">
      <w:pPr>
        <w:rPr>
          <w:rFonts w:eastAsia="Times New Roman"/>
        </w:rPr>
      </w:pPr>
      <w:r>
        <w:rPr>
          <w:rFonts w:eastAsia="Times New Roman"/>
        </w:rPr>
        <w:pict>
          <v:rect id="_x0000_i1098" style="width:0;height:1.5pt" o:hralign="center" o:hrstd="t" o:hr="t" fillcolor="#a0a0a0" stroked="f"/>
        </w:pict>
      </w:r>
    </w:p>
    <w:p w:rsidR="00000000" w:rsidRDefault="00FD7D3C">
      <w:pPr>
        <w:divId w:val="1463839972"/>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ind w:hanging="1260"/>
        <w:divId w:val="124351501"/>
        <w:rPr>
          <w:rFonts w:eastAsia="Times New Roman"/>
        </w:rPr>
      </w:pPr>
      <w:r>
        <w:rPr>
          <w:rFonts w:eastAsia="Times New Roman"/>
          <w:color w:val="000000"/>
          <w:sz w:val="20"/>
          <w:szCs w:val="20"/>
        </w:rPr>
        <w:t>•the cost and capital commitments required for developing manufacturing processes for our product candidates and manufacturing our product candidates at clinical and commercial sca</w:t>
      </w:r>
      <w:r>
        <w:rPr>
          <w:rFonts w:eastAsia="Times New Roman"/>
          <w:color w:val="000000"/>
          <w:sz w:val="20"/>
          <w:szCs w:val="20"/>
        </w:rPr>
        <w:t>les;</w:t>
      </w:r>
    </w:p>
    <w:p w:rsidR="00000000" w:rsidRDefault="00FD7D3C">
      <w:pPr>
        <w:ind w:hanging="1260"/>
        <w:divId w:val="1317341044"/>
        <w:rPr>
          <w:rFonts w:eastAsia="Times New Roman"/>
        </w:rPr>
      </w:pPr>
      <w:r>
        <w:rPr>
          <w:rFonts w:eastAsia="Times New Roman"/>
          <w:color w:val="000000"/>
          <w:sz w:val="20"/>
          <w:szCs w:val="20"/>
        </w:rPr>
        <w:t>•the number and characteristics of product candidates that we develop;</w:t>
      </w:r>
    </w:p>
    <w:p w:rsidR="00000000" w:rsidRDefault="00FD7D3C">
      <w:pPr>
        <w:ind w:hanging="1260"/>
        <w:divId w:val="1695956861"/>
        <w:rPr>
          <w:rFonts w:eastAsia="Times New Roman"/>
        </w:rPr>
      </w:pPr>
      <w:r>
        <w:rPr>
          <w:rFonts w:eastAsia="Times New Roman"/>
          <w:color w:val="000000"/>
          <w:sz w:val="20"/>
          <w:szCs w:val="20"/>
        </w:rPr>
        <w:t>•the outcome, timing and cost of meeting regulatory requirements established by the FDA and other comparable foreign regulatory authorities;</w:t>
      </w:r>
    </w:p>
    <w:p w:rsidR="00000000" w:rsidRDefault="00FD7D3C">
      <w:pPr>
        <w:ind w:hanging="1260"/>
        <w:divId w:val="953100746"/>
        <w:rPr>
          <w:rFonts w:eastAsia="Times New Roman"/>
        </w:rPr>
      </w:pPr>
      <w:r>
        <w:rPr>
          <w:rFonts w:eastAsia="Times New Roman"/>
          <w:color w:val="000000"/>
          <w:sz w:val="20"/>
          <w:szCs w:val="20"/>
        </w:rPr>
        <w:t>•whether we are able to maintain our ex</w:t>
      </w:r>
      <w:r>
        <w:rPr>
          <w:rFonts w:eastAsia="Times New Roman"/>
          <w:color w:val="000000"/>
          <w:sz w:val="20"/>
          <w:szCs w:val="20"/>
        </w:rPr>
        <w:t>isting collaboration with Novartis and enter into additional collaboration agreements and the terms of any such agreements;</w:t>
      </w:r>
    </w:p>
    <w:p w:rsidR="00000000" w:rsidRDefault="00FD7D3C">
      <w:pPr>
        <w:ind w:hanging="1260"/>
        <w:divId w:val="1165050621"/>
        <w:rPr>
          <w:rFonts w:eastAsia="Times New Roman"/>
        </w:rPr>
      </w:pPr>
      <w:r>
        <w:rPr>
          <w:rFonts w:eastAsia="Times New Roman"/>
          <w:color w:val="000000"/>
          <w:sz w:val="20"/>
          <w:szCs w:val="20"/>
        </w:rPr>
        <w:t>•the cost of filing, prosecuting, defending and enforcing our patent claims and other intellectual property rights;</w:t>
      </w:r>
    </w:p>
    <w:p w:rsidR="00000000" w:rsidRDefault="00FD7D3C">
      <w:pPr>
        <w:ind w:hanging="1260"/>
        <w:divId w:val="298731654"/>
        <w:rPr>
          <w:rFonts w:eastAsia="Times New Roman"/>
        </w:rPr>
      </w:pPr>
      <w:r>
        <w:rPr>
          <w:rFonts w:eastAsia="Times New Roman"/>
          <w:color w:val="000000"/>
          <w:sz w:val="20"/>
          <w:szCs w:val="20"/>
        </w:rPr>
        <w:t>•the cost of def</w:t>
      </w:r>
      <w:r>
        <w:rPr>
          <w:rFonts w:eastAsia="Times New Roman"/>
          <w:color w:val="000000"/>
          <w:sz w:val="20"/>
          <w:szCs w:val="20"/>
        </w:rPr>
        <w:t>ending intellectual property disputes, including patent infringement actions brought by third parties against us or our product candidates;</w:t>
      </w:r>
    </w:p>
    <w:p w:rsidR="00000000" w:rsidRDefault="00FD7D3C">
      <w:pPr>
        <w:ind w:hanging="1260"/>
        <w:divId w:val="1325820977"/>
        <w:rPr>
          <w:rFonts w:eastAsia="Times New Roman"/>
        </w:rPr>
      </w:pPr>
      <w:r>
        <w:rPr>
          <w:rFonts w:eastAsia="Times New Roman"/>
          <w:color w:val="000000"/>
          <w:sz w:val="20"/>
          <w:szCs w:val="20"/>
        </w:rPr>
        <w:t>•the effect of competing technological and market developments;</w:t>
      </w:r>
    </w:p>
    <w:p w:rsidR="00000000" w:rsidRDefault="00FD7D3C">
      <w:pPr>
        <w:ind w:hanging="1260"/>
        <w:divId w:val="762649570"/>
        <w:rPr>
          <w:rFonts w:eastAsia="Times New Roman"/>
        </w:rPr>
      </w:pPr>
      <w:r>
        <w:rPr>
          <w:rFonts w:eastAsia="Times New Roman"/>
          <w:color w:val="000000"/>
          <w:sz w:val="20"/>
          <w:szCs w:val="20"/>
        </w:rPr>
        <w:t>•the cost and timing of completion of commercial-sca</w:t>
      </w:r>
      <w:r>
        <w:rPr>
          <w:rFonts w:eastAsia="Times New Roman"/>
          <w:color w:val="000000"/>
          <w:sz w:val="20"/>
          <w:szCs w:val="20"/>
        </w:rPr>
        <w:t>le outsourced manufacturing activities; and</w:t>
      </w:r>
    </w:p>
    <w:p w:rsidR="00000000" w:rsidRDefault="00FD7D3C">
      <w:pPr>
        <w:ind w:hanging="1260"/>
        <w:divId w:val="1055201895"/>
        <w:rPr>
          <w:rFonts w:eastAsia="Times New Roman"/>
        </w:rPr>
      </w:pPr>
      <w:r>
        <w:rPr>
          <w:rFonts w:eastAsia="Times New Roman"/>
          <w:color w:val="000000"/>
          <w:sz w:val="20"/>
          <w:szCs w:val="20"/>
        </w:rPr>
        <w:t>•the cost of establishing sales, marketing and distribution capabilities for any product candidates for which we may receive regulatory approval in regions where we choose to commercialize our products on our own</w:t>
      </w:r>
      <w:r>
        <w:rPr>
          <w:rFonts w:eastAsia="Times New Roman"/>
          <w:color w:val="000000"/>
          <w:sz w:val="20"/>
          <w:szCs w:val="20"/>
        </w:rPr>
        <w:t>.</w:t>
      </w:r>
    </w:p>
    <w:p w:rsidR="00000000" w:rsidRDefault="00FD7D3C">
      <w:pPr>
        <w:ind w:firstLine="1080"/>
        <w:divId w:val="1792094247"/>
        <w:rPr>
          <w:rFonts w:eastAsia="Times New Roman"/>
        </w:rPr>
      </w:pPr>
      <w:r>
        <w:rPr>
          <w:rFonts w:eastAsia="Times New Roman"/>
          <w:color w:val="000000"/>
          <w:sz w:val="20"/>
          <w:szCs w:val="20"/>
        </w:rPr>
        <w:t xml:space="preserve">We do not have any committed external source of funds or other support for our development efforts and we cannot be certain that additional funding will be available on acceptable terms, or at all. Until we can generate sufficient revenue to finance our </w:t>
      </w:r>
      <w:r>
        <w:rPr>
          <w:rFonts w:eastAsia="Times New Roman"/>
          <w:color w:val="000000"/>
          <w:sz w:val="20"/>
          <w:szCs w:val="20"/>
        </w:rPr>
        <w:t>cash requirements, which we may never do, we expect to finance our future cash needs through a combination of public or private equity offerings, debt financings, collaborations, strategic alliances, licensing arrangements and other marketing or distributi</w:t>
      </w:r>
      <w:r>
        <w:rPr>
          <w:rFonts w:eastAsia="Times New Roman"/>
          <w:color w:val="000000"/>
          <w:sz w:val="20"/>
          <w:szCs w:val="20"/>
        </w:rPr>
        <w:t>on arrangements. If we raise additional funds through public or private equity offerings, the terms of these securities may include liquidation or other preferences that adversely affect the rights of our common stockholders. Further, to the extent that we</w:t>
      </w:r>
      <w:r>
        <w:rPr>
          <w:rFonts w:eastAsia="Times New Roman"/>
          <w:color w:val="000000"/>
          <w:sz w:val="20"/>
          <w:szCs w:val="20"/>
        </w:rPr>
        <w:t xml:space="preserve"> raise additional capital through the sale of common stock or securities convertible or exchangeable into common stock, your ownership interest will be diluted. In addition, any debt financing may subject us to fixed payment obligations and covenants limit</w:t>
      </w:r>
      <w:r>
        <w:rPr>
          <w:rFonts w:eastAsia="Times New Roman"/>
          <w:color w:val="000000"/>
          <w:sz w:val="20"/>
          <w:szCs w:val="20"/>
        </w:rPr>
        <w:t>ing or restricting our ability to take specific actions, such as incurring additional debt, making capital expenditures, or declaring dividends. If we raise additional capital through marketing and distribution arrangements or other collaborations, strateg</w:t>
      </w:r>
      <w:r>
        <w:rPr>
          <w:rFonts w:eastAsia="Times New Roman"/>
          <w:color w:val="000000"/>
          <w:sz w:val="20"/>
          <w:szCs w:val="20"/>
        </w:rPr>
        <w:t>ic alliances, or licensing arrangements with third parties, we may have to relinquish certain valuable intellectual property or other rights to our product candidates, technologies, future revenue streams or research programs or grant licenses on terms tha</w:t>
      </w:r>
      <w:r>
        <w:rPr>
          <w:rFonts w:eastAsia="Times New Roman"/>
          <w:color w:val="000000"/>
          <w:sz w:val="20"/>
          <w:szCs w:val="20"/>
        </w:rPr>
        <w:t xml:space="preserve">t may not be favorable to us. We also may be required to seek collaborators for any of our product candidates at an earlier stage than otherwise would be desirable or relinquish our rights to product candidates or technologies that we otherwise would seek </w:t>
      </w:r>
      <w:r>
        <w:rPr>
          <w:rFonts w:eastAsia="Times New Roman"/>
          <w:color w:val="000000"/>
          <w:sz w:val="20"/>
          <w:szCs w:val="20"/>
        </w:rPr>
        <w:t>to develop or commercialize ourselves. Market volatility resulting from the COVID-19 pandemic or other financial markets factors could also adversely impact our ability to access capital as and when needed. If we are unable to raise additional capital in s</w:t>
      </w:r>
      <w:r>
        <w:rPr>
          <w:rFonts w:eastAsia="Times New Roman"/>
          <w:color w:val="000000"/>
          <w:sz w:val="20"/>
          <w:szCs w:val="20"/>
        </w:rPr>
        <w:t>ufficient amounts or on terms acceptable to us, we may have to significantly delay, scale back or discontinue the development or commercialization of one or more of our product candidates or one or more of our other research and development initiatives. An</w:t>
      </w:r>
      <w:r>
        <w:rPr>
          <w:rFonts w:eastAsia="Times New Roman"/>
          <w:color w:val="000000"/>
          <w:sz w:val="20"/>
          <w:szCs w:val="20"/>
        </w:rPr>
        <w:t>y of the above events could significantly harm our business, prospects, financial condition and results of operations and cause the price of our common stock to decline.</w:t>
      </w:r>
    </w:p>
    <w:p w:rsidR="00000000" w:rsidRDefault="00FD7D3C">
      <w:pPr>
        <w:ind w:firstLine="1080"/>
        <w:jc w:val="both"/>
        <w:divId w:val="1875851485"/>
        <w:rPr>
          <w:rFonts w:eastAsia="Times New Roman"/>
        </w:rPr>
      </w:pPr>
      <w:r>
        <w:rPr>
          <w:rFonts w:eastAsia="Times New Roman"/>
          <w:b/>
          <w:bCs/>
          <w:i/>
          <w:iCs/>
          <w:color w:val="000000"/>
          <w:sz w:val="20"/>
          <w:szCs w:val="20"/>
        </w:rPr>
        <w:t>The amount of our future losses is uncertain and our quarterly operating results may f</w:t>
      </w:r>
      <w:r>
        <w:rPr>
          <w:rFonts w:eastAsia="Times New Roman"/>
          <w:b/>
          <w:bCs/>
          <w:i/>
          <w:iCs/>
          <w:color w:val="000000"/>
          <w:sz w:val="20"/>
          <w:szCs w:val="20"/>
        </w:rPr>
        <w:t>luctuate significantly or may fall below the expectations of investors or securities analysts, each of which may cause our stock price to fluctuate or decline.</w:t>
      </w:r>
    </w:p>
    <w:p w:rsidR="00000000" w:rsidRDefault="00FD7D3C">
      <w:pPr>
        <w:ind w:firstLine="1080"/>
        <w:divId w:val="353922060"/>
        <w:rPr>
          <w:rFonts w:eastAsia="Times New Roman"/>
        </w:rPr>
      </w:pPr>
      <w:r>
        <w:rPr>
          <w:rFonts w:eastAsia="Times New Roman"/>
          <w:color w:val="000000"/>
          <w:sz w:val="20"/>
          <w:szCs w:val="20"/>
        </w:rPr>
        <w:t>Our quarterly and annual operating results may fluctuate significantly in the future due to a va</w:t>
      </w:r>
      <w:r>
        <w:rPr>
          <w:rFonts w:eastAsia="Times New Roman"/>
          <w:color w:val="000000"/>
          <w:sz w:val="20"/>
          <w:szCs w:val="20"/>
        </w:rPr>
        <w:t>riety of factors, many of which are outside of our control and may be difficult to predict, including the following:</w:t>
      </w:r>
    </w:p>
    <w:p w:rsidR="00000000" w:rsidRDefault="00FD7D3C">
      <w:pPr>
        <w:ind w:hanging="1260"/>
        <w:divId w:val="695811871"/>
        <w:rPr>
          <w:rFonts w:eastAsia="Times New Roman"/>
        </w:rPr>
      </w:pPr>
      <w:r>
        <w:rPr>
          <w:rFonts w:eastAsia="Times New Roman"/>
          <w:color w:val="000000"/>
          <w:sz w:val="20"/>
          <w:szCs w:val="20"/>
        </w:rPr>
        <w:t>•the timing and success or failure of clinical trials for our product candidates or competing product candidates, or any other change in th</w:t>
      </w:r>
      <w:r>
        <w:rPr>
          <w:rFonts w:eastAsia="Times New Roman"/>
          <w:color w:val="000000"/>
          <w:sz w:val="20"/>
          <w:szCs w:val="20"/>
        </w:rPr>
        <w:t>e competitive landscape of our industry, including consolidation among our competitors or partners;</w:t>
      </w:r>
    </w:p>
    <w:p w:rsidR="00000000" w:rsidRDefault="00FD7D3C">
      <w:pPr>
        <w:ind w:hanging="1260"/>
        <w:divId w:val="791048843"/>
        <w:rPr>
          <w:rFonts w:eastAsia="Times New Roman"/>
        </w:rPr>
      </w:pPr>
      <w:r>
        <w:rPr>
          <w:rFonts w:eastAsia="Times New Roman"/>
          <w:color w:val="000000"/>
          <w:sz w:val="20"/>
          <w:szCs w:val="20"/>
        </w:rPr>
        <w:t>•our ability to successfully recruit and retain subjects for clinical trials, and any delays caused by difficulties in such efforts;</w:t>
      </w:r>
    </w:p>
    <w:p w:rsidR="00000000" w:rsidRDefault="00FD7D3C">
      <w:pPr>
        <w:ind w:hanging="1260"/>
        <w:divId w:val="2069382164"/>
        <w:rPr>
          <w:rFonts w:eastAsia="Times New Roman"/>
        </w:rPr>
      </w:pPr>
      <w:r>
        <w:rPr>
          <w:rFonts w:eastAsia="Times New Roman"/>
          <w:color w:val="000000"/>
          <w:sz w:val="20"/>
          <w:szCs w:val="20"/>
        </w:rPr>
        <w:t xml:space="preserve">•our ability to obtain </w:t>
      </w:r>
      <w:r>
        <w:rPr>
          <w:rFonts w:eastAsia="Times New Roman"/>
          <w:color w:val="000000"/>
          <w:sz w:val="20"/>
          <w:szCs w:val="20"/>
        </w:rPr>
        <w:t>marketing approval for our product candidates, and the timing and scope of any such approvals we may receive;</w:t>
      </w:r>
    </w:p>
    <w:p w:rsidR="00000000" w:rsidRDefault="00FD7D3C">
      <w:pPr>
        <w:jc w:val="center"/>
        <w:divId w:val="1053307722"/>
        <w:rPr>
          <w:rFonts w:eastAsia="Times New Roman"/>
        </w:rPr>
      </w:pPr>
      <w:r>
        <w:rPr>
          <w:rFonts w:eastAsia="Times New Roman"/>
          <w:color w:val="000000"/>
          <w:sz w:val="20"/>
          <w:szCs w:val="20"/>
        </w:rPr>
        <w:t>46</w:t>
      </w:r>
    </w:p>
    <w:p w:rsidR="00000000" w:rsidRDefault="00FD7D3C">
      <w:pPr>
        <w:rPr>
          <w:rFonts w:eastAsia="Times New Roman"/>
        </w:rPr>
      </w:pPr>
      <w:r>
        <w:rPr>
          <w:rFonts w:eastAsia="Times New Roman"/>
        </w:rPr>
        <w:pict>
          <v:rect id="_x0000_i1099" style="width:0;height:1.5pt" o:hralign="center" o:hrstd="t" o:hr="t" fillcolor="#a0a0a0" stroked="f"/>
        </w:pict>
      </w:r>
    </w:p>
    <w:p w:rsidR="00000000" w:rsidRDefault="00FD7D3C">
      <w:pPr>
        <w:divId w:val="1027950085"/>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ind w:hanging="1260"/>
        <w:divId w:val="315499462"/>
        <w:rPr>
          <w:rFonts w:eastAsia="Times New Roman"/>
        </w:rPr>
      </w:pPr>
      <w:r>
        <w:rPr>
          <w:rFonts w:eastAsia="Times New Roman"/>
          <w:color w:val="000000"/>
          <w:sz w:val="20"/>
          <w:szCs w:val="20"/>
        </w:rPr>
        <w:t>•the timing and cost of, and level of investment in, research and development activities relating to our product candidates, which may change fr</w:t>
      </w:r>
      <w:r>
        <w:rPr>
          <w:rFonts w:eastAsia="Times New Roman"/>
          <w:color w:val="000000"/>
          <w:sz w:val="20"/>
          <w:szCs w:val="20"/>
        </w:rPr>
        <w:t>om time to time;</w:t>
      </w:r>
    </w:p>
    <w:p w:rsidR="00000000" w:rsidRDefault="00FD7D3C">
      <w:pPr>
        <w:ind w:hanging="1260"/>
        <w:divId w:val="1750695399"/>
        <w:rPr>
          <w:rFonts w:eastAsia="Times New Roman"/>
        </w:rPr>
      </w:pPr>
      <w:r>
        <w:rPr>
          <w:rFonts w:eastAsia="Times New Roman"/>
          <w:color w:val="000000"/>
          <w:sz w:val="20"/>
          <w:szCs w:val="20"/>
        </w:rPr>
        <w:t>•the cost of manufacturing our product candidates, which may vary depending on the difficulty of manufacture, quantity of production and the terms of our agreements with manufacturers;</w:t>
      </w:r>
    </w:p>
    <w:p w:rsidR="00000000" w:rsidRDefault="00FD7D3C">
      <w:pPr>
        <w:ind w:hanging="1260"/>
        <w:divId w:val="709648259"/>
        <w:rPr>
          <w:rFonts w:eastAsia="Times New Roman"/>
        </w:rPr>
      </w:pPr>
      <w:r>
        <w:rPr>
          <w:rFonts w:eastAsia="Times New Roman"/>
          <w:color w:val="000000"/>
          <w:sz w:val="20"/>
          <w:szCs w:val="20"/>
        </w:rPr>
        <w:t>•our ability to attract, hire and retain qualified per</w:t>
      </w:r>
      <w:r>
        <w:rPr>
          <w:rFonts w:eastAsia="Times New Roman"/>
          <w:color w:val="000000"/>
          <w:sz w:val="20"/>
          <w:szCs w:val="20"/>
        </w:rPr>
        <w:t>sonnel;</w:t>
      </w:r>
    </w:p>
    <w:p w:rsidR="00000000" w:rsidRDefault="00FD7D3C">
      <w:pPr>
        <w:ind w:hanging="1260"/>
        <w:divId w:val="1246456113"/>
        <w:rPr>
          <w:rFonts w:eastAsia="Times New Roman"/>
        </w:rPr>
      </w:pPr>
      <w:r>
        <w:rPr>
          <w:rFonts w:eastAsia="Times New Roman"/>
          <w:color w:val="000000"/>
          <w:sz w:val="20"/>
          <w:szCs w:val="20"/>
        </w:rPr>
        <w:t>•expenditures that we will or may incur to develop additional product candidates;</w:t>
      </w:r>
    </w:p>
    <w:p w:rsidR="00000000" w:rsidRDefault="00FD7D3C">
      <w:pPr>
        <w:ind w:hanging="1260"/>
        <w:divId w:val="618150841"/>
        <w:rPr>
          <w:rFonts w:eastAsia="Times New Roman"/>
        </w:rPr>
      </w:pPr>
      <w:r>
        <w:rPr>
          <w:rFonts w:eastAsia="Times New Roman"/>
          <w:color w:val="000000"/>
          <w:sz w:val="20"/>
          <w:szCs w:val="20"/>
        </w:rPr>
        <w:t>•the level of demand for our product candidates should they receive approval, which may vary significantly;</w:t>
      </w:r>
    </w:p>
    <w:p w:rsidR="00000000" w:rsidRDefault="00FD7D3C">
      <w:pPr>
        <w:ind w:hanging="1260"/>
        <w:divId w:val="1288462490"/>
        <w:rPr>
          <w:rFonts w:eastAsia="Times New Roman"/>
        </w:rPr>
      </w:pPr>
      <w:r>
        <w:rPr>
          <w:rFonts w:eastAsia="Times New Roman"/>
          <w:color w:val="000000"/>
          <w:sz w:val="20"/>
          <w:szCs w:val="20"/>
        </w:rPr>
        <w:t>•the risk/benefit profile, cost and reimbursement policies</w:t>
      </w:r>
      <w:r>
        <w:rPr>
          <w:rFonts w:eastAsia="Times New Roman"/>
          <w:color w:val="000000"/>
          <w:sz w:val="20"/>
          <w:szCs w:val="20"/>
        </w:rPr>
        <w:t xml:space="preserve"> with respect to our product candidates, if approved, and existing and potential future therapeutics that compete with our product candidates;</w:t>
      </w:r>
    </w:p>
    <w:p w:rsidR="00000000" w:rsidRDefault="00FD7D3C">
      <w:pPr>
        <w:ind w:hanging="1260"/>
        <w:divId w:val="124587787"/>
        <w:rPr>
          <w:rFonts w:eastAsia="Times New Roman"/>
        </w:rPr>
      </w:pPr>
      <w:r>
        <w:rPr>
          <w:rFonts w:eastAsia="Times New Roman"/>
          <w:color w:val="000000"/>
          <w:sz w:val="20"/>
          <w:szCs w:val="20"/>
        </w:rPr>
        <w:t>•general market conditions or extraordinary external events, such as recessions or the COVID-19 pandemic;</w:t>
      </w:r>
    </w:p>
    <w:p w:rsidR="00000000" w:rsidRDefault="00FD7D3C">
      <w:pPr>
        <w:ind w:hanging="1260"/>
        <w:divId w:val="612055646"/>
        <w:rPr>
          <w:rFonts w:eastAsia="Times New Roman"/>
        </w:rPr>
      </w:pPr>
      <w:r>
        <w:rPr>
          <w:rFonts w:eastAsia="Times New Roman"/>
          <w:color w:val="000000"/>
          <w:sz w:val="20"/>
          <w:szCs w:val="20"/>
        </w:rPr>
        <w:t>•the ch</w:t>
      </w:r>
      <w:r>
        <w:rPr>
          <w:rFonts w:eastAsia="Times New Roman"/>
          <w:color w:val="000000"/>
          <w:sz w:val="20"/>
          <w:szCs w:val="20"/>
        </w:rPr>
        <w:t>anging and volatile U.S. and global economic environments; and</w:t>
      </w:r>
    </w:p>
    <w:p w:rsidR="00000000" w:rsidRDefault="00FD7D3C">
      <w:pPr>
        <w:ind w:hanging="1260"/>
        <w:divId w:val="1153790272"/>
        <w:rPr>
          <w:rFonts w:eastAsia="Times New Roman"/>
        </w:rPr>
      </w:pPr>
      <w:r>
        <w:rPr>
          <w:rFonts w:eastAsia="Times New Roman"/>
          <w:color w:val="000000"/>
          <w:sz w:val="20"/>
          <w:szCs w:val="20"/>
        </w:rPr>
        <w:t>•future accounting pronouncements or changes in our accounting policies.</w:t>
      </w:r>
    </w:p>
    <w:p w:rsidR="00000000" w:rsidRDefault="00FD7D3C">
      <w:pPr>
        <w:ind w:firstLine="1080"/>
        <w:divId w:val="1608656486"/>
        <w:rPr>
          <w:rFonts w:eastAsia="Times New Roman"/>
        </w:rPr>
      </w:pPr>
      <w:r>
        <w:rPr>
          <w:rFonts w:eastAsia="Times New Roman"/>
          <w:color w:val="000000"/>
          <w:sz w:val="20"/>
          <w:szCs w:val="20"/>
        </w:rPr>
        <w:t>The cumulative effects of these factors could result in large fluctuations and unpredictability in our quarterly and ann</w:t>
      </w:r>
      <w:r>
        <w:rPr>
          <w:rFonts w:eastAsia="Times New Roman"/>
          <w:color w:val="000000"/>
          <w:sz w:val="20"/>
          <w:szCs w:val="20"/>
        </w:rPr>
        <w:t>ual operating results. As a result, comparing our operating results on a period-to-period basis may not be meaningful. This variability and unpredictability could also result in our failing to meet the expectations of industry or financial analysts or inve</w:t>
      </w:r>
      <w:r>
        <w:rPr>
          <w:rFonts w:eastAsia="Times New Roman"/>
          <w:color w:val="000000"/>
          <w:sz w:val="20"/>
          <w:szCs w:val="20"/>
        </w:rPr>
        <w:t>stors for any period. If our revenue or operating results fall below the expectations of analysts or investors or below any forecasts we may provide to the market, or if the forecasts we provide to the market are below the expectations of analysts or inves</w:t>
      </w:r>
      <w:r>
        <w:rPr>
          <w:rFonts w:eastAsia="Times New Roman"/>
          <w:color w:val="000000"/>
          <w:sz w:val="20"/>
          <w:szCs w:val="20"/>
        </w:rPr>
        <w:t>tors, the price of our common stock could decline substantially. Such a stock price decline could occur even when we have met any previously publicly stated guidance we may provide.</w:t>
      </w:r>
    </w:p>
    <w:p w:rsidR="00000000" w:rsidRDefault="00FD7D3C">
      <w:pPr>
        <w:ind w:firstLine="1080"/>
        <w:divId w:val="397099720"/>
        <w:rPr>
          <w:rFonts w:eastAsia="Times New Roman"/>
        </w:rPr>
      </w:pPr>
      <w:r>
        <w:rPr>
          <w:rFonts w:eastAsia="Times New Roman"/>
          <w:b/>
          <w:bCs/>
          <w:color w:val="000000"/>
          <w:sz w:val="20"/>
          <w:szCs w:val="20"/>
        </w:rPr>
        <w:t>Risks Related to Research and Development and the Biopharmaceutical Industry</w:t>
      </w:r>
    </w:p>
    <w:p w:rsidR="00000000" w:rsidRDefault="00FD7D3C">
      <w:pPr>
        <w:ind w:firstLine="1080"/>
        <w:divId w:val="80108912"/>
        <w:rPr>
          <w:rFonts w:eastAsia="Times New Roman"/>
        </w:rPr>
      </w:pPr>
      <w:r>
        <w:rPr>
          <w:rFonts w:eastAsia="Times New Roman"/>
          <w:b/>
          <w:bCs/>
          <w:i/>
          <w:iCs/>
          <w:color w:val="000000"/>
          <w:sz w:val="20"/>
          <w:szCs w:val="20"/>
        </w:rPr>
        <w:t>We have a limited operating history, which may make it difficult to evaluate our prospects and likelihood of success.</w:t>
      </w:r>
    </w:p>
    <w:p w:rsidR="00000000" w:rsidRDefault="00FD7D3C">
      <w:pPr>
        <w:ind w:firstLine="1080"/>
        <w:divId w:val="614749377"/>
        <w:rPr>
          <w:rFonts w:eastAsia="Times New Roman"/>
        </w:rPr>
      </w:pPr>
      <w:r>
        <w:rPr>
          <w:rFonts w:eastAsia="Times New Roman"/>
          <w:color w:val="000000"/>
          <w:sz w:val="20"/>
          <w:szCs w:val="20"/>
        </w:rPr>
        <w:t>We are a clinical-stage biopharmaceutical company with a limi</w:t>
      </w:r>
      <w:r>
        <w:rPr>
          <w:rFonts w:eastAsia="Times New Roman"/>
          <w:color w:val="000000"/>
          <w:sz w:val="20"/>
          <w:szCs w:val="20"/>
        </w:rPr>
        <w:t>ted operating history. We were incorporated in 2015, have no products approved for commercial sale and have not generated any revenue from product sales to date. Our operations to date have been limited to organizing and staffing our company, business plan</w:t>
      </w:r>
      <w:r>
        <w:rPr>
          <w:rFonts w:eastAsia="Times New Roman"/>
          <w:color w:val="000000"/>
          <w:sz w:val="20"/>
          <w:szCs w:val="20"/>
        </w:rPr>
        <w:t>ning, raising capital, establishing our intellectual property portfolio and performing research and development of our product candidates and our technology related to transforming growth factor beta, or TGF-β, signaling and integrin biology, medicinal che</w:t>
      </w:r>
      <w:r>
        <w:rPr>
          <w:rFonts w:eastAsia="Times New Roman"/>
          <w:color w:val="000000"/>
          <w:sz w:val="20"/>
          <w:szCs w:val="20"/>
        </w:rPr>
        <w:t>mistry, translational screening technologies, and clinical insights to discover and develop novel therapies for the treatment of fibrosis. Our approach to the discovery and development of product candidates is unproven, and we do not know whether we will b</w:t>
      </w:r>
      <w:r>
        <w:rPr>
          <w:rFonts w:eastAsia="Times New Roman"/>
          <w:color w:val="000000"/>
          <w:sz w:val="20"/>
          <w:szCs w:val="20"/>
        </w:rPr>
        <w:t>e able to develop any products of commercial value. In addition, our lead product candidate, PLN-74809, is in early clinical development for the treatment of IPF and PSC, and a second product candidate, PLN-1474, is in early clinical development. Both prog</w:t>
      </w:r>
      <w:r>
        <w:rPr>
          <w:rFonts w:eastAsia="Times New Roman"/>
          <w:color w:val="000000"/>
          <w:sz w:val="20"/>
          <w:szCs w:val="20"/>
        </w:rPr>
        <w:t>rams will require substantial additional development and clinical research time and resources, either from us or our collaborators, before we would be able to apply for or receive regulatory approvals and begin generating revenue from product sales. We hav</w:t>
      </w:r>
      <w:r>
        <w:rPr>
          <w:rFonts w:eastAsia="Times New Roman"/>
          <w:color w:val="000000"/>
          <w:sz w:val="20"/>
          <w:szCs w:val="20"/>
        </w:rPr>
        <w:t>e not yet demonstrated the ability to progress any product candidate through clinical trials. We are still in preclinical and early clinical development and may be unable to obtain regulatory approval, manufacture a commercial scale product, or arrange for</w:t>
      </w:r>
      <w:r>
        <w:rPr>
          <w:rFonts w:eastAsia="Times New Roman"/>
          <w:color w:val="000000"/>
          <w:sz w:val="20"/>
          <w:szCs w:val="20"/>
        </w:rPr>
        <w:t xml:space="preserve"> a third party to do so on our behalf, or conduct sales and marketing activities necessary for successful product commercialization. Investment in biopharmaceutical product development is highly speculative because it entails substantial upfront capital ex</w:t>
      </w:r>
      <w:r>
        <w:rPr>
          <w:rFonts w:eastAsia="Times New Roman"/>
          <w:color w:val="000000"/>
          <w:sz w:val="20"/>
          <w:szCs w:val="20"/>
        </w:rPr>
        <w:t>penditures and significant risk that any potential product candidate will fail to demonstrate adequate efficacy or an acceptable safety profile, gain regulatory approval and become commercially viable. In addition, as a business with a limited operating hi</w:t>
      </w:r>
      <w:r>
        <w:rPr>
          <w:rFonts w:eastAsia="Times New Roman"/>
          <w:color w:val="000000"/>
          <w:sz w:val="20"/>
          <w:szCs w:val="20"/>
        </w:rPr>
        <w:t>story, we may encounter unforeseen expenses, difficulties, complications, delays and other known and unknown factors and risks frequently experienced by early-stage biopharmaceutical companies in rapidly evolving fields. Consequently, we have no meaningful</w:t>
      </w:r>
      <w:r>
        <w:rPr>
          <w:rFonts w:eastAsia="Times New Roman"/>
          <w:color w:val="000000"/>
          <w:sz w:val="20"/>
          <w:szCs w:val="20"/>
        </w:rPr>
        <w:t xml:space="preserve"> history of operations upon which to evaluate our business, and predictions about our future success or viability may not be as accurate as they could be if we had a longer operating history or a history of successfully developing and commercializing drug </w:t>
      </w:r>
      <w:r>
        <w:rPr>
          <w:rFonts w:eastAsia="Times New Roman"/>
          <w:color w:val="000000"/>
          <w:sz w:val="20"/>
          <w:szCs w:val="20"/>
        </w:rPr>
        <w:t>products.</w:t>
      </w:r>
    </w:p>
    <w:p w:rsidR="00000000" w:rsidRDefault="00FD7D3C">
      <w:pPr>
        <w:ind w:firstLine="1080"/>
        <w:jc w:val="both"/>
        <w:divId w:val="129828866"/>
        <w:rPr>
          <w:rFonts w:eastAsia="Times New Roman"/>
        </w:rPr>
      </w:pPr>
      <w:r>
        <w:rPr>
          <w:rFonts w:eastAsia="Times New Roman"/>
          <w:b/>
          <w:bCs/>
          <w:i/>
          <w:iCs/>
          <w:color w:val="000000"/>
          <w:sz w:val="20"/>
          <w:szCs w:val="20"/>
        </w:rPr>
        <w:t>Our business is highly dependent on the success of our lead product candidate, PLN-74809, as well as PLN-1474 and any other product candidates that we advance into the clinic. All of our product candidates will require significant additional prec</w:t>
      </w:r>
      <w:r>
        <w:rPr>
          <w:rFonts w:eastAsia="Times New Roman"/>
          <w:b/>
          <w:bCs/>
          <w:i/>
          <w:iCs/>
          <w:color w:val="000000"/>
          <w:sz w:val="20"/>
          <w:szCs w:val="20"/>
        </w:rPr>
        <w:t>linical and clinical development before we may be able to seek regulatory approval for and launch a product commercially.</w:t>
      </w:r>
    </w:p>
    <w:p w:rsidR="00000000" w:rsidRDefault="00FD7D3C">
      <w:pPr>
        <w:jc w:val="center"/>
        <w:divId w:val="1015107178"/>
        <w:rPr>
          <w:rFonts w:eastAsia="Times New Roman"/>
        </w:rPr>
      </w:pPr>
      <w:r>
        <w:rPr>
          <w:rFonts w:eastAsia="Times New Roman"/>
          <w:color w:val="000000"/>
          <w:sz w:val="20"/>
          <w:szCs w:val="20"/>
        </w:rPr>
        <w:t>47</w:t>
      </w:r>
    </w:p>
    <w:p w:rsidR="00000000" w:rsidRDefault="00FD7D3C">
      <w:pPr>
        <w:rPr>
          <w:rFonts w:eastAsia="Times New Roman"/>
        </w:rPr>
      </w:pPr>
      <w:r>
        <w:rPr>
          <w:rFonts w:eastAsia="Times New Roman"/>
        </w:rPr>
        <w:pict>
          <v:rect id="_x0000_i1100" style="width:0;height:1.5pt" o:hralign="center" o:hrstd="t" o:hr="t" fillcolor="#a0a0a0" stroked="f"/>
        </w:pict>
      </w:r>
    </w:p>
    <w:p w:rsidR="00000000" w:rsidRDefault="00FD7D3C">
      <w:pPr>
        <w:divId w:val="861285537"/>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ind w:firstLine="1080"/>
        <w:divId w:val="560139065"/>
        <w:rPr>
          <w:rFonts w:eastAsia="Times New Roman"/>
        </w:rPr>
      </w:pPr>
      <w:r>
        <w:rPr>
          <w:rFonts w:eastAsia="Times New Roman"/>
          <w:color w:val="000000"/>
          <w:sz w:val="20"/>
          <w:szCs w:val="20"/>
        </w:rPr>
        <w:t xml:space="preserve">We currently have </w:t>
      </w:r>
      <w:r>
        <w:rPr>
          <w:rFonts w:eastAsia="Times New Roman"/>
          <w:color w:val="000000"/>
          <w:sz w:val="20"/>
          <w:szCs w:val="20"/>
        </w:rPr>
        <w:t xml:space="preserve">no products that are approved for commercial sale and may never be able to develop marketable products. We are very early in our clinical development for both PLN-74809 and PLN-1474. Because PLN-74809 is our lead product candidate, if PLN-74809 encounters </w:t>
      </w:r>
      <w:r>
        <w:rPr>
          <w:rFonts w:eastAsia="Times New Roman"/>
          <w:color w:val="000000"/>
          <w:sz w:val="20"/>
          <w:szCs w:val="20"/>
        </w:rPr>
        <w:t>safety or efficacy problems, development delays, regulatory issues or other problems, our development plans and business would be significantly harmed. We have completed various Phase 1 trials of PLN-74809. We are enrolling two Phase 2a trials in IPF, incl</w:t>
      </w:r>
      <w:r>
        <w:rPr>
          <w:rFonts w:eastAsia="Times New Roman"/>
          <w:color w:val="000000"/>
          <w:sz w:val="20"/>
          <w:szCs w:val="20"/>
        </w:rPr>
        <w:t>uding a PET imaging trial. We are also conducting a Phase 2a PSC trial which is currently enrolling patients. We are also collaborating with Novartis to develop PLN-1474 for liver fibrosis associated with NASH and have completed a Phase 1a SAD/MAD study ev</w:t>
      </w:r>
      <w:r>
        <w:rPr>
          <w:rFonts w:eastAsia="Times New Roman"/>
          <w:color w:val="000000"/>
          <w:sz w:val="20"/>
          <w:szCs w:val="20"/>
        </w:rPr>
        <w:t>aluating PLN-1474 in healthy volunteers. The IND for this candidate was transferred to Novartis in the first quarter of 2021, and Novartis is responsible for all PLN-1474 development, manufacturing, and commercialization activities after the initial develo</w:t>
      </w:r>
      <w:r>
        <w:rPr>
          <w:rFonts w:eastAsia="Times New Roman"/>
          <w:color w:val="000000"/>
          <w:sz w:val="20"/>
          <w:szCs w:val="20"/>
        </w:rPr>
        <w:t xml:space="preserve">pment period. All of the risks and uncertainties that apply to PLN-74809 or any candidates that we develop independently apply equally to our collaborator with respect to advancement of PLN-1474. In addition, we also face risks resulting from our reliance </w:t>
      </w:r>
      <w:r>
        <w:rPr>
          <w:rFonts w:eastAsia="Times New Roman"/>
          <w:color w:val="000000"/>
          <w:sz w:val="20"/>
          <w:szCs w:val="20"/>
        </w:rPr>
        <w:t>on Novartis for development of this candidate. See “—Risks Related to Our Reliance on Third Parties.”</w:t>
      </w:r>
    </w:p>
    <w:p w:rsidR="00000000" w:rsidRDefault="00FD7D3C">
      <w:pPr>
        <w:ind w:firstLine="1080"/>
        <w:divId w:val="308827287"/>
        <w:rPr>
          <w:rFonts w:eastAsia="Times New Roman"/>
        </w:rPr>
      </w:pPr>
      <w:r>
        <w:rPr>
          <w:rFonts w:eastAsia="Times New Roman"/>
          <w:color w:val="000000"/>
          <w:sz w:val="20"/>
          <w:szCs w:val="20"/>
        </w:rPr>
        <w:t>Before we can generate any revenue from sales of our lead product candidate, PLN-74809, or any of our other product candidates, we must undergo additional</w:t>
      </w:r>
      <w:r>
        <w:rPr>
          <w:rFonts w:eastAsia="Times New Roman"/>
          <w:color w:val="000000"/>
          <w:sz w:val="20"/>
          <w:szCs w:val="20"/>
        </w:rPr>
        <w:t xml:space="preserve"> preclinical and clinical development, regulatory review, and approval in one or more jurisdictions. In addition, if one or more of our product candidates are approved, we must ensure access to sufficient commercial manufacturing capacity and conduct signi</w:t>
      </w:r>
      <w:r>
        <w:rPr>
          <w:rFonts w:eastAsia="Times New Roman"/>
          <w:color w:val="000000"/>
          <w:sz w:val="20"/>
          <w:szCs w:val="20"/>
        </w:rPr>
        <w:t>ficant marketing efforts in connection with any commercial launch. These efforts will require substantial investment, and we may not have the financial resources to continue development of our product candidates.</w:t>
      </w:r>
    </w:p>
    <w:p w:rsidR="00000000" w:rsidRDefault="00FD7D3C">
      <w:pPr>
        <w:ind w:firstLine="1080"/>
        <w:divId w:val="1268390168"/>
        <w:rPr>
          <w:rFonts w:eastAsia="Times New Roman"/>
        </w:rPr>
      </w:pPr>
      <w:r>
        <w:rPr>
          <w:rFonts w:eastAsia="Times New Roman"/>
          <w:color w:val="000000"/>
          <w:sz w:val="20"/>
          <w:szCs w:val="20"/>
        </w:rPr>
        <w:t>We may experience setbacks that could delay</w:t>
      </w:r>
      <w:r>
        <w:rPr>
          <w:rFonts w:eastAsia="Times New Roman"/>
          <w:color w:val="000000"/>
          <w:sz w:val="20"/>
          <w:szCs w:val="20"/>
        </w:rPr>
        <w:t xml:space="preserve"> or prevent regulatory approval of, or the extent of regulatory protection or our ability to commercialize, our product candidates, including:</w:t>
      </w:r>
    </w:p>
    <w:p w:rsidR="00000000" w:rsidRDefault="00FD7D3C">
      <w:pPr>
        <w:ind w:hanging="1260"/>
        <w:divId w:val="1168669070"/>
        <w:rPr>
          <w:rFonts w:eastAsia="Times New Roman"/>
        </w:rPr>
      </w:pPr>
      <w:r>
        <w:rPr>
          <w:rFonts w:eastAsia="Times New Roman"/>
          <w:color w:val="000000"/>
          <w:sz w:val="20"/>
          <w:szCs w:val="20"/>
        </w:rPr>
        <w:t>•negative or inconclusive results from our preclinical studies or clinical trials or the clinical trials of other</w:t>
      </w:r>
      <w:r>
        <w:rPr>
          <w:rFonts w:eastAsia="Times New Roman"/>
          <w:color w:val="000000"/>
          <w:sz w:val="20"/>
          <w:szCs w:val="20"/>
        </w:rPr>
        <w:t>s for product candidates similar to ours, leading to a decision or requirement to conduct additional preclinical testing or clinical trials or abandon a program;</w:t>
      </w:r>
    </w:p>
    <w:p w:rsidR="00000000" w:rsidRDefault="00FD7D3C">
      <w:pPr>
        <w:ind w:hanging="1260"/>
        <w:divId w:val="1724524360"/>
        <w:rPr>
          <w:rFonts w:eastAsia="Times New Roman"/>
        </w:rPr>
      </w:pPr>
      <w:r>
        <w:rPr>
          <w:rFonts w:eastAsia="Times New Roman"/>
          <w:color w:val="000000"/>
          <w:sz w:val="20"/>
          <w:szCs w:val="20"/>
        </w:rPr>
        <w:t>•product-related side effects experienced by subjects in our clinical trials or by individuals</w:t>
      </w:r>
      <w:r>
        <w:rPr>
          <w:rFonts w:eastAsia="Times New Roman"/>
          <w:color w:val="000000"/>
          <w:sz w:val="20"/>
          <w:szCs w:val="20"/>
        </w:rPr>
        <w:t xml:space="preserve"> using drugs or therapeutics similar to our product candidates;</w:t>
      </w:r>
    </w:p>
    <w:p w:rsidR="00000000" w:rsidRDefault="00FD7D3C">
      <w:pPr>
        <w:ind w:hanging="1260"/>
        <w:divId w:val="461316104"/>
        <w:rPr>
          <w:rFonts w:eastAsia="Times New Roman"/>
        </w:rPr>
      </w:pPr>
      <w:r>
        <w:rPr>
          <w:rFonts w:eastAsia="Times New Roman"/>
          <w:color w:val="000000"/>
          <w:sz w:val="20"/>
          <w:szCs w:val="20"/>
        </w:rPr>
        <w:t>•delays in submitting INDs or comparable foreign applications or delays or failure in obtaining the necessary approvals from regulators to commence a clinical trial, or a suspension or termina</w:t>
      </w:r>
      <w:r>
        <w:rPr>
          <w:rFonts w:eastAsia="Times New Roman"/>
          <w:color w:val="000000"/>
          <w:sz w:val="20"/>
          <w:szCs w:val="20"/>
        </w:rPr>
        <w:t>tion of a clinical trial once commenced;</w:t>
      </w:r>
    </w:p>
    <w:p w:rsidR="00000000" w:rsidRDefault="00FD7D3C">
      <w:pPr>
        <w:ind w:hanging="1260"/>
        <w:divId w:val="1554389899"/>
        <w:rPr>
          <w:rFonts w:eastAsia="Times New Roman"/>
        </w:rPr>
      </w:pPr>
      <w:r>
        <w:rPr>
          <w:rFonts w:eastAsia="Times New Roman"/>
          <w:color w:val="000000"/>
          <w:sz w:val="20"/>
          <w:szCs w:val="20"/>
        </w:rPr>
        <w:t>•conditions imposed by the FDA or comparable foreign authorities regarding the scope or design of our clinical trials;</w:t>
      </w:r>
    </w:p>
    <w:p w:rsidR="00000000" w:rsidRDefault="00FD7D3C">
      <w:pPr>
        <w:ind w:hanging="1260"/>
        <w:divId w:val="1065495060"/>
        <w:rPr>
          <w:rFonts w:eastAsia="Times New Roman"/>
        </w:rPr>
      </w:pPr>
      <w:r>
        <w:rPr>
          <w:rFonts w:eastAsia="Times New Roman"/>
          <w:color w:val="000000"/>
          <w:sz w:val="20"/>
          <w:szCs w:val="20"/>
        </w:rPr>
        <w:t>•</w:t>
      </w:r>
      <w:r>
        <w:rPr>
          <w:rFonts w:eastAsia="Times New Roman"/>
          <w:color w:val="000000"/>
          <w:sz w:val="20"/>
          <w:szCs w:val="20"/>
        </w:rPr>
        <w:t>delays in enrolling subjects in clinical trials, including due to the COVID-19 pandemic;</w:t>
      </w:r>
    </w:p>
    <w:p w:rsidR="00000000" w:rsidRDefault="00FD7D3C">
      <w:pPr>
        <w:ind w:hanging="1260"/>
        <w:divId w:val="1193155800"/>
        <w:rPr>
          <w:rFonts w:eastAsia="Times New Roman"/>
        </w:rPr>
      </w:pPr>
      <w:r>
        <w:rPr>
          <w:rFonts w:eastAsia="Times New Roman"/>
          <w:color w:val="000000"/>
          <w:sz w:val="20"/>
          <w:szCs w:val="20"/>
        </w:rPr>
        <w:t xml:space="preserve">•high drop-out rates of subjects from clinical trials; </w:t>
      </w:r>
    </w:p>
    <w:p w:rsidR="00000000" w:rsidRDefault="00FD7D3C">
      <w:pPr>
        <w:ind w:hanging="1260"/>
        <w:divId w:val="275334583"/>
        <w:rPr>
          <w:rFonts w:eastAsia="Times New Roman"/>
        </w:rPr>
      </w:pPr>
      <w:r>
        <w:rPr>
          <w:rFonts w:eastAsia="Times New Roman"/>
          <w:color w:val="000000"/>
          <w:sz w:val="20"/>
          <w:szCs w:val="20"/>
        </w:rPr>
        <w:t>•inadequate supply or quality of product candidates or other materials necessary for the conduct of our clinica</w:t>
      </w:r>
      <w:r>
        <w:rPr>
          <w:rFonts w:eastAsia="Times New Roman"/>
          <w:color w:val="000000"/>
          <w:sz w:val="20"/>
          <w:szCs w:val="20"/>
        </w:rPr>
        <w:t>l trials;</w:t>
      </w:r>
    </w:p>
    <w:p w:rsidR="00000000" w:rsidRDefault="00FD7D3C">
      <w:pPr>
        <w:ind w:hanging="1260"/>
        <w:divId w:val="182131002"/>
        <w:rPr>
          <w:rFonts w:eastAsia="Times New Roman"/>
        </w:rPr>
      </w:pPr>
      <w:r>
        <w:rPr>
          <w:rFonts w:eastAsia="Times New Roman"/>
          <w:color w:val="000000"/>
          <w:sz w:val="20"/>
          <w:szCs w:val="20"/>
        </w:rPr>
        <w:t>•challenges manufacturing our product candidates to regulatory requirements in a cost effective manner;</w:t>
      </w:r>
    </w:p>
    <w:p w:rsidR="00000000" w:rsidRDefault="00FD7D3C">
      <w:pPr>
        <w:ind w:hanging="1260"/>
        <w:divId w:val="1449080277"/>
        <w:rPr>
          <w:rFonts w:eastAsia="Times New Roman"/>
        </w:rPr>
      </w:pPr>
      <w:r>
        <w:rPr>
          <w:rFonts w:eastAsia="Times New Roman"/>
          <w:color w:val="000000"/>
          <w:sz w:val="20"/>
          <w:szCs w:val="20"/>
        </w:rPr>
        <w:t>•greater than anticipated clinical trial costs;</w:t>
      </w:r>
    </w:p>
    <w:p w:rsidR="00000000" w:rsidRDefault="00FD7D3C">
      <w:pPr>
        <w:ind w:hanging="1260"/>
        <w:divId w:val="1021475448"/>
        <w:rPr>
          <w:rFonts w:eastAsia="Times New Roman"/>
        </w:rPr>
      </w:pPr>
      <w:r>
        <w:rPr>
          <w:rFonts w:eastAsia="Times New Roman"/>
          <w:color w:val="000000"/>
          <w:sz w:val="20"/>
          <w:szCs w:val="20"/>
        </w:rPr>
        <w:t>•inability to compete with other therapies;</w:t>
      </w:r>
    </w:p>
    <w:p w:rsidR="00000000" w:rsidRDefault="00FD7D3C">
      <w:pPr>
        <w:ind w:hanging="1260"/>
        <w:divId w:val="107821076"/>
        <w:rPr>
          <w:rFonts w:eastAsia="Times New Roman"/>
        </w:rPr>
      </w:pPr>
      <w:r>
        <w:rPr>
          <w:rFonts w:eastAsia="Times New Roman"/>
          <w:color w:val="000000"/>
          <w:sz w:val="20"/>
          <w:szCs w:val="20"/>
        </w:rPr>
        <w:t xml:space="preserve">•failure to secure or maintain orphan designation </w:t>
      </w:r>
      <w:r>
        <w:rPr>
          <w:rFonts w:eastAsia="Times New Roman"/>
          <w:color w:val="000000"/>
          <w:sz w:val="20"/>
          <w:szCs w:val="20"/>
        </w:rPr>
        <w:t>in some jurisdictions;</w:t>
      </w:r>
    </w:p>
    <w:p w:rsidR="00000000" w:rsidRDefault="00FD7D3C">
      <w:pPr>
        <w:ind w:hanging="1260"/>
        <w:divId w:val="1664353723"/>
        <w:rPr>
          <w:rFonts w:eastAsia="Times New Roman"/>
        </w:rPr>
      </w:pPr>
      <w:r>
        <w:rPr>
          <w:rFonts w:eastAsia="Times New Roman"/>
          <w:color w:val="000000"/>
          <w:sz w:val="20"/>
          <w:szCs w:val="20"/>
        </w:rPr>
        <w:t>•poor efficacy of our product candidates during clinical trials;</w:t>
      </w:r>
    </w:p>
    <w:p w:rsidR="00000000" w:rsidRDefault="00FD7D3C">
      <w:pPr>
        <w:ind w:hanging="1260"/>
        <w:divId w:val="1448113010"/>
        <w:rPr>
          <w:rFonts w:eastAsia="Times New Roman"/>
        </w:rPr>
      </w:pPr>
      <w:r>
        <w:rPr>
          <w:rFonts w:eastAsia="Times New Roman"/>
          <w:color w:val="000000"/>
          <w:sz w:val="20"/>
          <w:szCs w:val="20"/>
        </w:rPr>
        <w:t>•unfavorable FDA or other regulatory agency inspection and review of a clinical trial site;</w:t>
      </w:r>
    </w:p>
    <w:p w:rsidR="00000000" w:rsidRDefault="00FD7D3C">
      <w:pPr>
        <w:ind w:hanging="1260"/>
        <w:divId w:val="255136831"/>
        <w:rPr>
          <w:rFonts w:eastAsia="Times New Roman"/>
        </w:rPr>
      </w:pPr>
      <w:r>
        <w:rPr>
          <w:rFonts w:eastAsia="Times New Roman"/>
          <w:color w:val="000000"/>
          <w:sz w:val="20"/>
          <w:szCs w:val="20"/>
        </w:rPr>
        <w:t>•failure of our third-party contractors or investigators to comply with regu</w:t>
      </w:r>
      <w:r>
        <w:rPr>
          <w:rFonts w:eastAsia="Times New Roman"/>
          <w:color w:val="000000"/>
          <w:sz w:val="20"/>
          <w:szCs w:val="20"/>
        </w:rPr>
        <w:t>latory requirements or otherwise meet their contractual obligations in a timely manner, or at all;</w:t>
      </w:r>
    </w:p>
    <w:p w:rsidR="00000000" w:rsidRDefault="00FD7D3C">
      <w:pPr>
        <w:ind w:hanging="1260"/>
        <w:divId w:val="824203178"/>
        <w:rPr>
          <w:rFonts w:eastAsia="Times New Roman"/>
        </w:rPr>
      </w:pPr>
      <w:r>
        <w:rPr>
          <w:rFonts w:eastAsia="Times New Roman"/>
          <w:color w:val="000000"/>
          <w:sz w:val="20"/>
          <w:szCs w:val="20"/>
        </w:rPr>
        <w:t>•delays and changes in regulatory requirements, policy and guidelines, including the imposition of additional regulatory oversight around clinical testing ge</w:t>
      </w:r>
      <w:r>
        <w:rPr>
          <w:rFonts w:eastAsia="Times New Roman"/>
          <w:color w:val="000000"/>
          <w:sz w:val="20"/>
          <w:szCs w:val="20"/>
        </w:rPr>
        <w:t>nerally or with respect to our technology in particular; or</w:t>
      </w:r>
    </w:p>
    <w:p w:rsidR="00000000" w:rsidRDefault="00FD7D3C">
      <w:pPr>
        <w:ind w:hanging="1260"/>
        <w:divId w:val="975648559"/>
        <w:rPr>
          <w:rFonts w:eastAsia="Times New Roman"/>
        </w:rPr>
      </w:pPr>
      <w:r>
        <w:rPr>
          <w:rFonts w:eastAsia="Times New Roman"/>
          <w:color w:val="000000"/>
          <w:sz w:val="20"/>
          <w:szCs w:val="20"/>
        </w:rPr>
        <w:t>•varying interpretations of data by the FDA and similar foreign regulatory agencies.</w:t>
      </w:r>
    </w:p>
    <w:p w:rsidR="00000000" w:rsidRDefault="00FD7D3C">
      <w:pPr>
        <w:jc w:val="center"/>
        <w:divId w:val="751581133"/>
        <w:rPr>
          <w:rFonts w:eastAsia="Times New Roman"/>
        </w:rPr>
      </w:pPr>
      <w:r>
        <w:rPr>
          <w:rFonts w:eastAsia="Times New Roman"/>
          <w:color w:val="000000"/>
          <w:sz w:val="20"/>
          <w:szCs w:val="20"/>
        </w:rPr>
        <w:t>48</w:t>
      </w:r>
    </w:p>
    <w:p w:rsidR="00000000" w:rsidRDefault="00FD7D3C">
      <w:pPr>
        <w:rPr>
          <w:rFonts w:eastAsia="Times New Roman"/>
        </w:rPr>
      </w:pPr>
      <w:r>
        <w:rPr>
          <w:rFonts w:eastAsia="Times New Roman"/>
        </w:rPr>
        <w:pict>
          <v:rect id="_x0000_i1101" style="width:0;height:1.5pt" o:hralign="center" o:hrstd="t" o:hr="t" fillcolor="#a0a0a0" stroked="f"/>
        </w:pict>
      </w:r>
    </w:p>
    <w:p w:rsidR="00000000" w:rsidRDefault="00FD7D3C">
      <w:pPr>
        <w:divId w:val="1771046657"/>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ind w:firstLine="1080"/>
        <w:divId w:val="708994343"/>
        <w:rPr>
          <w:rFonts w:eastAsia="Times New Roman"/>
        </w:rPr>
      </w:pPr>
      <w:r>
        <w:rPr>
          <w:rFonts w:eastAsia="Times New Roman"/>
          <w:color w:val="000000"/>
          <w:sz w:val="20"/>
          <w:szCs w:val="20"/>
        </w:rPr>
        <w:t>We do not have complete control over many of these factors, including certain aspects of clinical development and the regulatory submission process, potential threats to our intellectual property rights and our manufacturing, marketing, d</w:t>
      </w:r>
      <w:r>
        <w:rPr>
          <w:rFonts w:eastAsia="Times New Roman"/>
          <w:color w:val="000000"/>
          <w:sz w:val="20"/>
          <w:szCs w:val="20"/>
        </w:rPr>
        <w:t>istribution and sales efforts or that of any future collaborator.</w:t>
      </w:r>
    </w:p>
    <w:p w:rsidR="00000000" w:rsidRDefault="00FD7D3C">
      <w:pPr>
        <w:ind w:firstLine="1080"/>
        <w:divId w:val="627320646"/>
        <w:rPr>
          <w:rFonts w:eastAsia="Times New Roman"/>
        </w:rPr>
      </w:pPr>
      <w:r>
        <w:rPr>
          <w:rFonts w:eastAsia="Times New Roman"/>
          <w:b/>
          <w:bCs/>
          <w:i/>
          <w:iCs/>
          <w:color w:val="000000"/>
          <w:sz w:val="20"/>
          <w:szCs w:val="20"/>
        </w:rPr>
        <w:t xml:space="preserve">Our approach to drug discovery and development in the area of fibrotic diseases, with an initial focus on tissue-specific integrin modulation and TGF-β signaling inhibition, is unproven and </w:t>
      </w:r>
      <w:r>
        <w:rPr>
          <w:rFonts w:eastAsia="Times New Roman"/>
          <w:b/>
          <w:bCs/>
          <w:i/>
          <w:iCs/>
          <w:color w:val="000000"/>
          <w:sz w:val="20"/>
          <w:szCs w:val="20"/>
        </w:rPr>
        <w:t>may not result in marketable products.</w:t>
      </w:r>
    </w:p>
    <w:p w:rsidR="00000000" w:rsidRDefault="00FD7D3C">
      <w:pPr>
        <w:ind w:firstLine="1080"/>
        <w:divId w:val="1324701201"/>
        <w:rPr>
          <w:rFonts w:eastAsia="Times New Roman"/>
        </w:rPr>
      </w:pPr>
      <w:r>
        <w:rPr>
          <w:rFonts w:eastAsia="Times New Roman"/>
          <w:color w:val="000000"/>
          <w:sz w:val="20"/>
          <w:szCs w:val="20"/>
        </w:rPr>
        <w:t>Our approach is designed to discover and develop targeted treatments for fibrosis with an initial focus on the antagonism of tissue-specific TGF-β signaling through the inhibition of integrins known to mediate the rel</w:t>
      </w:r>
      <w:r>
        <w:rPr>
          <w:rFonts w:eastAsia="Times New Roman"/>
          <w:color w:val="000000"/>
          <w:sz w:val="20"/>
          <w:szCs w:val="20"/>
        </w:rPr>
        <w:t>ease of activated TGF-β in fibrotic tissue. However, although multiple studies are currently underway, to date, this mechanism has not been definitively proven to successfully treat fibrosis. Targeting integrins to treat fibrosis is a novel approach in a r</w:t>
      </w:r>
      <w:r>
        <w:rPr>
          <w:rFonts w:eastAsia="Times New Roman"/>
          <w:color w:val="000000"/>
          <w:sz w:val="20"/>
          <w:szCs w:val="20"/>
        </w:rPr>
        <w:t xml:space="preserve">apidly developing field, and there can be no assurance that we will not experience currently unknown problems or delays in developing our product candidates, that such problems or delays will not result in unanticipated costs, or that any such development </w:t>
      </w:r>
      <w:r>
        <w:rPr>
          <w:rFonts w:eastAsia="Times New Roman"/>
          <w:color w:val="000000"/>
          <w:sz w:val="20"/>
          <w:szCs w:val="20"/>
        </w:rPr>
        <w:t>problems can be solved. We have primarily tested our lead product candidate, PLN-74809, in healthy volunteers. Therefore, we may ultimately discover that our approach and any product candidates resulting therefrom do not possess properties required for the</w:t>
      </w:r>
      <w:r>
        <w:rPr>
          <w:rFonts w:eastAsia="Times New Roman"/>
          <w:color w:val="000000"/>
          <w:sz w:val="20"/>
          <w:szCs w:val="20"/>
        </w:rPr>
        <w:t>rapeutic effectiveness. As a result, we may never succeed in developing a marketable product.</w:t>
      </w:r>
    </w:p>
    <w:p w:rsidR="00000000" w:rsidRDefault="00FD7D3C">
      <w:pPr>
        <w:ind w:firstLine="1080"/>
        <w:divId w:val="1822772145"/>
        <w:rPr>
          <w:rFonts w:eastAsia="Times New Roman"/>
        </w:rPr>
      </w:pPr>
      <w:r>
        <w:rPr>
          <w:rFonts w:eastAsia="Times New Roman"/>
          <w:color w:val="000000"/>
          <w:sz w:val="20"/>
          <w:szCs w:val="20"/>
        </w:rPr>
        <w:t>In addition, while we have developed an extensive panel of cell assays and precision cut tissue assays and have utilized animal models to uncover biological pathw</w:t>
      </w:r>
      <w:r>
        <w:rPr>
          <w:rFonts w:eastAsia="Times New Roman"/>
          <w:color w:val="000000"/>
          <w:sz w:val="20"/>
          <w:szCs w:val="20"/>
        </w:rPr>
        <w:t xml:space="preserve">ays, understood gene expression changes and optimized the potency and selectivity of our potential product candidates, there can be no assurance that our technology will yield their intended benefits. While we believe our assays represent a differentiator </w:t>
      </w:r>
      <w:r>
        <w:rPr>
          <w:rFonts w:eastAsia="Times New Roman"/>
          <w:color w:val="000000"/>
          <w:sz w:val="20"/>
          <w:szCs w:val="20"/>
        </w:rPr>
        <w:t>in our approach to drug development, our approach has not yet been clinically proven to yield results. Our practice of evaluating our product candidates in live human fibrotic tissue samples before advancing them into the clinic is intended to serve as a b</w:t>
      </w:r>
      <w:r>
        <w:rPr>
          <w:rFonts w:eastAsia="Times New Roman"/>
          <w:color w:val="000000"/>
          <w:sz w:val="20"/>
          <w:szCs w:val="20"/>
        </w:rPr>
        <w:t>ridge between animal models and clinical proof-of-concept. However, there can be no assurance that positive results observed from preclinical animal testing and human fibrotic tissue models will be replicated when a program is advanced into clinical develo</w:t>
      </w:r>
      <w:r>
        <w:rPr>
          <w:rFonts w:eastAsia="Times New Roman"/>
          <w:color w:val="000000"/>
          <w:sz w:val="20"/>
          <w:szCs w:val="20"/>
        </w:rPr>
        <w:t>pment. In addition, our practice of utilizing live human fibrotic tissue as part of our development efforts may become more widespread in the future, and this approach may be adopted and replicated by others, including our competitors.</w:t>
      </w:r>
    </w:p>
    <w:p w:rsidR="00000000" w:rsidRDefault="00FD7D3C">
      <w:pPr>
        <w:ind w:firstLine="1080"/>
        <w:divId w:val="1411732957"/>
        <w:rPr>
          <w:rFonts w:eastAsia="Times New Roman"/>
        </w:rPr>
      </w:pPr>
      <w:r>
        <w:rPr>
          <w:rFonts w:eastAsia="Times New Roman"/>
          <w:color w:val="000000"/>
          <w:sz w:val="20"/>
          <w:szCs w:val="20"/>
        </w:rPr>
        <w:t>Studies involving hu</w:t>
      </w:r>
      <w:r>
        <w:rPr>
          <w:rFonts w:eastAsia="Times New Roman"/>
          <w:color w:val="000000"/>
          <w:sz w:val="20"/>
          <w:szCs w:val="20"/>
        </w:rPr>
        <w:t>man tissue samples may also be subject to institutional and government human subject privacy policies that may vary by territory. We or our partners who provide us with human tissue samples or conduct tissue and/or animal studies on our behalf, may be foun</w:t>
      </w:r>
      <w:r>
        <w:rPr>
          <w:rFonts w:eastAsia="Times New Roman"/>
          <w:color w:val="000000"/>
          <w:sz w:val="20"/>
          <w:szCs w:val="20"/>
        </w:rPr>
        <w:t xml:space="preserve">d to be in violation of one or more of these regulations or policies and may be subject to closure, censure or other penalties. In some cases, these penalties could materially impact the performance, availability, or validity of studies conducted by us or </w:t>
      </w:r>
      <w:r>
        <w:rPr>
          <w:rFonts w:eastAsia="Times New Roman"/>
          <w:color w:val="000000"/>
          <w:sz w:val="20"/>
          <w:szCs w:val="20"/>
        </w:rPr>
        <w:t>on our behalf. Even in the absence of violations resulting in penalties, regulatory and other authorities may refuse to authorize the conduct or to accept the results of studies for regulatory or ethical reasons.</w:t>
      </w:r>
    </w:p>
    <w:p w:rsidR="00000000" w:rsidRDefault="00FD7D3C">
      <w:pPr>
        <w:ind w:firstLine="1080"/>
        <w:divId w:val="697241017"/>
        <w:rPr>
          <w:rFonts w:eastAsia="Times New Roman"/>
        </w:rPr>
      </w:pPr>
      <w:r>
        <w:rPr>
          <w:rFonts w:eastAsia="Times New Roman"/>
          <w:b/>
          <w:bCs/>
          <w:i/>
          <w:iCs/>
          <w:color w:val="000000"/>
          <w:sz w:val="20"/>
          <w:szCs w:val="20"/>
        </w:rPr>
        <w:t>Clinical development involves a lengthy, co</w:t>
      </w:r>
      <w:r>
        <w:rPr>
          <w:rFonts w:eastAsia="Times New Roman"/>
          <w:b/>
          <w:bCs/>
          <w:i/>
          <w:iCs/>
          <w:color w:val="000000"/>
          <w:sz w:val="20"/>
          <w:szCs w:val="20"/>
        </w:rPr>
        <w:t>mplex, and expensive process, with an uncertain outcome.</w:t>
      </w:r>
    </w:p>
    <w:p w:rsidR="00000000" w:rsidRDefault="00FD7D3C">
      <w:pPr>
        <w:ind w:firstLine="1080"/>
        <w:divId w:val="49888809"/>
        <w:rPr>
          <w:rFonts w:eastAsia="Times New Roman"/>
        </w:rPr>
      </w:pPr>
      <w:r>
        <w:rPr>
          <w:rFonts w:eastAsia="Times New Roman"/>
          <w:color w:val="000000"/>
          <w:sz w:val="20"/>
          <w:szCs w:val="20"/>
        </w:rPr>
        <w:t>To obtain the requisite regulatory approvals to commercialize any product candidates, we must demonstrate through extensive preclinical studies and clinical trials that our product candidates are saf</w:t>
      </w:r>
      <w:r>
        <w:rPr>
          <w:rFonts w:eastAsia="Times New Roman"/>
          <w:color w:val="000000"/>
          <w:sz w:val="20"/>
          <w:szCs w:val="20"/>
        </w:rPr>
        <w:t xml:space="preserve">e and effective in humans. Clinical testing is expensive and can take many years to complete, and its outcome is inherently uncertain. In particular, the general approach for FDA approval of a new drug is dispositive data from two well-controlled, Phase 3 </w:t>
      </w:r>
      <w:r>
        <w:rPr>
          <w:rFonts w:eastAsia="Times New Roman"/>
          <w:color w:val="000000"/>
          <w:sz w:val="20"/>
          <w:szCs w:val="20"/>
        </w:rPr>
        <w:t>clinical trials of the relevant drug in the relevant patient population. Phase 3 clinical trials typically involve hundreds of patients, have significant costs and take years to complete. A product candidate can fail at any stage of testing, even after obs</w:t>
      </w:r>
      <w:r>
        <w:rPr>
          <w:rFonts w:eastAsia="Times New Roman"/>
          <w:color w:val="000000"/>
          <w:sz w:val="20"/>
          <w:szCs w:val="20"/>
        </w:rPr>
        <w:t>erving promising signals of activity in earlier preclinical studies or clinical trials. The results of preclinical studies and early clinical trials of our product candidates may not be predictive of the results of later-stage clinical trials. In addition,</w:t>
      </w:r>
      <w:r>
        <w:rPr>
          <w:rFonts w:eastAsia="Times New Roman"/>
          <w:color w:val="000000"/>
          <w:sz w:val="20"/>
          <w:szCs w:val="20"/>
        </w:rPr>
        <w:t xml:space="preserve"> initial success in clinical trials may not be indicative of results obtained when such trials are completed. There is typically an extremely high rate of attrition from the failure of product candidates proceeding through clinical trials. Product candidat</w:t>
      </w:r>
      <w:r>
        <w:rPr>
          <w:rFonts w:eastAsia="Times New Roman"/>
          <w:color w:val="000000"/>
          <w:sz w:val="20"/>
          <w:szCs w:val="20"/>
        </w:rPr>
        <w:t>es in later stages of clinical trials may fail to show the desired safety and efficacy profile despite having progressed through preclinical studies and initial clinical trials. A number of companies in the biopharmaceutical industry have suffered signific</w:t>
      </w:r>
      <w:r>
        <w:rPr>
          <w:rFonts w:eastAsia="Times New Roman"/>
          <w:color w:val="000000"/>
          <w:sz w:val="20"/>
          <w:szCs w:val="20"/>
        </w:rPr>
        <w:t>ant setbacks in advanced clinical trials due to lack of efficacy or unacceptable safety issues, notwithstanding promising results in earlier trials. Most product candidates that commence clinical trials are never approved as products and there can be no as</w:t>
      </w:r>
      <w:r>
        <w:rPr>
          <w:rFonts w:eastAsia="Times New Roman"/>
          <w:color w:val="000000"/>
          <w:sz w:val="20"/>
          <w:szCs w:val="20"/>
        </w:rPr>
        <w:t>surance that any of our future clinical trials will ultimately be successful or support further clinical development of PLN-74809 or any of our other product candidates. Product candidates that appear promising in the early phases of development may fail t</w:t>
      </w:r>
      <w:r>
        <w:rPr>
          <w:rFonts w:eastAsia="Times New Roman"/>
          <w:color w:val="000000"/>
          <w:sz w:val="20"/>
          <w:szCs w:val="20"/>
        </w:rPr>
        <w:t>o reach the market for several reasons, including:</w:t>
      </w:r>
    </w:p>
    <w:p w:rsidR="00000000" w:rsidRDefault="00FD7D3C">
      <w:pPr>
        <w:ind w:hanging="1260"/>
        <w:divId w:val="883519376"/>
        <w:rPr>
          <w:rFonts w:eastAsia="Times New Roman"/>
        </w:rPr>
      </w:pPr>
      <w:r>
        <w:rPr>
          <w:rFonts w:eastAsia="Times New Roman"/>
          <w:color w:val="000000"/>
          <w:sz w:val="20"/>
          <w:szCs w:val="20"/>
        </w:rPr>
        <w:t>•preclinical studies or clinical trials may show the product candidates to be less effective than expected (e.g., a clinical trial could fail to meet its primary endpoint(s)) or to have unacceptable side e</w:t>
      </w:r>
      <w:r>
        <w:rPr>
          <w:rFonts w:eastAsia="Times New Roman"/>
          <w:color w:val="000000"/>
          <w:sz w:val="20"/>
          <w:szCs w:val="20"/>
        </w:rPr>
        <w:t>ffects or toxicities;</w:t>
      </w:r>
    </w:p>
    <w:p w:rsidR="00000000" w:rsidRDefault="00FD7D3C">
      <w:pPr>
        <w:jc w:val="center"/>
        <w:divId w:val="150366692"/>
        <w:rPr>
          <w:rFonts w:eastAsia="Times New Roman"/>
        </w:rPr>
      </w:pPr>
      <w:r>
        <w:rPr>
          <w:rFonts w:eastAsia="Times New Roman"/>
          <w:color w:val="000000"/>
          <w:sz w:val="20"/>
          <w:szCs w:val="20"/>
        </w:rPr>
        <w:t>49</w:t>
      </w:r>
    </w:p>
    <w:p w:rsidR="00000000" w:rsidRDefault="00FD7D3C">
      <w:pPr>
        <w:rPr>
          <w:rFonts w:eastAsia="Times New Roman"/>
        </w:rPr>
      </w:pPr>
      <w:r>
        <w:rPr>
          <w:rFonts w:eastAsia="Times New Roman"/>
        </w:rPr>
        <w:pict>
          <v:rect id="_x0000_i1102" style="width:0;height:1.5pt" o:hralign="center" o:hrstd="t" o:hr="t" fillcolor="#a0a0a0" stroked="f"/>
        </w:pict>
      </w:r>
    </w:p>
    <w:p w:rsidR="00000000" w:rsidRDefault="00FD7D3C">
      <w:pPr>
        <w:divId w:val="661811213"/>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ind w:hanging="1260"/>
        <w:divId w:val="539055743"/>
        <w:rPr>
          <w:rFonts w:eastAsia="Times New Roman"/>
        </w:rPr>
      </w:pPr>
      <w:r>
        <w:rPr>
          <w:rFonts w:eastAsia="Times New Roman"/>
          <w:color w:val="000000"/>
          <w:sz w:val="20"/>
          <w:szCs w:val="20"/>
        </w:rPr>
        <w:t>•failure to establish clinical endpoints that applicable regulatory authorities would consider clinically meaningful;</w:t>
      </w:r>
    </w:p>
    <w:p w:rsidR="00000000" w:rsidRDefault="00FD7D3C">
      <w:pPr>
        <w:ind w:hanging="1260"/>
        <w:divId w:val="1730884929"/>
        <w:rPr>
          <w:rFonts w:eastAsia="Times New Roman"/>
        </w:rPr>
      </w:pPr>
      <w:r>
        <w:rPr>
          <w:rFonts w:eastAsia="Times New Roman"/>
          <w:color w:val="000000"/>
          <w:sz w:val="20"/>
          <w:szCs w:val="20"/>
        </w:rPr>
        <w:t>•failure to receive the necessary regulatory approvals;</w:t>
      </w:r>
    </w:p>
    <w:p w:rsidR="00000000" w:rsidRDefault="00FD7D3C">
      <w:pPr>
        <w:ind w:hanging="1260"/>
        <w:divId w:val="571086840"/>
        <w:rPr>
          <w:rFonts w:eastAsia="Times New Roman"/>
        </w:rPr>
      </w:pPr>
      <w:r>
        <w:rPr>
          <w:rFonts w:eastAsia="Times New Roman"/>
          <w:color w:val="000000"/>
          <w:sz w:val="20"/>
          <w:szCs w:val="20"/>
        </w:rPr>
        <w:t>•development of competing products in the same disease state;</w:t>
      </w:r>
    </w:p>
    <w:p w:rsidR="00000000" w:rsidRDefault="00FD7D3C">
      <w:pPr>
        <w:ind w:hanging="1260"/>
        <w:divId w:val="614144300"/>
        <w:rPr>
          <w:rFonts w:eastAsia="Times New Roman"/>
        </w:rPr>
      </w:pPr>
      <w:r>
        <w:rPr>
          <w:rFonts w:eastAsia="Times New Roman"/>
          <w:color w:val="000000"/>
          <w:sz w:val="20"/>
          <w:szCs w:val="20"/>
        </w:rPr>
        <w:t>•manufacturing costs, formulation issues, pricing or reimbursement issues, or other factors that make a product candidate uneconomical; an</w:t>
      </w:r>
      <w:r>
        <w:rPr>
          <w:rFonts w:eastAsia="Times New Roman"/>
          <w:color w:val="000000"/>
          <w:sz w:val="20"/>
          <w:szCs w:val="20"/>
        </w:rPr>
        <w:t>d</w:t>
      </w:r>
    </w:p>
    <w:p w:rsidR="00000000" w:rsidRDefault="00FD7D3C">
      <w:pPr>
        <w:ind w:hanging="1260"/>
        <w:divId w:val="1047685809"/>
        <w:rPr>
          <w:rFonts w:eastAsia="Times New Roman"/>
        </w:rPr>
      </w:pPr>
      <w:r>
        <w:rPr>
          <w:rFonts w:eastAsia="Times New Roman"/>
          <w:color w:val="000000"/>
          <w:sz w:val="20"/>
          <w:szCs w:val="20"/>
        </w:rPr>
        <w:t>•the proprietary rights of others and their competing products and technologies that may prevent one of our product candidates from being commercialized.</w:t>
      </w:r>
    </w:p>
    <w:p w:rsidR="00000000" w:rsidRDefault="00FD7D3C">
      <w:pPr>
        <w:ind w:firstLine="1080"/>
        <w:divId w:val="1047801051"/>
        <w:rPr>
          <w:rFonts w:eastAsia="Times New Roman"/>
        </w:rPr>
      </w:pPr>
      <w:r>
        <w:rPr>
          <w:rFonts w:eastAsia="Times New Roman"/>
          <w:color w:val="000000"/>
          <w:sz w:val="20"/>
          <w:szCs w:val="20"/>
        </w:rPr>
        <w:t>In addition, differences in trial design between early-stage clinical trials and later-stage clinica</w:t>
      </w:r>
      <w:r>
        <w:rPr>
          <w:rFonts w:eastAsia="Times New Roman"/>
          <w:color w:val="000000"/>
          <w:sz w:val="20"/>
          <w:szCs w:val="20"/>
        </w:rPr>
        <w:t xml:space="preserve">l trials make it difficult to extrapolate the results of earlier clinical trials to later clinical trials. Further, as we rely on novel technologies including sophisticated imaging technologies to generate data relating to our clinical endpoints, there is </w:t>
      </w:r>
      <w:r>
        <w:rPr>
          <w:rFonts w:eastAsia="Times New Roman"/>
          <w:color w:val="000000"/>
          <w:sz w:val="20"/>
          <w:szCs w:val="20"/>
        </w:rPr>
        <w:t>an increased risk that we may not properly measure, analyze or interpret this data. Moreover, clinical data are often susceptible to varying interpretations and analyses, and many companies that have believed their product candidates performed satisfactori</w:t>
      </w:r>
      <w:r>
        <w:rPr>
          <w:rFonts w:eastAsia="Times New Roman"/>
          <w:color w:val="000000"/>
          <w:sz w:val="20"/>
          <w:szCs w:val="20"/>
        </w:rPr>
        <w:t>ly in clinical trials have nonetheless failed to obtain marketing approval of their products. Additionally, some of our trials are open-label studies, where both the patient and investigator know whether the patient is receiving the investigational product</w:t>
      </w:r>
      <w:r>
        <w:rPr>
          <w:rFonts w:eastAsia="Times New Roman"/>
          <w:color w:val="000000"/>
          <w:sz w:val="20"/>
          <w:szCs w:val="20"/>
        </w:rPr>
        <w:t xml:space="preserve"> candidate or either an existing approved drug or placebo. Most typically, open-label clinical trials test only the investigational product candidate and sometimes do so at different dose levels. Open-label clinical trials are subject to various limitation</w:t>
      </w:r>
      <w:r>
        <w:rPr>
          <w:rFonts w:eastAsia="Times New Roman"/>
          <w:color w:val="000000"/>
          <w:sz w:val="20"/>
          <w:szCs w:val="20"/>
        </w:rPr>
        <w:t>s that may exaggerate any therapeutic effect as patients in open-label clinical trials are aware when they are receiving treatment. In addition, open-label clinical trials may be subject to an “investigator bias” where those assessing and reviewing the phy</w:t>
      </w:r>
      <w:r>
        <w:rPr>
          <w:rFonts w:eastAsia="Times New Roman"/>
          <w:color w:val="000000"/>
          <w:sz w:val="20"/>
          <w:szCs w:val="20"/>
        </w:rPr>
        <w:t>siological outcomes of the clinical trials are aware of which patients have received treatment and may interpret the information of the treated group more favorably given this knowledge. Therefore, it is possible that positive results observed in open-labe</w:t>
      </w:r>
      <w:r>
        <w:rPr>
          <w:rFonts w:eastAsia="Times New Roman"/>
          <w:color w:val="000000"/>
          <w:sz w:val="20"/>
          <w:szCs w:val="20"/>
        </w:rPr>
        <w:t>l trials will not be replicated in later placebo-controlled trials.</w:t>
      </w:r>
    </w:p>
    <w:p w:rsidR="00000000" w:rsidRDefault="00FD7D3C">
      <w:pPr>
        <w:ind w:firstLine="1080"/>
        <w:divId w:val="1534876513"/>
        <w:rPr>
          <w:rFonts w:eastAsia="Times New Roman"/>
        </w:rPr>
      </w:pPr>
      <w:r>
        <w:rPr>
          <w:rFonts w:eastAsia="Times New Roman"/>
          <w:color w:val="000000"/>
          <w:sz w:val="20"/>
          <w:szCs w:val="20"/>
        </w:rPr>
        <w:t>In addition, the standards that the FDA and comparable foreign regulatory authorities use when regulating us require judgment and can change, which makes it difficult to predict with certa</w:t>
      </w:r>
      <w:r>
        <w:rPr>
          <w:rFonts w:eastAsia="Times New Roman"/>
          <w:color w:val="000000"/>
          <w:sz w:val="20"/>
          <w:szCs w:val="20"/>
        </w:rPr>
        <w:t>inty how they will be applied. Although we are initially focusing our efforts on development of small molecule drug products, we are also considering the development of biological products, including a potential candidate for muscular dystrophies, which co</w:t>
      </w:r>
      <w:r>
        <w:rPr>
          <w:rFonts w:eastAsia="Times New Roman"/>
          <w:color w:val="000000"/>
          <w:sz w:val="20"/>
          <w:szCs w:val="20"/>
        </w:rPr>
        <w:t>uld make us subject to additional regulatory requirements. Any analysis we perform of data from preclinical and clinical activities is subject to confirmation and interpretation by regulatory authorities, which could delay, limit or prevent regulatory appr</w:t>
      </w:r>
      <w:r>
        <w:rPr>
          <w:rFonts w:eastAsia="Times New Roman"/>
          <w:color w:val="000000"/>
          <w:sz w:val="20"/>
          <w:szCs w:val="20"/>
        </w:rPr>
        <w:t xml:space="preserve">oval. We may also encounter unexpected delays or increased costs due to new government regulations. Examples of such regulations include future legislation or administrative action, or changes in FDA policy during the period of product development and FDA </w:t>
      </w:r>
      <w:r>
        <w:rPr>
          <w:rFonts w:eastAsia="Times New Roman"/>
          <w:color w:val="000000"/>
          <w:sz w:val="20"/>
          <w:szCs w:val="20"/>
        </w:rPr>
        <w:t>regulatory review. It is impossible to predict whether legislative changes will be enacted, or whether FDA or foreign regulations, guidance or interpretations will be changed, or what the impact of such changes, if any, may be. The FDA may also require a p</w:t>
      </w:r>
      <w:r>
        <w:rPr>
          <w:rFonts w:eastAsia="Times New Roman"/>
          <w:color w:val="000000"/>
          <w:sz w:val="20"/>
          <w:szCs w:val="20"/>
        </w:rPr>
        <w:t>anel of experts, referred to as an Advisory Committee, to deliberate on the adequacy of the safety and efficacy data to support approval. The opinion of the Advisory Committee, although not binding, may have a significant impact on our ability to obtain ap</w:t>
      </w:r>
      <w:r>
        <w:rPr>
          <w:rFonts w:eastAsia="Times New Roman"/>
          <w:color w:val="000000"/>
          <w:sz w:val="20"/>
          <w:szCs w:val="20"/>
        </w:rPr>
        <w:t>proval of any product candidates that we develop.</w:t>
      </w:r>
    </w:p>
    <w:p w:rsidR="00000000" w:rsidRDefault="00FD7D3C">
      <w:pPr>
        <w:ind w:firstLine="1080"/>
        <w:divId w:val="1059784588"/>
        <w:rPr>
          <w:rFonts w:eastAsia="Times New Roman"/>
        </w:rPr>
      </w:pPr>
      <w:r>
        <w:rPr>
          <w:rFonts w:eastAsia="Times New Roman"/>
          <w:color w:val="000000"/>
          <w:sz w:val="20"/>
          <w:szCs w:val="20"/>
        </w:rPr>
        <w:t>If we seek to conduct clinical trials in foreign countries or pursue marketing approvals in foreign jurisdictions, we must comply with numerous foreign regulatory requirements governing, among other things,</w:t>
      </w:r>
      <w:r>
        <w:rPr>
          <w:rFonts w:eastAsia="Times New Roman"/>
          <w:color w:val="000000"/>
          <w:sz w:val="20"/>
          <w:szCs w:val="20"/>
        </w:rPr>
        <w:t xml:space="preserve"> the conduct of clinical trials, manufacturing and marketing authorization, pricing and third-party reimbursement. The foreign regulatory approval process varies among countries and may include all of the risks associated with FDA approval described above </w:t>
      </w:r>
      <w:r>
        <w:rPr>
          <w:rFonts w:eastAsia="Times New Roman"/>
          <w:color w:val="000000"/>
          <w:sz w:val="20"/>
          <w:szCs w:val="20"/>
        </w:rPr>
        <w:t>as well as risks attributable to the satisfaction of local regulations in foreign jurisdictions. Moreover, the time required to obtain approval may differ from that required to obtain FDA approval. Approval by the FDA does not ensure approval by regulatory</w:t>
      </w:r>
      <w:r>
        <w:rPr>
          <w:rFonts w:eastAsia="Times New Roman"/>
          <w:color w:val="000000"/>
          <w:sz w:val="20"/>
          <w:szCs w:val="20"/>
        </w:rPr>
        <w:t xml:space="preserve"> authorities outside the United States and vice versa.</w:t>
      </w:r>
    </w:p>
    <w:p w:rsidR="00000000" w:rsidRDefault="00FD7D3C">
      <w:pPr>
        <w:ind w:firstLine="1080"/>
        <w:divId w:val="12846293"/>
        <w:rPr>
          <w:rFonts w:eastAsia="Times New Roman"/>
        </w:rPr>
      </w:pPr>
      <w:r>
        <w:rPr>
          <w:rFonts w:eastAsia="Times New Roman"/>
          <w:color w:val="000000"/>
          <w:sz w:val="20"/>
          <w:szCs w:val="20"/>
        </w:rPr>
        <w:t>Successful completion of clinical trials is a prerequisite to submitting a marketing application to the FDA and similar marketing applications to comparable foreign regulatory authorities, for each pro</w:t>
      </w:r>
      <w:r>
        <w:rPr>
          <w:rFonts w:eastAsia="Times New Roman"/>
          <w:color w:val="000000"/>
          <w:sz w:val="20"/>
          <w:szCs w:val="20"/>
        </w:rPr>
        <w:t>duct candidate and, consequently, the ultimate approval and commercial marketing of any product candidates. We may experience negative or inconclusive results, which may result in our deciding, or our being required by regulators, to conduct additional cli</w:t>
      </w:r>
      <w:r>
        <w:rPr>
          <w:rFonts w:eastAsia="Times New Roman"/>
          <w:color w:val="000000"/>
          <w:sz w:val="20"/>
          <w:szCs w:val="20"/>
        </w:rPr>
        <w:t>nical studies or trials or abandon some or all of our product development programs, which could have a material adverse effect on our business.</w:t>
      </w:r>
    </w:p>
    <w:p w:rsidR="00000000" w:rsidRDefault="00FD7D3C">
      <w:pPr>
        <w:ind w:firstLine="1080"/>
        <w:divId w:val="1717663275"/>
        <w:rPr>
          <w:rFonts w:eastAsia="Times New Roman"/>
        </w:rPr>
      </w:pPr>
      <w:r>
        <w:rPr>
          <w:rFonts w:eastAsia="Times New Roman"/>
          <w:b/>
          <w:bCs/>
          <w:i/>
          <w:iCs/>
          <w:color w:val="000000"/>
          <w:sz w:val="20"/>
          <w:szCs w:val="20"/>
        </w:rPr>
        <w:t>We may incur additional costs or experience delays in completing, or ultimately be unable to complete, the devel</w:t>
      </w:r>
      <w:r>
        <w:rPr>
          <w:rFonts w:eastAsia="Times New Roman"/>
          <w:b/>
          <w:bCs/>
          <w:i/>
          <w:iCs/>
          <w:color w:val="000000"/>
          <w:sz w:val="20"/>
          <w:szCs w:val="20"/>
        </w:rPr>
        <w:t>opment and commercialization of PLN-74809 or any other product candidates.</w:t>
      </w:r>
    </w:p>
    <w:p w:rsidR="00000000" w:rsidRDefault="00FD7D3C">
      <w:pPr>
        <w:ind w:firstLine="1080"/>
        <w:divId w:val="1797867843"/>
        <w:rPr>
          <w:rFonts w:eastAsia="Times New Roman"/>
        </w:rPr>
      </w:pPr>
      <w:r>
        <w:rPr>
          <w:rFonts w:eastAsia="Times New Roman"/>
          <w:color w:val="000000"/>
          <w:sz w:val="20"/>
          <w:szCs w:val="20"/>
        </w:rPr>
        <w:t>We may experience delays in initiating or completing clinical trials. We also may experience numerous unforeseen events during, or as a result of, any future clinical trials that co</w:t>
      </w:r>
      <w:r>
        <w:rPr>
          <w:rFonts w:eastAsia="Times New Roman"/>
          <w:color w:val="000000"/>
          <w:sz w:val="20"/>
          <w:szCs w:val="20"/>
        </w:rPr>
        <w:t xml:space="preserve">uld delay or prevent our ability to receive marketing approval or commercialize PLN-74809 or any other product candidates, including: </w:t>
      </w:r>
    </w:p>
    <w:p w:rsidR="00000000" w:rsidRDefault="00FD7D3C">
      <w:pPr>
        <w:jc w:val="center"/>
        <w:divId w:val="604701376"/>
        <w:rPr>
          <w:rFonts w:eastAsia="Times New Roman"/>
        </w:rPr>
      </w:pPr>
      <w:r>
        <w:rPr>
          <w:rFonts w:eastAsia="Times New Roman"/>
          <w:color w:val="000000"/>
          <w:sz w:val="20"/>
          <w:szCs w:val="20"/>
        </w:rPr>
        <w:t>50</w:t>
      </w:r>
    </w:p>
    <w:p w:rsidR="00000000" w:rsidRDefault="00FD7D3C">
      <w:pPr>
        <w:rPr>
          <w:rFonts w:eastAsia="Times New Roman"/>
        </w:rPr>
      </w:pPr>
      <w:r>
        <w:rPr>
          <w:rFonts w:eastAsia="Times New Roman"/>
        </w:rPr>
        <w:pict>
          <v:rect id="_x0000_i1103" style="width:0;height:1.5pt" o:hralign="center" o:hrstd="t" o:hr="t" fillcolor="#a0a0a0" stroked="f"/>
        </w:pict>
      </w:r>
    </w:p>
    <w:p w:rsidR="00000000" w:rsidRDefault="00FD7D3C">
      <w:pPr>
        <w:divId w:val="1981835357"/>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ind w:hanging="1260"/>
        <w:divId w:val="629365908"/>
        <w:rPr>
          <w:rFonts w:eastAsia="Times New Roman"/>
        </w:rPr>
      </w:pPr>
      <w:r>
        <w:rPr>
          <w:rFonts w:eastAsia="Times New Roman"/>
          <w:color w:val="000000"/>
          <w:sz w:val="20"/>
          <w:szCs w:val="20"/>
        </w:rPr>
        <w:t>•regul</w:t>
      </w:r>
      <w:r>
        <w:rPr>
          <w:rFonts w:eastAsia="Times New Roman"/>
          <w:color w:val="000000"/>
          <w:sz w:val="20"/>
          <w:szCs w:val="20"/>
        </w:rPr>
        <w:t>ators or institutional review boards, or IRBs, or ethics committees may not authorize us or our investigators to commence a clinical trial or conduct a clinical trial at a prospective trial site;</w:t>
      </w:r>
    </w:p>
    <w:p w:rsidR="00000000" w:rsidRDefault="00FD7D3C">
      <w:pPr>
        <w:ind w:hanging="1260"/>
        <w:divId w:val="757946776"/>
        <w:rPr>
          <w:rFonts w:eastAsia="Times New Roman"/>
        </w:rPr>
      </w:pPr>
      <w:r>
        <w:rPr>
          <w:rFonts w:eastAsia="Times New Roman"/>
          <w:color w:val="000000"/>
          <w:sz w:val="20"/>
          <w:szCs w:val="20"/>
        </w:rPr>
        <w:t>•the FDA or other comparable regulatory authorities may disa</w:t>
      </w:r>
      <w:r>
        <w:rPr>
          <w:rFonts w:eastAsia="Times New Roman"/>
          <w:color w:val="000000"/>
          <w:sz w:val="20"/>
          <w:szCs w:val="20"/>
        </w:rPr>
        <w:t>gree with our clinical trial design, including with respect to dosing levels administered in our planned clinical trials, which may delay or prevent us from initiating our clinical trials with our originally intended trial design;</w:t>
      </w:r>
    </w:p>
    <w:p w:rsidR="00000000" w:rsidRDefault="00FD7D3C">
      <w:pPr>
        <w:ind w:hanging="1260"/>
        <w:divId w:val="1343124361"/>
        <w:rPr>
          <w:rFonts w:eastAsia="Times New Roman"/>
        </w:rPr>
      </w:pPr>
      <w:r>
        <w:rPr>
          <w:rFonts w:eastAsia="Times New Roman"/>
          <w:color w:val="000000"/>
          <w:sz w:val="20"/>
          <w:szCs w:val="20"/>
        </w:rPr>
        <w:t>•we may experience delays</w:t>
      </w:r>
      <w:r>
        <w:rPr>
          <w:rFonts w:eastAsia="Times New Roman"/>
          <w:color w:val="000000"/>
          <w:sz w:val="20"/>
          <w:szCs w:val="20"/>
        </w:rPr>
        <w:t xml:space="preserve"> in reaching, or fail to reach, agreement on acceptable terms with prospective trial sites and prospective CROs, which can be subject to extensive negotiation and may vary significantly among different CROs and trial sites;</w:t>
      </w:r>
    </w:p>
    <w:p w:rsidR="00000000" w:rsidRDefault="00FD7D3C">
      <w:pPr>
        <w:ind w:hanging="1260"/>
        <w:divId w:val="2122874628"/>
        <w:rPr>
          <w:rFonts w:eastAsia="Times New Roman"/>
        </w:rPr>
      </w:pPr>
      <w:r>
        <w:rPr>
          <w:rFonts w:eastAsia="Times New Roman"/>
          <w:color w:val="000000"/>
          <w:sz w:val="20"/>
          <w:szCs w:val="20"/>
        </w:rPr>
        <w:t>•</w:t>
      </w:r>
      <w:r>
        <w:rPr>
          <w:rFonts w:eastAsia="Times New Roman"/>
          <w:color w:val="000000"/>
          <w:sz w:val="20"/>
          <w:szCs w:val="20"/>
        </w:rPr>
        <w:t>the number of subjects required for clinical trials of any product candidates may be larger than we anticipate or subjects may drop out of these clinical trials or fail to return for post-treatment follow-up at a higher rate than we anticipate;</w:t>
      </w:r>
    </w:p>
    <w:p w:rsidR="00000000" w:rsidRDefault="00FD7D3C">
      <w:pPr>
        <w:ind w:hanging="1260"/>
        <w:divId w:val="2054501938"/>
        <w:rPr>
          <w:rFonts w:eastAsia="Times New Roman"/>
        </w:rPr>
      </w:pPr>
      <w:r>
        <w:rPr>
          <w:rFonts w:eastAsia="Times New Roman"/>
          <w:color w:val="000000"/>
          <w:sz w:val="20"/>
          <w:szCs w:val="20"/>
        </w:rPr>
        <w:t>•our third-</w:t>
      </w:r>
      <w:r>
        <w:rPr>
          <w:rFonts w:eastAsia="Times New Roman"/>
          <w:color w:val="000000"/>
          <w:sz w:val="20"/>
          <w:szCs w:val="20"/>
        </w:rPr>
        <w:t>party contractors may fail to comply with regulatory requirements or meet their contractual obligations to us in a timely manner, or at all, or may deviate from the clinical trial protocol or drop out of the trial, which may require that we add new clinica</w:t>
      </w:r>
      <w:r>
        <w:rPr>
          <w:rFonts w:eastAsia="Times New Roman"/>
          <w:color w:val="000000"/>
          <w:sz w:val="20"/>
          <w:szCs w:val="20"/>
        </w:rPr>
        <w:t>l trial sites or investigators;</w:t>
      </w:r>
    </w:p>
    <w:p w:rsidR="00000000" w:rsidRDefault="00FD7D3C">
      <w:pPr>
        <w:ind w:hanging="1260"/>
        <w:divId w:val="764692782"/>
        <w:rPr>
          <w:rFonts w:eastAsia="Times New Roman"/>
        </w:rPr>
      </w:pPr>
      <w:r>
        <w:rPr>
          <w:rFonts w:eastAsia="Times New Roman"/>
          <w:color w:val="000000"/>
          <w:sz w:val="20"/>
          <w:szCs w:val="20"/>
        </w:rPr>
        <w:t>•due to the impact of the COVID-19 pandemic, we have experienced, and may continue to experience, delays and interruptions to our preclinical studies and clinical trials, we may experience delays or interruptions to our manu</w:t>
      </w:r>
      <w:r>
        <w:rPr>
          <w:rFonts w:eastAsia="Times New Roman"/>
          <w:color w:val="000000"/>
          <w:sz w:val="20"/>
          <w:szCs w:val="20"/>
        </w:rPr>
        <w:t>facturing supply chain, or we could suffer delays in reaching, or we may fail to reach, agreement on acceptable terms with third-party service providers on whom we rely;</w:t>
      </w:r>
    </w:p>
    <w:p w:rsidR="00000000" w:rsidRDefault="00FD7D3C">
      <w:pPr>
        <w:ind w:hanging="1260"/>
        <w:divId w:val="158618209"/>
        <w:rPr>
          <w:rFonts w:eastAsia="Times New Roman"/>
        </w:rPr>
      </w:pPr>
      <w:r>
        <w:rPr>
          <w:rFonts w:eastAsia="Times New Roman"/>
          <w:color w:val="000000"/>
          <w:sz w:val="20"/>
          <w:szCs w:val="20"/>
        </w:rPr>
        <w:t xml:space="preserve">•additional delays and interruptions to our clinical trials could extend the duration </w:t>
      </w:r>
      <w:r>
        <w:rPr>
          <w:rFonts w:eastAsia="Times New Roman"/>
          <w:color w:val="000000"/>
          <w:sz w:val="20"/>
          <w:szCs w:val="20"/>
        </w:rPr>
        <w:t>of the trials and increase the overall costs to finish the trials as our fixed costs are not substantially reduced during delays;</w:t>
      </w:r>
    </w:p>
    <w:p w:rsidR="00000000" w:rsidRDefault="00FD7D3C">
      <w:pPr>
        <w:ind w:hanging="1260"/>
        <w:divId w:val="1827210699"/>
        <w:rPr>
          <w:rFonts w:eastAsia="Times New Roman"/>
        </w:rPr>
      </w:pPr>
      <w:r>
        <w:rPr>
          <w:rFonts w:eastAsia="Times New Roman"/>
          <w:color w:val="000000"/>
          <w:sz w:val="20"/>
          <w:szCs w:val="20"/>
        </w:rPr>
        <w:t>•we may elect to, or regulators, IRBs, Data Safety Monitoring Boards, or DSMBs, or ethics committees may require that we or ou</w:t>
      </w:r>
      <w:r>
        <w:rPr>
          <w:rFonts w:eastAsia="Times New Roman"/>
          <w:color w:val="000000"/>
          <w:sz w:val="20"/>
          <w:szCs w:val="20"/>
        </w:rPr>
        <w:t>r investigators, suspend or terminate clinical research or trials for various reasons, including noncompliance with regulatory requirements or a finding that the participants are being exposed to unacceptable health risks;</w:t>
      </w:r>
    </w:p>
    <w:p w:rsidR="00000000" w:rsidRDefault="00FD7D3C">
      <w:pPr>
        <w:ind w:hanging="1260"/>
        <w:divId w:val="1199708334"/>
        <w:rPr>
          <w:rFonts w:eastAsia="Times New Roman"/>
        </w:rPr>
      </w:pPr>
      <w:r>
        <w:rPr>
          <w:rFonts w:eastAsia="Times New Roman"/>
          <w:color w:val="000000"/>
          <w:sz w:val="20"/>
          <w:szCs w:val="20"/>
        </w:rPr>
        <w:t>•we may not have the financial re</w:t>
      </w:r>
      <w:r>
        <w:rPr>
          <w:rFonts w:eastAsia="Times New Roman"/>
          <w:color w:val="000000"/>
          <w:sz w:val="20"/>
          <w:szCs w:val="20"/>
        </w:rPr>
        <w:t>sources available to begin and complete the planned trials, or the cost of clinical trials of any product candidates may be greater than we anticipate;</w:t>
      </w:r>
    </w:p>
    <w:p w:rsidR="00000000" w:rsidRDefault="00FD7D3C">
      <w:pPr>
        <w:ind w:hanging="1260"/>
        <w:divId w:val="1728987665"/>
        <w:rPr>
          <w:rFonts w:eastAsia="Times New Roman"/>
        </w:rPr>
      </w:pPr>
      <w:r>
        <w:rPr>
          <w:rFonts w:eastAsia="Times New Roman"/>
          <w:color w:val="000000"/>
          <w:sz w:val="20"/>
          <w:szCs w:val="20"/>
        </w:rPr>
        <w:t>•the supply or quality of our product candidates or other materials necessary to conduct clinical trials</w:t>
      </w:r>
      <w:r>
        <w:rPr>
          <w:rFonts w:eastAsia="Times New Roman"/>
          <w:color w:val="000000"/>
          <w:sz w:val="20"/>
          <w:szCs w:val="20"/>
        </w:rPr>
        <w:t xml:space="preserve"> of our product candidates may be insufficient or inadequate to initiate or complete a given clinical trial; and</w:t>
      </w:r>
    </w:p>
    <w:p w:rsidR="00000000" w:rsidRDefault="00FD7D3C">
      <w:pPr>
        <w:ind w:hanging="1260"/>
        <w:divId w:val="502282593"/>
        <w:rPr>
          <w:rFonts w:eastAsia="Times New Roman"/>
        </w:rPr>
      </w:pPr>
      <w:r>
        <w:rPr>
          <w:rFonts w:eastAsia="Times New Roman"/>
          <w:color w:val="000000"/>
          <w:sz w:val="20"/>
          <w:szCs w:val="20"/>
        </w:rPr>
        <w:t>•the FDA or other comparable foreign regulatory authorities may require us to submit additional data such as long-term toxicology studies, or i</w:t>
      </w:r>
      <w:r>
        <w:rPr>
          <w:rFonts w:eastAsia="Times New Roman"/>
          <w:color w:val="000000"/>
          <w:sz w:val="20"/>
          <w:szCs w:val="20"/>
        </w:rPr>
        <w:t>mpose other requirements before permitting us to initiate a clinical trial.</w:t>
      </w:r>
    </w:p>
    <w:p w:rsidR="00000000" w:rsidRDefault="00FD7D3C">
      <w:pPr>
        <w:ind w:firstLine="1080"/>
        <w:divId w:val="1205099204"/>
        <w:rPr>
          <w:rFonts w:eastAsia="Times New Roman"/>
        </w:rPr>
      </w:pPr>
      <w:r>
        <w:rPr>
          <w:rFonts w:eastAsia="Times New Roman"/>
          <w:color w:val="000000"/>
          <w:sz w:val="20"/>
          <w:szCs w:val="20"/>
        </w:rPr>
        <w:t>Our product development costs will increase if we experience additional delays in clinical testing or in obtaining marketing approvals. We do not know whether any of our clinical t</w:t>
      </w:r>
      <w:r>
        <w:rPr>
          <w:rFonts w:eastAsia="Times New Roman"/>
          <w:color w:val="000000"/>
          <w:sz w:val="20"/>
          <w:szCs w:val="20"/>
        </w:rPr>
        <w:t>rials will begin as planned, will need to be restructured or will be completed on schedule, or at all. If we do not achieve our product development goals in the timeframes we announce and expect, the approval and commercialization of our product candidates</w:t>
      </w:r>
      <w:r>
        <w:rPr>
          <w:rFonts w:eastAsia="Times New Roman"/>
          <w:color w:val="000000"/>
          <w:sz w:val="20"/>
          <w:szCs w:val="20"/>
        </w:rPr>
        <w:t xml:space="preserve"> may be delayed or prevented entirely. Significant clinical trial delays also could shorten any periods during which we may have the exclusive right to commercialize our product candidates and may allow our competitors to bring products to market before we</w:t>
      </w:r>
      <w:r>
        <w:rPr>
          <w:rFonts w:eastAsia="Times New Roman"/>
          <w:color w:val="000000"/>
          <w:sz w:val="20"/>
          <w:szCs w:val="20"/>
        </w:rPr>
        <w:t xml:space="preserve"> do, potentially impairing our ability to successfully commercialize our product candidates and harming our business and results of operations. Any delays in our clinical development programs may harm our business, financial condition, and results of opera</w:t>
      </w:r>
      <w:r>
        <w:rPr>
          <w:rFonts w:eastAsia="Times New Roman"/>
          <w:color w:val="000000"/>
          <w:sz w:val="20"/>
          <w:szCs w:val="20"/>
        </w:rPr>
        <w:t>tions significantly.</w:t>
      </w:r>
    </w:p>
    <w:p w:rsidR="00000000" w:rsidRDefault="00FD7D3C">
      <w:pPr>
        <w:ind w:firstLine="1080"/>
        <w:divId w:val="1010064826"/>
        <w:rPr>
          <w:rFonts w:eastAsia="Times New Roman"/>
        </w:rPr>
      </w:pPr>
      <w:r>
        <w:rPr>
          <w:rFonts w:eastAsia="Times New Roman"/>
          <w:b/>
          <w:bCs/>
          <w:i/>
          <w:iCs/>
          <w:color w:val="000000"/>
          <w:sz w:val="20"/>
          <w:szCs w:val="20"/>
        </w:rPr>
        <w:t>Our ongoing and future clinical trials may reveal significant adverse events or unexpected drug-drug interactions not seen in our preclinical studies and may result in a safety profile that could delay or prevent regulatory approval or</w:t>
      </w:r>
      <w:r>
        <w:rPr>
          <w:rFonts w:eastAsia="Times New Roman"/>
          <w:b/>
          <w:bCs/>
          <w:i/>
          <w:iCs/>
          <w:color w:val="000000"/>
          <w:sz w:val="20"/>
          <w:szCs w:val="20"/>
        </w:rPr>
        <w:t xml:space="preserve"> market acceptance of any of our product candidates.</w:t>
      </w:r>
    </w:p>
    <w:p w:rsidR="00000000" w:rsidRDefault="00FD7D3C">
      <w:pPr>
        <w:ind w:firstLine="1080"/>
        <w:divId w:val="1072702494"/>
        <w:rPr>
          <w:rFonts w:eastAsia="Times New Roman"/>
        </w:rPr>
      </w:pPr>
      <w:r>
        <w:rPr>
          <w:rFonts w:eastAsia="Times New Roman"/>
          <w:color w:val="000000"/>
          <w:sz w:val="20"/>
          <w:szCs w:val="20"/>
        </w:rPr>
        <w:t>We completed our Phase 1a clinical trial of our lead product candidate PLN-74809 in healthy volunteers, and, with the exception of a number of reported minor adverse events, the product candidate was obs</w:t>
      </w:r>
      <w:r>
        <w:rPr>
          <w:rFonts w:eastAsia="Times New Roman"/>
          <w:color w:val="000000"/>
          <w:sz w:val="20"/>
          <w:szCs w:val="20"/>
        </w:rPr>
        <w:t xml:space="preserve">erved to be generally well-tolerated across all doses in 71 trial participants. However, if significant adverse events or other side effects are observed in </w:t>
      </w:r>
    </w:p>
    <w:p w:rsidR="00000000" w:rsidRDefault="00FD7D3C">
      <w:pPr>
        <w:jc w:val="center"/>
        <w:divId w:val="363754026"/>
        <w:rPr>
          <w:rFonts w:eastAsia="Times New Roman"/>
        </w:rPr>
      </w:pPr>
      <w:r>
        <w:rPr>
          <w:rFonts w:eastAsia="Times New Roman"/>
          <w:color w:val="000000"/>
          <w:sz w:val="20"/>
          <w:szCs w:val="20"/>
        </w:rPr>
        <w:t>51</w:t>
      </w:r>
    </w:p>
    <w:p w:rsidR="00000000" w:rsidRDefault="00FD7D3C">
      <w:pPr>
        <w:rPr>
          <w:rFonts w:eastAsia="Times New Roman"/>
        </w:rPr>
      </w:pPr>
      <w:r>
        <w:rPr>
          <w:rFonts w:eastAsia="Times New Roman"/>
        </w:rPr>
        <w:pict>
          <v:rect id="_x0000_i1104" style="width:0;height:1.5pt" o:hralign="center" o:hrstd="t" o:hr="t" fillcolor="#a0a0a0" stroked="f"/>
        </w:pict>
      </w:r>
    </w:p>
    <w:p w:rsidR="00000000" w:rsidRDefault="00FD7D3C">
      <w:pPr>
        <w:divId w:val="197159705"/>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divId w:val="1253858031"/>
        <w:rPr>
          <w:rFonts w:eastAsia="Times New Roman"/>
        </w:rPr>
      </w:pPr>
      <w:r>
        <w:rPr>
          <w:rFonts w:eastAsia="Times New Roman"/>
          <w:color w:val="000000"/>
          <w:sz w:val="20"/>
          <w:szCs w:val="20"/>
        </w:rPr>
        <w:t>any of our ongoing or future clinical trials, we may have difficulty recruiting patients to our clinical trials, patients may drop out of our tr</w:t>
      </w:r>
      <w:r>
        <w:rPr>
          <w:rFonts w:eastAsia="Times New Roman"/>
          <w:color w:val="000000"/>
          <w:sz w:val="20"/>
          <w:szCs w:val="20"/>
        </w:rPr>
        <w:t>ials, or we may be required to abandon the trials or our development efforts altogether. In addition, in our ongoing Phase 2a clinical trials, we are evaluating PLN-74809 administered with approved IPF agents. As a result, we may encounter unexpected drug-</w:t>
      </w:r>
      <w:r>
        <w:rPr>
          <w:rFonts w:eastAsia="Times New Roman"/>
          <w:color w:val="000000"/>
          <w:sz w:val="20"/>
          <w:szCs w:val="20"/>
        </w:rPr>
        <w:t xml:space="preserve">drug interactions in our planned trials, and may be required to further test these candidates, including in drug-drug interaction studies, which may be expensive, time-consuming and result in delays to our programs. </w:t>
      </w:r>
    </w:p>
    <w:p w:rsidR="00000000" w:rsidRDefault="00FD7D3C">
      <w:pPr>
        <w:ind w:firstLine="1080"/>
        <w:divId w:val="551622392"/>
        <w:rPr>
          <w:rFonts w:eastAsia="Times New Roman"/>
        </w:rPr>
      </w:pPr>
      <w:r>
        <w:rPr>
          <w:rFonts w:eastAsia="Times New Roman"/>
          <w:color w:val="000000"/>
          <w:sz w:val="20"/>
          <w:szCs w:val="20"/>
        </w:rPr>
        <w:t>Some potential therapeutics developed i</w:t>
      </w:r>
      <w:r>
        <w:rPr>
          <w:rFonts w:eastAsia="Times New Roman"/>
          <w:color w:val="000000"/>
          <w:sz w:val="20"/>
          <w:szCs w:val="20"/>
        </w:rPr>
        <w:t>n the biopharmaceutical industry that initially showed therapeutic promise in early-stage trials have later been found to cause side effects that prevented their further development. Even if the side effects do not preclude the product candidate from obtai</w:t>
      </w:r>
      <w:r>
        <w:rPr>
          <w:rFonts w:eastAsia="Times New Roman"/>
          <w:color w:val="000000"/>
          <w:sz w:val="20"/>
          <w:szCs w:val="20"/>
        </w:rPr>
        <w:t>ning or maintaining marketing approval, undesirable side effects may inhibit market acceptance of the approved product due to its tolerability versus other therapies.</w:t>
      </w:r>
    </w:p>
    <w:p w:rsidR="00000000" w:rsidRDefault="00FD7D3C">
      <w:pPr>
        <w:ind w:firstLine="1080"/>
        <w:divId w:val="849567691"/>
        <w:rPr>
          <w:rFonts w:eastAsia="Times New Roman"/>
        </w:rPr>
      </w:pPr>
      <w:r>
        <w:rPr>
          <w:rFonts w:eastAsia="Times New Roman"/>
          <w:b/>
          <w:bCs/>
          <w:i/>
          <w:iCs/>
          <w:color w:val="000000"/>
          <w:sz w:val="20"/>
          <w:szCs w:val="20"/>
        </w:rPr>
        <w:t>If we encounter difficulties enrolling patients in our clinical trials, our clinical deve</w:t>
      </w:r>
      <w:r>
        <w:rPr>
          <w:rFonts w:eastAsia="Times New Roman"/>
          <w:b/>
          <w:bCs/>
          <w:i/>
          <w:iCs/>
          <w:color w:val="000000"/>
          <w:sz w:val="20"/>
          <w:szCs w:val="20"/>
        </w:rPr>
        <w:t>lopment activities could be delayed or otherwise adversely affected.</w:t>
      </w:r>
    </w:p>
    <w:p w:rsidR="00000000" w:rsidRDefault="00FD7D3C">
      <w:pPr>
        <w:ind w:firstLine="1080"/>
        <w:divId w:val="322510473"/>
        <w:rPr>
          <w:rFonts w:eastAsia="Times New Roman"/>
        </w:rPr>
      </w:pPr>
      <w:r>
        <w:rPr>
          <w:rFonts w:eastAsia="Times New Roman"/>
          <w:color w:val="000000"/>
          <w:sz w:val="20"/>
          <w:szCs w:val="20"/>
        </w:rPr>
        <w:t xml:space="preserve">We may experience difficulties in patient enrollment in our clinical trials for a variety of reasons. The timely completion of clinical trials in accordance with their protocols depends, </w:t>
      </w:r>
      <w:r>
        <w:rPr>
          <w:rFonts w:eastAsia="Times New Roman"/>
          <w:color w:val="000000"/>
          <w:sz w:val="20"/>
          <w:szCs w:val="20"/>
        </w:rPr>
        <w:t>among other things, on our ability to enroll a sufficient number of patients who remain in the trial until its conclusion. The enrollment of patients depends on many factors, including:</w:t>
      </w:r>
    </w:p>
    <w:p w:rsidR="00000000" w:rsidRDefault="00FD7D3C">
      <w:pPr>
        <w:ind w:hanging="1260"/>
        <w:divId w:val="1884439365"/>
        <w:rPr>
          <w:rFonts w:eastAsia="Times New Roman"/>
        </w:rPr>
      </w:pPr>
      <w:r>
        <w:rPr>
          <w:rFonts w:eastAsia="Times New Roman"/>
          <w:color w:val="000000"/>
          <w:sz w:val="20"/>
          <w:szCs w:val="20"/>
        </w:rPr>
        <w:t>•the patient eligibility and exclusion criteria defined in the protoco</w:t>
      </w:r>
      <w:r>
        <w:rPr>
          <w:rFonts w:eastAsia="Times New Roman"/>
          <w:color w:val="000000"/>
          <w:sz w:val="20"/>
          <w:szCs w:val="20"/>
        </w:rPr>
        <w:t>l;</w:t>
      </w:r>
    </w:p>
    <w:p w:rsidR="00000000" w:rsidRDefault="00FD7D3C">
      <w:pPr>
        <w:ind w:hanging="1260"/>
        <w:divId w:val="1285581739"/>
        <w:rPr>
          <w:rFonts w:eastAsia="Times New Roman"/>
        </w:rPr>
      </w:pPr>
      <w:r>
        <w:rPr>
          <w:rFonts w:eastAsia="Times New Roman"/>
          <w:color w:val="000000"/>
          <w:sz w:val="20"/>
          <w:szCs w:val="20"/>
        </w:rPr>
        <w:t>•the size of the patient population required for analysis of the trial’s primary endpoints and the process for identifying patients;</w:t>
      </w:r>
    </w:p>
    <w:p w:rsidR="00000000" w:rsidRDefault="00FD7D3C">
      <w:pPr>
        <w:ind w:hanging="1260"/>
        <w:divId w:val="945843196"/>
        <w:rPr>
          <w:rFonts w:eastAsia="Times New Roman"/>
        </w:rPr>
      </w:pPr>
      <w:r>
        <w:rPr>
          <w:rFonts w:eastAsia="Times New Roman"/>
          <w:color w:val="000000"/>
          <w:sz w:val="20"/>
          <w:szCs w:val="20"/>
        </w:rPr>
        <w:t>•the willingness or availability (including legality under any future or reinstated COVID-19 shelter-in-place regulation</w:t>
      </w:r>
      <w:r>
        <w:rPr>
          <w:rFonts w:eastAsia="Times New Roman"/>
          <w:color w:val="000000"/>
          <w:sz w:val="20"/>
          <w:szCs w:val="20"/>
        </w:rPr>
        <w:t>s) of patients to participate in our trials (including due to fears of contracting COVID-19);</w:t>
      </w:r>
    </w:p>
    <w:p w:rsidR="00000000" w:rsidRDefault="00FD7D3C">
      <w:pPr>
        <w:ind w:hanging="1260"/>
        <w:divId w:val="1499887879"/>
        <w:rPr>
          <w:rFonts w:eastAsia="Times New Roman"/>
        </w:rPr>
      </w:pPr>
      <w:r>
        <w:rPr>
          <w:rFonts w:eastAsia="Times New Roman"/>
          <w:color w:val="000000"/>
          <w:sz w:val="20"/>
          <w:szCs w:val="20"/>
        </w:rPr>
        <w:t>•the proximity of patients to trial sites;</w:t>
      </w:r>
    </w:p>
    <w:p w:rsidR="00000000" w:rsidRDefault="00FD7D3C">
      <w:pPr>
        <w:ind w:hanging="1260"/>
        <w:divId w:val="771783902"/>
        <w:rPr>
          <w:rFonts w:eastAsia="Times New Roman"/>
        </w:rPr>
      </w:pPr>
      <w:r>
        <w:rPr>
          <w:rFonts w:eastAsia="Times New Roman"/>
          <w:color w:val="000000"/>
          <w:sz w:val="20"/>
          <w:szCs w:val="20"/>
        </w:rPr>
        <w:t>•the design of the trial;</w:t>
      </w:r>
    </w:p>
    <w:p w:rsidR="00000000" w:rsidRDefault="00FD7D3C">
      <w:pPr>
        <w:ind w:hanging="1260"/>
        <w:divId w:val="130446075"/>
        <w:rPr>
          <w:rFonts w:eastAsia="Times New Roman"/>
        </w:rPr>
      </w:pPr>
      <w:r>
        <w:rPr>
          <w:rFonts w:eastAsia="Times New Roman"/>
          <w:color w:val="000000"/>
          <w:sz w:val="20"/>
          <w:szCs w:val="20"/>
        </w:rPr>
        <w:t>•our ability to recruit clinical trial investigators with the appropriate competencies and ex</w:t>
      </w:r>
      <w:r>
        <w:rPr>
          <w:rFonts w:eastAsia="Times New Roman"/>
          <w:color w:val="000000"/>
          <w:sz w:val="20"/>
          <w:szCs w:val="20"/>
        </w:rPr>
        <w:t>perience;</w:t>
      </w:r>
    </w:p>
    <w:p w:rsidR="00000000" w:rsidRDefault="00FD7D3C">
      <w:pPr>
        <w:ind w:hanging="1260"/>
        <w:divId w:val="590701649"/>
        <w:rPr>
          <w:rFonts w:eastAsia="Times New Roman"/>
        </w:rPr>
      </w:pPr>
      <w:r>
        <w:rPr>
          <w:rFonts w:eastAsia="Times New Roman"/>
          <w:color w:val="000000"/>
          <w:sz w:val="20"/>
          <w:szCs w:val="20"/>
        </w:rPr>
        <w:t>•clinicians’ and patients’ perceptions as to the potential advantages and risks of the product candidate being studied in relation to other available therapies, including any new products that may be approved for the indications we are investigat</w:t>
      </w:r>
      <w:r>
        <w:rPr>
          <w:rFonts w:eastAsia="Times New Roman"/>
          <w:color w:val="000000"/>
          <w:sz w:val="20"/>
          <w:szCs w:val="20"/>
        </w:rPr>
        <w:t>ing;</w:t>
      </w:r>
    </w:p>
    <w:p w:rsidR="00000000" w:rsidRDefault="00FD7D3C">
      <w:pPr>
        <w:ind w:hanging="1260"/>
        <w:divId w:val="619142199"/>
        <w:rPr>
          <w:rFonts w:eastAsia="Times New Roman"/>
        </w:rPr>
      </w:pPr>
      <w:r>
        <w:rPr>
          <w:rFonts w:eastAsia="Times New Roman"/>
          <w:color w:val="000000"/>
          <w:sz w:val="20"/>
          <w:szCs w:val="20"/>
        </w:rPr>
        <w:t>•the availability of competing commercially available therapies and other competing product candidates’ clinical trials;</w:t>
      </w:r>
    </w:p>
    <w:p w:rsidR="00000000" w:rsidRDefault="00FD7D3C">
      <w:pPr>
        <w:ind w:hanging="1260"/>
        <w:divId w:val="1178732984"/>
        <w:rPr>
          <w:rFonts w:eastAsia="Times New Roman"/>
        </w:rPr>
      </w:pPr>
      <w:r>
        <w:rPr>
          <w:rFonts w:eastAsia="Times New Roman"/>
          <w:color w:val="000000"/>
          <w:sz w:val="20"/>
          <w:szCs w:val="20"/>
        </w:rPr>
        <w:t>•our ability to obtain and maintain patient informed consents; and</w:t>
      </w:r>
    </w:p>
    <w:p w:rsidR="00000000" w:rsidRDefault="00FD7D3C">
      <w:pPr>
        <w:ind w:hanging="1260"/>
        <w:divId w:val="1756704349"/>
        <w:rPr>
          <w:rFonts w:eastAsia="Times New Roman"/>
        </w:rPr>
      </w:pPr>
      <w:r>
        <w:rPr>
          <w:rFonts w:eastAsia="Times New Roman"/>
          <w:color w:val="000000"/>
          <w:sz w:val="20"/>
          <w:szCs w:val="20"/>
        </w:rPr>
        <w:t>•the risk that patients enrolled in clinical trials will drop o</w:t>
      </w:r>
      <w:r>
        <w:rPr>
          <w:rFonts w:eastAsia="Times New Roman"/>
          <w:color w:val="000000"/>
          <w:sz w:val="20"/>
          <w:szCs w:val="20"/>
        </w:rPr>
        <w:t>ut of the trials before completion.</w:t>
      </w:r>
    </w:p>
    <w:p w:rsidR="00000000" w:rsidRDefault="00FD7D3C">
      <w:pPr>
        <w:ind w:firstLine="1080"/>
        <w:divId w:val="1199661274"/>
        <w:rPr>
          <w:rFonts w:eastAsia="Times New Roman"/>
        </w:rPr>
      </w:pPr>
      <w:r>
        <w:rPr>
          <w:rFonts w:eastAsia="Times New Roman"/>
          <w:color w:val="000000"/>
          <w:sz w:val="20"/>
          <w:szCs w:val="20"/>
        </w:rPr>
        <w:t>For example, we are initially developing PLN-74809 for the treatment of IPF and PSC, each of which is an orphan indication. In the United States, IPF is estimated to affect approximately 140,000 patients, while PSC is es</w:t>
      </w:r>
      <w:r>
        <w:rPr>
          <w:rFonts w:eastAsia="Times New Roman"/>
          <w:color w:val="000000"/>
          <w:sz w:val="20"/>
          <w:szCs w:val="20"/>
        </w:rPr>
        <w:t>timated to affect approximately 30,000 to 45,000 patients. As a result, we may encounter difficulties enrolling subjects in our clinical trials of PLN-74809 due, in part, to the small size of these patient populations. Moreover, our Phase 2a PET imaging IP</w:t>
      </w:r>
      <w:r>
        <w:rPr>
          <w:rFonts w:eastAsia="Times New Roman"/>
          <w:color w:val="000000"/>
          <w:sz w:val="20"/>
          <w:szCs w:val="20"/>
        </w:rPr>
        <w:t>F trial is being conducted at a single site, which could limit the availability of IPF patients at the site and may slow enrollment in that specific trial. In addition, our clinical trials will compete with other clinical trials for product candidates that</w:t>
      </w:r>
      <w:r>
        <w:rPr>
          <w:rFonts w:eastAsia="Times New Roman"/>
          <w:color w:val="000000"/>
          <w:sz w:val="20"/>
          <w:szCs w:val="20"/>
        </w:rPr>
        <w:t xml:space="preserve"> are in the same therapeutic areas as our product candidates, and this competition will reduce the number and types of patients available to us, because some patients who might have opted to enroll in our trials may instead opt to enroll in a trial being c</w:t>
      </w:r>
      <w:r>
        <w:rPr>
          <w:rFonts w:eastAsia="Times New Roman"/>
          <w:color w:val="000000"/>
          <w:sz w:val="20"/>
          <w:szCs w:val="20"/>
        </w:rPr>
        <w:t>onducted by one of our competitors. Since the number of qualified clinical investigators is limited, we expect to conduct some of our clinical trials at the same clinical trial sites that some of our competitors use, which will reduce the number of patient</w:t>
      </w:r>
      <w:r>
        <w:rPr>
          <w:rFonts w:eastAsia="Times New Roman"/>
          <w:color w:val="000000"/>
          <w:sz w:val="20"/>
          <w:szCs w:val="20"/>
        </w:rPr>
        <w:t xml:space="preserve">s who are available for our clinical trials in such clinical trial site. </w:t>
      </w:r>
    </w:p>
    <w:p w:rsidR="00000000" w:rsidRDefault="00FD7D3C">
      <w:pPr>
        <w:ind w:firstLine="1080"/>
        <w:divId w:val="967931847"/>
        <w:rPr>
          <w:rFonts w:eastAsia="Times New Roman"/>
        </w:rPr>
      </w:pPr>
      <w:r>
        <w:rPr>
          <w:rFonts w:eastAsia="Times New Roman"/>
          <w:color w:val="000000"/>
          <w:sz w:val="20"/>
          <w:szCs w:val="20"/>
        </w:rPr>
        <w:t>Further, timely enrollment in clinical trials is reliant on clinical trial sites which may be adversely affected by global health matters, including, among other things, pandemics. F</w:t>
      </w:r>
      <w:r>
        <w:rPr>
          <w:rFonts w:eastAsia="Times New Roman"/>
          <w:color w:val="000000"/>
          <w:sz w:val="20"/>
          <w:szCs w:val="20"/>
        </w:rPr>
        <w:t xml:space="preserve">or example, our clinical trial sites have been affected by the COVID-19 pandemic. Commencement of enrollment of our clinical trials of PLN-74809 in IPF and PSC was delayed. While these trials have resumed patient enrollment, we believe we are experiencing </w:t>
      </w:r>
      <w:r>
        <w:rPr>
          <w:rFonts w:eastAsia="Times New Roman"/>
          <w:color w:val="000000"/>
          <w:sz w:val="20"/>
          <w:szCs w:val="20"/>
        </w:rPr>
        <w:t>slower than expected enrollment due to the pandemic. Also, while the Phase 1 trial of PLN-1474 has completed, this trial experienced delays due to COVID-19. In addition, after enrollment in these trials, if patients contract COVID-19 during participation i</w:t>
      </w:r>
      <w:r>
        <w:rPr>
          <w:rFonts w:eastAsia="Times New Roman"/>
          <w:color w:val="000000"/>
          <w:sz w:val="20"/>
          <w:szCs w:val="20"/>
        </w:rPr>
        <w:t>n our trials or are subject to isolation or shelter-in-place restrictions, this may cause them to drop out of our trials, miss scheduled doses or follow-up visits or otherwise fail to follow trial protocols. If patients are unable to follow the trial proto</w:t>
      </w:r>
      <w:r>
        <w:rPr>
          <w:rFonts w:eastAsia="Times New Roman"/>
          <w:color w:val="000000"/>
          <w:sz w:val="20"/>
          <w:szCs w:val="20"/>
        </w:rPr>
        <w:t xml:space="preserve">cols or if our trial results are </w:t>
      </w:r>
    </w:p>
    <w:p w:rsidR="00000000" w:rsidRDefault="00FD7D3C">
      <w:pPr>
        <w:jc w:val="center"/>
        <w:divId w:val="1146163129"/>
        <w:rPr>
          <w:rFonts w:eastAsia="Times New Roman"/>
        </w:rPr>
      </w:pPr>
      <w:r>
        <w:rPr>
          <w:rFonts w:eastAsia="Times New Roman"/>
          <w:color w:val="000000"/>
          <w:sz w:val="20"/>
          <w:szCs w:val="20"/>
        </w:rPr>
        <w:t>52</w:t>
      </w:r>
    </w:p>
    <w:p w:rsidR="00000000" w:rsidRDefault="00FD7D3C">
      <w:pPr>
        <w:rPr>
          <w:rFonts w:eastAsia="Times New Roman"/>
        </w:rPr>
      </w:pPr>
      <w:r>
        <w:rPr>
          <w:rFonts w:eastAsia="Times New Roman"/>
        </w:rPr>
        <w:pict>
          <v:rect id="_x0000_i1105" style="width:0;height:1.5pt" o:hralign="center" o:hrstd="t" o:hr="t" fillcolor="#a0a0a0" stroked="f"/>
        </w:pict>
      </w:r>
    </w:p>
    <w:p w:rsidR="00000000" w:rsidRDefault="00FD7D3C">
      <w:pPr>
        <w:divId w:val="1513566478"/>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divId w:val="1759405344"/>
        <w:rPr>
          <w:rFonts w:eastAsia="Times New Roman"/>
        </w:rPr>
      </w:pPr>
      <w:r>
        <w:rPr>
          <w:rFonts w:eastAsia="Times New Roman"/>
          <w:color w:val="000000"/>
          <w:sz w:val="20"/>
          <w:szCs w:val="20"/>
        </w:rPr>
        <w:t>otherwise disputed due to the effects of the COVID-19 pandemic or actions taken to mitigate its spread, the integrity of data from our trials may be compromised or not accepted by the FDA or other regulatory authorities, which would represent a significant</w:t>
      </w:r>
      <w:r>
        <w:rPr>
          <w:rFonts w:eastAsia="Times New Roman"/>
          <w:color w:val="000000"/>
          <w:sz w:val="20"/>
          <w:szCs w:val="20"/>
        </w:rPr>
        <w:t xml:space="preserve"> setback for the applicable program.</w:t>
      </w:r>
    </w:p>
    <w:p w:rsidR="00000000" w:rsidRDefault="00FD7D3C">
      <w:pPr>
        <w:ind w:firstLine="1080"/>
        <w:divId w:val="402332371"/>
        <w:rPr>
          <w:rFonts w:eastAsia="Times New Roman"/>
        </w:rPr>
      </w:pPr>
      <w:r>
        <w:rPr>
          <w:rFonts w:eastAsia="Times New Roman"/>
          <w:color w:val="000000"/>
          <w:sz w:val="20"/>
          <w:szCs w:val="20"/>
        </w:rPr>
        <w:t>Some factors from the COVID-19 pandemic that we believe may adversely affect enrollment in our trials include:</w:t>
      </w:r>
    </w:p>
    <w:p w:rsidR="00000000" w:rsidRDefault="00FD7D3C">
      <w:pPr>
        <w:ind w:hanging="1260"/>
        <w:divId w:val="503974409"/>
        <w:rPr>
          <w:rFonts w:eastAsia="Times New Roman"/>
        </w:rPr>
      </w:pPr>
      <w:r>
        <w:rPr>
          <w:rFonts w:eastAsia="Times New Roman"/>
          <w:color w:val="000000"/>
          <w:sz w:val="20"/>
          <w:szCs w:val="20"/>
        </w:rPr>
        <w:t xml:space="preserve">•the diversion of healthcare resources away from the conduct of clinical trial matters to focus on pandemic </w:t>
      </w:r>
      <w:r>
        <w:rPr>
          <w:rFonts w:eastAsia="Times New Roman"/>
          <w:color w:val="000000"/>
          <w:sz w:val="20"/>
          <w:szCs w:val="20"/>
        </w:rPr>
        <w:t>concerns, including the attention of infectious disease physicians serving as our clinical trial investigators, hospitals serving as our clinical trial sites and hospital staff supporting the conduct of our clinical trials;</w:t>
      </w:r>
    </w:p>
    <w:p w:rsidR="00000000" w:rsidRDefault="00FD7D3C">
      <w:pPr>
        <w:ind w:hanging="1260"/>
        <w:divId w:val="35786373"/>
        <w:rPr>
          <w:rFonts w:eastAsia="Times New Roman"/>
        </w:rPr>
      </w:pPr>
      <w:r>
        <w:rPr>
          <w:rFonts w:eastAsia="Times New Roman"/>
          <w:color w:val="000000"/>
          <w:sz w:val="20"/>
          <w:szCs w:val="20"/>
        </w:rPr>
        <w:t xml:space="preserve">•given that our clinical trials </w:t>
      </w:r>
      <w:r>
        <w:rPr>
          <w:rFonts w:eastAsia="Times New Roman"/>
          <w:color w:val="000000"/>
          <w:sz w:val="20"/>
          <w:szCs w:val="20"/>
        </w:rPr>
        <w:t>target respiratory indications, patients who would otherwise be candidates for enrollment in our clinical trials, may become infected with coronavirus, which may kill some patients and render others too ill to participate, limiting the available pool of pa</w:t>
      </w:r>
      <w:r>
        <w:rPr>
          <w:rFonts w:eastAsia="Times New Roman"/>
          <w:color w:val="000000"/>
          <w:sz w:val="20"/>
          <w:szCs w:val="20"/>
        </w:rPr>
        <w:t>rticipants for our trials;</w:t>
      </w:r>
    </w:p>
    <w:p w:rsidR="00000000" w:rsidRDefault="00FD7D3C">
      <w:pPr>
        <w:ind w:hanging="1260"/>
        <w:divId w:val="247423876"/>
        <w:rPr>
          <w:rFonts w:eastAsia="Times New Roman"/>
        </w:rPr>
      </w:pPr>
      <w:r>
        <w:rPr>
          <w:rFonts w:eastAsia="Times New Roman"/>
          <w:color w:val="000000"/>
          <w:sz w:val="20"/>
          <w:szCs w:val="20"/>
        </w:rPr>
        <w:t>•the inability of patients to come to hospitals and universities to participate in our trial, which may force us to conduct our trials in patients’ homes, rendering the trials more difficult and costly to conduct;</w:t>
      </w:r>
    </w:p>
    <w:p w:rsidR="00000000" w:rsidRDefault="00FD7D3C">
      <w:pPr>
        <w:ind w:hanging="1260"/>
        <w:divId w:val="1641569495"/>
        <w:rPr>
          <w:rFonts w:eastAsia="Times New Roman"/>
        </w:rPr>
      </w:pPr>
      <w:r>
        <w:rPr>
          <w:rFonts w:eastAsia="Times New Roman"/>
          <w:color w:val="000000"/>
          <w:sz w:val="20"/>
          <w:szCs w:val="20"/>
        </w:rPr>
        <w:t>•</w:t>
      </w:r>
      <w:r>
        <w:rPr>
          <w:rFonts w:eastAsia="Times New Roman"/>
          <w:color w:val="000000"/>
          <w:sz w:val="20"/>
          <w:szCs w:val="20"/>
        </w:rPr>
        <w:t>limitations on travel that interrupt key trial activities, such as clinical trial site initiations and monitoring;</w:t>
      </w:r>
    </w:p>
    <w:p w:rsidR="00000000" w:rsidRDefault="00FD7D3C">
      <w:pPr>
        <w:ind w:hanging="1260"/>
        <w:divId w:val="1021707024"/>
        <w:rPr>
          <w:rFonts w:eastAsia="Times New Roman"/>
        </w:rPr>
      </w:pPr>
      <w:r>
        <w:rPr>
          <w:rFonts w:eastAsia="Times New Roman"/>
          <w:color w:val="000000"/>
          <w:sz w:val="20"/>
          <w:szCs w:val="20"/>
        </w:rPr>
        <w:t>•interruption in global shipping affecting the transport of clinical trial materials, such as investigational drug product and comparator dru</w:t>
      </w:r>
      <w:r>
        <w:rPr>
          <w:rFonts w:eastAsia="Times New Roman"/>
          <w:color w:val="000000"/>
          <w:sz w:val="20"/>
          <w:szCs w:val="20"/>
        </w:rPr>
        <w:t>gs used in our trials; and</w:t>
      </w:r>
    </w:p>
    <w:p w:rsidR="00000000" w:rsidRDefault="00FD7D3C">
      <w:pPr>
        <w:ind w:hanging="1260"/>
        <w:divId w:val="61147903"/>
        <w:rPr>
          <w:rFonts w:eastAsia="Times New Roman"/>
        </w:rPr>
      </w:pPr>
      <w:r>
        <w:rPr>
          <w:rFonts w:eastAsia="Times New Roman"/>
          <w:color w:val="000000"/>
          <w:sz w:val="20"/>
          <w:szCs w:val="20"/>
        </w:rPr>
        <w:t>•employee furlough days that delay necessary interactions with local regulators, ethics committees and other important agencies and contractors.</w:t>
      </w:r>
    </w:p>
    <w:p w:rsidR="00000000" w:rsidRDefault="00FD7D3C">
      <w:pPr>
        <w:ind w:firstLine="1080"/>
        <w:divId w:val="1680111539"/>
        <w:rPr>
          <w:rFonts w:eastAsia="Times New Roman"/>
        </w:rPr>
      </w:pPr>
      <w:r>
        <w:rPr>
          <w:rFonts w:eastAsia="Times New Roman"/>
          <w:color w:val="000000"/>
          <w:sz w:val="20"/>
          <w:szCs w:val="20"/>
        </w:rPr>
        <w:t xml:space="preserve">The global outbreak of the COVID-19 pandemic continues to evolve and the conduct of </w:t>
      </w:r>
      <w:r>
        <w:rPr>
          <w:rFonts w:eastAsia="Times New Roman"/>
          <w:color w:val="000000"/>
          <w:sz w:val="20"/>
          <w:szCs w:val="20"/>
        </w:rPr>
        <w:t>our trials may continue to be adversely affected, despite efforts to mitigate this impact.</w:t>
      </w:r>
    </w:p>
    <w:p w:rsidR="00000000" w:rsidRDefault="00FD7D3C">
      <w:pPr>
        <w:ind w:firstLine="1080"/>
        <w:divId w:val="762841778"/>
        <w:rPr>
          <w:rFonts w:eastAsia="Times New Roman"/>
        </w:rPr>
      </w:pPr>
      <w:r>
        <w:rPr>
          <w:rFonts w:eastAsia="Times New Roman"/>
          <w:b/>
          <w:bCs/>
          <w:i/>
          <w:iCs/>
          <w:color w:val="000000"/>
          <w:sz w:val="20"/>
          <w:szCs w:val="20"/>
        </w:rPr>
        <w:t>The design or execution of our ongoing and future clinical trials may not support marketing approval.</w:t>
      </w:r>
    </w:p>
    <w:p w:rsidR="00000000" w:rsidRDefault="00FD7D3C">
      <w:pPr>
        <w:ind w:firstLine="1080"/>
        <w:divId w:val="1292250982"/>
        <w:rPr>
          <w:rFonts w:eastAsia="Times New Roman"/>
        </w:rPr>
      </w:pPr>
      <w:r>
        <w:rPr>
          <w:rFonts w:eastAsia="Times New Roman"/>
          <w:color w:val="000000"/>
          <w:sz w:val="20"/>
          <w:szCs w:val="20"/>
        </w:rPr>
        <w:t>The design or execution of a clinical trial can determine wheth</w:t>
      </w:r>
      <w:r>
        <w:rPr>
          <w:rFonts w:eastAsia="Times New Roman"/>
          <w:color w:val="000000"/>
          <w:sz w:val="20"/>
          <w:szCs w:val="20"/>
        </w:rPr>
        <w:t>er its results will support marketing approval, and flaws in the design or execution of a clinical trial may not become apparent until the clinical trial is well advanced. We are currently recruiting two Phase 2a trials of PLN-74809 in IPF. In the first of</w:t>
      </w:r>
      <w:r>
        <w:rPr>
          <w:rFonts w:eastAsia="Times New Roman"/>
          <w:color w:val="000000"/>
          <w:sz w:val="20"/>
          <w:szCs w:val="20"/>
        </w:rPr>
        <w:t xml:space="preserve"> these trials, the study is designed to enroll IPF patients and utilize a positron emission tomography, or PET, ligand to measure αvß6 target engagement by PLN-74809 in the lungs post-treatment. The second trial is a 12-week double-blind placebo-controlled</w:t>
      </w:r>
      <w:r>
        <w:rPr>
          <w:rFonts w:eastAsia="Times New Roman"/>
          <w:color w:val="000000"/>
          <w:sz w:val="20"/>
          <w:szCs w:val="20"/>
        </w:rPr>
        <w:t xml:space="preserve"> trial to evaluate safety, tolerability and PK of up three doses of PLN-74809. It is possible that we may need to amend our clinical trial, which would require us to resubmit our clinical trial protocols to competent authorities and ethics committees for r</w:t>
      </w:r>
      <w:r>
        <w:rPr>
          <w:rFonts w:eastAsia="Times New Roman"/>
          <w:color w:val="000000"/>
          <w:sz w:val="20"/>
          <w:szCs w:val="20"/>
        </w:rPr>
        <w:t>eexamination, and may impact the costs, timing, or successful completion of such clinical trial. In addition, we may desire to test PLN-74809 at doses exceeding those evaluated in an ongoing Phase 1a trial and may not be able to do so.</w:t>
      </w:r>
    </w:p>
    <w:p w:rsidR="00000000" w:rsidRDefault="00FD7D3C">
      <w:pPr>
        <w:ind w:firstLine="1080"/>
        <w:divId w:val="31882553"/>
        <w:rPr>
          <w:rFonts w:eastAsia="Times New Roman"/>
        </w:rPr>
      </w:pPr>
      <w:r>
        <w:rPr>
          <w:rFonts w:eastAsia="Times New Roman"/>
          <w:color w:val="000000"/>
          <w:sz w:val="20"/>
          <w:szCs w:val="20"/>
        </w:rPr>
        <w:t>Additionally, in som</w:t>
      </w:r>
      <w:r>
        <w:rPr>
          <w:rFonts w:eastAsia="Times New Roman"/>
          <w:color w:val="000000"/>
          <w:sz w:val="20"/>
          <w:szCs w:val="20"/>
        </w:rPr>
        <w:t>e instances, there can be significant variability in safety or efficacy results between different trials with the same product candidate due to numerous factors, including differences in trial protocols, size and type of the patient populations, variable a</w:t>
      </w:r>
      <w:r>
        <w:rPr>
          <w:rFonts w:eastAsia="Times New Roman"/>
          <w:color w:val="000000"/>
          <w:sz w:val="20"/>
          <w:szCs w:val="20"/>
        </w:rPr>
        <w:t>dherence to the dosing regimen or other protocol requirements and the rate of dropout among clinical trial participants. We do not know whether any clinical trials we conduct will demonstrate consistent or adequate efficacy and safety to obtain marketing a</w:t>
      </w:r>
      <w:r>
        <w:rPr>
          <w:rFonts w:eastAsia="Times New Roman"/>
          <w:color w:val="000000"/>
          <w:sz w:val="20"/>
          <w:szCs w:val="20"/>
        </w:rPr>
        <w:t>pproval to market our product candidates.</w:t>
      </w:r>
    </w:p>
    <w:p w:rsidR="00000000" w:rsidRDefault="00FD7D3C">
      <w:pPr>
        <w:ind w:firstLine="1080"/>
        <w:divId w:val="537277706"/>
        <w:rPr>
          <w:rFonts w:eastAsia="Times New Roman"/>
        </w:rPr>
      </w:pPr>
      <w:r>
        <w:rPr>
          <w:rFonts w:eastAsia="Times New Roman"/>
          <w:color w:val="000000"/>
          <w:sz w:val="20"/>
          <w:szCs w:val="20"/>
        </w:rPr>
        <w:t>Further, the FDA and comparable foreign regulatory authorities have substantial discretion in the approval process and in determining when or whether marketing approval will be obtained for any of our product candi</w:t>
      </w:r>
      <w:r>
        <w:rPr>
          <w:rFonts w:eastAsia="Times New Roman"/>
          <w:color w:val="000000"/>
          <w:sz w:val="20"/>
          <w:szCs w:val="20"/>
        </w:rPr>
        <w:t>dates. Our product candidates may not be approved even if they achieve their primary endpoints in future Phase 3 clinical trials or registrational trials. The FDA or comparable foreign regulatory authorities may disagree with our trial designs and our inte</w:t>
      </w:r>
      <w:r>
        <w:rPr>
          <w:rFonts w:eastAsia="Times New Roman"/>
          <w:color w:val="000000"/>
          <w:sz w:val="20"/>
          <w:szCs w:val="20"/>
        </w:rPr>
        <w:t>rpretation of data from preclinical studies or clinical trials. In addition, any of these regulatory authorities may change requirements for the approval of a product candidate even after reviewing and providing comments or advice on a protocol for a pivot</w:t>
      </w:r>
      <w:r>
        <w:rPr>
          <w:rFonts w:eastAsia="Times New Roman"/>
          <w:color w:val="000000"/>
          <w:sz w:val="20"/>
          <w:szCs w:val="20"/>
        </w:rPr>
        <w:t>al Phase 3 or registrational clinical trial. In addition, any of these regulatory authorities may also approve a product candidate for fewer or more limited indications than we request or may grant approval contingent on the performance of costly post-mark</w:t>
      </w:r>
      <w:r>
        <w:rPr>
          <w:rFonts w:eastAsia="Times New Roman"/>
          <w:color w:val="000000"/>
          <w:sz w:val="20"/>
          <w:szCs w:val="20"/>
        </w:rPr>
        <w:t>eting clinical trials. The FDA or comparable foreign regulatory authorities may not approve the labeling claims that we believe would be necessary or desirable for the successful commercialization of our product candidates, if approved.</w:t>
      </w:r>
    </w:p>
    <w:p w:rsidR="00000000" w:rsidRDefault="00FD7D3C">
      <w:pPr>
        <w:jc w:val="center"/>
        <w:divId w:val="1562322708"/>
        <w:rPr>
          <w:rFonts w:eastAsia="Times New Roman"/>
        </w:rPr>
      </w:pPr>
      <w:r>
        <w:rPr>
          <w:rFonts w:eastAsia="Times New Roman"/>
          <w:color w:val="000000"/>
          <w:sz w:val="20"/>
          <w:szCs w:val="20"/>
        </w:rPr>
        <w:t>53</w:t>
      </w:r>
    </w:p>
    <w:p w:rsidR="00000000" w:rsidRDefault="00FD7D3C">
      <w:pPr>
        <w:rPr>
          <w:rFonts w:eastAsia="Times New Roman"/>
        </w:rPr>
      </w:pPr>
      <w:r>
        <w:rPr>
          <w:rFonts w:eastAsia="Times New Roman"/>
        </w:rPr>
        <w:pict>
          <v:rect id="_x0000_i1106" style="width:0;height:1.5pt" o:hralign="center" o:hrstd="t" o:hr="t" fillcolor="#a0a0a0" stroked="f"/>
        </w:pict>
      </w:r>
    </w:p>
    <w:p w:rsidR="00000000" w:rsidRDefault="00FD7D3C">
      <w:pPr>
        <w:divId w:val="1601570378"/>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ind w:firstLine="1080"/>
        <w:divId w:val="341512164"/>
        <w:rPr>
          <w:rFonts w:eastAsia="Times New Roman"/>
        </w:rPr>
      </w:pPr>
      <w:r>
        <w:rPr>
          <w:rFonts w:eastAsia="Times New Roman"/>
          <w:color w:val="000000"/>
          <w:sz w:val="20"/>
          <w:szCs w:val="20"/>
        </w:rPr>
        <w:t xml:space="preserve">Delays in patient enrollment may result in increased costs or may affect the timing or outcome of our future clinical trials, which could prevent completion of </w:t>
      </w:r>
      <w:r>
        <w:rPr>
          <w:rFonts w:eastAsia="Times New Roman"/>
          <w:color w:val="000000"/>
          <w:sz w:val="20"/>
          <w:szCs w:val="20"/>
        </w:rPr>
        <w:t>these trials and adversely affect our ability to advance the development of our product candidates.</w:t>
      </w:r>
    </w:p>
    <w:p w:rsidR="00000000" w:rsidRDefault="00FD7D3C">
      <w:pPr>
        <w:ind w:firstLine="1080"/>
        <w:divId w:val="548958200"/>
        <w:rPr>
          <w:rFonts w:eastAsia="Times New Roman"/>
        </w:rPr>
      </w:pPr>
      <w:r>
        <w:rPr>
          <w:rFonts w:eastAsia="Times New Roman"/>
          <w:b/>
          <w:bCs/>
          <w:i/>
          <w:iCs/>
          <w:color w:val="000000"/>
          <w:sz w:val="20"/>
          <w:szCs w:val="20"/>
        </w:rPr>
        <w:t>Although we have received U.S. orphan drug designation for PLN-74809 for IPF and PSC indications, we may be unable to obtain and maintain orphan drug design</w:t>
      </w:r>
      <w:r>
        <w:rPr>
          <w:rFonts w:eastAsia="Times New Roman"/>
          <w:b/>
          <w:bCs/>
          <w:i/>
          <w:iCs/>
          <w:color w:val="000000"/>
          <w:sz w:val="20"/>
          <w:szCs w:val="20"/>
        </w:rPr>
        <w:t>ation for our other product candidates and, even if we obtain such designation, we may not be able to realize the benefits of such designation, including potential marketing exclusivity of our product candidates, if approved.</w:t>
      </w:r>
    </w:p>
    <w:p w:rsidR="00000000" w:rsidRDefault="00FD7D3C">
      <w:pPr>
        <w:ind w:firstLine="1080"/>
        <w:divId w:val="717708319"/>
        <w:rPr>
          <w:rFonts w:eastAsia="Times New Roman"/>
        </w:rPr>
      </w:pPr>
      <w:r>
        <w:rPr>
          <w:rFonts w:eastAsia="Times New Roman"/>
          <w:color w:val="000000"/>
          <w:sz w:val="20"/>
          <w:szCs w:val="20"/>
        </w:rPr>
        <w:t>Regulatory authorities in some</w:t>
      </w:r>
      <w:r>
        <w:rPr>
          <w:rFonts w:eastAsia="Times New Roman"/>
          <w:color w:val="000000"/>
          <w:sz w:val="20"/>
          <w:szCs w:val="20"/>
        </w:rPr>
        <w:t xml:space="preserve"> jurisdictions, including the United States and other major markets, may designate drugs intended to treat conditions or diseases affecting relatively small patient populations as orphan drugs. Under the Orphan Drug Act of 1983, the FDA may designate a pro</w:t>
      </w:r>
      <w:r>
        <w:rPr>
          <w:rFonts w:eastAsia="Times New Roman"/>
          <w:color w:val="000000"/>
          <w:sz w:val="20"/>
          <w:szCs w:val="20"/>
        </w:rPr>
        <w:t>duct candidate as an orphan drug if it is intended to treat a rare disease or condition, which is generally defined as having a patient population of fewer than 200,000 individuals in the United States, or a patient population greater than 200,000 in the U</w:t>
      </w:r>
      <w:r>
        <w:rPr>
          <w:rFonts w:eastAsia="Times New Roman"/>
          <w:color w:val="000000"/>
          <w:sz w:val="20"/>
          <w:szCs w:val="20"/>
        </w:rPr>
        <w:t>nited States where there is no reasonable expectation that the cost of developing the drug will be recovered from sales in the United States.</w:t>
      </w:r>
    </w:p>
    <w:p w:rsidR="00000000" w:rsidRDefault="00FD7D3C">
      <w:pPr>
        <w:ind w:firstLine="1080"/>
        <w:divId w:val="1049494474"/>
        <w:rPr>
          <w:rFonts w:eastAsia="Times New Roman"/>
        </w:rPr>
      </w:pPr>
      <w:r>
        <w:rPr>
          <w:rFonts w:eastAsia="Times New Roman"/>
          <w:color w:val="000000"/>
          <w:sz w:val="20"/>
          <w:szCs w:val="20"/>
        </w:rPr>
        <w:t xml:space="preserve">Although we have received U.S. orphan drug designation for PLN-74809 for IPF and PSC indications, the designation </w:t>
      </w:r>
      <w:r>
        <w:rPr>
          <w:rFonts w:eastAsia="Times New Roman"/>
          <w:color w:val="000000"/>
          <w:sz w:val="20"/>
          <w:szCs w:val="20"/>
        </w:rPr>
        <w:t>of any of our product candidates as an orphan drug does not mean that any regulatory agency will accelerate regulatory review of, or ultimately approve, that product candidate, nor does it limit the ability of any regulatory agency to grant orphan drug des</w:t>
      </w:r>
      <w:r>
        <w:rPr>
          <w:rFonts w:eastAsia="Times New Roman"/>
          <w:color w:val="000000"/>
          <w:sz w:val="20"/>
          <w:szCs w:val="20"/>
        </w:rPr>
        <w:t>ignation to product candidates of other companies that treat the same indications as our product candidates.</w:t>
      </w:r>
    </w:p>
    <w:p w:rsidR="00000000" w:rsidRDefault="00FD7D3C">
      <w:pPr>
        <w:ind w:firstLine="1080"/>
        <w:divId w:val="1757944366"/>
        <w:rPr>
          <w:rFonts w:eastAsia="Times New Roman"/>
        </w:rPr>
      </w:pPr>
      <w:r>
        <w:rPr>
          <w:rFonts w:eastAsia="Times New Roman"/>
          <w:color w:val="000000"/>
          <w:sz w:val="20"/>
          <w:szCs w:val="20"/>
        </w:rPr>
        <w:t>Generally, if a product candidate with an orphan drug designation receives the first marketing approval for the indication for which it has such de</w:t>
      </w:r>
      <w:r>
        <w:rPr>
          <w:rFonts w:eastAsia="Times New Roman"/>
          <w:color w:val="000000"/>
          <w:sz w:val="20"/>
          <w:szCs w:val="20"/>
        </w:rPr>
        <w:t>signation, the product is entitled to a period of marketing exclusivity, which precludes the FDA or foreign regulatory authorities from approving another marketing application for a product that constitutes the same drug treating the same indication for th</w:t>
      </w:r>
      <w:r>
        <w:rPr>
          <w:rFonts w:eastAsia="Times New Roman"/>
          <w:color w:val="000000"/>
          <w:sz w:val="20"/>
          <w:szCs w:val="20"/>
        </w:rPr>
        <w:t>at marketing exclusivity period, except in limited circumstances. The applicable period is seven years in the United States. Orphan drug exclusivity may be revoked if any regulatory agency determines that the request for designation was materially defectiv</w:t>
      </w:r>
      <w:r>
        <w:rPr>
          <w:rFonts w:eastAsia="Times New Roman"/>
          <w:color w:val="000000"/>
          <w:sz w:val="20"/>
          <w:szCs w:val="20"/>
        </w:rPr>
        <w:t>e or if the manufacturer is unable to assure sufficient quantity of the product to meet the needs of patients with the rare disease or condition.</w:t>
      </w:r>
    </w:p>
    <w:p w:rsidR="00000000" w:rsidRDefault="00FD7D3C">
      <w:pPr>
        <w:ind w:firstLine="1080"/>
        <w:divId w:val="1513183200"/>
        <w:rPr>
          <w:rFonts w:eastAsia="Times New Roman"/>
        </w:rPr>
      </w:pPr>
      <w:r>
        <w:rPr>
          <w:rFonts w:eastAsia="Times New Roman"/>
          <w:color w:val="000000"/>
          <w:sz w:val="20"/>
          <w:szCs w:val="20"/>
        </w:rPr>
        <w:t>Even if we obtain orphan drug exclusivity for a product candidate, that exclusivity may not effectively protec</w:t>
      </w:r>
      <w:r>
        <w:rPr>
          <w:rFonts w:eastAsia="Times New Roman"/>
          <w:color w:val="000000"/>
          <w:sz w:val="20"/>
          <w:szCs w:val="20"/>
        </w:rPr>
        <w:t>t the product candidate from competition because different drugs can be approved for the same condition in the United States. Even after an orphan drug is approved, the FDA may subsequently approve another drug for the same condition if the FDA concludes t</w:t>
      </w:r>
      <w:r>
        <w:rPr>
          <w:rFonts w:eastAsia="Times New Roman"/>
          <w:color w:val="000000"/>
          <w:sz w:val="20"/>
          <w:szCs w:val="20"/>
        </w:rPr>
        <w:t>hat the latter drug is not the same drug or is clinically superior in that it is shown to be safer, more effective or makes a major contribution to patient care.</w:t>
      </w:r>
    </w:p>
    <w:p w:rsidR="00000000" w:rsidRDefault="00FD7D3C">
      <w:pPr>
        <w:ind w:firstLine="1080"/>
        <w:divId w:val="1261371808"/>
        <w:rPr>
          <w:rFonts w:eastAsia="Times New Roman"/>
        </w:rPr>
      </w:pPr>
      <w:r>
        <w:rPr>
          <w:rFonts w:eastAsia="Times New Roman"/>
          <w:color w:val="000000"/>
          <w:sz w:val="20"/>
          <w:szCs w:val="20"/>
        </w:rPr>
        <w:t>In order to obtain orphan designation in the EEA, the product must fulfill certain challenging</w:t>
      </w:r>
      <w:r>
        <w:rPr>
          <w:rFonts w:eastAsia="Times New Roman"/>
          <w:color w:val="000000"/>
          <w:sz w:val="20"/>
          <w:szCs w:val="20"/>
        </w:rPr>
        <w:t xml:space="preserve"> criteria. Under Article 3 of Regulation (EC) 141/2000, a medicinal product may be designated as an orphan medicinal product if it meets the following criteria: (1) such product is intended for the diagnosis, prevention or treatment of a life-threatening o</w:t>
      </w:r>
      <w:r>
        <w:rPr>
          <w:rFonts w:eastAsia="Times New Roman"/>
          <w:color w:val="000000"/>
          <w:sz w:val="20"/>
          <w:szCs w:val="20"/>
        </w:rPr>
        <w:t>r chronically debilitating condition; (2) either the prevalence of such condition must not be more than five in 10,000 persons in the EU when the application is made, or without the benefits derived from orphan status, it must be unlikely that the marketin</w:t>
      </w:r>
      <w:r>
        <w:rPr>
          <w:rFonts w:eastAsia="Times New Roman"/>
          <w:color w:val="000000"/>
          <w:sz w:val="20"/>
          <w:szCs w:val="20"/>
        </w:rPr>
        <w:t xml:space="preserve">g of the medicine would generate sufficient return in the EU to justify the investment needed for its development; and (3) there exists no satisfactory method of diagnosis, prevention or treatment of such condition authorized for marketing in the EU or if </w:t>
      </w:r>
      <w:r>
        <w:rPr>
          <w:rFonts w:eastAsia="Times New Roman"/>
          <w:color w:val="000000"/>
          <w:sz w:val="20"/>
          <w:szCs w:val="20"/>
        </w:rPr>
        <w:t xml:space="preserve">such a method exists, the product will be of significant benefit to those affected by the condition, as defined in Regulation (EC) 847/2000. </w:t>
      </w:r>
    </w:p>
    <w:p w:rsidR="00000000" w:rsidRDefault="00FD7D3C">
      <w:pPr>
        <w:ind w:firstLine="1080"/>
        <w:divId w:val="1785611056"/>
        <w:rPr>
          <w:rFonts w:eastAsia="Times New Roman"/>
        </w:rPr>
      </w:pPr>
      <w:r>
        <w:rPr>
          <w:rFonts w:eastAsia="Times New Roman"/>
          <w:b/>
          <w:bCs/>
          <w:i/>
          <w:iCs/>
          <w:color w:val="000000"/>
          <w:sz w:val="20"/>
          <w:szCs w:val="20"/>
        </w:rPr>
        <w:t>Changes in methods of product candidate manufacturing or formulation may result in additional costs or delay.</w:t>
      </w:r>
    </w:p>
    <w:p w:rsidR="00000000" w:rsidRDefault="00FD7D3C">
      <w:pPr>
        <w:ind w:firstLine="1080"/>
        <w:divId w:val="588349191"/>
        <w:rPr>
          <w:rFonts w:eastAsia="Times New Roman"/>
        </w:rPr>
      </w:pPr>
      <w:r>
        <w:rPr>
          <w:rFonts w:eastAsia="Times New Roman"/>
          <w:color w:val="000000"/>
          <w:sz w:val="20"/>
          <w:szCs w:val="20"/>
        </w:rPr>
        <w:t>As p</w:t>
      </w:r>
      <w:r>
        <w:rPr>
          <w:rFonts w:eastAsia="Times New Roman"/>
          <w:color w:val="000000"/>
          <w:sz w:val="20"/>
          <w:szCs w:val="20"/>
        </w:rPr>
        <w:t>roduct candidates progress through preclinical to late-stage clinical trials to marketing approval and commercialization, it is common that various aspects of the development program, such as manufacturing methods and formulation, are altered along the way</w:t>
      </w:r>
      <w:r>
        <w:rPr>
          <w:rFonts w:eastAsia="Times New Roman"/>
          <w:color w:val="000000"/>
          <w:sz w:val="20"/>
          <w:szCs w:val="20"/>
        </w:rPr>
        <w:t xml:space="preserve"> in an effort to optimize yield, manufacturing batch size, minimize costs and achieve consistent quality and results. Such changes carry the risk that they will not achieve these intended objectives. Any of these changes could cause our product candidates </w:t>
      </w:r>
      <w:r>
        <w:rPr>
          <w:rFonts w:eastAsia="Times New Roman"/>
          <w:color w:val="000000"/>
          <w:sz w:val="20"/>
          <w:szCs w:val="20"/>
        </w:rPr>
        <w:t>to perform differently and affect the results of planned clinical trials or other future clinical trials conducted with the altered materials. This could delay completion of clinical trials, require the conduct of bridging clinical trials or the repetition</w:t>
      </w:r>
      <w:r>
        <w:rPr>
          <w:rFonts w:eastAsia="Times New Roman"/>
          <w:color w:val="000000"/>
          <w:sz w:val="20"/>
          <w:szCs w:val="20"/>
        </w:rPr>
        <w:t xml:space="preserve"> of one or more clinical trials, increase clinical trial costs, delay approval of our product candidates and jeopardize our ability to commercialize our product candidates and generate revenue.</w:t>
      </w:r>
    </w:p>
    <w:p w:rsidR="00000000" w:rsidRDefault="00FD7D3C">
      <w:pPr>
        <w:ind w:firstLine="1080"/>
        <w:divId w:val="1762793067"/>
        <w:rPr>
          <w:rFonts w:eastAsia="Times New Roman"/>
        </w:rPr>
      </w:pPr>
      <w:r>
        <w:rPr>
          <w:rFonts w:eastAsia="Times New Roman"/>
          <w:color w:val="000000"/>
          <w:sz w:val="20"/>
          <w:szCs w:val="20"/>
        </w:rPr>
        <w:t>In addition, there are risks associated with large scale manuf</w:t>
      </w:r>
      <w:r>
        <w:rPr>
          <w:rFonts w:eastAsia="Times New Roman"/>
          <w:color w:val="000000"/>
          <w:sz w:val="20"/>
          <w:szCs w:val="20"/>
        </w:rPr>
        <w:t>acturing for clinical trials or commercial scale including, among others, cost overruns, potential problems with process scale-up, process reproducibility, stability issues, compliance with good manufacturing practices, lot consistency and timely availabil</w:t>
      </w:r>
      <w:r>
        <w:rPr>
          <w:rFonts w:eastAsia="Times New Roman"/>
          <w:color w:val="000000"/>
          <w:sz w:val="20"/>
          <w:szCs w:val="20"/>
        </w:rPr>
        <w:t xml:space="preserve">ity of raw materials. Even if we obtain marketing approval for any of our product candidates, there is no assurance that our manufacturers will be able to manufacture the approved product to specifications acceptable to the FDA or other comparable foreign </w:t>
      </w:r>
      <w:r>
        <w:rPr>
          <w:rFonts w:eastAsia="Times New Roman"/>
          <w:color w:val="000000"/>
          <w:sz w:val="20"/>
          <w:szCs w:val="20"/>
        </w:rPr>
        <w:t xml:space="preserve">regulatory </w:t>
      </w:r>
    </w:p>
    <w:p w:rsidR="00000000" w:rsidRDefault="00FD7D3C">
      <w:pPr>
        <w:jc w:val="center"/>
        <w:divId w:val="431243907"/>
        <w:rPr>
          <w:rFonts w:eastAsia="Times New Roman"/>
        </w:rPr>
      </w:pPr>
      <w:r>
        <w:rPr>
          <w:rFonts w:eastAsia="Times New Roman"/>
          <w:color w:val="000000"/>
          <w:sz w:val="20"/>
          <w:szCs w:val="20"/>
        </w:rPr>
        <w:t>54</w:t>
      </w:r>
    </w:p>
    <w:p w:rsidR="00000000" w:rsidRDefault="00FD7D3C">
      <w:pPr>
        <w:rPr>
          <w:rFonts w:eastAsia="Times New Roman"/>
        </w:rPr>
      </w:pPr>
      <w:r>
        <w:rPr>
          <w:rFonts w:eastAsia="Times New Roman"/>
        </w:rPr>
        <w:pict>
          <v:rect id="_x0000_i1107" style="width:0;height:1.5pt" o:hralign="center" o:hrstd="t" o:hr="t" fillcolor="#a0a0a0" stroked="f"/>
        </w:pict>
      </w:r>
    </w:p>
    <w:p w:rsidR="00000000" w:rsidRDefault="00FD7D3C">
      <w:pPr>
        <w:divId w:val="81265038"/>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divId w:val="1384596886"/>
        <w:rPr>
          <w:rFonts w:eastAsia="Times New Roman"/>
        </w:rPr>
      </w:pPr>
      <w:r>
        <w:rPr>
          <w:rFonts w:eastAsia="Times New Roman"/>
          <w:color w:val="000000"/>
          <w:sz w:val="20"/>
          <w:szCs w:val="20"/>
        </w:rPr>
        <w:t>authorities, to produce it in sufficient quantities to meet the requirements for the potential commercial launch of the product or to meet potential future demand. Additionally, if we advance a biological candidate into IND-enabling studies, the manufactur</w:t>
      </w:r>
      <w:r>
        <w:rPr>
          <w:rFonts w:eastAsia="Times New Roman"/>
          <w:color w:val="000000"/>
          <w:sz w:val="20"/>
          <w:szCs w:val="20"/>
        </w:rPr>
        <w:t>ing processes for biological products is more complex and expensive than with small molecule products and additional manufacturing suppliers may be needed to manufacture clinical supplies for these programs. If our manufacturers are unable to produce suffi</w:t>
      </w:r>
      <w:r>
        <w:rPr>
          <w:rFonts w:eastAsia="Times New Roman"/>
          <w:color w:val="000000"/>
          <w:sz w:val="20"/>
          <w:szCs w:val="20"/>
        </w:rPr>
        <w:t>cient quantities for clinical trials or for commercialization, our development and commercialization efforts would be impaired, which would have an adverse effect on our business, financial condition, results of operations and growth prospects.</w:t>
      </w:r>
    </w:p>
    <w:p w:rsidR="00000000" w:rsidRDefault="00FD7D3C">
      <w:pPr>
        <w:ind w:firstLine="1080"/>
        <w:divId w:val="576984497"/>
        <w:rPr>
          <w:rFonts w:eastAsia="Times New Roman"/>
        </w:rPr>
      </w:pPr>
      <w:r>
        <w:rPr>
          <w:rFonts w:eastAsia="Times New Roman"/>
          <w:b/>
          <w:bCs/>
          <w:i/>
          <w:iCs/>
          <w:color w:val="000000"/>
          <w:sz w:val="20"/>
          <w:szCs w:val="20"/>
        </w:rPr>
        <w:t xml:space="preserve">We may not </w:t>
      </w:r>
      <w:r>
        <w:rPr>
          <w:rFonts w:eastAsia="Times New Roman"/>
          <w:b/>
          <w:bCs/>
          <w:i/>
          <w:iCs/>
          <w:color w:val="000000"/>
          <w:sz w:val="20"/>
          <w:szCs w:val="20"/>
        </w:rPr>
        <w:t>be successful in our efforts to identify or discover additional product candidates in the future.</w:t>
      </w:r>
    </w:p>
    <w:p w:rsidR="00000000" w:rsidRDefault="00FD7D3C">
      <w:pPr>
        <w:ind w:firstLine="1080"/>
        <w:divId w:val="847519525"/>
        <w:rPr>
          <w:rFonts w:eastAsia="Times New Roman"/>
        </w:rPr>
      </w:pPr>
      <w:r>
        <w:rPr>
          <w:rFonts w:eastAsia="Times New Roman"/>
          <w:color w:val="000000"/>
          <w:sz w:val="20"/>
          <w:szCs w:val="20"/>
        </w:rPr>
        <w:t>Our research programs may initially show promise in identifying potential product candidates, yet fail to yield product candidates for clinical development fo</w:t>
      </w:r>
      <w:r>
        <w:rPr>
          <w:rFonts w:eastAsia="Times New Roman"/>
          <w:color w:val="000000"/>
          <w:sz w:val="20"/>
          <w:szCs w:val="20"/>
        </w:rPr>
        <w:t>r a number of reasons, including:</w:t>
      </w:r>
    </w:p>
    <w:p w:rsidR="00000000" w:rsidRDefault="00FD7D3C">
      <w:pPr>
        <w:ind w:hanging="1260"/>
        <w:divId w:val="1516730048"/>
        <w:rPr>
          <w:rFonts w:eastAsia="Times New Roman"/>
        </w:rPr>
      </w:pPr>
      <w:r>
        <w:rPr>
          <w:rFonts w:eastAsia="Times New Roman"/>
          <w:color w:val="000000"/>
          <w:sz w:val="20"/>
          <w:szCs w:val="20"/>
        </w:rPr>
        <w:t>•</w:t>
      </w:r>
      <w:r>
        <w:rPr>
          <w:rFonts w:eastAsia="Times New Roman"/>
          <w:color w:val="000000"/>
          <w:sz w:val="20"/>
          <w:szCs w:val="20"/>
        </w:rPr>
        <w:t>our inability to design such product candidates with the pharmacological properties that we desire or attractive pharmacokinetics; or</w:t>
      </w:r>
    </w:p>
    <w:p w:rsidR="00000000" w:rsidRDefault="00FD7D3C">
      <w:pPr>
        <w:ind w:hanging="1260"/>
        <w:divId w:val="1623465162"/>
        <w:rPr>
          <w:rFonts w:eastAsia="Times New Roman"/>
        </w:rPr>
      </w:pPr>
      <w:r>
        <w:rPr>
          <w:rFonts w:eastAsia="Times New Roman"/>
          <w:color w:val="000000"/>
          <w:sz w:val="20"/>
          <w:szCs w:val="20"/>
        </w:rPr>
        <w:t>•potential product candidates may, on further study, be shown to have harmful side effects or other characteristics that i</w:t>
      </w:r>
      <w:r>
        <w:rPr>
          <w:rFonts w:eastAsia="Times New Roman"/>
          <w:color w:val="000000"/>
          <w:sz w:val="20"/>
          <w:szCs w:val="20"/>
        </w:rPr>
        <w:t>ndicate that they are unlikely to be medicines that will receive marketing approval and achieve market acceptance.</w:t>
      </w:r>
    </w:p>
    <w:p w:rsidR="00000000" w:rsidRDefault="00FD7D3C">
      <w:pPr>
        <w:ind w:firstLine="1080"/>
        <w:divId w:val="347409589"/>
        <w:rPr>
          <w:rFonts w:eastAsia="Times New Roman"/>
        </w:rPr>
      </w:pPr>
      <w:r>
        <w:rPr>
          <w:rFonts w:eastAsia="Times New Roman"/>
          <w:color w:val="000000"/>
          <w:sz w:val="20"/>
          <w:szCs w:val="20"/>
        </w:rPr>
        <w:t>Research programs to identify new product candidates require substantial technical, financial, and human resources. If we are unable to ident</w:t>
      </w:r>
      <w:r>
        <w:rPr>
          <w:rFonts w:eastAsia="Times New Roman"/>
          <w:color w:val="000000"/>
          <w:sz w:val="20"/>
          <w:szCs w:val="20"/>
        </w:rPr>
        <w:t>ify suitable compounds for preclinical and clinical development, we will not be able to obtain product revenue in future periods, which likely would result in significant harm to our financial position and adversely impact our stock price.</w:t>
      </w:r>
    </w:p>
    <w:p w:rsidR="00000000" w:rsidRDefault="00FD7D3C">
      <w:pPr>
        <w:ind w:firstLine="1080"/>
        <w:divId w:val="353191610"/>
        <w:rPr>
          <w:rFonts w:eastAsia="Times New Roman"/>
        </w:rPr>
      </w:pPr>
      <w:r>
        <w:rPr>
          <w:rFonts w:eastAsia="Times New Roman"/>
          <w:b/>
          <w:bCs/>
          <w:i/>
          <w:iCs/>
          <w:color w:val="000000"/>
          <w:sz w:val="20"/>
          <w:szCs w:val="20"/>
        </w:rPr>
        <w:t>Due to our limit</w:t>
      </w:r>
      <w:r>
        <w:rPr>
          <w:rFonts w:eastAsia="Times New Roman"/>
          <w:b/>
          <w:bCs/>
          <w:i/>
          <w:iCs/>
          <w:color w:val="000000"/>
          <w:sz w:val="20"/>
          <w:szCs w:val="20"/>
        </w:rPr>
        <w:t>ed resources and access to capital, we must make decisions on the allocation of resources to certain programs and product candidates; these decisions may prove to be wrong and may adversely affect our business.</w:t>
      </w:r>
    </w:p>
    <w:p w:rsidR="00000000" w:rsidRDefault="00FD7D3C">
      <w:pPr>
        <w:ind w:firstLine="1080"/>
        <w:divId w:val="1679311313"/>
        <w:rPr>
          <w:rFonts w:eastAsia="Times New Roman"/>
        </w:rPr>
      </w:pPr>
      <w:r>
        <w:rPr>
          <w:rFonts w:eastAsia="Times New Roman"/>
          <w:color w:val="000000"/>
          <w:sz w:val="20"/>
          <w:szCs w:val="20"/>
        </w:rPr>
        <w:t>We have limited financial and human resources</w:t>
      </w:r>
      <w:r>
        <w:rPr>
          <w:rFonts w:eastAsia="Times New Roman"/>
          <w:color w:val="000000"/>
          <w:sz w:val="20"/>
          <w:szCs w:val="20"/>
        </w:rPr>
        <w:t xml:space="preserve"> and intend to initially focus on research programs and product candidates for a limited set of indications. As a result, we may forgo or delay pursuit of opportunities with other product candidates or for other indications that later prove to have greater</w:t>
      </w:r>
      <w:r>
        <w:rPr>
          <w:rFonts w:eastAsia="Times New Roman"/>
          <w:color w:val="000000"/>
          <w:sz w:val="20"/>
          <w:szCs w:val="20"/>
        </w:rPr>
        <w:t xml:space="preserve"> commercial potential or a greater likelihood of success. In addition, we seek to accelerate our development timelines, including by initiating certain clinical trials of our product candidates before earlier-stage studies have been completed. This approac</w:t>
      </w:r>
      <w:r>
        <w:rPr>
          <w:rFonts w:eastAsia="Times New Roman"/>
          <w:color w:val="000000"/>
          <w:sz w:val="20"/>
          <w:szCs w:val="20"/>
        </w:rPr>
        <w:t>h may cause us to commit significant resources to prepare for and conduct later-stage trials for one or more product candidates that subsequently fail earlier-stage clinical testing. Therefore, our resource allocation decisions may cause us to fail to capi</w:t>
      </w:r>
      <w:r>
        <w:rPr>
          <w:rFonts w:eastAsia="Times New Roman"/>
          <w:color w:val="000000"/>
          <w:sz w:val="20"/>
          <w:szCs w:val="20"/>
        </w:rPr>
        <w:t>talize on viable commercial products or profitable market opportunities or expend resources on product candidates that are not viable.</w:t>
      </w:r>
    </w:p>
    <w:p w:rsidR="00000000" w:rsidRDefault="00FD7D3C">
      <w:pPr>
        <w:ind w:firstLine="1080"/>
        <w:divId w:val="2028363273"/>
        <w:rPr>
          <w:rFonts w:eastAsia="Times New Roman"/>
        </w:rPr>
      </w:pPr>
      <w:r>
        <w:rPr>
          <w:rFonts w:eastAsia="Times New Roman"/>
          <w:color w:val="000000"/>
          <w:sz w:val="20"/>
          <w:szCs w:val="20"/>
        </w:rPr>
        <w:t>There can be no assurance that we will ever be able to identify additional therapeutic opportunities for our product cand</w:t>
      </w:r>
      <w:r>
        <w:rPr>
          <w:rFonts w:eastAsia="Times New Roman"/>
          <w:color w:val="000000"/>
          <w:sz w:val="20"/>
          <w:szCs w:val="20"/>
        </w:rPr>
        <w:t>idates or to develop suitable potential product candidates through internal research programs, which could materially adversely affect our future growth and prospects. We may focus our efforts and resources on potential product candidates or other potentia</w:t>
      </w:r>
      <w:r>
        <w:rPr>
          <w:rFonts w:eastAsia="Times New Roman"/>
          <w:color w:val="000000"/>
          <w:sz w:val="20"/>
          <w:szCs w:val="20"/>
        </w:rPr>
        <w:t>l programs that ultimately prove to be unsuccessful.</w:t>
      </w:r>
    </w:p>
    <w:p w:rsidR="00000000" w:rsidRDefault="00FD7D3C">
      <w:pPr>
        <w:ind w:firstLine="1080"/>
        <w:divId w:val="586693803"/>
        <w:rPr>
          <w:rFonts w:eastAsia="Times New Roman"/>
        </w:rPr>
      </w:pPr>
      <w:r>
        <w:rPr>
          <w:rFonts w:eastAsia="Times New Roman"/>
          <w:b/>
          <w:bCs/>
          <w:i/>
          <w:iCs/>
          <w:color w:val="000000"/>
          <w:sz w:val="20"/>
          <w:szCs w:val="20"/>
        </w:rPr>
        <w:t>If product liability lawsuits are brought against us, we may incur substantial financial or other liabilities and may be required to limit commercialization of our product candidates.</w:t>
      </w:r>
    </w:p>
    <w:p w:rsidR="00000000" w:rsidRDefault="00FD7D3C">
      <w:pPr>
        <w:ind w:firstLine="1080"/>
        <w:divId w:val="397634670"/>
        <w:rPr>
          <w:rFonts w:eastAsia="Times New Roman"/>
        </w:rPr>
      </w:pPr>
      <w:r>
        <w:rPr>
          <w:rFonts w:eastAsia="Times New Roman"/>
          <w:color w:val="000000"/>
          <w:sz w:val="20"/>
          <w:szCs w:val="20"/>
        </w:rPr>
        <w:t>We face an inherent</w:t>
      </w:r>
      <w:r>
        <w:rPr>
          <w:rFonts w:eastAsia="Times New Roman"/>
          <w:color w:val="000000"/>
          <w:sz w:val="20"/>
          <w:szCs w:val="20"/>
        </w:rPr>
        <w:t xml:space="preserve"> risk of product liability as a result of testing PLN-74809 and any of our other product candidates in clinical trials and will face an even greater risk if we commercialize any products. For example, we may be sued if our product candidates cause or are p</w:t>
      </w:r>
      <w:r>
        <w:rPr>
          <w:rFonts w:eastAsia="Times New Roman"/>
          <w:color w:val="000000"/>
          <w:sz w:val="20"/>
          <w:szCs w:val="20"/>
        </w:rPr>
        <w:t>erceived to cause injury or are found to be otherwise unsuitable during clinical trials, manufacturing, marketing or sale. Any such product liability claims may include allegations of defects in manufacturing, defects in design, a failure to warn of danger</w:t>
      </w:r>
      <w:r>
        <w:rPr>
          <w:rFonts w:eastAsia="Times New Roman"/>
          <w:color w:val="000000"/>
          <w:sz w:val="20"/>
          <w:szCs w:val="20"/>
        </w:rPr>
        <w:t>s inherent in the product, negligence, strict liability or a breach of warranties. Claims could also be asserted under state consumer protection acts. If we cannot successfully defend ourselves against product liability claims, we may incur substantial lia</w:t>
      </w:r>
      <w:r>
        <w:rPr>
          <w:rFonts w:eastAsia="Times New Roman"/>
          <w:color w:val="000000"/>
          <w:sz w:val="20"/>
          <w:szCs w:val="20"/>
        </w:rPr>
        <w:t>bilities or be required to limit commercialization of our product candidates. Even successful defense would require significant financial and management resources. Regardless of the merits or eventual outcome, liability claims may result in:</w:t>
      </w:r>
    </w:p>
    <w:p w:rsidR="00000000" w:rsidRDefault="00FD7D3C">
      <w:pPr>
        <w:ind w:hanging="1260"/>
        <w:divId w:val="1769885843"/>
        <w:rPr>
          <w:rFonts w:eastAsia="Times New Roman"/>
        </w:rPr>
      </w:pPr>
      <w:r>
        <w:rPr>
          <w:rFonts w:eastAsia="Times New Roman"/>
          <w:color w:val="000000"/>
          <w:sz w:val="20"/>
          <w:szCs w:val="20"/>
        </w:rPr>
        <w:t xml:space="preserve">•inability to </w:t>
      </w:r>
      <w:r>
        <w:rPr>
          <w:rFonts w:eastAsia="Times New Roman"/>
          <w:color w:val="000000"/>
          <w:sz w:val="20"/>
          <w:szCs w:val="20"/>
        </w:rPr>
        <w:t>bring a product candidate to the market;</w:t>
      </w:r>
    </w:p>
    <w:p w:rsidR="00000000" w:rsidRDefault="00FD7D3C">
      <w:pPr>
        <w:ind w:hanging="1260"/>
        <w:divId w:val="1108232435"/>
        <w:rPr>
          <w:rFonts w:eastAsia="Times New Roman"/>
        </w:rPr>
      </w:pPr>
      <w:r>
        <w:rPr>
          <w:rFonts w:eastAsia="Times New Roman"/>
          <w:color w:val="000000"/>
          <w:sz w:val="20"/>
          <w:szCs w:val="20"/>
        </w:rPr>
        <w:t>•decreased demand for our products;</w:t>
      </w:r>
    </w:p>
    <w:p w:rsidR="00000000" w:rsidRDefault="00FD7D3C">
      <w:pPr>
        <w:ind w:hanging="1260"/>
        <w:divId w:val="700130406"/>
        <w:rPr>
          <w:rFonts w:eastAsia="Times New Roman"/>
        </w:rPr>
      </w:pPr>
      <w:r>
        <w:rPr>
          <w:rFonts w:eastAsia="Times New Roman"/>
          <w:color w:val="000000"/>
          <w:sz w:val="20"/>
          <w:szCs w:val="20"/>
        </w:rPr>
        <w:t>•injury to our reputation;</w:t>
      </w:r>
    </w:p>
    <w:p w:rsidR="00000000" w:rsidRDefault="00FD7D3C">
      <w:pPr>
        <w:ind w:hanging="1260"/>
        <w:divId w:val="1861313865"/>
        <w:rPr>
          <w:rFonts w:eastAsia="Times New Roman"/>
        </w:rPr>
      </w:pPr>
      <w:r>
        <w:rPr>
          <w:rFonts w:eastAsia="Times New Roman"/>
          <w:color w:val="000000"/>
          <w:sz w:val="20"/>
          <w:szCs w:val="20"/>
        </w:rPr>
        <w:t>•withdrawal of clinical trial participants and inability to continue clinical trials;</w:t>
      </w:r>
    </w:p>
    <w:p w:rsidR="00000000" w:rsidRDefault="00FD7D3C">
      <w:pPr>
        <w:ind w:hanging="1260"/>
        <w:divId w:val="992104749"/>
        <w:rPr>
          <w:rFonts w:eastAsia="Times New Roman"/>
        </w:rPr>
      </w:pPr>
      <w:r>
        <w:rPr>
          <w:rFonts w:eastAsia="Times New Roman"/>
          <w:color w:val="000000"/>
          <w:sz w:val="20"/>
          <w:szCs w:val="20"/>
        </w:rPr>
        <w:t>•initiation of investigations by regulators;</w:t>
      </w:r>
    </w:p>
    <w:p w:rsidR="00000000" w:rsidRDefault="00FD7D3C">
      <w:pPr>
        <w:jc w:val="center"/>
        <w:divId w:val="1132669115"/>
        <w:rPr>
          <w:rFonts w:eastAsia="Times New Roman"/>
        </w:rPr>
      </w:pPr>
      <w:r>
        <w:rPr>
          <w:rFonts w:eastAsia="Times New Roman"/>
          <w:color w:val="000000"/>
          <w:sz w:val="20"/>
          <w:szCs w:val="20"/>
        </w:rPr>
        <w:t>55</w:t>
      </w:r>
    </w:p>
    <w:p w:rsidR="00000000" w:rsidRDefault="00FD7D3C">
      <w:pPr>
        <w:rPr>
          <w:rFonts w:eastAsia="Times New Roman"/>
        </w:rPr>
      </w:pPr>
      <w:r>
        <w:rPr>
          <w:rFonts w:eastAsia="Times New Roman"/>
        </w:rPr>
        <w:pict>
          <v:rect id="_x0000_i1108" style="width:0;height:1.5pt" o:hralign="center" o:hrstd="t" o:hr="t" fillcolor="#a0a0a0" stroked="f"/>
        </w:pict>
      </w:r>
    </w:p>
    <w:p w:rsidR="00000000" w:rsidRDefault="00FD7D3C">
      <w:pPr>
        <w:divId w:val="2062709480"/>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ind w:hanging="1260"/>
        <w:divId w:val="604650364"/>
        <w:rPr>
          <w:rFonts w:eastAsia="Times New Roman"/>
        </w:rPr>
      </w:pPr>
      <w:r>
        <w:rPr>
          <w:rFonts w:eastAsia="Times New Roman"/>
          <w:color w:val="000000"/>
          <w:sz w:val="20"/>
          <w:szCs w:val="20"/>
        </w:rPr>
        <w:t>•fines, injunctions or criminal penalties;</w:t>
      </w:r>
    </w:p>
    <w:p w:rsidR="00000000" w:rsidRDefault="00FD7D3C">
      <w:pPr>
        <w:ind w:hanging="1260"/>
        <w:divId w:val="339620794"/>
        <w:rPr>
          <w:rFonts w:eastAsia="Times New Roman"/>
        </w:rPr>
      </w:pPr>
      <w:r>
        <w:rPr>
          <w:rFonts w:eastAsia="Times New Roman"/>
          <w:color w:val="000000"/>
          <w:sz w:val="20"/>
          <w:szCs w:val="20"/>
        </w:rPr>
        <w:t>•costs to defend the related litigation;</w:t>
      </w:r>
    </w:p>
    <w:p w:rsidR="00000000" w:rsidRDefault="00FD7D3C">
      <w:pPr>
        <w:ind w:hanging="1260"/>
        <w:divId w:val="1899244565"/>
        <w:rPr>
          <w:rFonts w:eastAsia="Times New Roman"/>
        </w:rPr>
      </w:pPr>
      <w:r>
        <w:rPr>
          <w:rFonts w:eastAsia="Times New Roman"/>
          <w:color w:val="000000"/>
          <w:sz w:val="20"/>
          <w:szCs w:val="20"/>
        </w:rPr>
        <w:t>•diversion of management’s time and our resources;</w:t>
      </w:r>
    </w:p>
    <w:p w:rsidR="00000000" w:rsidRDefault="00FD7D3C">
      <w:pPr>
        <w:ind w:hanging="1260"/>
        <w:divId w:val="1034312796"/>
        <w:rPr>
          <w:rFonts w:eastAsia="Times New Roman"/>
        </w:rPr>
      </w:pPr>
      <w:r>
        <w:rPr>
          <w:rFonts w:eastAsia="Times New Roman"/>
          <w:color w:val="000000"/>
          <w:sz w:val="20"/>
          <w:szCs w:val="20"/>
        </w:rPr>
        <w:t>•substantial monetary award</w:t>
      </w:r>
      <w:r>
        <w:rPr>
          <w:rFonts w:eastAsia="Times New Roman"/>
          <w:color w:val="000000"/>
          <w:sz w:val="20"/>
          <w:szCs w:val="20"/>
        </w:rPr>
        <w:t>s to trial participants;</w:t>
      </w:r>
    </w:p>
    <w:p w:rsidR="00000000" w:rsidRDefault="00FD7D3C">
      <w:pPr>
        <w:ind w:hanging="1260"/>
        <w:divId w:val="1540780235"/>
        <w:rPr>
          <w:rFonts w:eastAsia="Times New Roman"/>
        </w:rPr>
      </w:pPr>
      <w:r>
        <w:rPr>
          <w:rFonts w:eastAsia="Times New Roman"/>
          <w:color w:val="000000"/>
          <w:sz w:val="20"/>
          <w:szCs w:val="20"/>
        </w:rPr>
        <w:t>•product recalls, withdrawals or labeling, marketing or promotional restrictions;</w:t>
      </w:r>
    </w:p>
    <w:p w:rsidR="00000000" w:rsidRDefault="00FD7D3C">
      <w:pPr>
        <w:ind w:hanging="1260"/>
        <w:divId w:val="1117455653"/>
        <w:rPr>
          <w:rFonts w:eastAsia="Times New Roman"/>
        </w:rPr>
      </w:pPr>
      <w:r>
        <w:rPr>
          <w:rFonts w:eastAsia="Times New Roman"/>
          <w:color w:val="000000"/>
          <w:sz w:val="20"/>
          <w:szCs w:val="20"/>
        </w:rPr>
        <w:t>•loss of revenue;</w:t>
      </w:r>
    </w:p>
    <w:p w:rsidR="00000000" w:rsidRDefault="00FD7D3C">
      <w:pPr>
        <w:ind w:hanging="1260"/>
        <w:divId w:val="1528174849"/>
        <w:rPr>
          <w:rFonts w:eastAsia="Times New Roman"/>
        </w:rPr>
      </w:pPr>
      <w:r>
        <w:rPr>
          <w:rFonts w:eastAsia="Times New Roman"/>
          <w:color w:val="000000"/>
          <w:sz w:val="20"/>
          <w:szCs w:val="20"/>
        </w:rPr>
        <w:t>•exhaustion of any available insurance and our capital resources;</w:t>
      </w:r>
    </w:p>
    <w:p w:rsidR="00000000" w:rsidRDefault="00FD7D3C">
      <w:pPr>
        <w:ind w:hanging="1260"/>
        <w:divId w:val="1033309699"/>
        <w:rPr>
          <w:rFonts w:eastAsia="Times New Roman"/>
        </w:rPr>
      </w:pPr>
      <w:r>
        <w:rPr>
          <w:rFonts w:eastAsia="Times New Roman"/>
          <w:color w:val="000000"/>
          <w:sz w:val="20"/>
          <w:szCs w:val="20"/>
        </w:rPr>
        <w:t>•the inability to commercialize any product candidate, if approve</w:t>
      </w:r>
      <w:r>
        <w:rPr>
          <w:rFonts w:eastAsia="Times New Roman"/>
          <w:color w:val="000000"/>
          <w:sz w:val="20"/>
          <w:szCs w:val="20"/>
        </w:rPr>
        <w:t>d; and</w:t>
      </w:r>
    </w:p>
    <w:p w:rsidR="00000000" w:rsidRDefault="00FD7D3C">
      <w:pPr>
        <w:ind w:hanging="1260"/>
        <w:divId w:val="663433234"/>
        <w:rPr>
          <w:rFonts w:eastAsia="Times New Roman"/>
        </w:rPr>
      </w:pPr>
      <w:r>
        <w:rPr>
          <w:rFonts w:eastAsia="Times New Roman"/>
          <w:color w:val="000000"/>
          <w:sz w:val="20"/>
          <w:szCs w:val="20"/>
        </w:rPr>
        <w:t>•decline in our share price.</w:t>
      </w:r>
    </w:p>
    <w:p w:rsidR="00000000" w:rsidRDefault="00FD7D3C">
      <w:pPr>
        <w:ind w:firstLine="1080"/>
        <w:divId w:val="825820019"/>
        <w:rPr>
          <w:rFonts w:eastAsia="Times New Roman"/>
        </w:rPr>
      </w:pPr>
      <w:r>
        <w:rPr>
          <w:rFonts w:eastAsia="Times New Roman"/>
          <w:color w:val="000000"/>
          <w:sz w:val="20"/>
          <w:szCs w:val="20"/>
        </w:rPr>
        <w:t>Our inability to obtain sufficient product liability insurance at an acceptable cost to protect against potential product liability claims could prevent or inhibit the commercialization of products we develop. We will need to obtain additional insurance fo</w:t>
      </w:r>
      <w:r>
        <w:rPr>
          <w:rFonts w:eastAsia="Times New Roman"/>
          <w:color w:val="000000"/>
          <w:sz w:val="20"/>
          <w:szCs w:val="20"/>
        </w:rPr>
        <w:t>r clinical trials as PLN-74809 continues clinical development and as additional product candidates enter the clinic. However, we may be unable to obtain, or may obtain on unfavorable terms, clinical trial insurance in amounts adequate to cover any liabilit</w:t>
      </w:r>
      <w:r>
        <w:rPr>
          <w:rFonts w:eastAsia="Times New Roman"/>
          <w:color w:val="000000"/>
          <w:sz w:val="20"/>
          <w:szCs w:val="20"/>
        </w:rPr>
        <w:t xml:space="preserve">ies from any of our clinical trials. Our insurance policies may also have various exclusions, and we may be subject to a product liability claim for which we have no coverage. We may have to pay any amounts awarded by a court or negotiated in a settlement </w:t>
      </w:r>
      <w:r>
        <w:rPr>
          <w:rFonts w:eastAsia="Times New Roman"/>
          <w:color w:val="000000"/>
          <w:sz w:val="20"/>
          <w:szCs w:val="20"/>
        </w:rPr>
        <w:t>that exceed our coverage limitations or that are not covered by our insurance, and we may not have, or be able to obtain, sufficient capital to pay such amounts. Even if our agreements with any future corporate collaborators entitle us to indemnification a</w:t>
      </w:r>
      <w:r>
        <w:rPr>
          <w:rFonts w:eastAsia="Times New Roman"/>
          <w:color w:val="000000"/>
          <w:sz w:val="20"/>
          <w:szCs w:val="20"/>
        </w:rPr>
        <w:t>gainst losses, such indemnification may not be available or adequate should any claim arise.</w:t>
      </w:r>
    </w:p>
    <w:p w:rsidR="00000000" w:rsidRDefault="00FD7D3C">
      <w:pPr>
        <w:ind w:firstLine="1080"/>
        <w:divId w:val="1513110183"/>
        <w:rPr>
          <w:rFonts w:eastAsia="Times New Roman"/>
        </w:rPr>
      </w:pPr>
      <w:r>
        <w:rPr>
          <w:rFonts w:eastAsia="Times New Roman"/>
          <w:b/>
          <w:bCs/>
          <w:i/>
          <w:iCs/>
          <w:color w:val="000000"/>
          <w:sz w:val="20"/>
          <w:szCs w:val="20"/>
        </w:rPr>
        <w:t>We face substantial competition, which may result in others discovering, developing, or commercializing products before or more successfully than us.</w:t>
      </w:r>
    </w:p>
    <w:p w:rsidR="00000000" w:rsidRDefault="00FD7D3C">
      <w:pPr>
        <w:ind w:firstLine="1080"/>
        <w:divId w:val="922683900"/>
        <w:rPr>
          <w:rFonts w:eastAsia="Times New Roman"/>
        </w:rPr>
      </w:pPr>
      <w:r>
        <w:rPr>
          <w:rFonts w:eastAsia="Times New Roman"/>
          <w:color w:val="000000"/>
          <w:sz w:val="20"/>
          <w:szCs w:val="20"/>
        </w:rPr>
        <w:t>The development and commercialization of new drug products is highly competitive. We may face competition with respect to any product candidates that we seek to develop or commercialize in the future from major biopharmaceutical companies, specialty biopha</w:t>
      </w:r>
      <w:r>
        <w:rPr>
          <w:rFonts w:eastAsia="Times New Roman"/>
          <w:color w:val="000000"/>
          <w:sz w:val="20"/>
          <w:szCs w:val="20"/>
        </w:rPr>
        <w:t>rmaceutical companies, and biotechnology companies worldwide. Potential competitors also include academic institutions, government agencies, and other public and private research organizations that conduct research, seek patent protection, and establish co</w:t>
      </w:r>
      <w:r>
        <w:rPr>
          <w:rFonts w:eastAsia="Times New Roman"/>
          <w:color w:val="000000"/>
          <w:sz w:val="20"/>
          <w:szCs w:val="20"/>
        </w:rPr>
        <w:t>llaborative arrangements for research, development, manufacturing, and commercialization.</w:t>
      </w:r>
    </w:p>
    <w:p w:rsidR="00000000" w:rsidRDefault="00FD7D3C">
      <w:pPr>
        <w:ind w:firstLine="1080"/>
        <w:divId w:val="561603223"/>
        <w:rPr>
          <w:rFonts w:eastAsia="Times New Roman"/>
        </w:rPr>
      </w:pPr>
      <w:r>
        <w:rPr>
          <w:rFonts w:eastAsia="Times New Roman"/>
          <w:color w:val="000000"/>
          <w:sz w:val="20"/>
          <w:szCs w:val="20"/>
        </w:rPr>
        <w:t>There are a number of biopharmaceutical and biotechnology companies that are currently pursuing the development of products for the treatment of fibrosis. Companies t</w:t>
      </w:r>
      <w:r>
        <w:rPr>
          <w:rFonts w:eastAsia="Times New Roman"/>
          <w:color w:val="000000"/>
          <w:sz w:val="20"/>
          <w:szCs w:val="20"/>
        </w:rPr>
        <w:t>hat we are aware of that are targeting the treatment of various fibrosis indications through inhibiting various parts of the TGF-β pathway include companies with significant financial resources such as AbbVie Inc., AstraZeneca plc,</w:t>
      </w:r>
      <w:r>
        <w:rPr>
          <w:rFonts w:eastAsia="Times New Roman"/>
          <w:color w:val="000000"/>
        </w:rPr>
        <w:t xml:space="preserve"> </w:t>
      </w:r>
      <w:r>
        <w:rPr>
          <w:rFonts w:eastAsia="Times New Roman"/>
          <w:color w:val="000000"/>
          <w:sz w:val="20"/>
          <w:szCs w:val="20"/>
        </w:rPr>
        <w:t>Bristol Myers Squibb Co.</w:t>
      </w:r>
      <w:r>
        <w:rPr>
          <w:rFonts w:eastAsia="Times New Roman"/>
          <w:color w:val="000000"/>
          <w:sz w:val="20"/>
          <w:szCs w:val="20"/>
        </w:rPr>
        <w:t>, Corbus Pharmaceutical, DiCE Therapeutics, Inc., FibroGen, Inc., Gilead Sciences, Inc., Galapagos NV, Morphic Therapeutics, Inc., Novartis AG, and Takeda Pharmaceutical Company.</w:t>
      </w:r>
    </w:p>
    <w:p w:rsidR="00000000" w:rsidRDefault="00FD7D3C">
      <w:pPr>
        <w:ind w:firstLine="1080"/>
        <w:divId w:val="1507792704"/>
        <w:rPr>
          <w:rFonts w:eastAsia="Times New Roman"/>
        </w:rPr>
      </w:pPr>
      <w:r>
        <w:rPr>
          <w:rFonts w:eastAsia="Times New Roman"/>
          <w:color w:val="000000"/>
          <w:sz w:val="20"/>
          <w:szCs w:val="20"/>
        </w:rPr>
        <w:t>Many of our current or potential competitors, either alone or with their stra</w:t>
      </w:r>
      <w:r>
        <w:rPr>
          <w:rFonts w:eastAsia="Times New Roman"/>
          <w:color w:val="000000"/>
          <w:sz w:val="20"/>
          <w:szCs w:val="20"/>
        </w:rPr>
        <w:t>tegic partners, have significantly greater financial resources and expertise in research and development, manufacturing, preclinical testing, conducting clinical trials, obtaining regulatory approvals, and marketing approved products than we do.</w:t>
      </w:r>
    </w:p>
    <w:p w:rsidR="00000000" w:rsidRDefault="00FD7D3C">
      <w:pPr>
        <w:ind w:firstLine="1080"/>
        <w:divId w:val="316301966"/>
        <w:rPr>
          <w:rFonts w:eastAsia="Times New Roman"/>
        </w:rPr>
      </w:pPr>
      <w:r>
        <w:rPr>
          <w:rFonts w:eastAsia="Times New Roman"/>
          <w:color w:val="000000"/>
          <w:sz w:val="20"/>
          <w:szCs w:val="20"/>
        </w:rPr>
        <w:t>Mergers an</w:t>
      </w:r>
      <w:r>
        <w:rPr>
          <w:rFonts w:eastAsia="Times New Roman"/>
          <w:color w:val="000000"/>
          <w:sz w:val="20"/>
          <w:szCs w:val="20"/>
        </w:rPr>
        <w:t>d acquisitions in the biopharmaceutical and biotechnology industries may result in even more resources being concentrated among a smaller number of our competitors. Smaller or early-stage companies may also prove to be significant competitors, particularly</w:t>
      </w:r>
      <w:r>
        <w:rPr>
          <w:rFonts w:eastAsia="Times New Roman"/>
          <w:color w:val="000000"/>
          <w:sz w:val="20"/>
          <w:szCs w:val="20"/>
        </w:rPr>
        <w:t xml:space="preserve"> through collaborative arrangements with large and established companies. These competitors also compete with us in recruiting and retaining qualified scientific and management personnel and establishing clinical trial sites and patient registration for cl</w:t>
      </w:r>
      <w:r>
        <w:rPr>
          <w:rFonts w:eastAsia="Times New Roman"/>
          <w:color w:val="000000"/>
          <w:sz w:val="20"/>
          <w:szCs w:val="20"/>
        </w:rPr>
        <w:t>inical trials, as well as in acquiring technologies complementary to, or necessary for, our programs. Our commercial opportunity could be reduced or eliminated if our competitors develop and commercialize products that are safer, more effective, more conve</w:t>
      </w:r>
      <w:r>
        <w:rPr>
          <w:rFonts w:eastAsia="Times New Roman"/>
          <w:color w:val="000000"/>
          <w:sz w:val="20"/>
          <w:szCs w:val="20"/>
        </w:rPr>
        <w:t>nient or less expensive than any products that we may develop. Furthermore, products currently approved for other indications could be discovered to be effective treatments of fibrosis as well, which could give such products significant regulatory and mark</w:t>
      </w:r>
      <w:r>
        <w:rPr>
          <w:rFonts w:eastAsia="Times New Roman"/>
          <w:color w:val="000000"/>
          <w:sz w:val="20"/>
          <w:szCs w:val="20"/>
        </w:rPr>
        <w:t>et timing advantages over PLN-74809 or other product candidates that we may identify. Our competitors also may obtain FDA or other regulatory approval for their products more rapidly than we may obtain approval for ours, which could result in our competito</w:t>
      </w:r>
      <w:r>
        <w:rPr>
          <w:rFonts w:eastAsia="Times New Roman"/>
          <w:color w:val="000000"/>
          <w:sz w:val="20"/>
          <w:szCs w:val="20"/>
        </w:rPr>
        <w:t>rs establishing a strong market position before we are able to enter the market. Additionally, products or technologies developed by our competitors may render our potential product candidates uneconomical or obsolete and we may not be successful in market</w:t>
      </w:r>
      <w:r>
        <w:rPr>
          <w:rFonts w:eastAsia="Times New Roman"/>
          <w:color w:val="000000"/>
          <w:sz w:val="20"/>
          <w:szCs w:val="20"/>
        </w:rPr>
        <w:t>ing any product candidates we may develop against competitors. The availability of competitive products could limit the demand, and the price we are able to charge, for any products that we may develop and commercialize.</w:t>
      </w:r>
    </w:p>
    <w:p w:rsidR="00000000" w:rsidRDefault="00FD7D3C">
      <w:pPr>
        <w:jc w:val="center"/>
        <w:divId w:val="2106924643"/>
        <w:rPr>
          <w:rFonts w:eastAsia="Times New Roman"/>
        </w:rPr>
      </w:pPr>
      <w:r>
        <w:rPr>
          <w:rFonts w:eastAsia="Times New Roman"/>
          <w:color w:val="000000"/>
          <w:sz w:val="20"/>
          <w:szCs w:val="20"/>
        </w:rPr>
        <w:t>56</w:t>
      </w:r>
    </w:p>
    <w:p w:rsidR="00000000" w:rsidRDefault="00FD7D3C">
      <w:pPr>
        <w:rPr>
          <w:rFonts w:eastAsia="Times New Roman"/>
        </w:rPr>
      </w:pPr>
      <w:r>
        <w:rPr>
          <w:rFonts w:eastAsia="Times New Roman"/>
        </w:rPr>
        <w:pict>
          <v:rect id="_x0000_i1109" style="width:0;height:1.5pt" o:hralign="center" o:hrstd="t" o:hr="t" fillcolor="#a0a0a0" stroked="f"/>
        </w:pict>
      </w:r>
    </w:p>
    <w:p w:rsidR="00000000" w:rsidRDefault="00FD7D3C">
      <w:pPr>
        <w:divId w:val="1943031468"/>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ind w:firstLine="1080"/>
        <w:divId w:val="1996177335"/>
        <w:rPr>
          <w:rFonts w:eastAsia="Times New Roman"/>
        </w:rPr>
      </w:pPr>
      <w:r>
        <w:rPr>
          <w:rFonts w:eastAsia="Times New Roman"/>
          <w:b/>
          <w:bCs/>
          <w:color w:val="000000"/>
          <w:sz w:val="20"/>
          <w:szCs w:val="20"/>
        </w:rPr>
        <w:t>Risks Related to Marketing, Reimbursement, Healthcare Regulations and Ongoing Regulatory Compliance</w:t>
      </w:r>
    </w:p>
    <w:p w:rsidR="00000000" w:rsidRDefault="00FD7D3C">
      <w:pPr>
        <w:ind w:firstLine="1080"/>
        <w:divId w:val="1747605882"/>
        <w:rPr>
          <w:rFonts w:eastAsia="Times New Roman"/>
        </w:rPr>
      </w:pPr>
      <w:r>
        <w:rPr>
          <w:rFonts w:eastAsia="Times New Roman"/>
          <w:b/>
          <w:bCs/>
          <w:i/>
          <w:iCs/>
          <w:color w:val="000000"/>
          <w:sz w:val="20"/>
          <w:szCs w:val="20"/>
        </w:rPr>
        <w:t>Even if a product candidate we develop receives marketing approval, it may f</w:t>
      </w:r>
      <w:r>
        <w:rPr>
          <w:rFonts w:eastAsia="Times New Roman"/>
          <w:b/>
          <w:bCs/>
          <w:i/>
          <w:iCs/>
          <w:color w:val="000000"/>
          <w:sz w:val="20"/>
          <w:szCs w:val="20"/>
        </w:rPr>
        <w:t>ail to achieve the degree of market acceptance by physicians, patients, third-party payors and others in the medical community necessary for commercial success.</w:t>
      </w:r>
    </w:p>
    <w:p w:rsidR="00000000" w:rsidRDefault="00FD7D3C">
      <w:pPr>
        <w:ind w:firstLine="1080"/>
        <w:divId w:val="864558979"/>
        <w:rPr>
          <w:rFonts w:eastAsia="Times New Roman"/>
        </w:rPr>
      </w:pPr>
      <w:r>
        <w:rPr>
          <w:rFonts w:eastAsia="Times New Roman"/>
          <w:color w:val="000000"/>
          <w:sz w:val="20"/>
          <w:szCs w:val="20"/>
        </w:rPr>
        <w:t>Even if PLN-74809 or any other product candidate we develop receives marketing approval, it may</w:t>
      </w:r>
      <w:r>
        <w:rPr>
          <w:rFonts w:eastAsia="Times New Roman"/>
          <w:color w:val="000000"/>
          <w:sz w:val="20"/>
          <w:szCs w:val="20"/>
        </w:rPr>
        <w:t xml:space="preserve"> nonetheless fail to gain sufficient market acceptance by physicians, patients and third-party payors. In addition, the availability of coverage by third-party payors may be affected by existing and future health care reform measures designed to reduce the</w:t>
      </w:r>
      <w:r>
        <w:rPr>
          <w:rFonts w:eastAsia="Times New Roman"/>
          <w:color w:val="000000"/>
          <w:sz w:val="20"/>
          <w:szCs w:val="20"/>
        </w:rPr>
        <w:t xml:space="preserve"> cost of health care. If the product candidates we develop do not achieve an adequate level of acceptance, we may not generate significant product revenues and we may not become profitable.</w:t>
      </w:r>
    </w:p>
    <w:p w:rsidR="00000000" w:rsidRDefault="00FD7D3C">
      <w:pPr>
        <w:ind w:firstLine="1080"/>
        <w:divId w:val="2050567377"/>
        <w:rPr>
          <w:rFonts w:eastAsia="Times New Roman"/>
        </w:rPr>
      </w:pPr>
      <w:r>
        <w:rPr>
          <w:rFonts w:eastAsia="Times New Roman"/>
          <w:color w:val="000000"/>
          <w:sz w:val="20"/>
          <w:szCs w:val="20"/>
        </w:rPr>
        <w:t>The degree of market acceptance of any product candidate, if appro</w:t>
      </w:r>
      <w:r>
        <w:rPr>
          <w:rFonts w:eastAsia="Times New Roman"/>
          <w:color w:val="000000"/>
          <w:sz w:val="20"/>
          <w:szCs w:val="20"/>
        </w:rPr>
        <w:t>ved for commercial sale, will depend on a number of factors, including:</w:t>
      </w:r>
    </w:p>
    <w:p w:rsidR="00000000" w:rsidRDefault="00FD7D3C">
      <w:pPr>
        <w:ind w:hanging="1260"/>
        <w:divId w:val="1716924233"/>
        <w:rPr>
          <w:rFonts w:eastAsia="Times New Roman"/>
        </w:rPr>
      </w:pPr>
      <w:r>
        <w:rPr>
          <w:rFonts w:ascii="Arial" w:eastAsia="Times New Roman" w:hAnsi="Arial" w:cs="Arial"/>
          <w:color w:val="000000"/>
        </w:rPr>
        <w:t>•</w:t>
      </w:r>
      <w:r>
        <w:rPr>
          <w:rFonts w:eastAsia="Times New Roman"/>
          <w:color w:val="000000"/>
          <w:sz w:val="20"/>
          <w:szCs w:val="20"/>
        </w:rPr>
        <w:t>efficacy and potential advantages compared to alternative treatments;</w:t>
      </w:r>
    </w:p>
    <w:p w:rsidR="00000000" w:rsidRDefault="00FD7D3C">
      <w:pPr>
        <w:ind w:hanging="1260"/>
        <w:divId w:val="713235154"/>
        <w:rPr>
          <w:rFonts w:eastAsia="Times New Roman"/>
        </w:rPr>
      </w:pPr>
      <w:r>
        <w:rPr>
          <w:rFonts w:eastAsia="Times New Roman"/>
          <w:color w:val="000000"/>
          <w:sz w:val="20"/>
          <w:szCs w:val="20"/>
        </w:rPr>
        <w:t>•the ability to offer our products, if approved, for sale at competitive prices;</w:t>
      </w:r>
    </w:p>
    <w:p w:rsidR="00000000" w:rsidRDefault="00FD7D3C">
      <w:pPr>
        <w:ind w:hanging="1260"/>
        <w:divId w:val="1739788871"/>
        <w:rPr>
          <w:rFonts w:eastAsia="Times New Roman"/>
        </w:rPr>
      </w:pPr>
      <w:r>
        <w:rPr>
          <w:rFonts w:eastAsia="Times New Roman"/>
          <w:color w:val="000000"/>
          <w:sz w:val="20"/>
          <w:szCs w:val="20"/>
        </w:rPr>
        <w:t>•convenience and ease of adminis</w:t>
      </w:r>
      <w:r>
        <w:rPr>
          <w:rFonts w:eastAsia="Times New Roman"/>
          <w:color w:val="000000"/>
          <w:sz w:val="20"/>
          <w:szCs w:val="20"/>
        </w:rPr>
        <w:t>tration compared to alternative treatments;</w:t>
      </w:r>
    </w:p>
    <w:p w:rsidR="00000000" w:rsidRDefault="00FD7D3C">
      <w:pPr>
        <w:ind w:hanging="1260"/>
        <w:divId w:val="1152521629"/>
        <w:rPr>
          <w:rFonts w:eastAsia="Times New Roman"/>
        </w:rPr>
      </w:pPr>
      <w:r>
        <w:rPr>
          <w:rFonts w:eastAsia="Times New Roman"/>
          <w:color w:val="000000"/>
          <w:sz w:val="20"/>
          <w:szCs w:val="20"/>
        </w:rPr>
        <w:t>•the willingness of the target patient population to try new therapies and of physicians to prescribe these therapies;</w:t>
      </w:r>
    </w:p>
    <w:p w:rsidR="00000000" w:rsidRDefault="00FD7D3C">
      <w:pPr>
        <w:ind w:hanging="1260"/>
        <w:divId w:val="613680030"/>
        <w:rPr>
          <w:rFonts w:eastAsia="Times New Roman"/>
        </w:rPr>
      </w:pPr>
      <w:r>
        <w:rPr>
          <w:rFonts w:eastAsia="Times New Roman"/>
          <w:color w:val="000000"/>
          <w:sz w:val="20"/>
          <w:szCs w:val="20"/>
        </w:rPr>
        <w:t>•the recommendations with respect to our product candidates in guidelines published by variou</w:t>
      </w:r>
      <w:r>
        <w:rPr>
          <w:rFonts w:eastAsia="Times New Roman"/>
          <w:color w:val="000000"/>
          <w:sz w:val="20"/>
          <w:szCs w:val="20"/>
        </w:rPr>
        <w:t>s scientific organizations applicable to us and our product candidates;</w:t>
      </w:r>
    </w:p>
    <w:p w:rsidR="00000000" w:rsidRDefault="00FD7D3C">
      <w:pPr>
        <w:ind w:hanging="1260"/>
        <w:divId w:val="1209151051"/>
        <w:rPr>
          <w:rFonts w:eastAsia="Times New Roman"/>
        </w:rPr>
      </w:pPr>
      <w:r>
        <w:rPr>
          <w:rFonts w:eastAsia="Times New Roman"/>
          <w:color w:val="000000"/>
          <w:sz w:val="20"/>
          <w:szCs w:val="20"/>
        </w:rPr>
        <w:t>•the strength of marketing and distribution support;</w:t>
      </w:r>
    </w:p>
    <w:p w:rsidR="00000000" w:rsidRDefault="00FD7D3C">
      <w:pPr>
        <w:ind w:hanging="1260"/>
        <w:divId w:val="1997175683"/>
        <w:rPr>
          <w:rFonts w:eastAsia="Times New Roman"/>
        </w:rPr>
      </w:pPr>
      <w:r>
        <w:rPr>
          <w:rFonts w:eastAsia="Times New Roman"/>
          <w:color w:val="000000"/>
          <w:sz w:val="20"/>
          <w:szCs w:val="20"/>
        </w:rPr>
        <w:t>•the ability to obtain sufficient third-party coverage and adequate reimbursement; and</w:t>
      </w:r>
    </w:p>
    <w:p w:rsidR="00000000" w:rsidRDefault="00FD7D3C">
      <w:pPr>
        <w:ind w:hanging="1260"/>
        <w:divId w:val="2119257038"/>
        <w:rPr>
          <w:rFonts w:eastAsia="Times New Roman"/>
        </w:rPr>
      </w:pPr>
      <w:r>
        <w:rPr>
          <w:rFonts w:eastAsia="Times New Roman"/>
          <w:color w:val="000000"/>
          <w:sz w:val="20"/>
          <w:szCs w:val="20"/>
        </w:rPr>
        <w:t>•the prevalence and severity of any side eff</w:t>
      </w:r>
      <w:r>
        <w:rPr>
          <w:rFonts w:eastAsia="Times New Roman"/>
          <w:color w:val="000000"/>
          <w:sz w:val="20"/>
          <w:szCs w:val="20"/>
        </w:rPr>
        <w:t>ects.</w:t>
      </w:r>
    </w:p>
    <w:p w:rsidR="00000000" w:rsidRDefault="00FD7D3C">
      <w:pPr>
        <w:ind w:firstLine="1080"/>
        <w:divId w:val="903180469"/>
        <w:rPr>
          <w:rFonts w:eastAsia="Times New Roman"/>
        </w:rPr>
      </w:pPr>
      <w:r>
        <w:rPr>
          <w:rFonts w:eastAsia="Times New Roman"/>
          <w:color w:val="000000"/>
          <w:sz w:val="20"/>
          <w:szCs w:val="20"/>
        </w:rPr>
        <w:t>If government and other third-party payors do not provide coverage and adequate reimbursement levels for any products we commercialize, market acceptance and commercial success would be reduced.</w:t>
      </w:r>
    </w:p>
    <w:p w:rsidR="00000000" w:rsidRDefault="00FD7D3C">
      <w:pPr>
        <w:ind w:firstLine="1080"/>
        <w:divId w:val="1781604824"/>
        <w:rPr>
          <w:rFonts w:eastAsia="Times New Roman"/>
        </w:rPr>
      </w:pPr>
      <w:r>
        <w:rPr>
          <w:rFonts w:eastAsia="Times New Roman"/>
          <w:b/>
          <w:bCs/>
          <w:i/>
          <w:iCs/>
          <w:color w:val="000000"/>
          <w:sz w:val="20"/>
          <w:szCs w:val="20"/>
        </w:rPr>
        <w:t>Coverage and reimbursement may be limited or unavailabl</w:t>
      </w:r>
      <w:r>
        <w:rPr>
          <w:rFonts w:eastAsia="Times New Roman"/>
          <w:b/>
          <w:bCs/>
          <w:i/>
          <w:iCs/>
          <w:color w:val="000000"/>
          <w:sz w:val="20"/>
          <w:szCs w:val="20"/>
        </w:rPr>
        <w:t>e in certain market segments for our product candidates, if approved, which could make it difficult for us to sell any product candidates profitably.</w:t>
      </w:r>
    </w:p>
    <w:p w:rsidR="00000000" w:rsidRDefault="00FD7D3C">
      <w:pPr>
        <w:ind w:firstLine="1080"/>
        <w:divId w:val="1872648985"/>
        <w:rPr>
          <w:rFonts w:eastAsia="Times New Roman"/>
        </w:rPr>
      </w:pPr>
      <w:r>
        <w:rPr>
          <w:rFonts w:eastAsia="Times New Roman"/>
          <w:color w:val="000000"/>
          <w:sz w:val="20"/>
          <w:szCs w:val="20"/>
        </w:rPr>
        <w:t>Significant uncertainty exists as to the coverage and reimbursement status of any products for which we ma</w:t>
      </w:r>
      <w:r>
        <w:rPr>
          <w:rFonts w:eastAsia="Times New Roman"/>
          <w:color w:val="000000"/>
          <w:sz w:val="20"/>
          <w:szCs w:val="20"/>
        </w:rPr>
        <w:t>y obtain regulatory approval. In the United States, sales of any products for which we may receive regulatory marketing approval will depend, in part, on the availability of coverage and adequacy of reimbursement from third-party payors. Third-party payors</w:t>
      </w:r>
      <w:r>
        <w:rPr>
          <w:rFonts w:eastAsia="Times New Roman"/>
          <w:color w:val="000000"/>
          <w:sz w:val="20"/>
          <w:szCs w:val="20"/>
        </w:rPr>
        <w:t xml:space="preserve"> include government authorities such as Medicare, Medicaid, TRICARE, and the Veterans Administration, managed care providers, private health insurers, and other organizations. Patients who are provided medical treatment for their conditions generally rely </w:t>
      </w:r>
      <w:r>
        <w:rPr>
          <w:rFonts w:eastAsia="Times New Roman"/>
          <w:color w:val="000000"/>
          <w:sz w:val="20"/>
          <w:szCs w:val="20"/>
        </w:rPr>
        <w:t>on third-party payors to reimburse all or part of the costs associated with their treatment. Coverage and adequate reimbursement from governmental healthcare programs, such as Medicare and Medicaid, and commercial payors is critical to new product acceptan</w:t>
      </w:r>
      <w:r>
        <w:rPr>
          <w:rFonts w:eastAsia="Times New Roman"/>
          <w:color w:val="000000"/>
          <w:sz w:val="20"/>
          <w:szCs w:val="20"/>
        </w:rPr>
        <w:t>ce. Patients are unlikely to use our product candidates unless coverage is provided, and reimbursement is adequate to cover a significant portion of the cost. We cannot be sure that coverage and adequate reimbursement will be available for any product that</w:t>
      </w:r>
      <w:r>
        <w:rPr>
          <w:rFonts w:eastAsia="Times New Roman"/>
          <w:color w:val="000000"/>
          <w:sz w:val="20"/>
          <w:szCs w:val="20"/>
        </w:rPr>
        <w:t xml:space="preserve"> we may develop and, if reimbursement is available, what the level of reimbursement will be.</w:t>
      </w:r>
    </w:p>
    <w:p w:rsidR="00000000" w:rsidRDefault="00FD7D3C">
      <w:pPr>
        <w:ind w:firstLine="1080"/>
        <w:divId w:val="1736774591"/>
        <w:rPr>
          <w:rFonts w:eastAsia="Times New Roman"/>
        </w:rPr>
      </w:pPr>
      <w:r>
        <w:rPr>
          <w:rFonts w:eastAsia="Times New Roman"/>
          <w:color w:val="000000"/>
          <w:sz w:val="20"/>
          <w:szCs w:val="20"/>
        </w:rPr>
        <w:t>Government authorities and other third-party payors decide which drugs and treatments they will cover and the amount of reimbursement. Coverage and reimbursement b</w:t>
      </w:r>
      <w:r>
        <w:rPr>
          <w:rFonts w:eastAsia="Times New Roman"/>
          <w:color w:val="000000"/>
          <w:sz w:val="20"/>
          <w:szCs w:val="20"/>
        </w:rPr>
        <w:t>y a third-party payor may depend upon a number of factors, including the third-party payor’s determination that use of a product is:</w:t>
      </w:r>
    </w:p>
    <w:p w:rsidR="00000000" w:rsidRDefault="00FD7D3C">
      <w:pPr>
        <w:ind w:hanging="1260"/>
        <w:divId w:val="584850702"/>
        <w:rPr>
          <w:rFonts w:eastAsia="Times New Roman"/>
        </w:rPr>
      </w:pPr>
      <w:r>
        <w:rPr>
          <w:rFonts w:ascii="Arial" w:eastAsia="Times New Roman" w:hAnsi="Arial" w:cs="Arial"/>
          <w:color w:val="000000"/>
        </w:rPr>
        <w:t>•</w:t>
      </w:r>
      <w:r>
        <w:rPr>
          <w:rFonts w:eastAsia="Times New Roman"/>
          <w:color w:val="000000"/>
          <w:sz w:val="20"/>
          <w:szCs w:val="20"/>
        </w:rPr>
        <w:t>a covered benefit under its health plan;</w:t>
      </w:r>
    </w:p>
    <w:p w:rsidR="00000000" w:rsidRDefault="00FD7D3C">
      <w:pPr>
        <w:ind w:hanging="1260"/>
        <w:divId w:val="985354862"/>
        <w:rPr>
          <w:rFonts w:eastAsia="Times New Roman"/>
        </w:rPr>
      </w:pPr>
      <w:r>
        <w:rPr>
          <w:rFonts w:eastAsia="Times New Roman"/>
          <w:color w:val="000000"/>
          <w:sz w:val="20"/>
          <w:szCs w:val="20"/>
        </w:rPr>
        <w:t>•safe, effective and medically necessary;</w:t>
      </w:r>
    </w:p>
    <w:p w:rsidR="00000000" w:rsidRDefault="00FD7D3C">
      <w:pPr>
        <w:ind w:hanging="1260"/>
        <w:divId w:val="1570387579"/>
        <w:rPr>
          <w:rFonts w:eastAsia="Times New Roman"/>
        </w:rPr>
      </w:pPr>
      <w:r>
        <w:rPr>
          <w:rFonts w:eastAsia="Times New Roman"/>
          <w:color w:val="000000"/>
          <w:sz w:val="20"/>
          <w:szCs w:val="20"/>
        </w:rPr>
        <w:t>•</w:t>
      </w:r>
      <w:r>
        <w:rPr>
          <w:rFonts w:eastAsia="Times New Roman"/>
          <w:color w:val="000000"/>
          <w:sz w:val="20"/>
          <w:szCs w:val="20"/>
        </w:rPr>
        <w:t>appropriate for the specific patient;</w:t>
      </w:r>
    </w:p>
    <w:p w:rsidR="00000000" w:rsidRDefault="00FD7D3C">
      <w:pPr>
        <w:ind w:hanging="1260"/>
        <w:divId w:val="567228770"/>
        <w:rPr>
          <w:rFonts w:eastAsia="Times New Roman"/>
        </w:rPr>
      </w:pPr>
      <w:r>
        <w:rPr>
          <w:rFonts w:eastAsia="Times New Roman"/>
          <w:color w:val="000000"/>
          <w:sz w:val="20"/>
          <w:szCs w:val="20"/>
        </w:rPr>
        <w:t>•cost-effective; and</w:t>
      </w:r>
    </w:p>
    <w:p w:rsidR="00000000" w:rsidRDefault="00FD7D3C">
      <w:pPr>
        <w:ind w:hanging="1260"/>
        <w:divId w:val="1937010946"/>
        <w:rPr>
          <w:rFonts w:eastAsia="Times New Roman"/>
        </w:rPr>
      </w:pPr>
      <w:r>
        <w:rPr>
          <w:rFonts w:eastAsia="Times New Roman"/>
          <w:color w:val="000000"/>
          <w:sz w:val="20"/>
          <w:szCs w:val="20"/>
        </w:rPr>
        <w:t>•neither experimental nor investigational.</w:t>
      </w:r>
    </w:p>
    <w:p w:rsidR="00000000" w:rsidRDefault="00FD7D3C">
      <w:pPr>
        <w:ind w:firstLine="1080"/>
        <w:divId w:val="217056151"/>
        <w:rPr>
          <w:rFonts w:eastAsia="Times New Roman"/>
        </w:rPr>
      </w:pPr>
      <w:r>
        <w:rPr>
          <w:rFonts w:eastAsia="Times New Roman"/>
          <w:color w:val="000000"/>
          <w:sz w:val="20"/>
          <w:szCs w:val="20"/>
        </w:rPr>
        <w:t xml:space="preserve">In the United States, no uniform policy of coverage and reimbursement for products exists among third-party payors. </w:t>
      </w:r>
    </w:p>
    <w:p w:rsidR="00000000" w:rsidRDefault="00FD7D3C">
      <w:pPr>
        <w:jc w:val="center"/>
        <w:divId w:val="1308172224"/>
        <w:rPr>
          <w:rFonts w:eastAsia="Times New Roman"/>
        </w:rPr>
      </w:pPr>
      <w:r>
        <w:rPr>
          <w:rFonts w:eastAsia="Times New Roman"/>
          <w:color w:val="000000"/>
          <w:sz w:val="20"/>
          <w:szCs w:val="20"/>
        </w:rPr>
        <w:t>57</w:t>
      </w:r>
    </w:p>
    <w:p w:rsidR="00000000" w:rsidRDefault="00FD7D3C">
      <w:pPr>
        <w:rPr>
          <w:rFonts w:eastAsia="Times New Roman"/>
        </w:rPr>
      </w:pPr>
      <w:r>
        <w:rPr>
          <w:rFonts w:eastAsia="Times New Roman"/>
        </w:rPr>
        <w:pict>
          <v:rect id="_x0000_i1110" style="width:0;height:1.5pt" o:hralign="center" o:hrstd="t" o:hr="t" fillcolor="#a0a0a0" stroked="f"/>
        </w:pict>
      </w:r>
    </w:p>
    <w:p w:rsidR="00000000" w:rsidRDefault="00FD7D3C">
      <w:pPr>
        <w:divId w:val="62412447"/>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ind w:firstLine="1080"/>
        <w:divId w:val="1812475369"/>
        <w:rPr>
          <w:rFonts w:eastAsia="Times New Roman"/>
        </w:rPr>
      </w:pPr>
      <w:r>
        <w:rPr>
          <w:rFonts w:eastAsia="Times New Roman"/>
          <w:color w:val="000000"/>
          <w:sz w:val="20"/>
          <w:szCs w:val="20"/>
        </w:rPr>
        <w:t>Coverage and reimburseme</w:t>
      </w:r>
      <w:r>
        <w:rPr>
          <w:rFonts w:eastAsia="Times New Roman"/>
          <w:color w:val="000000"/>
          <w:sz w:val="20"/>
          <w:szCs w:val="20"/>
        </w:rPr>
        <w:t>nt for products may vary depending on the payor, the insurance plan, and other factors. As a result, obtaining coverage and reimbursement approval of a product from a government or other third-party payor is a time-consuming and costly process that could r</w:t>
      </w:r>
      <w:r>
        <w:rPr>
          <w:rFonts w:eastAsia="Times New Roman"/>
          <w:color w:val="000000"/>
          <w:sz w:val="20"/>
          <w:szCs w:val="20"/>
        </w:rPr>
        <w:t>equire us to provide to each payor supporting scientific, clinical and cost-effectiveness data for the use of our products on a payor-by-payor basis, with no assurance that coverage and adequate reimbursement will be obtained. A primary trend in the health</w:t>
      </w:r>
      <w:r>
        <w:rPr>
          <w:rFonts w:eastAsia="Times New Roman"/>
          <w:color w:val="000000"/>
          <w:sz w:val="20"/>
          <w:szCs w:val="20"/>
        </w:rPr>
        <w:t>care industry is cost containment as government authorities and third-party payors have attempted to control costs by limiting coverage and the amount of reimbursement available for certain medications. Even if we obtain coverage for a given product, the r</w:t>
      </w:r>
      <w:r>
        <w:rPr>
          <w:rFonts w:eastAsia="Times New Roman"/>
          <w:color w:val="000000"/>
          <w:sz w:val="20"/>
          <w:szCs w:val="20"/>
        </w:rPr>
        <w:t>esulting reimbursement payment rates might not be adequate for us to achieve or sustain profitability or may require co-payments that patients find unacceptably high. Additionally, third-party payors may not cover, or provide adequate reimbursement for, lo</w:t>
      </w:r>
      <w:r>
        <w:rPr>
          <w:rFonts w:eastAsia="Times New Roman"/>
          <w:color w:val="000000"/>
          <w:sz w:val="20"/>
          <w:szCs w:val="20"/>
        </w:rPr>
        <w:t>ng-term follow-up evaluations required following the use of product candidates, once approved. It is difficult to predict at this time what third-party payors will decide with respect to the coverage and reimbursement for our product candidates, if approve</w:t>
      </w:r>
      <w:r>
        <w:rPr>
          <w:rFonts w:eastAsia="Times New Roman"/>
          <w:color w:val="000000"/>
          <w:sz w:val="20"/>
          <w:szCs w:val="20"/>
        </w:rPr>
        <w:t>d.</w:t>
      </w:r>
    </w:p>
    <w:p w:rsidR="00000000" w:rsidRDefault="00FD7D3C">
      <w:pPr>
        <w:ind w:firstLine="1080"/>
        <w:divId w:val="1291592898"/>
        <w:rPr>
          <w:rFonts w:eastAsia="Times New Roman"/>
        </w:rPr>
      </w:pPr>
      <w:r>
        <w:rPr>
          <w:rFonts w:eastAsia="Times New Roman"/>
          <w:color w:val="000000"/>
          <w:sz w:val="20"/>
          <w:szCs w:val="20"/>
        </w:rPr>
        <w:t>A primary trend in the United States health care industry is toward cost containment, as government authorities, third-party payors, and others have attempted to control costs by limiting coverage and the amount of reimbursement available for certain tr</w:t>
      </w:r>
      <w:r>
        <w:rPr>
          <w:rFonts w:eastAsia="Times New Roman"/>
          <w:color w:val="000000"/>
          <w:sz w:val="20"/>
          <w:szCs w:val="20"/>
        </w:rPr>
        <w:t>eatments. Such third-party payers, including Medicare, may question the coverage of, and challenge the prices charged for medical products, and many third-party payers limit coverage and reimbursement for newly approved health care products. Moreover, reim</w:t>
      </w:r>
      <w:r>
        <w:rPr>
          <w:rFonts w:eastAsia="Times New Roman"/>
          <w:color w:val="000000"/>
          <w:sz w:val="20"/>
          <w:szCs w:val="20"/>
        </w:rPr>
        <w:t xml:space="preserve">bursement, if available, may vary according to the use of the product and the clinical setting in which it is used, may be based on reimbursement levels already set for lower cost products and may be incorporated into existing payments for other services. </w:t>
      </w:r>
      <w:r>
        <w:rPr>
          <w:rFonts w:eastAsia="Times New Roman"/>
          <w:color w:val="000000"/>
          <w:sz w:val="20"/>
          <w:szCs w:val="20"/>
        </w:rPr>
        <w:t>Net prices for products may be reduced by mandatory discounts or rebates required by government healthcare programs or private payers, by any future laws limiting drug prices.</w:t>
      </w:r>
      <w:r>
        <w:rPr>
          <w:rFonts w:eastAsia="Times New Roman"/>
          <w:color w:val="000000"/>
        </w:rPr>
        <w:t xml:space="preserve"> </w:t>
      </w:r>
      <w:r>
        <w:rPr>
          <w:rFonts w:eastAsia="Times New Roman"/>
          <w:color w:val="000000"/>
          <w:sz w:val="20"/>
          <w:szCs w:val="20"/>
        </w:rPr>
        <w:t>If we are unable to promptly obtain coverage and adequate reimbursement rates fr</w:t>
      </w:r>
      <w:r>
        <w:rPr>
          <w:rFonts w:eastAsia="Times New Roman"/>
          <w:color w:val="000000"/>
          <w:sz w:val="20"/>
          <w:szCs w:val="20"/>
        </w:rPr>
        <w:t>om both government-funded and private payers for any approved products that we develop there could be a material adverse effect on our operating results, our ability to raise capital needed to commercialize products and our overall financial condition.</w:t>
      </w:r>
    </w:p>
    <w:p w:rsidR="00000000" w:rsidRDefault="00FD7D3C">
      <w:pPr>
        <w:ind w:firstLine="1080"/>
        <w:divId w:val="860506782"/>
        <w:rPr>
          <w:rFonts w:eastAsia="Times New Roman"/>
        </w:rPr>
      </w:pPr>
      <w:r>
        <w:rPr>
          <w:rFonts w:eastAsia="Times New Roman"/>
          <w:color w:val="000000"/>
          <w:sz w:val="20"/>
          <w:szCs w:val="20"/>
        </w:rPr>
        <w:t>Cha</w:t>
      </w:r>
      <w:r>
        <w:rPr>
          <w:rFonts w:eastAsia="Times New Roman"/>
          <w:color w:val="000000"/>
          <w:sz w:val="20"/>
          <w:szCs w:val="20"/>
        </w:rPr>
        <w:t xml:space="preserve">nges to these current laws and state and federal healthcare reform measures that may be adopted in the future that impact coverage and reimbursement for drug or biologic products may result in additional reductions in Medicare and other healthcare funding </w:t>
      </w:r>
      <w:r>
        <w:rPr>
          <w:rFonts w:eastAsia="Times New Roman"/>
          <w:color w:val="000000"/>
          <w:sz w:val="20"/>
          <w:szCs w:val="20"/>
        </w:rPr>
        <w:t>and otherwise affect the prices we may obtain for any product candidates for which we may obtain regulatory approval or the frequency with which any such product candidate is prescribed or used.</w:t>
      </w:r>
    </w:p>
    <w:p w:rsidR="00000000" w:rsidRDefault="00FD7D3C">
      <w:pPr>
        <w:divId w:val="757362096"/>
        <w:rPr>
          <w:rFonts w:eastAsia="Times New Roman"/>
        </w:rPr>
      </w:pPr>
    </w:p>
    <w:p w:rsidR="00000000" w:rsidRDefault="00FD7D3C">
      <w:pPr>
        <w:ind w:firstLine="1080"/>
        <w:divId w:val="481506371"/>
        <w:rPr>
          <w:rFonts w:eastAsia="Times New Roman"/>
        </w:rPr>
      </w:pPr>
      <w:r>
        <w:rPr>
          <w:rFonts w:eastAsia="Times New Roman"/>
          <w:b/>
          <w:bCs/>
          <w:i/>
          <w:iCs/>
          <w:color w:val="000000"/>
          <w:sz w:val="20"/>
          <w:szCs w:val="20"/>
        </w:rPr>
        <w:t>Even if we obtain FDA approval of any of our product candid</w:t>
      </w:r>
      <w:r>
        <w:rPr>
          <w:rFonts w:eastAsia="Times New Roman"/>
          <w:b/>
          <w:bCs/>
          <w:i/>
          <w:iCs/>
          <w:color w:val="000000"/>
          <w:sz w:val="20"/>
          <w:szCs w:val="20"/>
        </w:rPr>
        <w:t>ates, we may never obtain approval or commercialize such products outside of the United States, which would limit our ability to realize their full market potential.</w:t>
      </w:r>
    </w:p>
    <w:p w:rsidR="00000000" w:rsidRDefault="00FD7D3C">
      <w:pPr>
        <w:ind w:firstLine="1080"/>
        <w:divId w:val="135414293"/>
        <w:rPr>
          <w:rFonts w:eastAsia="Times New Roman"/>
        </w:rPr>
      </w:pPr>
      <w:r>
        <w:rPr>
          <w:rFonts w:eastAsia="Times New Roman"/>
          <w:color w:val="000000"/>
          <w:sz w:val="20"/>
          <w:szCs w:val="20"/>
        </w:rPr>
        <w:t>In order to market any products outside of the United States, we must establish and comply</w:t>
      </w:r>
      <w:r>
        <w:rPr>
          <w:rFonts w:eastAsia="Times New Roman"/>
          <w:color w:val="000000"/>
          <w:sz w:val="20"/>
          <w:szCs w:val="20"/>
        </w:rPr>
        <w:t xml:space="preserve"> with numerous and varying regulatory requirements of other countries regarding safety and efficacy. Clinical trials conducted in one country may not be accepted by regulatory authorities in other countries, and regulatory approval in one country does not </w:t>
      </w:r>
      <w:r>
        <w:rPr>
          <w:rFonts w:eastAsia="Times New Roman"/>
          <w:color w:val="000000"/>
          <w:sz w:val="20"/>
          <w:szCs w:val="20"/>
        </w:rPr>
        <w:t>mean that regulatory approval will be obtained in any other country. Approval procedures vary among countries and can involve additional product testing and validation and additional administrative review periods. Seeking foreign regulatory approvals could</w:t>
      </w:r>
      <w:r>
        <w:rPr>
          <w:rFonts w:eastAsia="Times New Roman"/>
          <w:color w:val="000000"/>
          <w:sz w:val="20"/>
          <w:szCs w:val="20"/>
        </w:rPr>
        <w:t xml:space="preserve"> result in significant delays, difficulties, and costs for us and may require additional preclinical studies or clinical trials which would be costly and time consuming. Regulatory requirements can vary widely from country to country and could delay or pre</w:t>
      </w:r>
      <w:r>
        <w:rPr>
          <w:rFonts w:eastAsia="Times New Roman"/>
          <w:color w:val="000000"/>
          <w:sz w:val="20"/>
          <w:szCs w:val="20"/>
        </w:rPr>
        <w:t>vent the introduction of our products in those countries. Satisfying these and other regulatory requirements is costly, time consuming, uncertain and subject to unanticipated delays. In addition, our failure to obtain regulatory approval in any country may</w:t>
      </w:r>
      <w:r>
        <w:rPr>
          <w:rFonts w:eastAsia="Times New Roman"/>
          <w:color w:val="000000"/>
          <w:sz w:val="20"/>
          <w:szCs w:val="20"/>
        </w:rPr>
        <w:t xml:space="preserve"> delay or have negative effects on the process for regulatory approval in other countries. We do not have any product candidates approved for sale in any jurisdiction, including international markets, and we do not have experience in obtaining regulatory a</w:t>
      </w:r>
      <w:r>
        <w:rPr>
          <w:rFonts w:eastAsia="Times New Roman"/>
          <w:color w:val="000000"/>
          <w:sz w:val="20"/>
          <w:szCs w:val="20"/>
        </w:rPr>
        <w:t>pproval in international markets. If we fail to comply with regulatory requirements in international markets or to obtain and maintain required approvals, our ability to realize the full market potential of our products will be harmed.</w:t>
      </w:r>
    </w:p>
    <w:p w:rsidR="00000000" w:rsidRDefault="00FD7D3C">
      <w:pPr>
        <w:ind w:firstLine="1080"/>
        <w:divId w:val="1024549956"/>
        <w:rPr>
          <w:rFonts w:eastAsia="Times New Roman"/>
        </w:rPr>
      </w:pPr>
      <w:r>
        <w:rPr>
          <w:rFonts w:eastAsia="Times New Roman"/>
          <w:b/>
          <w:bCs/>
          <w:i/>
          <w:iCs/>
          <w:color w:val="000000"/>
          <w:sz w:val="20"/>
          <w:szCs w:val="20"/>
        </w:rPr>
        <w:t>We currently have no</w:t>
      </w:r>
      <w:r>
        <w:rPr>
          <w:rFonts w:eastAsia="Times New Roman"/>
          <w:b/>
          <w:bCs/>
          <w:i/>
          <w:iCs/>
          <w:color w:val="000000"/>
          <w:sz w:val="20"/>
          <w:szCs w:val="20"/>
        </w:rPr>
        <w:t xml:space="preserve"> marketing and sales organization and have no experience as a company in commercializing products, and we may have to invest significant resources to develop these capabilities. If we are unable to establish marketing and sales capabilities or enter into a</w:t>
      </w:r>
      <w:r>
        <w:rPr>
          <w:rFonts w:eastAsia="Times New Roman"/>
          <w:b/>
          <w:bCs/>
          <w:i/>
          <w:iCs/>
          <w:color w:val="000000"/>
          <w:sz w:val="20"/>
          <w:szCs w:val="20"/>
        </w:rPr>
        <w:t>greements with third parties to market and sell our products, we may not be able to generate product revenue.</w:t>
      </w:r>
    </w:p>
    <w:p w:rsidR="00000000" w:rsidRDefault="00FD7D3C">
      <w:pPr>
        <w:ind w:firstLine="1080"/>
        <w:divId w:val="856504029"/>
        <w:rPr>
          <w:rFonts w:eastAsia="Times New Roman"/>
        </w:rPr>
      </w:pPr>
      <w:r>
        <w:rPr>
          <w:rFonts w:eastAsia="Times New Roman"/>
          <w:color w:val="000000"/>
          <w:sz w:val="20"/>
          <w:szCs w:val="20"/>
        </w:rPr>
        <w:t>We have no internal sales, marketing, or distribution capabilities, nor have we commercialized a product. If any of our product candidates ultimat</w:t>
      </w:r>
      <w:r>
        <w:rPr>
          <w:rFonts w:eastAsia="Times New Roman"/>
          <w:color w:val="000000"/>
          <w:sz w:val="20"/>
          <w:szCs w:val="20"/>
        </w:rPr>
        <w:t>ely receives regulatory approval, we expect to establish a marketing and sales organization with technical expertise and supporting distribution capabilities to commercialize each such product in major markets, which will be expensive and time consuming. W</w:t>
      </w:r>
      <w:r>
        <w:rPr>
          <w:rFonts w:eastAsia="Times New Roman"/>
          <w:color w:val="000000"/>
          <w:sz w:val="20"/>
          <w:szCs w:val="20"/>
        </w:rPr>
        <w:t>e have no prior experience as a company in the marketing, sale and distribution of pharmaceutical products and there are significant risks involved in building and managing a sales organization, including our ability to hire, retain and incentivize qualifi</w:t>
      </w:r>
      <w:r>
        <w:rPr>
          <w:rFonts w:eastAsia="Times New Roman"/>
          <w:color w:val="000000"/>
          <w:sz w:val="20"/>
          <w:szCs w:val="20"/>
        </w:rPr>
        <w:t xml:space="preserve">ed individuals, generate sufficient sales leads, </w:t>
      </w:r>
    </w:p>
    <w:p w:rsidR="00000000" w:rsidRDefault="00FD7D3C">
      <w:pPr>
        <w:jc w:val="center"/>
        <w:divId w:val="1328291427"/>
        <w:rPr>
          <w:rFonts w:eastAsia="Times New Roman"/>
        </w:rPr>
      </w:pPr>
      <w:r>
        <w:rPr>
          <w:rFonts w:eastAsia="Times New Roman"/>
          <w:color w:val="000000"/>
          <w:sz w:val="20"/>
          <w:szCs w:val="20"/>
        </w:rPr>
        <w:t>58</w:t>
      </w:r>
    </w:p>
    <w:p w:rsidR="00000000" w:rsidRDefault="00FD7D3C">
      <w:pPr>
        <w:rPr>
          <w:rFonts w:eastAsia="Times New Roman"/>
        </w:rPr>
      </w:pPr>
      <w:r>
        <w:rPr>
          <w:rFonts w:eastAsia="Times New Roman"/>
        </w:rPr>
        <w:pict>
          <v:rect id="_x0000_i1111" style="width:0;height:1.5pt" o:hralign="center" o:hrstd="t" o:hr="t" fillcolor="#a0a0a0" stroked="f"/>
        </w:pict>
      </w:r>
    </w:p>
    <w:p w:rsidR="00000000" w:rsidRDefault="00FD7D3C">
      <w:pPr>
        <w:divId w:val="1559828602"/>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divId w:val="65957229"/>
        <w:rPr>
          <w:rFonts w:eastAsia="Times New Roman"/>
        </w:rPr>
      </w:pPr>
      <w:r>
        <w:rPr>
          <w:rFonts w:eastAsia="Times New Roman"/>
          <w:color w:val="000000"/>
          <w:sz w:val="20"/>
          <w:szCs w:val="20"/>
        </w:rPr>
        <w:t>provide adequate training to sales and marketing personnel and effectively manage a geogra</w:t>
      </w:r>
      <w:r>
        <w:rPr>
          <w:rFonts w:eastAsia="Times New Roman"/>
          <w:color w:val="000000"/>
          <w:sz w:val="20"/>
          <w:szCs w:val="20"/>
        </w:rPr>
        <w:t>phically dispersed sales and marketing team. Any failure or delay in the development of our internal sales, marketing and distribution capabilities would adversely impact the commercialization of these products. We may also choose to collaborate with third</w:t>
      </w:r>
      <w:r>
        <w:rPr>
          <w:rFonts w:eastAsia="Times New Roman"/>
          <w:color w:val="000000"/>
          <w:sz w:val="20"/>
          <w:szCs w:val="20"/>
        </w:rPr>
        <w:t xml:space="preserve"> parties that have direct sales forces and established distribution systems, either to augment our own sales force and distribution systems or in lieu of our own sales force and distribution systems. We may not be able to enter into collaborations or hire </w:t>
      </w:r>
      <w:r>
        <w:rPr>
          <w:rFonts w:eastAsia="Times New Roman"/>
          <w:color w:val="000000"/>
          <w:sz w:val="20"/>
          <w:szCs w:val="20"/>
        </w:rPr>
        <w:t>consultants or external service providers to assist us in sales, marketing and distribution functions on acceptable financial terms, or at all. In addition, our product revenues and our profitability, if any, may be lower if we rely on third parties for th</w:t>
      </w:r>
      <w:r>
        <w:rPr>
          <w:rFonts w:eastAsia="Times New Roman"/>
          <w:color w:val="000000"/>
          <w:sz w:val="20"/>
          <w:szCs w:val="20"/>
        </w:rPr>
        <w:t>ese functions than if we were to market, sell and distribute any products that we develop ourselves. We likely will have little control over such third parties, and any of them may fail to devote the necessary resources and attention to sell and market our</w:t>
      </w:r>
      <w:r>
        <w:rPr>
          <w:rFonts w:eastAsia="Times New Roman"/>
          <w:color w:val="000000"/>
          <w:sz w:val="20"/>
          <w:szCs w:val="20"/>
        </w:rPr>
        <w:t xml:space="preserve"> products effectively. If we are not successful in commercializing our products, either on our own or through arrangements with one or more third parties, we may not be able to generate any future product revenue and we would incur significant additional l</w:t>
      </w:r>
      <w:r>
        <w:rPr>
          <w:rFonts w:eastAsia="Times New Roman"/>
          <w:color w:val="000000"/>
          <w:sz w:val="20"/>
          <w:szCs w:val="20"/>
        </w:rPr>
        <w:t>osses.</w:t>
      </w:r>
    </w:p>
    <w:p w:rsidR="00000000" w:rsidRDefault="00FD7D3C">
      <w:pPr>
        <w:ind w:firstLine="1080"/>
        <w:divId w:val="487402514"/>
        <w:rPr>
          <w:rFonts w:eastAsia="Times New Roman"/>
        </w:rPr>
      </w:pPr>
      <w:r>
        <w:rPr>
          <w:rFonts w:eastAsia="Times New Roman"/>
          <w:b/>
          <w:bCs/>
          <w:i/>
          <w:iCs/>
          <w:color w:val="000000"/>
          <w:sz w:val="20"/>
          <w:szCs w:val="20"/>
        </w:rPr>
        <w:t>Our relationships with healthcare providers and physicians and third-party payors will be subject to applicable anti-kickback, fraud and abuse and other healthcare laws and regulations, which could expose us to criminal sanctions, civil penalties, c</w:t>
      </w:r>
      <w:r>
        <w:rPr>
          <w:rFonts w:eastAsia="Times New Roman"/>
          <w:b/>
          <w:bCs/>
          <w:i/>
          <w:iCs/>
          <w:color w:val="000000"/>
          <w:sz w:val="20"/>
          <w:szCs w:val="20"/>
        </w:rPr>
        <w:t>ontractual damages, reputational harm and diminished profits and future earnings.</w:t>
      </w:r>
    </w:p>
    <w:p w:rsidR="00000000" w:rsidRDefault="00FD7D3C">
      <w:pPr>
        <w:ind w:firstLine="1080"/>
        <w:divId w:val="1322273949"/>
        <w:rPr>
          <w:rFonts w:eastAsia="Times New Roman"/>
        </w:rPr>
      </w:pPr>
      <w:r>
        <w:rPr>
          <w:rFonts w:eastAsia="Times New Roman"/>
          <w:color w:val="000000"/>
          <w:sz w:val="20"/>
          <w:szCs w:val="20"/>
        </w:rPr>
        <w:t>Healthcare providers, physicians and third-party payors in the United States and elsewhere play a primary role in the recommendation and prescription of biopharmaceutical pro</w:t>
      </w:r>
      <w:r>
        <w:rPr>
          <w:rFonts w:eastAsia="Times New Roman"/>
          <w:color w:val="000000"/>
          <w:sz w:val="20"/>
          <w:szCs w:val="20"/>
        </w:rPr>
        <w:t>ducts. Arrangements with third-party payors and customers can expose biopharmaceutical manufacturers to broadly applicable fraud and abuse and other healthcare laws and regulations, as detailed in Part I, Item 1 - Business - Government Regulation - Other H</w:t>
      </w:r>
      <w:r>
        <w:rPr>
          <w:rFonts w:eastAsia="Times New Roman"/>
          <w:color w:val="000000"/>
          <w:sz w:val="20"/>
          <w:szCs w:val="20"/>
        </w:rPr>
        <w:t>ealthcare Laws. In particular, the research of our product candidates, as well as the promotion, sales and marketing of healthcare items and services, and certain business arrangements in the healthcare industry, are subject to extensive laws designed to p</w:t>
      </w:r>
      <w:r>
        <w:rPr>
          <w:rFonts w:eastAsia="Times New Roman"/>
          <w:color w:val="000000"/>
          <w:sz w:val="20"/>
          <w:szCs w:val="20"/>
        </w:rPr>
        <w:t>revent fraud, kickbacks, self-dealing and other abusive practices. These laws and regulations may restrict or prohibit a wide range of pricing, discounting, marketing and promotion, structuring and commission(s), certain customer incentive programs, remune</w:t>
      </w:r>
      <w:r>
        <w:rPr>
          <w:rFonts w:eastAsia="Times New Roman"/>
          <w:color w:val="000000"/>
          <w:sz w:val="20"/>
          <w:szCs w:val="20"/>
        </w:rPr>
        <w:t>ration provided to health care professionals and their affiliates, charitable donations and other business arrangements generally. Activities subject to these laws also involve the improper use of information obtained in the course of patient recruitment f</w:t>
      </w:r>
      <w:r>
        <w:rPr>
          <w:rFonts w:eastAsia="Times New Roman"/>
          <w:color w:val="000000"/>
          <w:sz w:val="20"/>
          <w:szCs w:val="20"/>
        </w:rPr>
        <w:t>or clinical trials.</w:t>
      </w:r>
    </w:p>
    <w:p w:rsidR="00000000" w:rsidRDefault="00FD7D3C">
      <w:pPr>
        <w:ind w:firstLine="1080"/>
        <w:divId w:val="1313490288"/>
        <w:rPr>
          <w:rFonts w:eastAsia="Times New Roman"/>
        </w:rPr>
      </w:pPr>
      <w:r>
        <w:rPr>
          <w:rFonts w:eastAsia="Times New Roman"/>
          <w:color w:val="000000"/>
          <w:sz w:val="20"/>
          <w:szCs w:val="20"/>
        </w:rPr>
        <w:t>The distribution of biopharmaceutical products is subject to additional requirements and regulations, including extensive record-keeping, licensing, storage and security requirements intended to prevent the unauthorized sale of biopharm</w:t>
      </w:r>
      <w:r>
        <w:rPr>
          <w:rFonts w:eastAsia="Times New Roman"/>
          <w:color w:val="000000"/>
          <w:sz w:val="20"/>
          <w:szCs w:val="20"/>
        </w:rPr>
        <w:t>aceutical products.</w:t>
      </w:r>
    </w:p>
    <w:p w:rsidR="00000000" w:rsidRDefault="00FD7D3C">
      <w:pPr>
        <w:ind w:firstLine="1080"/>
        <w:divId w:val="1824739368"/>
        <w:rPr>
          <w:rFonts w:eastAsia="Times New Roman"/>
        </w:rPr>
      </w:pPr>
      <w:r>
        <w:rPr>
          <w:rFonts w:eastAsia="Times New Roman"/>
          <w:color w:val="000000"/>
          <w:sz w:val="20"/>
          <w:szCs w:val="20"/>
        </w:rPr>
        <w:t>The scope and enforcement of each of these laws is uncertain and subject to rapid change in the current environment of healthcare reform. Ensuring business arrangements comply with applicable healthcare laws, as well as responding to po</w:t>
      </w:r>
      <w:r>
        <w:rPr>
          <w:rFonts w:eastAsia="Times New Roman"/>
          <w:color w:val="000000"/>
          <w:sz w:val="20"/>
          <w:szCs w:val="20"/>
        </w:rPr>
        <w:t>ssible investigations by government authorities, can be time- and resource-consuming and can divert a company’s attention from the business.</w:t>
      </w:r>
    </w:p>
    <w:p w:rsidR="00000000" w:rsidRDefault="00FD7D3C">
      <w:pPr>
        <w:ind w:firstLine="1080"/>
        <w:divId w:val="909272586"/>
        <w:rPr>
          <w:rFonts w:eastAsia="Times New Roman"/>
        </w:rPr>
      </w:pPr>
      <w:r>
        <w:rPr>
          <w:rFonts w:eastAsia="Times New Roman"/>
          <w:color w:val="000000"/>
          <w:sz w:val="20"/>
          <w:szCs w:val="20"/>
        </w:rPr>
        <w:t>It is possible that governmental and enforcement authorities will conclude that our business practices may not comp</w:t>
      </w:r>
      <w:r>
        <w:rPr>
          <w:rFonts w:eastAsia="Times New Roman"/>
          <w:color w:val="000000"/>
          <w:sz w:val="20"/>
          <w:szCs w:val="20"/>
        </w:rPr>
        <w:t>ly with current or future statutes, regulations or case law interpreting applicable fraud and abuse or other healthcare laws and regulations. If any such actions are instituted against us, and we are not successful in defending ourselves or asserting our r</w:t>
      </w:r>
      <w:r>
        <w:rPr>
          <w:rFonts w:eastAsia="Times New Roman"/>
          <w:color w:val="000000"/>
          <w:sz w:val="20"/>
          <w:szCs w:val="20"/>
        </w:rPr>
        <w:t>ights, those actions could have a significant impact on our business, including the imposition of significant civil, criminal and administrative penalties, damages, fines, disgorgement, imprisonment, reputational harm, possible exclusion from participation</w:t>
      </w:r>
      <w:r>
        <w:rPr>
          <w:rFonts w:eastAsia="Times New Roman"/>
          <w:color w:val="000000"/>
          <w:sz w:val="20"/>
          <w:szCs w:val="20"/>
        </w:rPr>
        <w:t xml:space="preserve"> in federal and state funded healthcare programs, contractual damages and the curtailment or restricting of our operations, as well as additional reporting obligations and oversight if we become subject to a corporate integrity agreement or other agreement</w:t>
      </w:r>
      <w:r>
        <w:rPr>
          <w:rFonts w:eastAsia="Times New Roman"/>
          <w:color w:val="000000"/>
          <w:sz w:val="20"/>
          <w:szCs w:val="20"/>
        </w:rPr>
        <w:t xml:space="preserve"> to resolve allegations of non-compliance with these laws. Further, if any of the physicians or other healthcare providers or entities with whom we expect to do business is found to be not in compliance with applicable laws, they may be subject to signific</w:t>
      </w:r>
      <w:r>
        <w:rPr>
          <w:rFonts w:eastAsia="Times New Roman"/>
          <w:color w:val="000000"/>
          <w:sz w:val="20"/>
          <w:szCs w:val="20"/>
        </w:rPr>
        <w:t>ant criminal, civil or administrative sanctions, including exclusions from government funded healthcare programs. Any action for violation of these laws, even if successfully defended, could cause a biopharmaceutical manufacturer to incur significant legal</w:t>
      </w:r>
      <w:r>
        <w:rPr>
          <w:rFonts w:eastAsia="Times New Roman"/>
          <w:color w:val="000000"/>
          <w:sz w:val="20"/>
          <w:szCs w:val="20"/>
        </w:rPr>
        <w:t xml:space="preserve"> expenses and divert management’s attention from the operation of the business. Prohibitions or restrictions on sales or withdrawal of future marketed products could materially affect business in an adverse way.</w:t>
      </w:r>
    </w:p>
    <w:p w:rsidR="00000000" w:rsidRDefault="00FD7D3C">
      <w:pPr>
        <w:ind w:firstLine="1080"/>
        <w:divId w:val="693725114"/>
        <w:rPr>
          <w:rFonts w:eastAsia="Times New Roman"/>
        </w:rPr>
      </w:pPr>
      <w:r>
        <w:rPr>
          <w:rFonts w:eastAsia="Times New Roman"/>
          <w:b/>
          <w:bCs/>
          <w:i/>
          <w:iCs/>
          <w:color w:val="000000"/>
          <w:sz w:val="20"/>
          <w:szCs w:val="20"/>
        </w:rPr>
        <w:t>Even if we receive regulatory approval of any product candidates, we will be subject to ongoing regulatory obligations and continued regulatory review, which may result in significant additional expense and we may be subject to penalties if we fail to comp</w:t>
      </w:r>
      <w:r>
        <w:rPr>
          <w:rFonts w:eastAsia="Times New Roman"/>
          <w:b/>
          <w:bCs/>
          <w:i/>
          <w:iCs/>
          <w:color w:val="000000"/>
          <w:sz w:val="20"/>
          <w:szCs w:val="20"/>
        </w:rPr>
        <w:t>ly with regulatory requirements or experience unanticipated problems with our product candidates.</w:t>
      </w:r>
    </w:p>
    <w:p w:rsidR="00000000" w:rsidRDefault="00FD7D3C">
      <w:pPr>
        <w:ind w:firstLine="1080"/>
        <w:divId w:val="1649093279"/>
        <w:rPr>
          <w:rFonts w:eastAsia="Times New Roman"/>
        </w:rPr>
      </w:pPr>
      <w:r>
        <w:rPr>
          <w:rFonts w:eastAsia="Times New Roman"/>
          <w:color w:val="000000"/>
          <w:sz w:val="20"/>
          <w:szCs w:val="20"/>
        </w:rPr>
        <w:t>If any of our product candidates are approved, they will be subject to ongoing regulatory requirements for manufacturing, labeling, packaging, storage, advert</w:t>
      </w:r>
      <w:r>
        <w:rPr>
          <w:rFonts w:eastAsia="Times New Roman"/>
          <w:color w:val="000000"/>
          <w:sz w:val="20"/>
          <w:szCs w:val="20"/>
        </w:rPr>
        <w:t>ising, promotion, sampling, record-keeping, conduct of post-marketing studies and submission of safety, efficacy and other post-market information, including both federal and state requirements in the United States and requirements of comparable foreign re</w:t>
      </w:r>
      <w:r>
        <w:rPr>
          <w:rFonts w:eastAsia="Times New Roman"/>
          <w:color w:val="000000"/>
          <w:sz w:val="20"/>
          <w:szCs w:val="20"/>
        </w:rPr>
        <w:t xml:space="preserve">gulatory authorities. In addition, we will be subject to </w:t>
      </w:r>
    </w:p>
    <w:p w:rsidR="00000000" w:rsidRDefault="00FD7D3C">
      <w:pPr>
        <w:jc w:val="center"/>
        <w:divId w:val="739670288"/>
        <w:rPr>
          <w:rFonts w:eastAsia="Times New Roman"/>
        </w:rPr>
      </w:pPr>
      <w:r>
        <w:rPr>
          <w:rFonts w:eastAsia="Times New Roman"/>
          <w:color w:val="000000"/>
          <w:sz w:val="20"/>
          <w:szCs w:val="20"/>
        </w:rPr>
        <w:t>59</w:t>
      </w:r>
    </w:p>
    <w:p w:rsidR="00000000" w:rsidRDefault="00FD7D3C">
      <w:pPr>
        <w:rPr>
          <w:rFonts w:eastAsia="Times New Roman"/>
        </w:rPr>
      </w:pPr>
      <w:r>
        <w:rPr>
          <w:rFonts w:eastAsia="Times New Roman"/>
        </w:rPr>
        <w:pict>
          <v:rect id="_x0000_i1112" style="width:0;height:1.5pt" o:hralign="center" o:hrstd="t" o:hr="t" fillcolor="#a0a0a0" stroked="f"/>
        </w:pict>
      </w:r>
    </w:p>
    <w:p w:rsidR="00000000" w:rsidRDefault="00FD7D3C">
      <w:pPr>
        <w:divId w:val="728915562"/>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divId w:val="2106920374"/>
        <w:rPr>
          <w:rFonts w:eastAsia="Times New Roman"/>
        </w:rPr>
      </w:pPr>
      <w:r>
        <w:rPr>
          <w:rFonts w:eastAsia="Times New Roman"/>
          <w:color w:val="000000"/>
          <w:sz w:val="20"/>
          <w:szCs w:val="20"/>
        </w:rPr>
        <w:t>continued compliance with current Good Manufacturing Practice, or cGMP, and Good Clinical Practice, or GCP, requirements for any clinical trials that we conduct post-approval.</w:t>
      </w:r>
    </w:p>
    <w:p w:rsidR="00000000" w:rsidRDefault="00FD7D3C">
      <w:pPr>
        <w:ind w:firstLine="1080"/>
        <w:divId w:val="2043944464"/>
        <w:rPr>
          <w:rFonts w:eastAsia="Times New Roman"/>
        </w:rPr>
      </w:pPr>
      <w:r>
        <w:rPr>
          <w:rFonts w:eastAsia="Times New Roman"/>
          <w:color w:val="000000"/>
          <w:sz w:val="20"/>
          <w:szCs w:val="20"/>
        </w:rPr>
        <w:t>Manufacturers and their facilities are required to comply with extensive FDA and</w:t>
      </w:r>
      <w:r>
        <w:rPr>
          <w:rFonts w:eastAsia="Times New Roman"/>
          <w:color w:val="000000"/>
          <w:sz w:val="20"/>
          <w:szCs w:val="20"/>
        </w:rPr>
        <w:t xml:space="preserve"> comparable foreign regulatory authority requirements, including ensuring that quality control and manufacturing procedures conform to cGMP regulations. As such, we and our contract manufacturers will be subject to continual review and inspections to asses</w:t>
      </w:r>
      <w:r>
        <w:rPr>
          <w:rFonts w:eastAsia="Times New Roman"/>
          <w:color w:val="000000"/>
          <w:sz w:val="20"/>
          <w:szCs w:val="20"/>
        </w:rPr>
        <w:t>s compliance with cGMP and adherence to commitments made in any marketing application, and previous responses to inspection observations. Accordingly, we and others with whom we work must continue to expend time, money, and effort in all areas of regulator</w:t>
      </w:r>
      <w:r>
        <w:rPr>
          <w:rFonts w:eastAsia="Times New Roman"/>
          <w:color w:val="000000"/>
          <w:sz w:val="20"/>
          <w:szCs w:val="20"/>
        </w:rPr>
        <w:t>y compliance, including manufacturing, production and quality control.</w:t>
      </w:r>
    </w:p>
    <w:p w:rsidR="00000000" w:rsidRDefault="00FD7D3C">
      <w:pPr>
        <w:ind w:firstLine="1080"/>
        <w:divId w:val="1625304165"/>
        <w:rPr>
          <w:rFonts w:eastAsia="Times New Roman"/>
        </w:rPr>
      </w:pPr>
      <w:r>
        <w:rPr>
          <w:rFonts w:eastAsia="Times New Roman"/>
          <w:color w:val="000000"/>
          <w:sz w:val="20"/>
          <w:szCs w:val="20"/>
        </w:rPr>
        <w:t>Any regulatory approvals that we receive for our product candidates may be subject to limitations on the approved indicated uses for which the product may be marketed or to the conditio</w:t>
      </w:r>
      <w:r>
        <w:rPr>
          <w:rFonts w:eastAsia="Times New Roman"/>
          <w:color w:val="000000"/>
          <w:sz w:val="20"/>
          <w:szCs w:val="20"/>
        </w:rPr>
        <w:t>ns of approval, or contain requirements for potentially costly post-marketing testing, including Phase 4 clinical trials and surveillance to monitor the safety and efficacy of the product candidate. The FDA may also require a risk evaluation and mitigation</w:t>
      </w:r>
      <w:r>
        <w:rPr>
          <w:rFonts w:eastAsia="Times New Roman"/>
          <w:color w:val="000000"/>
          <w:sz w:val="20"/>
          <w:szCs w:val="20"/>
        </w:rPr>
        <w:t xml:space="preserve"> strategies, or REMS, program as a condition of approval of our product candidates, which could entail requirements for long-term patient follow-up, a medication guide, physician communication plans or additional elements to ensure safe use, such as restri</w:t>
      </w:r>
      <w:r>
        <w:rPr>
          <w:rFonts w:eastAsia="Times New Roman"/>
          <w:color w:val="000000"/>
          <w:sz w:val="20"/>
          <w:szCs w:val="20"/>
        </w:rPr>
        <w:t xml:space="preserve">cted distribution methods, patient registries and other risk minimization tools. In addition, if the FDA or a comparable foreign regulatory authority approves our product candidates, we will have to comply with requirements including submissions of safety </w:t>
      </w:r>
      <w:r>
        <w:rPr>
          <w:rFonts w:eastAsia="Times New Roman"/>
          <w:color w:val="000000"/>
          <w:sz w:val="20"/>
          <w:szCs w:val="20"/>
        </w:rPr>
        <w:t>and other post-marketing information and reports and registration.</w:t>
      </w:r>
    </w:p>
    <w:p w:rsidR="00000000" w:rsidRDefault="00FD7D3C">
      <w:pPr>
        <w:ind w:firstLine="1080"/>
        <w:divId w:val="727652029"/>
        <w:rPr>
          <w:rFonts w:eastAsia="Times New Roman"/>
        </w:rPr>
      </w:pPr>
      <w:r>
        <w:rPr>
          <w:rFonts w:eastAsia="Times New Roman"/>
          <w:color w:val="000000"/>
          <w:sz w:val="20"/>
          <w:szCs w:val="20"/>
        </w:rPr>
        <w:t>The FDA may impose consent decrees or withdraw approval if compliance with regulatory requirements and standards is not maintained or if problems occur after the product reaches the market.</w:t>
      </w:r>
      <w:r>
        <w:rPr>
          <w:rFonts w:eastAsia="Times New Roman"/>
          <w:color w:val="000000"/>
          <w:sz w:val="20"/>
          <w:szCs w:val="20"/>
        </w:rPr>
        <w:t xml:space="preserve"> Later discovery of previously unknown problems with our product candidates, including adverse events of unanticipated severity or frequency, or with our third-party manufacturers or manufacturing processes, or failure to comply with regulatory requirement</w:t>
      </w:r>
      <w:r>
        <w:rPr>
          <w:rFonts w:eastAsia="Times New Roman"/>
          <w:color w:val="000000"/>
          <w:sz w:val="20"/>
          <w:szCs w:val="20"/>
        </w:rPr>
        <w:t>s, may result in revisions to the approved labeling to add new safety information; imposition of post-market studies or clinical trials to assess new safety risks; or imposition of distribution restrictions or other restrictions under a REMS program. Other</w:t>
      </w:r>
      <w:r>
        <w:rPr>
          <w:rFonts w:eastAsia="Times New Roman"/>
          <w:color w:val="000000"/>
          <w:sz w:val="20"/>
          <w:szCs w:val="20"/>
        </w:rPr>
        <w:t xml:space="preserve"> potential consequences include, among other things:</w:t>
      </w:r>
    </w:p>
    <w:p w:rsidR="00000000" w:rsidRDefault="00FD7D3C">
      <w:pPr>
        <w:ind w:hanging="1260"/>
        <w:divId w:val="1390038262"/>
        <w:rPr>
          <w:rFonts w:eastAsia="Times New Roman"/>
        </w:rPr>
      </w:pPr>
      <w:r>
        <w:rPr>
          <w:rFonts w:ascii="Arial" w:eastAsia="Times New Roman" w:hAnsi="Arial" w:cs="Arial"/>
          <w:color w:val="000000"/>
        </w:rPr>
        <w:t>•</w:t>
      </w:r>
      <w:r>
        <w:rPr>
          <w:rFonts w:eastAsia="Times New Roman"/>
          <w:color w:val="000000"/>
          <w:sz w:val="20"/>
          <w:szCs w:val="20"/>
        </w:rPr>
        <w:t>restrictions on the marketing or manufacturing of our products, withdrawal of the product from the market or voluntary or mandatory product recalls;</w:t>
      </w:r>
    </w:p>
    <w:p w:rsidR="00000000" w:rsidRDefault="00FD7D3C">
      <w:pPr>
        <w:ind w:hanging="1260"/>
        <w:divId w:val="416830411"/>
        <w:rPr>
          <w:rFonts w:eastAsia="Times New Roman"/>
        </w:rPr>
      </w:pPr>
      <w:r>
        <w:rPr>
          <w:rFonts w:eastAsia="Times New Roman"/>
          <w:color w:val="000000"/>
          <w:sz w:val="20"/>
          <w:szCs w:val="20"/>
        </w:rPr>
        <w:t>•fines, warning letters or holds on clinical trials;</w:t>
      </w:r>
    </w:p>
    <w:p w:rsidR="00000000" w:rsidRDefault="00FD7D3C">
      <w:pPr>
        <w:ind w:hanging="1260"/>
        <w:divId w:val="940912977"/>
        <w:rPr>
          <w:rFonts w:eastAsia="Times New Roman"/>
        </w:rPr>
      </w:pPr>
      <w:r>
        <w:rPr>
          <w:rFonts w:eastAsia="Times New Roman"/>
          <w:color w:val="000000"/>
          <w:sz w:val="20"/>
          <w:szCs w:val="20"/>
        </w:rPr>
        <w:t>•refusal by the FDA to approve pending applications or supplements to approved applications filed by us or suspension or revocation of license approvals;</w:t>
      </w:r>
    </w:p>
    <w:p w:rsidR="00000000" w:rsidRDefault="00FD7D3C">
      <w:pPr>
        <w:ind w:hanging="1260"/>
        <w:divId w:val="1991640312"/>
        <w:rPr>
          <w:rFonts w:eastAsia="Times New Roman"/>
        </w:rPr>
      </w:pPr>
      <w:r>
        <w:rPr>
          <w:rFonts w:eastAsia="Times New Roman"/>
          <w:color w:val="000000"/>
          <w:sz w:val="20"/>
          <w:szCs w:val="20"/>
        </w:rPr>
        <w:t>•voluntary or mandatory product recalls and related publicity requirements;</w:t>
      </w:r>
    </w:p>
    <w:p w:rsidR="00000000" w:rsidRDefault="00FD7D3C">
      <w:pPr>
        <w:ind w:hanging="1260"/>
        <w:divId w:val="388303218"/>
        <w:rPr>
          <w:rFonts w:eastAsia="Times New Roman"/>
        </w:rPr>
      </w:pPr>
      <w:r>
        <w:rPr>
          <w:rFonts w:eastAsia="Times New Roman"/>
          <w:color w:val="000000"/>
          <w:sz w:val="20"/>
          <w:szCs w:val="20"/>
        </w:rPr>
        <w:t>•total or partial suspensi</w:t>
      </w:r>
      <w:r>
        <w:rPr>
          <w:rFonts w:eastAsia="Times New Roman"/>
          <w:color w:val="000000"/>
          <w:sz w:val="20"/>
          <w:szCs w:val="20"/>
        </w:rPr>
        <w:t>on of production;</w:t>
      </w:r>
    </w:p>
    <w:p w:rsidR="00000000" w:rsidRDefault="00FD7D3C">
      <w:pPr>
        <w:ind w:hanging="1260"/>
        <w:divId w:val="1531992196"/>
        <w:rPr>
          <w:rFonts w:eastAsia="Times New Roman"/>
        </w:rPr>
      </w:pPr>
      <w:r>
        <w:rPr>
          <w:rFonts w:eastAsia="Times New Roman"/>
          <w:color w:val="000000"/>
          <w:sz w:val="20"/>
          <w:szCs w:val="20"/>
        </w:rPr>
        <w:t>•product seizure or detention or refusal to permit the import or export of our product candidates; and</w:t>
      </w:r>
    </w:p>
    <w:p w:rsidR="00000000" w:rsidRDefault="00FD7D3C">
      <w:pPr>
        <w:ind w:hanging="1260"/>
        <w:divId w:val="1963608048"/>
        <w:rPr>
          <w:rFonts w:eastAsia="Times New Roman"/>
        </w:rPr>
      </w:pPr>
      <w:r>
        <w:rPr>
          <w:rFonts w:eastAsia="Times New Roman"/>
          <w:color w:val="000000"/>
          <w:sz w:val="20"/>
          <w:szCs w:val="20"/>
        </w:rPr>
        <w:t>•injunctions or the imposition of civil or criminal penalties.</w:t>
      </w:r>
    </w:p>
    <w:p w:rsidR="00000000" w:rsidRDefault="00FD7D3C">
      <w:pPr>
        <w:ind w:firstLine="1080"/>
        <w:divId w:val="1797869885"/>
        <w:rPr>
          <w:rFonts w:eastAsia="Times New Roman"/>
        </w:rPr>
      </w:pPr>
      <w:r>
        <w:rPr>
          <w:rFonts w:eastAsia="Times New Roman"/>
          <w:color w:val="000000"/>
          <w:sz w:val="20"/>
          <w:szCs w:val="20"/>
        </w:rPr>
        <w:t>The FDA strictly regulates marketing, labeling, advertising, and promoti</w:t>
      </w:r>
      <w:r>
        <w:rPr>
          <w:rFonts w:eastAsia="Times New Roman"/>
          <w:color w:val="000000"/>
          <w:sz w:val="20"/>
          <w:szCs w:val="20"/>
        </w:rPr>
        <w:t>on of products that are placed on the market. Products may be promoted only for the approved indications and in accordance with the provisions of the approved label. However, companies may share truthful and not misleading information that is not inconsist</w:t>
      </w:r>
      <w:r>
        <w:rPr>
          <w:rFonts w:eastAsia="Times New Roman"/>
          <w:color w:val="000000"/>
          <w:sz w:val="20"/>
          <w:szCs w:val="20"/>
        </w:rPr>
        <w:t>ent with the labeling. The FDA and other agencies actively enforce the laws and regulations prohibiting the promotion of off-label uses and a company that is found to have improperly promoted off-label uses may be subject to significant liability. The poli</w:t>
      </w:r>
      <w:r>
        <w:rPr>
          <w:rFonts w:eastAsia="Times New Roman"/>
          <w:color w:val="000000"/>
          <w:sz w:val="20"/>
          <w:szCs w:val="20"/>
        </w:rPr>
        <w:t>cies of the FDA and of other regulatory authorities may change and additional government regulations may be enacted that could prevent, limit or delay regulatory approval of our product candidates. We cannot predict the likelihood, nature or extent of gove</w:t>
      </w:r>
      <w:r>
        <w:rPr>
          <w:rFonts w:eastAsia="Times New Roman"/>
          <w:color w:val="000000"/>
          <w:sz w:val="20"/>
          <w:szCs w:val="20"/>
        </w:rPr>
        <w:t>rnment regulation that may arise from future legislation or administrative action, either in the United States or abroad. If we are slow or unable to adapt to changes in existing requirements or the adoption of new requirements or policies, or if we are no</w:t>
      </w:r>
      <w:r>
        <w:rPr>
          <w:rFonts w:eastAsia="Times New Roman"/>
          <w:color w:val="000000"/>
          <w:sz w:val="20"/>
          <w:szCs w:val="20"/>
        </w:rPr>
        <w:t>t able to maintain regulatory compliance, we may lose any marketing approval that we may have obtained and we may not achieve or sustain profitability.</w:t>
      </w:r>
    </w:p>
    <w:p w:rsidR="00000000" w:rsidRDefault="00FD7D3C">
      <w:pPr>
        <w:ind w:firstLine="1080"/>
        <w:divId w:val="679166054"/>
        <w:rPr>
          <w:rFonts w:eastAsia="Times New Roman"/>
        </w:rPr>
      </w:pPr>
      <w:r>
        <w:rPr>
          <w:rFonts w:eastAsia="Times New Roman"/>
          <w:b/>
          <w:bCs/>
          <w:i/>
          <w:iCs/>
          <w:color w:val="000000"/>
          <w:sz w:val="20"/>
          <w:szCs w:val="20"/>
        </w:rPr>
        <w:t xml:space="preserve">Ongoing healthcare legislative and regulatory reform measures may have a material adverse effect on our </w:t>
      </w:r>
      <w:r>
        <w:rPr>
          <w:rFonts w:eastAsia="Times New Roman"/>
          <w:b/>
          <w:bCs/>
          <w:i/>
          <w:iCs/>
          <w:color w:val="000000"/>
          <w:sz w:val="20"/>
          <w:szCs w:val="20"/>
        </w:rPr>
        <w:t>business and results of operations.</w:t>
      </w:r>
    </w:p>
    <w:p w:rsidR="00000000" w:rsidRDefault="00FD7D3C">
      <w:pPr>
        <w:ind w:firstLine="1080"/>
        <w:divId w:val="823854004"/>
        <w:rPr>
          <w:rFonts w:eastAsia="Times New Roman"/>
        </w:rPr>
      </w:pPr>
      <w:r>
        <w:rPr>
          <w:rFonts w:eastAsia="Times New Roman"/>
          <w:color w:val="000000"/>
          <w:sz w:val="20"/>
          <w:szCs w:val="20"/>
        </w:rPr>
        <w:t>Changes in regulations, statutes or the interpretation of existing regulations governing the regulatory clearance or approval, manufacture, and marketing of regulated products or the pricing, coverage and reimbursement t</w:t>
      </w:r>
      <w:r>
        <w:rPr>
          <w:rFonts w:eastAsia="Times New Roman"/>
          <w:color w:val="000000"/>
          <w:sz w:val="20"/>
          <w:szCs w:val="20"/>
        </w:rPr>
        <w:t xml:space="preserve">hereof could impact our business in the future by requiring, for example: (i) changes to our manufacturing arrangements; (ii) additions or modifications to product labeling; (iii) the recall or discontinuation of our products; or (iv) additional </w:t>
      </w:r>
    </w:p>
    <w:p w:rsidR="00000000" w:rsidRDefault="00FD7D3C">
      <w:pPr>
        <w:jc w:val="center"/>
        <w:divId w:val="109516729"/>
        <w:rPr>
          <w:rFonts w:eastAsia="Times New Roman"/>
        </w:rPr>
      </w:pPr>
      <w:r>
        <w:rPr>
          <w:rFonts w:eastAsia="Times New Roman"/>
          <w:color w:val="000000"/>
          <w:sz w:val="20"/>
          <w:szCs w:val="20"/>
        </w:rPr>
        <w:t>60</w:t>
      </w:r>
    </w:p>
    <w:p w:rsidR="00000000" w:rsidRDefault="00FD7D3C">
      <w:pPr>
        <w:rPr>
          <w:rFonts w:eastAsia="Times New Roman"/>
        </w:rPr>
      </w:pPr>
      <w:r>
        <w:rPr>
          <w:rFonts w:eastAsia="Times New Roman"/>
        </w:rPr>
        <w:pict>
          <v:rect id="_x0000_i1113" style="width:0;height:1.5pt" o:hralign="center" o:hrstd="t" o:hr="t" fillcolor="#a0a0a0" stroked="f"/>
        </w:pict>
      </w:r>
    </w:p>
    <w:p w:rsidR="00000000" w:rsidRDefault="00FD7D3C">
      <w:pPr>
        <w:divId w:val="1350791815"/>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divId w:val="1555852981"/>
        <w:rPr>
          <w:rFonts w:eastAsia="Times New Roman"/>
        </w:rPr>
      </w:pPr>
      <w:r>
        <w:rPr>
          <w:rFonts w:eastAsia="Times New Roman"/>
          <w:color w:val="000000"/>
          <w:sz w:val="20"/>
          <w:szCs w:val="20"/>
        </w:rPr>
        <w:t>record-keeping requirements. If any such changes were to be imposed, they could adversely affect the operation of our business.</w:t>
      </w:r>
    </w:p>
    <w:p w:rsidR="00000000" w:rsidRDefault="00FD7D3C">
      <w:pPr>
        <w:ind w:firstLine="1080"/>
        <w:divId w:val="1161580291"/>
        <w:rPr>
          <w:rFonts w:eastAsia="Times New Roman"/>
        </w:rPr>
      </w:pPr>
      <w:r>
        <w:rPr>
          <w:rFonts w:eastAsia="Times New Roman"/>
          <w:color w:val="000000"/>
          <w:sz w:val="20"/>
          <w:szCs w:val="20"/>
        </w:rPr>
        <w:t xml:space="preserve">In the United States, </w:t>
      </w:r>
      <w:r>
        <w:rPr>
          <w:rFonts w:eastAsia="Times New Roman"/>
          <w:color w:val="000000"/>
          <w:sz w:val="20"/>
          <w:szCs w:val="20"/>
        </w:rPr>
        <w:t xml:space="preserve">there have been and continue to be a number of legislative initiatives to contain healthcare costs, as detailed in Part I, Item 1 – Business – Government Regulation – Current and Future Healthcare Reform Legislation. </w:t>
      </w:r>
    </w:p>
    <w:p w:rsidR="00000000" w:rsidRDefault="00FD7D3C">
      <w:pPr>
        <w:ind w:firstLine="1080"/>
        <w:divId w:val="1164204628"/>
        <w:rPr>
          <w:rFonts w:eastAsia="Times New Roman"/>
        </w:rPr>
      </w:pPr>
      <w:r>
        <w:rPr>
          <w:rFonts w:eastAsia="Times New Roman"/>
          <w:color w:val="000000"/>
          <w:sz w:val="20"/>
          <w:szCs w:val="20"/>
        </w:rPr>
        <w:t>We cannot predict the likelihood, natu</w:t>
      </w:r>
      <w:r>
        <w:rPr>
          <w:rFonts w:eastAsia="Times New Roman"/>
          <w:color w:val="000000"/>
          <w:sz w:val="20"/>
          <w:szCs w:val="20"/>
        </w:rPr>
        <w:t>re, or extent of health reform initiatives that may arise from future legislation or administrative action. However, we expect these initiatives to increase pressure on drug pricing. Further, certain broader legislation that is not targeted to the health c</w:t>
      </w:r>
      <w:r>
        <w:rPr>
          <w:rFonts w:eastAsia="Times New Roman"/>
          <w:color w:val="000000"/>
          <w:sz w:val="20"/>
          <w:szCs w:val="20"/>
        </w:rPr>
        <w:t>are industry may nonetheless adversely affect our profitability. If we or any third parties we may engage are slow or unable to adapt to changes in existing requirements or the adoption of new requirements or policies, or if we or such third parties are no</w:t>
      </w:r>
      <w:r>
        <w:rPr>
          <w:rFonts w:eastAsia="Times New Roman"/>
          <w:color w:val="000000"/>
          <w:sz w:val="20"/>
          <w:szCs w:val="20"/>
        </w:rPr>
        <w:t xml:space="preserve">t able to maintain regulatory compliance, our product candidates may lose any regulatory approval that may have been obtained and we may not achieve or sustain profitability. </w:t>
      </w:r>
    </w:p>
    <w:p w:rsidR="00000000" w:rsidRDefault="00FD7D3C">
      <w:pPr>
        <w:ind w:firstLine="1080"/>
        <w:divId w:val="1739740231"/>
        <w:rPr>
          <w:rFonts w:eastAsia="Times New Roman"/>
        </w:rPr>
      </w:pPr>
      <w:r>
        <w:rPr>
          <w:rFonts w:eastAsia="Times New Roman"/>
          <w:b/>
          <w:bCs/>
          <w:i/>
          <w:iCs/>
          <w:color w:val="000000"/>
          <w:sz w:val="20"/>
          <w:szCs w:val="20"/>
        </w:rPr>
        <w:t>Inadequate funding for the FDA, the SEC and other government agencies could hind</w:t>
      </w:r>
      <w:r>
        <w:rPr>
          <w:rFonts w:eastAsia="Times New Roman"/>
          <w:b/>
          <w:bCs/>
          <w:i/>
          <w:iCs/>
          <w:color w:val="000000"/>
          <w:sz w:val="20"/>
          <w:szCs w:val="20"/>
        </w:rPr>
        <w:t>er their ability to hire and retain key leadership and other personnel, prevent new products and services from being developed or commercialized in a timely manner or otherwise prevent those agencies from performing normal business functions on which the o</w:t>
      </w:r>
      <w:r>
        <w:rPr>
          <w:rFonts w:eastAsia="Times New Roman"/>
          <w:b/>
          <w:bCs/>
          <w:i/>
          <w:iCs/>
          <w:color w:val="000000"/>
          <w:sz w:val="20"/>
          <w:szCs w:val="20"/>
        </w:rPr>
        <w:t>peration of our business may rely, which could negatively impact our business.</w:t>
      </w:r>
    </w:p>
    <w:p w:rsidR="00000000" w:rsidRDefault="00FD7D3C">
      <w:pPr>
        <w:ind w:firstLine="1080"/>
        <w:divId w:val="1186289241"/>
        <w:rPr>
          <w:rFonts w:eastAsia="Times New Roman"/>
        </w:rPr>
      </w:pPr>
      <w:r>
        <w:rPr>
          <w:rFonts w:eastAsia="Times New Roman"/>
          <w:color w:val="000000"/>
          <w:sz w:val="20"/>
          <w:szCs w:val="20"/>
        </w:rPr>
        <w:t xml:space="preserve">The ability of the FDA to review and approve new products can be affected by a variety of factors, including government budget and funding levels, ability to hire and retain key personnel and accept the payment of user fees, and statutory, regulatory, and </w:t>
      </w:r>
      <w:r>
        <w:rPr>
          <w:rFonts w:eastAsia="Times New Roman"/>
          <w:color w:val="000000"/>
          <w:sz w:val="20"/>
          <w:szCs w:val="20"/>
        </w:rPr>
        <w:t>policy changes. Average review times at the agency have fluctuated in recent years as a result. In addition, government funding of the SEC and other government agencies on which our operations may rely, including those that fund research and development ac</w:t>
      </w:r>
      <w:r>
        <w:rPr>
          <w:rFonts w:eastAsia="Times New Roman"/>
          <w:color w:val="000000"/>
          <w:sz w:val="20"/>
          <w:szCs w:val="20"/>
        </w:rPr>
        <w:t>tivities, is subject to the political process, which is inherently fluid and unpredictable.</w:t>
      </w:r>
    </w:p>
    <w:p w:rsidR="00000000" w:rsidRDefault="00FD7D3C">
      <w:pPr>
        <w:ind w:firstLine="1080"/>
        <w:divId w:val="588662223"/>
        <w:rPr>
          <w:rFonts w:eastAsia="Times New Roman"/>
        </w:rPr>
      </w:pPr>
      <w:r>
        <w:rPr>
          <w:rFonts w:eastAsia="Times New Roman"/>
          <w:color w:val="000000"/>
          <w:sz w:val="20"/>
          <w:szCs w:val="20"/>
        </w:rPr>
        <w:t>Disruptions at the FDA and other agencies may also slow the time necessary for new drugs to be reviewed and/or approved by necessary government agencies, which woul</w:t>
      </w:r>
      <w:r>
        <w:rPr>
          <w:rFonts w:eastAsia="Times New Roman"/>
          <w:color w:val="000000"/>
          <w:sz w:val="20"/>
          <w:szCs w:val="20"/>
        </w:rPr>
        <w:t>d adversely affect our business. For example, over the last several years, the U.S. government has shut down several times and certain regulatory agencies, such as the FDA and the SEC, have had to furlough critical employees and stop critical activities. S</w:t>
      </w:r>
      <w:r>
        <w:rPr>
          <w:rFonts w:eastAsia="Times New Roman"/>
          <w:color w:val="000000"/>
          <w:sz w:val="20"/>
          <w:szCs w:val="20"/>
        </w:rPr>
        <w:t>eparately, since March 2020 when foreign and domestic inspections were largely placed on hold due to the COVID-19 pandemic, the FDA has been working to resume routine surveillance, bioresearch monitoring and pre-approval inspections on a prioritized basis.</w:t>
      </w:r>
      <w:r>
        <w:rPr>
          <w:rFonts w:eastAsia="Times New Roman"/>
          <w:color w:val="000000"/>
          <w:sz w:val="20"/>
          <w:szCs w:val="20"/>
        </w:rPr>
        <w:t xml:space="preserve"> The FDA has developed a rating system to assist in determining when and where it is safest to conduct prioritized domestic inspections and resumed inspections in China and India in early 2021. In April 2021, the FDA issued guidance for industry formally a</w:t>
      </w:r>
      <w:r>
        <w:rPr>
          <w:rFonts w:eastAsia="Times New Roman"/>
          <w:color w:val="000000"/>
          <w:sz w:val="20"/>
          <w:szCs w:val="20"/>
        </w:rPr>
        <w:t>nnouncing plans to employ remote interactive evaluations, using risk management methods, to meet user fee commitments and goal dates. Should the FDA determine that an inspection is necessary for approval and an inspection cannot be completed during the rev</w:t>
      </w:r>
      <w:r>
        <w:rPr>
          <w:rFonts w:eastAsia="Times New Roman"/>
          <w:color w:val="000000"/>
          <w:sz w:val="20"/>
          <w:szCs w:val="20"/>
        </w:rPr>
        <w:t>iew cycle due to restrictions on travel, and the FDA does not determine a remote interactive evaluation to be appropriate, the agency has stated that it generally intends to issue a complete response letter. Further, if there is inadequate information to m</w:t>
      </w:r>
      <w:r>
        <w:rPr>
          <w:rFonts w:eastAsia="Times New Roman"/>
          <w:color w:val="000000"/>
          <w:sz w:val="20"/>
          <w:szCs w:val="20"/>
        </w:rPr>
        <w:t>ake a determination on the acceptability of a facility, the FDA may defer action on the application until an inspection can be completed. Additionally, as of March 18, 2021, the FDA noted it is continuing to ensure timely reviews of applications for medica</w:t>
      </w:r>
      <w:r>
        <w:rPr>
          <w:rFonts w:eastAsia="Times New Roman"/>
          <w:color w:val="000000"/>
          <w:sz w:val="20"/>
          <w:szCs w:val="20"/>
        </w:rPr>
        <w:t>l products during the COVID-19 pandemic in line with its user fee performance goals and conducting mission critical domestic and foreign inspections to ensure compliance of manufacturing facilities with the FDA quality standards. Acknowledging the need for</w:t>
      </w:r>
      <w:r>
        <w:rPr>
          <w:rFonts w:eastAsia="Times New Roman"/>
          <w:color w:val="000000"/>
          <w:sz w:val="20"/>
          <w:szCs w:val="20"/>
        </w:rPr>
        <w:t xml:space="preserve"> transparency an planning for the resumption of inspection activities, FDA released a roadmap plan in May 2021, and an update in November 2021, to address FDA’s risk-based approach to addressing postponed inspection work and its goal of transitioning back </w:t>
      </w:r>
      <w:r>
        <w:rPr>
          <w:rFonts w:eastAsia="Times New Roman"/>
          <w:color w:val="000000"/>
          <w:sz w:val="20"/>
          <w:szCs w:val="20"/>
        </w:rPr>
        <w:t xml:space="preserve">to conducting domestic surveillance inspections as quickly as possible. However, the FDA may not be able to continue its current pace and approval timelines could be extended, including where a pre-approval inspection or an inspection of clinical sites is </w:t>
      </w:r>
      <w:r>
        <w:rPr>
          <w:rFonts w:eastAsia="Times New Roman"/>
          <w:color w:val="000000"/>
          <w:sz w:val="20"/>
          <w:szCs w:val="20"/>
        </w:rPr>
        <w:t>required and due to the COVID-19 pandemic and travel restrictions FDA is unable to complete such required inspections during the review period. Ongoing surges in COVID-19 case numbers with the emergence of new variants (e.g., the Omicron variant in late 20</w:t>
      </w:r>
      <w:r>
        <w:rPr>
          <w:rFonts w:eastAsia="Times New Roman"/>
          <w:color w:val="000000"/>
          <w:sz w:val="20"/>
          <w:szCs w:val="20"/>
        </w:rPr>
        <w:t>21) have contributed to interruptions in FDA’s surveillance capabilities. In light of high positivity rates and hospitalizations, FDA made temporary changes in late 2021, including temporarily postponing certain inspection activities from December 29, 2021</w:t>
      </w:r>
      <w:r>
        <w:rPr>
          <w:rFonts w:eastAsia="Times New Roman"/>
          <w:color w:val="000000"/>
          <w:sz w:val="20"/>
          <w:szCs w:val="20"/>
        </w:rPr>
        <w:t xml:space="preserve"> to January 19, 2022. Accordingly, during the COVID-19 pandemic, several companies have announced receipt of complete response letters due to the FDA's inability to complete required inspections for their applications. </w:t>
      </w:r>
    </w:p>
    <w:p w:rsidR="00000000" w:rsidRDefault="00FD7D3C">
      <w:pPr>
        <w:ind w:firstLine="1080"/>
        <w:divId w:val="911233789"/>
        <w:rPr>
          <w:rFonts w:eastAsia="Times New Roman"/>
        </w:rPr>
      </w:pPr>
      <w:r>
        <w:rPr>
          <w:rFonts w:eastAsia="Times New Roman"/>
          <w:color w:val="000000"/>
          <w:sz w:val="20"/>
          <w:szCs w:val="20"/>
        </w:rPr>
        <w:t>Regulatory authorities outside the U</w:t>
      </w:r>
      <w:r>
        <w:rPr>
          <w:rFonts w:eastAsia="Times New Roman"/>
          <w:color w:val="000000"/>
          <w:sz w:val="20"/>
          <w:szCs w:val="20"/>
        </w:rPr>
        <w:t>nited States may adopt similar restrictions or other policy measures in response to the COVID-19 pandemic. If a prolonged government shutdown occurs, or if global health concerns continue to prevent the FDA or other regulatory authorities from conducting t</w:t>
      </w:r>
      <w:r>
        <w:rPr>
          <w:rFonts w:eastAsia="Times New Roman"/>
          <w:color w:val="000000"/>
          <w:sz w:val="20"/>
          <w:szCs w:val="20"/>
        </w:rPr>
        <w:t>heir regular inspections, reviews, or other regulatory activities, it could significantly impact the ability of the FDA to timely review and process our regulatory submissions, which could have a material adverse effect on our business. Further, in our ope</w:t>
      </w:r>
      <w:r>
        <w:rPr>
          <w:rFonts w:eastAsia="Times New Roman"/>
          <w:color w:val="000000"/>
          <w:sz w:val="20"/>
          <w:szCs w:val="20"/>
        </w:rPr>
        <w:t xml:space="preserve">rations as a public company, future </w:t>
      </w:r>
    </w:p>
    <w:p w:rsidR="00000000" w:rsidRDefault="00FD7D3C">
      <w:pPr>
        <w:jc w:val="center"/>
        <w:divId w:val="1356149273"/>
        <w:rPr>
          <w:rFonts w:eastAsia="Times New Roman"/>
        </w:rPr>
      </w:pPr>
      <w:r>
        <w:rPr>
          <w:rFonts w:eastAsia="Times New Roman"/>
          <w:color w:val="000000"/>
          <w:sz w:val="20"/>
          <w:szCs w:val="20"/>
        </w:rPr>
        <w:t>61</w:t>
      </w:r>
    </w:p>
    <w:p w:rsidR="00000000" w:rsidRDefault="00FD7D3C">
      <w:pPr>
        <w:rPr>
          <w:rFonts w:eastAsia="Times New Roman"/>
        </w:rPr>
      </w:pPr>
      <w:r>
        <w:rPr>
          <w:rFonts w:eastAsia="Times New Roman"/>
        </w:rPr>
        <w:pict>
          <v:rect id="_x0000_i1114" style="width:0;height:1.5pt" o:hralign="center" o:hrstd="t" o:hr="t" fillcolor="#a0a0a0" stroked="f"/>
        </w:pict>
      </w:r>
    </w:p>
    <w:p w:rsidR="00000000" w:rsidRDefault="00FD7D3C">
      <w:pPr>
        <w:divId w:val="2031836192"/>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divId w:val="984310295"/>
        <w:rPr>
          <w:rFonts w:eastAsia="Times New Roman"/>
        </w:rPr>
      </w:pPr>
      <w:r>
        <w:rPr>
          <w:rFonts w:eastAsia="Times New Roman"/>
          <w:color w:val="000000"/>
          <w:sz w:val="20"/>
          <w:szCs w:val="20"/>
        </w:rPr>
        <w:t>government shutdowns could impact our ability to access the public markets and obtain necessary capital in order to properly capitalize and continue our operations.</w:t>
      </w:r>
    </w:p>
    <w:p w:rsidR="00000000" w:rsidRDefault="00FD7D3C">
      <w:pPr>
        <w:ind w:firstLine="1080"/>
        <w:divId w:val="576093971"/>
        <w:rPr>
          <w:rFonts w:eastAsia="Times New Roman"/>
        </w:rPr>
      </w:pPr>
      <w:r>
        <w:rPr>
          <w:rFonts w:eastAsia="Times New Roman"/>
          <w:b/>
          <w:bCs/>
          <w:i/>
          <w:iCs/>
          <w:color w:val="000000"/>
          <w:sz w:val="20"/>
          <w:szCs w:val="20"/>
        </w:rPr>
        <w:t>EU drug marketing and reimbursement regulations may materially affect our ability to market</w:t>
      </w:r>
      <w:r>
        <w:rPr>
          <w:rFonts w:eastAsia="Times New Roman"/>
          <w:b/>
          <w:bCs/>
          <w:i/>
          <w:iCs/>
          <w:color w:val="000000"/>
          <w:sz w:val="20"/>
          <w:szCs w:val="20"/>
        </w:rPr>
        <w:t xml:space="preserve"> and receive coverage for our products in the European Union member states.</w:t>
      </w:r>
    </w:p>
    <w:p w:rsidR="00000000" w:rsidRDefault="00FD7D3C">
      <w:pPr>
        <w:ind w:firstLine="1080"/>
        <w:divId w:val="520172088"/>
        <w:rPr>
          <w:rFonts w:eastAsia="Times New Roman"/>
        </w:rPr>
      </w:pPr>
      <w:r>
        <w:rPr>
          <w:rFonts w:eastAsia="Times New Roman"/>
          <w:color w:val="000000"/>
          <w:sz w:val="20"/>
          <w:szCs w:val="20"/>
        </w:rPr>
        <w:t>We intend to seek approval to market our product candidates in both the United States and in selected foreign jurisdictions. If we obtain approval in one or more foreign jurisdicti</w:t>
      </w:r>
      <w:r>
        <w:rPr>
          <w:rFonts w:eastAsia="Times New Roman"/>
          <w:color w:val="000000"/>
          <w:sz w:val="20"/>
          <w:szCs w:val="20"/>
        </w:rPr>
        <w:t>ons for our product candidates, we will be subject to rules and regulations in those jurisdictions. In some foreign countries, particularly those in the EU, the pricing of drugs is subject to governmental control and other market regulations which could pu</w:t>
      </w:r>
      <w:r>
        <w:rPr>
          <w:rFonts w:eastAsia="Times New Roman"/>
          <w:color w:val="000000"/>
          <w:sz w:val="20"/>
          <w:szCs w:val="20"/>
        </w:rPr>
        <w:t>t pressure on the pricing and usage of our product candidates. In these countries, pricing negotiations with governmental authorities can take considerable time after obtaining marketing approval of a product candidate. In addition, market acceptance and s</w:t>
      </w:r>
      <w:r>
        <w:rPr>
          <w:rFonts w:eastAsia="Times New Roman"/>
          <w:color w:val="000000"/>
          <w:sz w:val="20"/>
          <w:szCs w:val="20"/>
        </w:rPr>
        <w:t>ales of our product candidates will depend significantly on the availability of adequate coverage and reimbursement from third-party payors for our product candidates and may be affected by existing and future health care reform measures.</w:t>
      </w:r>
    </w:p>
    <w:p w:rsidR="00000000" w:rsidRDefault="00FD7D3C">
      <w:pPr>
        <w:ind w:firstLine="1080"/>
        <w:divId w:val="711227379"/>
        <w:rPr>
          <w:rFonts w:eastAsia="Times New Roman"/>
        </w:rPr>
      </w:pPr>
      <w:r>
        <w:rPr>
          <w:rFonts w:eastAsia="Times New Roman"/>
          <w:color w:val="000000"/>
          <w:sz w:val="20"/>
          <w:szCs w:val="20"/>
        </w:rPr>
        <w:t>Much like the fed</w:t>
      </w:r>
      <w:r>
        <w:rPr>
          <w:rFonts w:eastAsia="Times New Roman"/>
          <w:color w:val="000000"/>
          <w:sz w:val="20"/>
          <w:szCs w:val="20"/>
        </w:rPr>
        <w:t xml:space="preserve">eral Anti-Kickback Statute prohibition in the United States, the provision of benefits or advantages to induce or reward improper performance generally to induce or encourage the prescription, recommendation, endorsement, purchase, supply, order or use of </w:t>
      </w:r>
      <w:r>
        <w:rPr>
          <w:rFonts w:eastAsia="Times New Roman"/>
          <w:color w:val="000000"/>
          <w:sz w:val="20"/>
          <w:szCs w:val="20"/>
        </w:rPr>
        <w:t xml:space="preserve">medicinal products is also prohibited in the EU. The provision of benefits or advantages to induce or reward improper performance generally is governed by the national anti-bribery laws of EU Member States, and in respect of the U.K. (which is no longer a </w:t>
      </w:r>
      <w:r>
        <w:rPr>
          <w:rFonts w:eastAsia="Times New Roman"/>
          <w:color w:val="000000"/>
          <w:sz w:val="20"/>
          <w:szCs w:val="20"/>
        </w:rPr>
        <w:t>member of the EU), the Bribery Act 2010. Infringement of these laws could result in substantial fines and imprisonment. EU Directive 2001/83/EC, which is the EU Directive governing medicinal products for human use, further provides that, where medicinal pr</w:t>
      </w:r>
      <w:r>
        <w:rPr>
          <w:rFonts w:eastAsia="Times New Roman"/>
          <w:color w:val="000000"/>
          <w:sz w:val="20"/>
          <w:szCs w:val="20"/>
        </w:rPr>
        <w:t>oducts are being promoted to persons qualified to prescribe or supply them, no gifts, pecuniary advantages or benefits in kind may be supplied, offered or promised to such persons unless they are inexpensive and relevant to the practice of medicine or phar</w:t>
      </w:r>
      <w:r>
        <w:rPr>
          <w:rFonts w:eastAsia="Times New Roman"/>
          <w:color w:val="000000"/>
          <w:sz w:val="20"/>
          <w:szCs w:val="20"/>
        </w:rPr>
        <w:t>macy. This provision has been transposed into the Human Medicines Regulations 2012 and so remains applicable in the U.K. despite its departure from the EU.</w:t>
      </w:r>
    </w:p>
    <w:p w:rsidR="00000000" w:rsidRDefault="00FD7D3C">
      <w:pPr>
        <w:ind w:firstLine="1080"/>
        <w:divId w:val="1068726145"/>
        <w:rPr>
          <w:rFonts w:eastAsia="Times New Roman"/>
        </w:rPr>
      </w:pPr>
      <w:r>
        <w:rPr>
          <w:rFonts w:eastAsia="Times New Roman"/>
          <w:color w:val="000000"/>
          <w:sz w:val="20"/>
          <w:szCs w:val="20"/>
        </w:rPr>
        <w:t>Payments made to physicians in certain EU Member States must be publicly disclosed. Moreover, agreem</w:t>
      </w:r>
      <w:r>
        <w:rPr>
          <w:rFonts w:eastAsia="Times New Roman"/>
          <w:color w:val="000000"/>
          <w:sz w:val="20"/>
          <w:szCs w:val="20"/>
        </w:rPr>
        <w:t>ents with physicians often must be the subject of prior notification and approval by the physician’s employer, his or her competent professional organization and/or the regulatory authorities of the individual EU Member States. These requirements are provi</w:t>
      </w:r>
      <w:r>
        <w:rPr>
          <w:rFonts w:eastAsia="Times New Roman"/>
          <w:color w:val="000000"/>
          <w:sz w:val="20"/>
          <w:szCs w:val="20"/>
        </w:rPr>
        <w:t>ded in the national laws, industry codes or professional codes of conduct, applicable in the EU Member States. Failure to comply with these requirements could result in reputational risk, public reprimands, administrative penalties, fines or imprisonment.</w:t>
      </w:r>
    </w:p>
    <w:p w:rsidR="00000000" w:rsidRDefault="00FD7D3C">
      <w:pPr>
        <w:ind w:firstLine="1080"/>
        <w:divId w:val="974064585"/>
        <w:rPr>
          <w:rFonts w:eastAsia="Times New Roman"/>
        </w:rPr>
      </w:pPr>
      <w:r>
        <w:rPr>
          <w:rFonts w:eastAsia="Times New Roman"/>
          <w:color w:val="000000"/>
          <w:sz w:val="20"/>
          <w:szCs w:val="20"/>
        </w:rPr>
        <w:t>In addition, in most foreign countries, including the European Economic Area, or EEA, the proposed pricing for a drug must be approved before it may be lawfully marketed. The requirements governing drug pricing and reimbursement vary widely from country to</w:t>
      </w:r>
      <w:r>
        <w:rPr>
          <w:rFonts w:eastAsia="Times New Roman"/>
          <w:color w:val="000000"/>
          <w:sz w:val="20"/>
          <w:szCs w:val="20"/>
        </w:rPr>
        <w:t xml:space="preserve"> country. For example, the EU provides options for its Member States to restrict the range of medicinal products for which their national health insurance systems provide reimbursement and to control the prices of medicinal products for human use. Referenc</w:t>
      </w:r>
      <w:r>
        <w:rPr>
          <w:rFonts w:eastAsia="Times New Roman"/>
          <w:color w:val="000000"/>
          <w:sz w:val="20"/>
          <w:szCs w:val="20"/>
        </w:rPr>
        <w:t>e pricing used by various EU Member States and parallel distribution, or arbitrage between low-priced and high-priced member states, can further reduce prices. A member state may approve a specific price for the medicinal product, or it may instead adopt a</w:t>
      </w:r>
      <w:r>
        <w:rPr>
          <w:rFonts w:eastAsia="Times New Roman"/>
          <w:color w:val="000000"/>
          <w:sz w:val="20"/>
          <w:szCs w:val="20"/>
        </w:rPr>
        <w:t xml:space="preserve"> system of direct or indirect controls on the profitability of the company placing the medicinal product on the market. In some countries, we may be required to conduct a clinical study or other studies that compare the cost-effectiveness of any of our pro</w:t>
      </w:r>
      <w:r>
        <w:rPr>
          <w:rFonts w:eastAsia="Times New Roman"/>
          <w:color w:val="000000"/>
          <w:sz w:val="20"/>
          <w:szCs w:val="20"/>
        </w:rPr>
        <w:t>duct candidates to other available therapies in order to obtain or maintain reimbursement or pricing approval. There can be no assurance that any country that has price controls or reimbursement limitations for biopharmaceutical products will allow favorab</w:t>
      </w:r>
      <w:r>
        <w:rPr>
          <w:rFonts w:eastAsia="Times New Roman"/>
          <w:color w:val="000000"/>
          <w:sz w:val="20"/>
          <w:szCs w:val="20"/>
        </w:rPr>
        <w:t>le reimbursement and pricing arrangements for any of our products. Historically, products launched in the EU do not follow price structures of the United States and generally prices tend to be significantly lower. Publication of discounts by third-party pa</w:t>
      </w:r>
      <w:r>
        <w:rPr>
          <w:rFonts w:eastAsia="Times New Roman"/>
          <w:color w:val="000000"/>
          <w:sz w:val="20"/>
          <w:szCs w:val="20"/>
        </w:rPr>
        <w:t xml:space="preserve">yors or authorities may lead to further pressure on the prices or reimbursement levels within the country of publication and other countries. If pricing is set at unsatisfactory levels or if reimbursement of our products is unavailable or limited in scope </w:t>
      </w:r>
      <w:r>
        <w:rPr>
          <w:rFonts w:eastAsia="Times New Roman"/>
          <w:color w:val="000000"/>
          <w:sz w:val="20"/>
          <w:szCs w:val="20"/>
        </w:rPr>
        <w:t>or amount, our revenues from sales and the potential profitability of any of our product candidates in those countries would be negatively affected.</w:t>
      </w:r>
    </w:p>
    <w:p w:rsidR="00000000" w:rsidRDefault="00FD7D3C">
      <w:pPr>
        <w:ind w:firstLine="1080"/>
        <w:divId w:val="730347337"/>
        <w:rPr>
          <w:rFonts w:eastAsia="Times New Roman"/>
        </w:rPr>
      </w:pPr>
      <w:r>
        <w:rPr>
          <w:rFonts w:eastAsia="Times New Roman"/>
          <w:b/>
          <w:bCs/>
          <w:i/>
          <w:iCs/>
          <w:color w:val="000000"/>
          <w:sz w:val="20"/>
          <w:szCs w:val="20"/>
        </w:rPr>
        <w:t xml:space="preserve">Additional laws and regulations governing international operations could negatively impact or restrict our </w:t>
      </w:r>
      <w:r>
        <w:rPr>
          <w:rFonts w:eastAsia="Times New Roman"/>
          <w:b/>
          <w:bCs/>
          <w:i/>
          <w:iCs/>
          <w:color w:val="000000"/>
          <w:sz w:val="20"/>
          <w:szCs w:val="20"/>
        </w:rPr>
        <w:t>operations.</w:t>
      </w:r>
    </w:p>
    <w:p w:rsidR="00000000" w:rsidRDefault="00FD7D3C">
      <w:pPr>
        <w:ind w:firstLine="1080"/>
        <w:divId w:val="294026870"/>
        <w:rPr>
          <w:rFonts w:eastAsia="Times New Roman"/>
        </w:rPr>
      </w:pPr>
      <w:r>
        <w:rPr>
          <w:rFonts w:eastAsia="Times New Roman"/>
          <w:color w:val="000000"/>
          <w:sz w:val="20"/>
          <w:szCs w:val="20"/>
        </w:rPr>
        <w:t xml:space="preserve">If we expand our operations outside of the United States, we must dedicate additional resources to comply with numerous laws and regulations in each jurisdiction in which we plan to operate. The U.S. Foreign Corrupt Practices Act, or the FCPA, </w:t>
      </w:r>
      <w:r>
        <w:rPr>
          <w:rFonts w:eastAsia="Times New Roman"/>
          <w:color w:val="000000"/>
          <w:sz w:val="20"/>
          <w:szCs w:val="20"/>
        </w:rPr>
        <w:t xml:space="preserve">prohibits any U.S. individual or business entity from paying, offering, authorizing payment, or offering of anything of value, directly or indirectly, to any foreign official, political party or candidate for the purpose of influencing any act or decision </w:t>
      </w:r>
      <w:r>
        <w:rPr>
          <w:rFonts w:eastAsia="Times New Roman"/>
          <w:color w:val="000000"/>
          <w:sz w:val="20"/>
          <w:szCs w:val="20"/>
        </w:rPr>
        <w:t>of the foreign entity in order to assist the individual or business in obtaining or retaining business. The FCPA also obligates companies whose securities are listed in the United States to comply with certain accounting provisions requiring the company to</w:t>
      </w:r>
      <w:r>
        <w:rPr>
          <w:rFonts w:eastAsia="Times New Roman"/>
          <w:color w:val="000000"/>
          <w:sz w:val="20"/>
          <w:szCs w:val="20"/>
        </w:rPr>
        <w:t xml:space="preserve"> maintain books and records that accurately and fairly reflect all transactions of the </w:t>
      </w:r>
    </w:p>
    <w:p w:rsidR="00000000" w:rsidRDefault="00FD7D3C">
      <w:pPr>
        <w:jc w:val="center"/>
        <w:divId w:val="768622140"/>
        <w:rPr>
          <w:rFonts w:eastAsia="Times New Roman"/>
        </w:rPr>
      </w:pPr>
      <w:r>
        <w:rPr>
          <w:rFonts w:eastAsia="Times New Roman"/>
          <w:color w:val="000000"/>
          <w:sz w:val="20"/>
          <w:szCs w:val="20"/>
        </w:rPr>
        <w:t>62</w:t>
      </w:r>
    </w:p>
    <w:p w:rsidR="00000000" w:rsidRDefault="00FD7D3C">
      <w:pPr>
        <w:rPr>
          <w:rFonts w:eastAsia="Times New Roman"/>
        </w:rPr>
      </w:pPr>
      <w:r>
        <w:rPr>
          <w:rFonts w:eastAsia="Times New Roman"/>
        </w:rPr>
        <w:pict>
          <v:rect id="_x0000_i1115" style="width:0;height:1.5pt" o:hralign="center" o:hrstd="t" o:hr="t" fillcolor="#a0a0a0" stroked="f"/>
        </w:pict>
      </w:r>
    </w:p>
    <w:p w:rsidR="00000000" w:rsidRDefault="00FD7D3C">
      <w:pPr>
        <w:divId w:val="1855343345"/>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divId w:val="1024597749"/>
        <w:rPr>
          <w:rFonts w:eastAsia="Times New Roman"/>
        </w:rPr>
      </w:pPr>
      <w:r>
        <w:rPr>
          <w:rFonts w:eastAsia="Times New Roman"/>
          <w:color w:val="000000"/>
          <w:sz w:val="20"/>
          <w:szCs w:val="20"/>
        </w:rPr>
        <w:t>corporation, including international subsidiaries, a</w:t>
      </w:r>
      <w:r>
        <w:rPr>
          <w:rFonts w:eastAsia="Times New Roman"/>
          <w:color w:val="000000"/>
          <w:sz w:val="20"/>
          <w:szCs w:val="20"/>
        </w:rPr>
        <w:t>nd to devise and maintain an adequate system of internal accounting controls for international operations.</w:t>
      </w:r>
    </w:p>
    <w:p w:rsidR="00000000" w:rsidRDefault="00FD7D3C">
      <w:pPr>
        <w:ind w:firstLine="1080"/>
        <w:divId w:val="773982954"/>
        <w:rPr>
          <w:rFonts w:eastAsia="Times New Roman"/>
        </w:rPr>
      </w:pPr>
      <w:r>
        <w:rPr>
          <w:rFonts w:eastAsia="Times New Roman"/>
          <w:color w:val="000000"/>
          <w:sz w:val="20"/>
          <w:szCs w:val="20"/>
        </w:rPr>
        <w:t>Compliance with the FCPA is expensive and difficult, particularly in countries in which corruption is a recognized problem. In addition, the FCPA pre</w:t>
      </w:r>
      <w:r>
        <w:rPr>
          <w:rFonts w:eastAsia="Times New Roman"/>
          <w:color w:val="000000"/>
          <w:sz w:val="20"/>
          <w:szCs w:val="20"/>
        </w:rPr>
        <w:t>sents particular challenges in the biopharmaceutical industry, because, in many countries, hospitals are operated by the government, and doctors and other hospital employees are considered foreign officials. Certain payments to hospitals and healthcare pro</w:t>
      </w:r>
      <w:r>
        <w:rPr>
          <w:rFonts w:eastAsia="Times New Roman"/>
          <w:color w:val="000000"/>
          <w:sz w:val="20"/>
          <w:szCs w:val="20"/>
        </w:rPr>
        <w:t>viders in connection with clinical trials and other work have been deemed to be improper payments to government officials and have led to FCPA enforcement actions.</w:t>
      </w:r>
    </w:p>
    <w:p w:rsidR="00000000" w:rsidRDefault="00FD7D3C">
      <w:pPr>
        <w:ind w:firstLine="1080"/>
        <w:divId w:val="1314873050"/>
        <w:rPr>
          <w:rFonts w:eastAsia="Times New Roman"/>
        </w:rPr>
      </w:pPr>
      <w:r>
        <w:rPr>
          <w:rFonts w:eastAsia="Times New Roman"/>
          <w:color w:val="000000"/>
          <w:sz w:val="20"/>
          <w:szCs w:val="20"/>
        </w:rPr>
        <w:t>Various laws, regulations and executive orders also restrict the use and dissemination outsi</w:t>
      </w:r>
      <w:r>
        <w:rPr>
          <w:rFonts w:eastAsia="Times New Roman"/>
          <w:color w:val="000000"/>
          <w:sz w:val="20"/>
          <w:szCs w:val="20"/>
        </w:rPr>
        <w:t>de of the United States, or the sharing with certain non-U.S. nationals, of information products classified for national security purposes, as well as certain products, technology and technical data relating to those products. If we expand our presence out</w:t>
      </w:r>
      <w:r>
        <w:rPr>
          <w:rFonts w:eastAsia="Times New Roman"/>
          <w:color w:val="000000"/>
          <w:sz w:val="20"/>
          <w:szCs w:val="20"/>
        </w:rPr>
        <w:t xml:space="preserve">side of the United States, it will require us to dedicate additional resources to comply with these laws, and these laws may preclude us from developing, manufacturing, or selling certain products and product candidates outside of the United States, which </w:t>
      </w:r>
      <w:r>
        <w:rPr>
          <w:rFonts w:eastAsia="Times New Roman"/>
          <w:color w:val="000000"/>
          <w:sz w:val="20"/>
          <w:szCs w:val="20"/>
        </w:rPr>
        <w:t>could limit our growth potential and increase our development costs.</w:t>
      </w:r>
    </w:p>
    <w:p w:rsidR="00000000" w:rsidRDefault="00FD7D3C">
      <w:pPr>
        <w:ind w:firstLine="1080"/>
        <w:divId w:val="1777863423"/>
        <w:rPr>
          <w:rFonts w:eastAsia="Times New Roman"/>
        </w:rPr>
      </w:pPr>
      <w:r>
        <w:rPr>
          <w:rFonts w:eastAsia="Times New Roman"/>
          <w:color w:val="000000"/>
          <w:sz w:val="20"/>
          <w:szCs w:val="20"/>
        </w:rPr>
        <w:t xml:space="preserve">The failure to comply with laws governing international business practices may result in substantial civil and criminal penalties and suspension or debarment from government contracting. </w:t>
      </w:r>
      <w:r>
        <w:rPr>
          <w:rFonts w:eastAsia="Times New Roman"/>
          <w:color w:val="000000"/>
          <w:sz w:val="20"/>
          <w:szCs w:val="20"/>
        </w:rPr>
        <w:t>The Securities and Exchange Commission, or SEC, also may suspend or bar issuers from trading securities on U.S. exchanges for violations of the FCPA’s accounting provisions.</w:t>
      </w:r>
    </w:p>
    <w:p w:rsidR="00000000" w:rsidRDefault="00FD7D3C">
      <w:pPr>
        <w:ind w:firstLine="1080"/>
        <w:divId w:val="1789733973"/>
        <w:rPr>
          <w:rFonts w:eastAsia="Times New Roman"/>
        </w:rPr>
      </w:pPr>
      <w:r>
        <w:rPr>
          <w:rFonts w:eastAsia="Times New Roman"/>
          <w:b/>
          <w:bCs/>
          <w:i/>
          <w:iCs/>
          <w:color w:val="000000"/>
          <w:sz w:val="20"/>
          <w:szCs w:val="20"/>
        </w:rPr>
        <w:t>We are subject to certain U.S. and foreign anti-corruption, anti-money laundering,</w:t>
      </w:r>
      <w:r>
        <w:rPr>
          <w:rFonts w:eastAsia="Times New Roman"/>
          <w:b/>
          <w:bCs/>
          <w:i/>
          <w:iCs/>
          <w:color w:val="000000"/>
          <w:sz w:val="20"/>
          <w:szCs w:val="20"/>
        </w:rPr>
        <w:t xml:space="preserve"> export control, sanctions, and other trade laws and regulations. We can face serious consequences for violations.</w:t>
      </w:r>
    </w:p>
    <w:p w:rsidR="00000000" w:rsidRDefault="00FD7D3C">
      <w:pPr>
        <w:ind w:firstLine="1080"/>
        <w:divId w:val="1446579808"/>
        <w:rPr>
          <w:rFonts w:eastAsia="Times New Roman"/>
        </w:rPr>
      </w:pPr>
      <w:r>
        <w:rPr>
          <w:rFonts w:eastAsia="Times New Roman"/>
          <w:color w:val="000000"/>
          <w:sz w:val="20"/>
          <w:szCs w:val="20"/>
        </w:rPr>
        <w:t>Among other matters, U.S. and foreign anti-corruption, anti-money laundering, export control, sanctions, and other trade laws and regulations</w:t>
      </w:r>
      <w:r>
        <w:rPr>
          <w:rFonts w:eastAsia="Times New Roman"/>
          <w:color w:val="000000"/>
          <w:sz w:val="20"/>
          <w:szCs w:val="20"/>
        </w:rPr>
        <w:t xml:space="preserve">, which are collectively referred to as Trade Laws, prohibit companies and their employees, agents, clinical research organizations, legal counsel, accountants, consultants, contractors, and other partners from authorizing, promising, offering, providing, </w:t>
      </w:r>
      <w:r>
        <w:rPr>
          <w:rFonts w:eastAsia="Times New Roman"/>
          <w:color w:val="000000"/>
          <w:sz w:val="20"/>
          <w:szCs w:val="20"/>
        </w:rPr>
        <w:t>soliciting, or receiving directly or indirectly, corrupt or improper payments or anything else of value to or from recipients in the public or private sector. Violations of Trade Laws can result in substantial criminal fines and civil penalties, imprisonme</w:t>
      </w:r>
      <w:r>
        <w:rPr>
          <w:rFonts w:eastAsia="Times New Roman"/>
          <w:color w:val="000000"/>
          <w:sz w:val="20"/>
          <w:szCs w:val="20"/>
        </w:rPr>
        <w:t>nt, the loss of trade privileges, debarment, tax reassessments, breach of contract and fraud litigation, reputational harm, and other consequences. We have direct or indirect interactions with officials and employees of government agencies or government-af</w:t>
      </w:r>
      <w:r>
        <w:rPr>
          <w:rFonts w:eastAsia="Times New Roman"/>
          <w:color w:val="000000"/>
          <w:sz w:val="20"/>
          <w:szCs w:val="20"/>
        </w:rPr>
        <w:t>filiated hospitals, universities and other organizations. We also expect our non-U.S. activities to increase in time. We plan to engage third parties for clinical trials and/or to obtain necessary permits, licenses, patent registrations and other regulator</w:t>
      </w:r>
      <w:r>
        <w:rPr>
          <w:rFonts w:eastAsia="Times New Roman"/>
          <w:color w:val="000000"/>
          <w:sz w:val="20"/>
          <w:szCs w:val="20"/>
        </w:rPr>
        <w:t>y approvals and we can be held liable for the corrupt or other illegal activities of our personnel, agents, or partners, even if we do not explicitly authorize or have prior knowledge of such activities.</w:t>
      </w:r>
    </w:p>
    <w:p w:rsidR="00000000" w:rsidRDefault="00FD7D3C">
      <w:pPr>
        <w:ind w:firstLine="1080"/>
        <w:divId w:val="2102867145"/>
        <w:rPr>
          <w:rFonts w:eastAsia="Times New Roman"/>
        </w:rPr>
      </w:pPr>
      <w:r>
        <w:rPr>
          <w:rFonts w:eastAsia="Times New Roman"/>
          <w:b/>
          <w:bCs/>
          <w:color w:val="000000"/>
          <w:sz w:val="20"/>
          <w:szCs w:val="20"/>
        </w:rPr>
        <w:t>Risks Related to Our Intellectual Property</w:t>
      </w:r>
    </w:p>
    <w:p w:rsidR="00000000" w:rsidRDefault="00FD7D3C">
      <w:pPr>
        <w:ind w:firstLine="1080"/>
        <w:divId w:val="621809348"/>
        <w:rPr>
          <w:rFonts w:eastAsia="Times New Roman"/>
        </w:rPr>
      </w:pPr>
      <w:r>
        <w:rPr>
          <w:rFonts w:eastAsia="Times New Roman"/>
          <w:b/>
          <w:bCs/>
          <w:i/>
          <w:iCs/>
          <w:color w:val="000000"/>
          <w:sz w:val="20"/>
          <w:szCs w:val="20"/>
        </w:rPr>
        <w:t>Our succe</w:t>
      </w:r>
      <w:r>
        <w:rPr>
          <w:rFonts w:eastAsia="Times New Roman"/>
          <w:b/>
          <w:bCs/>
          <w:i/>
          <w:iCs/>
          <w:color w:val="000000"/>
          <w:sz w:val="20"/>
          <w:szCs w:val="20"/>
        </w:rPr>
        <w:t>ss depends in part on our ability to protect our intellectual property. It is difficult and costly to protect our proprietary rights and technology, and we may not be able to ensure their protection.</w:t>
      </w:r>
    </w:p>
    <w:p w:rsidR="00000000" w:rsidRDefault="00FD7D3C">
      <w:pPr>
        <w:ind w:firstLine="1080"/>
        <w:divId w:val="292564798"/>
        <w:rPr>
          <w:rFonts w:eastAsia="Times New Roman"/>
        </w:rPr>
      </w:pPr>
      <w:r>
        <w:rPr>
          <w:rFonts w:eastAsia="Times New Roman"/>
          <w:color w:val="000000"/>
          <w:sz w:val="20"/>
          <w:szCs w:val="20"/>
        </w:rPr>
        <w:t xml:space="preserve">Our business will depend in large part on obtaining and </w:t>
      </w:r>
      <w:r>
        <w:rPr>
          <w:rFonts w:eastAsia="Times New Roman"/>
          <w:color w:val="000000"/>
          <w:sz w:val="20"/>
          <w:szCs w:val="20"/>
        </w:rPr>
        <w:t>maintaining patent, trademark and trade secret protection of our proprietary technologies and our product candidates, their respective components, synthetic intermediates, formulations, combination therapies, methods used to manufacture them and methods of</w:t>
      </w:r>
      <w:r>
        <w:rPr>
          <w:rFonts w:eastAsia="Times New Roman"/>
          <w:color w:val="000000"/>
          <w:sz w:val="20"/>
          <w:szCs w:val="20"/>
        </w:rPr>
        <w:t xml:space="preserve"> treatment, as well as successfully defending these patents against third-party challenges. Our ability to stop unauthorized third parties from making, using, selling, offering to sell or importing our product candidates is dependent upon the extent to whi</w:t>
      </w:r>
      <w:r>
        <w:rPr>
          <w:rFonts w:eastAsia="Times New Roman"/>
          <w:color w:val="000000"/>
          <w:sz w:val="20"/>
          <w:szCs w:val="20"/>
        </w:rPr>
        <w:t>ch we have rights under valid and enforceable patents that cover these activities and whether a court would issue an injunctive remedy. If we are unable to secure and maintain patent protection for any product or technology we develop, or if the scope of t</w:t>
      </w:r>
      <w:r>
        <w:rPr>
          <w:rFonts w:eastAsia="Times New Roman"/>
          <w:color w:val="000000"/>
          <w:sz w:val="20"/>
          <w:szCs w:val="20"/>
        </w:rPr>
        <w:t>he patent protection secured is not sufficiently broad, our competitors could develop and commercialize products and technology similar or identical to ours, and our ability to commercialize any product candidates we may develop may be adversely affected.</w:t>
      </w:r>
    </w:p>
    <w:p w:rsidR="00000000" w:rsidRDefault="00FD7D3C">
      <w:pPr>
        <w:ind w:firstLine="1080"/>
        <w:divId w:val="45225043"/>
        <w:rPr>
          <w:rFonts w:eastAsia="Times New Roman"/>
        </w:rPr>
      </w:pPr>
      <w:r>
        <w:rPr>
          <w:rFonts w:eastAsia="Times New Roman"/>
          <w:color w:val="000000"/>
          <w:sz w:val="20"/>
          <w:szCs w:val="20"/>
        </w:rPr>
        <w:t>The patenting process is expensive and time-consuming, and we may not be able to file and prosecute all necessary or desirable patent applications at a reasonable cost or in a timely manner. In addition, we may not pursue, obtain, or maintain patent protec</w:t>
      </w:r>
      <w:r>
        <w:rPr>
          <w:rFonts w:eastAsia="Times New Roman"/>
          <w:color w:val="000000"/>
          <w:sz w:val="20"/>
          <w:szCs w:val="20"/>
        </w:rPr>
        <w:t>tion in all relevant markets. It is also possible that we will fail to identify patentable aspects of our research and development output before it is too late to obtain patent protection. Moreover, in some circumstances, we may not have the right to contr</w:t>
      </w:r>
      <w:r>
        <w:rPr>
          <w:rFonts w:eastAsia="Times New Roman"/>
          <w:color w:val="000000"/>
          <w:sz w:val="20"/>
          <w:szCs w:val="20"/>
        </w:rPr>
        <w:t>ol the preparation, filing and prosecution of patent applications, or to maintain the patents, covering technology that we license from or license to third parties and are reliant on our licensors or licensees.</w:t>
      </w:r>
    </w:p>
    <w:p w:rsidR="00000000" w:rsidRDefault="00FD7D3C">
      <w:pPr>
        <w:ind w:firstLine="1080"/>
        <w:divId w:val="988828797"/>
        <w:rPr>
          <w:rFonts w:eastAsia="Times New Roman"/>
        </w:rPr>
      </w:pPr>
      <w:r>
        <w:rPr>
          <w:rFonts w:eastAsia="Times New Roman"/>
          <w:color w:val="000000"/>
          <w:sz w:val="20"/>
          <w:szCs w:val="20"/>
        </w:rPr>
        <w:t xml:space="preserve">The strength of patents in the biotechnology and biopharmaceutical field involves complex legal and scientific questions and can be uncertain. The patent applications that we own or in-license may fail to result in issued </w:t>
      </w:r>
    </w:p>
    <w:p w:rsidR="00000000" w:rsidRDefault="00FD7D3C">
      <w:pPr>
        <w:jc w:val="center"/>
        <w:divId w:val="1836603013"/>
        <w:rPr>
          <w:rFonts w:eastAsia="Times New Roman"/>
        </w:rPr>
      </w:pPr>
      <w:r>
        <w:rPr>
          <w:rFonts w:eastAsia="Times New Roman"/>
          <w:color w:val="000000"/>
          <w:sz w:val="20"/>
          <w:szCs w:val="20"/>
        </w:rPr>
        <w:t>63</w:t>
      </w:r>
    </w:p>
    <w:p w:rsidR="00000000" w:rsidRDefault="00FD7D3C">
      <w:pPr>
        <w:rPr>
          <w:rFonts w:eastAsia="Times New Roman"/>
        </w:rPr>
      </w:pPr>
      <w:r>
        <w:rPr>
          <w:rFonts w:eastAsia="Times New Roman"/>
        </w:rPr>
        <w:pict>
          <v:rect id="_x0000_i1116" style="width:0;height:1.5pt" o:hralign="center" o:hrstd="t" o:hr="t" fillcolor="#a0a0a0" stroked="f"/>
        </w:pict>
      </w:r>
    </w:p>
    <w:p w:rsidR="00000000" w:rsidRDefault="00FD7D3C">
      <w:pPr>
        <w:divId w:val="1238784079"/>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divId w:val="646977852"/>
        <w:rPr>
          <w:rFonts w:eastAsia="Times New Roman"/>
        </w:rPr>
      </w:pPr>
      <w:r>
        <w:rPr>
          <w:rFonts w:eastAsia="Times New Roman"/>
          <w:color w:val="000000"/>
          <w:sz w:val="20"/>
          <w:szCs w:val="20"/>
        </w:rPr>
        <w:t>patents with claims that cover our product candidates or uses thereof in the United States or in other foreign countries. Even if the patents do successfully issue, third par</w:t>
      </w:r>
      <w:r>
        <w:rPr>
          <w:rFonts w:eastAsia="Times New Roman"/>
          <w:color w:val="000000"/>
          <w:sz w:val="20"/>
          <w:szCs w:val="20"/>
        </w:rPr>
        <w:t>ties may challenge the validity, enforceability, or scope thereof, which may result in such patents being narrowed, invalidated, or held unenforceable. Furthermore, even if they are unchallenged, our patents and patent applications may not adequately prote</w:t>
      </w:r>
      <w:r>
        <w:rPr>
          <w:rFonts w:eastAsia="Times New Roman"/>
          <w:color w:val="000000"/>
          <w:sz w:val="20"/>
          <w:szCs w:val="20"/>
        </w:rPr>
        <w:t>ct our technology, including our product candidates, or prevent others from designing around our claims. If the breadth or strength of protection provided by the patent applications, we hold with respect to our product candidates is threatened, it could di</w:t>
      </w:r>
      <w:r>
        <w:rPr>
          <w:rFonts w:eastAsia="Times New Roman"/>
          <w:color w:val="000000"/>
          <w:sz w:val="20"/>
          <w:szCs w:val="20"/>
        </w:rPr>
        <w:t xml:space="preserve">ssuade companies from collaborating with us to develop, and threaten our ability to commercialize, our product candidates. Further, if we encounter delays in our clinical trials, the period of time during which we could market our product candidates under </w:t>
      </w:r>
      <w:r>
        <w:rPr>
          <w:rFonts w:eastAsia="Times New Roman"/>
          <w:color w:val="000000"/>
          <w:sz w:val="20"/>
          <w:szCs w:val="20"/>
        </w:rPr>
        <w:t>patent protection would be reduced.</w:t>
      </w:r>
    </w:p>
    <w:p w:rsidR="00000000" w:rsidRDefault="00FD7D3C">
      <w:pPr>
        <w:ind w:firstLine="1080"/>
        <w:divId w:val="372464955"/>
        <w:rPr>
          <w:rFonts w:eastAsia="Times New Roman"/>
        </w:rPr>
      </w:pPr>
      <w:r>
        <w:rPr>
          <w:rFonts w:eastAsia="Times New Roman"/>
          <w:color w:val="000000"/>
          <w:sz w:val="20"/>
          <w:szCs w:val="20"/>
        </w:rPr>
        <w:t>We cannot be certain that we were the first to file any patent application related to our technology, including our product candidates, and, if we were not, we may be precluded from obtaining patent protection for our te</w:t>
      </w:r>
      <w:r>
        <w:rPr>
          <w:rFonts w:eastAsia="Times New Roman"/>
          <w:color w:val="000000"/>
          <w:sz w:val="20"/>
          <w:szCs w:val="20"/>
        </w:rPr>
        <w:t>chnology, including our product candidates.</w:t>
      </w:r>
    </w:p>
    <w:p w:rsidR="00000000" w:rsidRDefault="00FD7D3C">
      <w:pPr>
        <w:ind w:firstLine="1080"/>
        <w:divId w:val="1393381157"/>
        <w:rPr>
          <w:rFonts w:eastAsia="Times New Roman"/>
        </w:rPr>
      </w:pPr>
      <w:r>
        <w:rPr>
          <w:rFonts w:eastAsia="Times New Roman"/>
          <w:color w:val="000000"/>
          <w:sz w:val="20"/>
          <w:szCs w:val="20"/>
        </w:rPr>
        <w:t xml:space="preserve">We cannot be certain that we were the first to invent the inventions covered by pending patent applications and, if we are not, we may be subject to priority disputes. Furthermore, for United States applications </w:t>
      </w:r>
      <w:r>
        <w:rPr>
          <w:rFonts w:eastAsia="Times New Roman"/>
          <w:color w:val="000000"/>
          <w:sz w:val="20"/>
          <w:szCs w:val="20"/>
        </w:rPr>
        <w:t>in which all claims are entitled to a priority date before March 16, 2013, an interference proceeding can be provoked by a third-party or instituted by the United States Patent and Trademark Office, or USPTO, to determine who was the first to invent any of</w:t>
      </w:r>
      <w:r>
        <w:rPr>
          <w:rFonts w:eastAsia="Times New Roman"/>
          <w:color w:val="000000"/>
          <w:sz w:val="20"/>
          <w:szCs w:val="20"/>
        </w:rPr>
        <w:t xml:space="preserve"> the subject matter covered by the patent claims of our applications. Similarly, for United States applications in which at least one claim is not entitled to a priority date before March 16, 2013, derivation proceedings can be instituted to determine whet</w:t>
      </w:r>
      <w:r>
        <w:rPr>
          <w:rFonts w:eastAsia="Times New Roman"/>
          <w:color w:val="000000"/>
          <w:sz w:val="20"/>
          <w:szCs w:val="20"/>
        </w:rPr>
        <w:t>her the subject matter of a patent claim was derived from a prior inventor’s disclosure.</w:t>
      </w:r>
    </w:p>
    <w:p w:rsidR="00000000" w:rsidRDefault="00FD7D3C">
      <w:pPr>
        <w:ind w:firstLine="1080"/>
        <w:divId w:val="1820996274"/>
        <w:rPr>
          <w:rFonts w:eastAsia="Times New Roman"/>
        </w:rPr>
      </w:pPr>
      <w:r>
        <w:rPr>
          <w:rFonts w:eastAsia="Times New Roman"/>
          <w:color w:val="000000"/>
          <w:sz w:val="20"/>
          <w:szCs w:val="20"/>
        </w:rPr>
        <w:t>We may be required to disclaim part or all of the term of certain patents or all of the term of certain patent applications. There may be prior art of which we are not aware that may affect the validity or enforceability of a patent or patent application c</w:t>
      </w:r>
      <w:r>
        <w:rPr>
          <w:rFonts w:eastAsia="Times New Roman"/>
          <w:color w:val="000000"/>
          <w:sz w:val="20"/>
          <w:szCs w:val="20"/>
        </w:rPr>
        <w:t>laim. There also may be prior art of which we are aware, but which we do not believe affects the validity or enforceability of a claim, which may, nonetheless, ultimately be found to affect the validity or enforceability of a claim. No assurance can be giv</w:t>
      </w:r>
      <w:r>
        <w:rPr>
          <w:rFonts w:eastAsia="Times New Roman"/>
          <w:color w:val="000000"/>
          <w:sz w:val="20"/>
          <w:szCs w:val="20"/>
        </w:rPr>
        <w:t>en that if challenged, our patents would be declared by a court to be valid or enforceable or that even if found valid and enforceable, would adequately protect our product candidates, or would be found by a court to be infringed by a competitor’s technolo</w:t>
      </w:r>
      <w:r>
        <w:rPr>
          <w:rFonts w:eastAsia="Times New Roman"/>
          <w:color w:val="000000"/>
          <w:sz w:val="20"/>
          <w:szCs w:val="20"/>
        </w:rPr>
        <w:t>gy or product. We may analyze patents or patent applications of our competitors that we believe are relevant to our activities and consider that we are free to operate in relation to our product candidates, but our competitors may obtain issued claims, inc</w:t>
      </w:r>
      <w:r>
        <w:rPr>
          <w:rFonts w:eastAsia="Times New Roman"/>
          <w:color w:val="000000"/>
          <w:sz w:val="20"/>
          <w:szCs w:val="20"/>
        </w:rPr>
        <w:t xml:space="preserve">luding in patents we consider to be unrelated, which block our efforts or may potentially result in our product candidates or our activities infringing such claims. The possibility exists that others will develop products which have the same effect as our </w:t>
      </w:r>
      <w:r>
        <w:rPr>
          <w:rFonts w:eastAsia="Times New Roman"/>
          <w:color w:val="000000"/>
          <w:sz w:val="20"/>
          <w:szCs w:val="20"/>
        </w:rPr>
        <w:t>products on an independent basis which do not infringe our patents or other intellectual property rights or will design around the claims of patents that may issue that cover our products.</w:t>
      </w:r>
    </w:p>
    <w:p w:rsidR="00000000" w:rsidRDefault="00FD7D3C">
      <w:pPr>
        <w:ind w:firstLine="1080"/>
        <w:divId w:val="2140762204"/>
        <w:rPr>
          <w:rFonts w:eastAsia="Times New Roman"/>
        </w:rPr>
      </w:pPr>
      <w:r>
        <w:rPr>
          <w:rFonts w:eastAsia="Times New Roman"/>
          <w:color w:val="000000"/>
          <w:sz w:val="20"/>
          <w:szCs w:val="20"/>
        </w:rPr>
        <w:t>Recent or future patent reform legislation could increase the uncer</w:t>
      </w:r>
      <w:r>
        <w:rPr>
          <w:rFonts w:eastAsia="Times New Roman"/>
          <w:color w:val="000000"/>
          <w:sz w:val="20"/>
          <w:szCs w:val="20"/>
        </w:rPr>
        <w:t>tainties and costs surrounding the prosecution of our patent applications and the enforcement or defense of our issued patents. Under the Leahy-Smith America Invents Act, or America Invents Act, enacted in 2013, the United States moved from a “first to inv</w:t>
      </w:r>
      <w:r>
        <w:rPr>
          <w:rFonts w:eastAsia="Times New Roman"/>
          <w:color w:val="000000"/>
          <w:sz w:val="20"/>
          <w:szCs w:val="20"/>
        </w:rPr>
        <w:t>ent” to a “first-to-file” system. Under a “first-to-file” system, assuming the other requirements for patentability are met, the first inventor to file a patent application generally will be entitled to a patent on the invention regardless of whether anoth</w:t>
      </w:r>
      <w:r>
        <w:rPr>
          <w:rFonts w:eastAsia="Times New Roman"/>
          <w:color w:val="000000"/>
          <w:sz w:val="20"/>
          <w:szCs w:val="20"/>
        </w:rPr>
        <w:t>er inventor had made the invention earlier. The America Invents Act includes a number of other significant changes to U.S. patent law, including provisions that affect the way patent applications are prosecuted, redefine prior art and establish a new post-</w:t>
      </w:r>
      <w:r>
        <w:rPr>
          <w:rFonts w:eastAsia="Times New Roman"/>
          <w:color w:val="000000"/>
          <w:sz w:val="20"/>
          <w:szCs w:val="20"/>
        </w:rPr>
        <w:t>grant review system. The effects of these changes are currently unclear as the USPTO only recently developed new regulations and procedures in connection with the America Invents Act and many of the substantive changes to patent law, including the “first-t</w:t>
      </w:r>
      <w:r>
        <w:rPr>
          <w:rFonts w:eastAsia="Times New Roman"/>
          <w:color w:val="000000"/>
          <w:sz w:val="20"/>
          <w:szCs w:val="20"/>
        </w:rPr>
        <w:t xml:space="preserve">o-file” provisions, only became effective in March 2013. In addition, the courts have yet to address many of these provisions and the applicability of the Act and new regulations on specific patents discussed herein have not been determined and would need </w:t>
      </w:r>
      <w:r>
        <w:rPr>
          <w:rFonts w:eastAsia="Times New Roman"/>
          <w:color w:val="000000"/>
          <w:sz w:val="20"/>
          <w:szCs w:val="20"/>
        </w:rPr>
        <w:t>to be reviewed. However, the America Invents Act and its implementation could increase the uncertainties and costs surrounding the prosecution of our patent applications and the enforcement or defense of our issued patents, all of which could have a materi</w:t>
      </w:r>
      <w:r>
        <w:rPr>
          <w:rFonts w:eastAsia="Times New Roman"/>
          <w:color w:val="000000"/>
          <w:sz w:val="20"/>
          <w:szCs w:val="20"/>
        </w:rPr>
        <w:t>al adverse effect on our business and financial condition.</w:t>
      </w:r>
    </w:p>
    <w:p w:rsidR="00000000" w:rsidRDefault="00FD7D3C">
      <w:pPr>
        <w:ind w:firstLine="1080"/>
        <w:divId w:val="879784810"/>
        <w:rPr>
          <w:rFonts w:eastAsia="Times New Roman"/>
        </w:rPr>
      </w:pPr>
      <w:r>
        <w:rPr>
          <w:rFonts w:eastAsia="Times New Roman"/>
          <w:color w:val="000000"/>
          <w:sz w:val="20"/>
          <w:szCs w:val="20"/>
        </w:rPr>
        <w:t>The degree of future protection for our proprietary rights is uncertain because legal means afford only limited protection and may not adequately protect our rights or permit us to gain or keep our</w:t>
      </w:r>
      <w:r>
        <w:rPr>
          <w:rFonts w:eastAsia="Times New Roman"/>
          <w:color w:val="000000"/>
          <w:sz w:val="20"/>
          <w:szCs w:val="20"/>
        </w:rPr>
        <w:t xml:space="preserve"> competitive advantage. For example:</w:t>
      </w:r>
    </w:p>
    <w:p w:rsidR="00000000" w:rsidRDefault="00FD7D3C">
      <w:pPr>
        <w:ind w:hanging="1260"/>
        <w:divId w:val="1683316463"/>
        <w:rPr>
          <w:rFonts w:eastAsia="Times New Roman"/>
        </w:rPr>
      </w:pPr>
      <w:r>
        <w:rPr>
          <w:rFonts w:ascii="Arial" w:eastAsia="Times New Roman" w:hAnsi="Arial" w:cs="Arial"/>
          <w:color w:val="000000"/>
        </w:rPr>
        <w:t>•</w:t>
      </w:r>
      <w:r>
        <w:rPr>
          <w:rFonts w:eastAsia="Times New Roman"/>
          <w:color w:val="000000"/>
          <w:sz w:val="20"/>
          <w:szCs w:val="20"/>
        </w:rPr>
        <w:t>others may be able to make or use compounds that are similar to the compositions of our product candidates but that are not covered by the claims of our patents or those of our licensors;</w:t>
      </w:r>
    </w:p>
    <w:p w:rsidR="00000000" w:rsidRDefault="00FD7D3C">
      <w:pPr>
        <w:ind w:hanging="1260"/>
        <w:divId w:val="427164515"/>
        <w:rPr>
          <w:rFonts w:eastAsia="Times New Roman"/>
        </w:rPr>
      </w:pPr>
      <w:r>
        <w:rPr>
          <w:rFonts w:eastAsia="Times New Roman"/>
          <w:color w:val="000000"/>
          <w:sz w:val="20"/>
          <w:szCs w:val="20"/>
        </w:rPr>
        <w:t>•we or our licensors, as the c</w:t>
      </w:r>
      <w:r>
        <w:rPr>
          <w:rFonts w:eastAsia="Times New Roman"/>
          <w:color w:val="000000"/>
          <w:sz w:val="20"/>
          <w:szCs w:val="20"/>
        </w:rPr>
        <w:t>ase may be, may fail to meet our obligations to the U.S. government in regards to any in-licensed patents and patent applications funded by U.S. government grants, leading to the loss of patent rights;</w:t>
      </w:r>
    </w:p>
    <w:p w:rsidR="00000000" w:rsidRDefault="00FD7D3C">
      <w:pPr>
        <w:jc w:val="center"/>
        <w:divId w:val="2097945535"/>
        <w:rPr>
          <w:rFonts w:eastAsia="Times New Roman"/>
        </w:rPr>
      </w:pPr>
      <w:r>
        <w:rPr>
          <w:rFonts w:eastAsia="Times New Roman"/>
          <w:color w:val="000000"/>
          <w:sz w:val="20"/>
          <w:szCs w:val="20"/>
        </w:rPr>
        <w:t>64</w:t>
      </w:r>
    </w:p>
    <w:p w:rsidR="00000000" w:rsidRDefault="00FD7D3C">
      <w:pPr>
        <w:rPr>
          <w:rFonts w:eastAsia="Times New Roman"/>
        </w:rPr>
      </w:pPr>
      <w:r>
        <w:rPr>
          <w:rFonts w:eastAsia="Times New Roman"/>
        </w:rPr>
        <w:pict>
          <v:rect id="_x0000_i1117" style="width:0;height:1.5pt" o:hralign="center" o:hrstd="t" o:hr="t" fillcolor="#a0a0a0" stroked="f"/>
        </w:pict>
      </w:r>
    </w:p>
    <w:p w:rsidR="00000000" w:rsidRDefault="00FD7D3C">
      <w:pPr>
        <w:divId w:val="1287661907"/>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ind w:hanging="1260"/>
        <w:divId w:val="582639826"/>
        <w:rPr>
          <w:rFonts w:eastAsia="Times New Roman"/>
        </w:rPr>
      </w:pPr>
      <w:r>
        <w:rPr>
          <w:rFonts w:eastAsia="Times New Roman"/>
          <w:color w:val="000000"/>
          <w:sz w:val="20"/>
          <w:szCs w:val="20"/>
        </w:rPr>
        <w:t>•we or our licensors, as the case may be, might not have been the first to file patent applications for these inventions;</w:t>
      </w:r>
    </w:p>
    <w:p w:rsidR="00000000" w:rsidRDefault="00FD7D3C">
      <w:pPr>
        <w:ind w:hanging="1260"/>
        <w:divId w:val="2025587774"/>
        <w:rPr>
          <w:rFonts w:eastAsia="Times New Roman"/>
        </w:rPr>
      </w:pPr>
      <w:r>
        <w:rPr>
          <w:rFonts w:eastAsia="Times New Roman"/>
          <w:color w:val="000000"/>
          <w:sz w:val="20"/>
          <w:szCs w:val="20"/>
        </w:rPr>
        <w:t>•others may independently develop similar or alternative technologies or</w:t>
      </w:r>
      <w:r>
        <w:rPr>
          <w:rFonts w:eastAsia="Times New Roman"/>
          <w:color w:val="000000"/>
          <w:sz w:val="20"/>
          <w:szCs w:val="20"/>
        </w:rPr>
        <w:t xml:space="preserve"> duplicate any of our technologies;</w:t>
      </w:r>
    </w:p>
    <w:p w:rsidR="00000000" w:rsidRDefault="00FD7D3C">
      <w:pPr>
        <w:ind w:hanging="1260"/>
        <w:divId w:val="1086657429"/>
        <w:rPr>
          <w:rFonts w:eastAsia="Times New Roman"/>
        </w:rPr>
      </w:pPr>
      <w:r>
        <w:rPr>
          <w:rFonts w:eastAsia="Times New Roman"/>
          <w:color w:val="000000"/>
          <w:sz w:val="20"/>
          <w:szCs w:val="20"/>
        </w:rPr>
        <w:t>•it is possible that our pending patent applications will not result in issued patents;</w:t>
      </w:r>
    </w:p>
    <w:p w:rsidR="00000000" w:rsidRDefault="00FD7D3C">
      <w:pPr>
        <w:ind w:hanging="1260"/>
        <w:divId w:val="1375153414"/>
        <w:rPr>
          <w:rFonts w:eastAsia="Times New Roman"/>
        </w:rPr>
      </w:pPr>
      <w:r>
        <w:rPr>
          <w:rFonts w:eastAsia="Times New Roman"/>
          <w:color w:val="000000"/>
          <w:sz w:val="20"/>
          <w:szCs w:val="20"/>
        </w:rPr>
        <w:t>•we may not be able to extend the patent term in some jurisdictions;</w:t>
      </w:r>
    </w:p>
    <w:p w:rsidR="00000000" w:rsidRDefault="00FD7D3C">
      <w:pPr>
        <w:ind w:hanging="1260"/>
        <w:divId w:val="1331174164"/>
        <w:rPr>
          <w:rFonts w:eastAsia="Times New Roman"/>
        </w:rPr>
      </w:pPr>
      <w:r>
        <w:rPr>
          <w:rFonts w:eastAsia="Times New Roman"/>
          <w:color w:val="000000"/>
          <w:sz w:val="20"/>
          <w:szCs w:val="20"/>
        </w:rPr>
        <w:t>•it is possible that there are prior public disclosures that co</w:t>
      </w:r>
      <w:r>
        <w:rPr>
          <w:rFonts w:eastAsia="Times New Roman"/>
          <w:color w:val="000000"/>
          <w:sz w:val="20"/>
          <w:szCs w:val="20"/>
        </w:rPr>
        <w:t>uld invalidate our or our licensors’ patents, as the case may be, or parts of our or their patents;</w:t>
      </w:r>
    </w:p>
    <w:p w:rsidR="00000000" w:rsidRDefault="00FD7D3C">
      <w:pPr>
        <w:ind w:hanging="1260"/>
        <w:divId w:val="1544516303"/>
        <w:rPr>
          <w:rFonts w:eastAsia="Times New Roman"/>
        </w:rPr>
      </w:pPr>
      <w:r>
        <w:rPr>
          <w:rFonts w:eastAsia="Times New Roman"/>
          <w:color w:val="000000"/>
          <w:sz w:val="20"/>
          <w:szCs w:val="20"/>
        </w:rPr>
        <w:t>•it is possible that others may circumvent our owned or in-licensed patents;</w:t>
      </w:r>
    </w:p>
    <w:p w:rsidR="00000000" w:rsidRDefault="00FD7D3C">
      <w:pPr>
        <w:ind w:hanging="1260"/>
        <w:divId w:val="427771166"/>
        <w:rPr>
          <w:rFonts w:eastAsia="Times New Roman"/>
        </w:rPr>
      </w:pPr>
      <w:r>
        <w:rPr>
          <w:rFonts w:eastAsia="Times New Roman"/>
          <w:color w:val="000000"/>
          <w:sz w:val="20"/>
          <w:szCs w:val="20"/>
        </w:rPr>
        <w:t xml:space="preserve">•it is possible that there are unpublished applications or patent applications </w:t>
      </w:r>
      <w:r>
        <w:rPr>
          <w:rFonts w:eastAsia="Times New Roman"/>
          <w:color w:val="000000"/>
          <w:sz w:val="20"/>
          <w:szCs w:val="20"/>
        </w:rPr>
        <w:t>maintained in secrecy that may later issue with claims covering our products or technology similar to ours;</w:t>
      </w:r>
    </w:p>
    <w:p w:rsidR="00000000" w:rsidRDefault="00FD7D3C">
      <w:pPr>
        <w:ind w:hanging="1260"/>
        <w:divId w:val="702363139"/>
        <w:rPr>
          <w:rFonts w:eastAsia="Times New Roman"/>
        </w:rPr>
      </w:pPr>
      <w:r>
        <w:rPr>
          <w:rFonts w:eastAsia="Times New Roman"/>
          <w:color w:val="000000"/>
          <w:sz w:val="20"/>
          <w:szCs w:val="20"/>
        </w:rPr>
        <w:t>•the laws of foreign countries may not protect our or our licensors’, as the case may be, proprietary rights to the same extent as the laws of the U</w:t>
      </w:r>
      <w:r>
        <w:rPr>
          <w:rFonts w:eastAsia="Times New Roman"/>
          <w:color w:val="000000"/>
          <w:sz w:val="20"/>
          <w:szCs w:val="20"/>
        </w:rPr>
        <w:t>nited States;</w:t>
      </w:r>
    </w:p>
    <w:p w:rsidR="00000000" w:rsidRDefault="00FD7D3C">
      <w:pPr>
        <w:ind w:hanging="1260"/>
        <w:divId w:val="740104711"/>
        <w:rPr>
          <w:rFonts w:eastAsia="Times New Roman"/>
        </w:rPr>
      </w:pPr>
      <w:r>
        <w:rPr>
          <w:rFonts w:eastAsia="Times New Roman"/>
          <w:color w:val="000000"/>
          <w:sz w:val="20"/>
          <w:szCs w:val="20"/>
        </w:rPr>
        <w:t>•the claims of our owned or in-licensed issued patents or patent applications, if and when issued, may not cover our product candidates;</w:t>
      </w:r>
    </w:p>
    <w:p w:rsidR="00000000" w:rsidRDefault="00FD7D3C">
      <w:pPr>
        <w:ind w:hanging="1260"/>
        <w:divId w:val="532576636"/>
        <w:rPr>
          <w:rFonts w:eastAsia="Times New Roman"/>
        </w:rPr>
      </w:pPr>
      <w:r>
        <w:rPr>
          <w:rFonts w:eastAsia="Times New Roman"/>
          <w:color w:val="000000"/>
          <w:sz w:val="20"/>
          <w:szCs w:val="20"/>
        </w:rPr>
        <w:t>•our owned or in-licensed issued patents may not provide us with any competitive advantages, may be narro</w:t>
      </w:r>
      <w:r>
        <w:rPr>
          <w:rFonts w:eastAsia="Times New Roman"/>
          <w:color w:val="000000"/>
          <w:sz w:val="20"/>
          <w:szCs w:val="20"/>
        </w:rPr>
        <w:t>wed in scope, or be held invalid or unenforceable as a result of legal challenges by third parties;</w:t>
      </w:r>
    </w:p>
    <w:p w:rsidR="00000000" w:rsidRDefault="00FD7D3C">
      <w:pPr>
        <w:ind w:hanging="1260"/>
        <w:divId w:val="926842236"/>
        <w:rPr>
          <w:rFonts w:eastAsia="Times New Roman"/>
        </w:rPr>
      </w:pPr>
      <w:r>
        <w:rPr>
          <w:rFonts w:eastAsia="Times New Roman"/>
          <w:color w:val="000000"/>
          <w:sz w:val="20"/>
          <w:szCs w:val="20"/>
        </w:rPr>
        <w:t>•the inventors of our owned or in-licensed patents or patent applications may become involved with competitors, develop products or processes which design a</w:t>
      </w:r>
      <w:r>
        <w:rPr>
          <w:rFonts w:eastAsia="Times New Roman"/>
          <w:color w:val="000000"/>
          <w:sz w:val="20"/>
          <w:szCs w:val="20"/>
        </w:rPr>
        <w:t>round our patents, or become hostile to us or the patents or patent applications on which they are named as inventors;</w:t>
      </w:r>
    </w:p>
    <w:p w:rsidR="00000000" w:rsidRDefault="00FD7D3C">
      <w:pPr>
        <w:ind w:hanging="1260"/>
        <w:divId w:val="1025251532"/>
        <w:rPr>
          <w:rFonts w:eastAsia="Times New Roman"/>
        </w:rPr>
      </w:pPr>
      <w:r>
        <w:rPr>
          <w:rFonts w:eastAsia="Times New Roman"/>
          <w:color w:val="000000"/>
          <w:sz w:val="20"/>
          <w:szCs w:val="20"/>
        </w:rPr>
        <w:t>•it is possible that our owned or in-licensed patents or patent applications omit individual(s) that should be listed as inventor(s) or i</w:t>
      </w:r>
      <w:r>
        <w:rPr>
          <w:rFonts w:eastAsia="Times New Roman"/>
          <w:color w:val="000000"/>
          <w:sz w:val="20"/>
          <w:szCs w:val="20"/>
        </w:rPr>
        <w:t>nclude individual(s) that should not be listed as inventor(s), which may cause these patents or patents issuing from these patent applications to be held invalid or unenforceable;</w:t>
      </w:r>
    </w:p>
    <w:p w:rsidR="00000000" w:rsidRDefault="00FD7D3C">
      <w:pPr>
        <w:ind w:hanging="1260"/>
        <w:divId w:val="1524779387"/>
        <w:rPr>
          <w:rFonts w:eastAsia="Times New Roman"/>
        </w:rPr>
      </w:pPr>
      <w:r>
        <w:rPr>
          <w:rFonts w:eastAsia="Times New Roman"/>
          <w:color w:val="000000"/>
          <w:sz w:val="20"/>
          <w:szCs w:val="20"/>
        </w:rPr>
        <w:t xml:space="preserve">•we have engaged in scientific collaborations in the past and will continue </w:t>
      </w:r>
      <w:r>
        <w:rPr>
          <w:rFonts w:eastAsia="Times New Roman"/>
          <w:color w:val="000000"/>
          <w:sz w:val="20"/>
          <w:szCs w:val="20"/>
        </w:rPr>
        <w:t>to do so in the future. Such collaborators may develop adjacent or competing products to ours that are outside the scope of our patents;</w:t>
      </w:r>
    </w:p>
    <w:p w:rsidR="00000000" w:rsidRDefault="00FD7D3C">
      <w:pPr>
        <w:ind w:hanging="1260"/>
        <w:divId w:val="547761106"/>
        <w:rPr>
          <w:rFonts w:eastAsia="Times New Roman"/>
        </w:rPr>
      </w:pPr>
      <w:r>
        <w:rPr>
          <w:rFonts w:eastAsia="Times New Roman"/>
          <w:color w:val="000000"/>
          <w:sz w:val="20"/>
          <w:szCs w:val="20"/>
        </w:rPr>
        <w:t>•we may not develop additional proprietary technologies for which we can obtain patent protection;</w:t>
      </w:r>
    </w:p>
    <w:p w:rsidR="00000000" w:rsidRDefault="00FD7D3C">
      <w:pPr>
        <w:ind w:hanging="1260"/>
        <w:divId w:val="1058552814"/>
        <w:rPr>
          <w:rFonts w:eastAsia="Times New Roman"/>
        </w:rPr>
      </w:pPr>
      <w:r>
        <w:rPr>
          <w:rFonts w:eastAsia="Times New Roman"/>
          <w:color w:val="000000"/>
          <w:sz w:val="20"/>
          <w:szCs w:val="20"/>
        </w:rPr>
        <w:t>•it is possible that</w:t>
      </w:r>
      <w:r>
        <w:rPr>
          <w:rFonts w:eastAsia="Times New Roman"/>
          <w:color w:val="000000"/>
          <w:sz w:val="20"/>
          <w:szCs w:val="20"/>
        </w:rPr>
        <w:t xml:space="preserve"> product candidates or diagnostic tests we develop may be covered by third parties’ patents or other exclusive rights; or</w:t>
      </w:r>
    </w:p>
    <w:p w:rsidR="00000000" w:rsidRDefault="00FD7D3C">
      <w:pPr>
        <w:ind w:hanging="1260"/>
        <w:divId w:val="1004087145"/>
        <w:rPr>
          <w:rFonts w:eastAsia="Times New Roman"/>
        </w:rPr>
      </w:pPr>
      <w:r>
        <w:rPr>
          <w:rFonts w:eastAsia="Times New Roman"/>
          <w:color w:val="000000"/>
          <w:sz w:val="20"/>
          <w:szCs w:val="20"/>
        </w:rPr>
        <w:t>•the patents of others may have an adverse effect on our business.</w:t>
      </w:r>
    </w:p>
    <w:p w:rsidR="00000000" w:rsidRDefault="00FD7D3C">
      <w:pPr>
        <w:ind w:firstLine="1080"/>
        <w:divId w:val="1840077536"/>
        <w:rPr>
          <w:rFonts w:eastAsia="Times New Roman"/>
        </w:rPr>
      </w:pPr>
      <w:r>
        <w:rPr>
          <w:rFonts w:eastAsia="Times New Roman"/>
          <w:b/>
          <w:bCs/>
          <w:i/>
          <w:iCs/>
          <w:color w:val="000000"/>
          <w:sz w:val="20"/>
          <w:szCs w:val="20"/>
        </w:rPr>
        <w:t>We may enter into license or other collaboration agreements in the future that may impose certain obligations on us. If we fail to comply with our obligations under such future agreements with third parties, we could lose license rights that may be importa</w:t>
      </w:r>
      <w:r>
        <w:rPr>
          <w:rFonts w:eastAsia="Times New Roman"/>
          <w:b/>
          <w:bCs/>
          <w:i/>
          <w:iCs/>
          <w:color w:val="000000"/>
          <w:sz w:val="20"/>
          <w:szCs w:val="20"/>
        </w:rPr>
        <w:t>nt to our future business.</w:t>
      </w:r>
    </w:p>
    <w:p w:rsidR="00000000" w:rsidRDefault="00FD7D3C">
      <w:pPr>
        <w:ind w:firstLine="1080"/>
        <w:divId w:val="1444419769"/>
        <w:rPr>
          <w:rFonts w:eastAsia="Times New Roman"/>
        </w:rPr>
      </w:pPr>
      <w:r>
        <w:rPr>
          <w:rFonts w:eastAsia="Times New Roman"/>
          <w:color w:val="000000"/>
          <w:sz w:val="20"/>
          <w:szCs w:val="20"/>
        </w:rPr>
        <w:t>In connection with our efforts to expand our pipeline of product candidates, we may enter into certain licenses or other collaboration agreements in the future pertaining to the in-license of rights to additional candidates. Such</w:t>
      </w:r>
      <w:r>
        <w:rPr>
          <w:rFonts w:eastAsia="Times New Roman"/>
          <w:color w:val="000000"/>
          <w:sz w:val="20"/>
          <w:szCs w:val="20"/>
        </w:rPr>
        <w:t xml:space="preserve"> agreements may impose various diligence, milestone payment, royalty, insurance, or other obligations on us. If we fail to comply with these obligations, our licensor or collaboration partners may have the right to terminate the relevant agreement, in whic</w:t>
      </w:r>
      <w:r>
        <w:rPr>
          <w:rFonts w:eastAsia="Times New Roman"/>
          <w:color w:val="000000"/>
          <w:sz w:val="20"/>
          <w:szCs w:val="20"/>
        </w:rPr>
        <w:t>h event we would not be able to develop or market the products covered by such licensed intellectual property.</w:t>
      </w:r>
    </w:p>
    <w:p w:rsidR="00000000" w:rsidRDefault="00FD7D3C">
      <w:pPr>
        <w:ind w:firstLine="1080"/>
        <w:divId w:val="307520859"/>
        <w:rPr>
          <w:rFonts w:eastAsia="Times New Roman"/>
        </w:rPr>
      </w:pPr>
      <w:r>
        <w:rPr>
          <w:rFonts w:eastAsia="Times New Roman"/>
          <w:color w:val="000000"/>
          <w:sz w:val="20"/>
          <w:szCs w:val="20"/>
        </w:rPr>
        <w:t>Moreover, disputes may arise regarding intellectual property subject to a licensing agreement, including:</w:t>
      </w:r>
    </w:p>
    <w:p w:rsidR="00000000" w:rsidRDefault="00FD7D3C">
      <w:pPr>
        <w:ind w:hanging="1260"/>
        <w:divId w:val="1887251449"/>
        <w:rPr>
          <w:rFonts w:eastAsia="Times New Roman"/>
        </w:rPr>
      </w:pPr>
      <w:r>
        <w:rPr>
          <w:rFonts w:ascii="Arial" w:eastAsia="Times New Roman" w:hAnsi="Arial" w:cs="Arial"/>
          <w:color w:val="000000"/>
        </w:rPr>
        <w:t>•</w:t>
      </w:r>
      <w:r>
        <w:rPr>
          <w:rFonts w:eastAsia="Times New Roman"/>
          <w:color w:val="000000"/>
          <w:sz w:val="20"/>
          <w:szCs w:val="20"/>
        </w:rPr>
        <w:t>the scope of rights granted under the license agreement and other interpretation-related issues;</w:t>
      </w:r>
    </w:p>
    <w:p w:rsidR="00000000" w:rsidRDefault="00FD7D3C">
      <w:pPr>
        <w:jc w:val="center"/>
        <w:divId w:val="111175380"/>
        <w:rPr>
          <w:rFonts w:eastAsia="Times New Roman"/>
        </w:rPr>
      </w:pPr>
      <w:r>
        <w:rPr>
          <w:rFonts w:eastAsia="Times New Roman"/>
          <w:color w:val="000000"/>
          <w:sz w:val="20"/>
          <w:szCs w:val="20"/>
        </w:rPr>
        <w:t>65</w:t>
      </w:r>
    </w:p>
    <w:p w:rsidR="00000000" w:rsidRDefault="00FD7D3C">
      <w:pPr>
        <w:rPr>
          <w:rFonts w:eastAsia="Times New Roman"/>
        </w:rPr>
      </w:pPr>
      <w:r>
        <w:rPr>
          <w:rFonts w:eastAsia="Times New Roman"/>
        </w:rPr>
        <w:pict>
          <v:rect id="_x0000_i1118" style="width:0;height:1.5pt" o:hralign="center" o:hrstd="t" o:hr="t" fillcolor="#a0a0a0" stroked="f"/>
        </w:pict>
      </w:r>
    </w:p>
    <w:p w:rsidR="00000000" w:rsidRDefault="00FD7D3C">
      <w:pPr>
        <w:divId w:val="821502356"/>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ind w:hanging="1260"/>
        <w:divId w:val="482507163"/>
        <w:rPr>
          <w:rFonts w:eastAsia="Times New Roman"/>
        </w:rPr>
      </w:pPr>
      <w:r>
        <w:rPr>
          <w:rFonts w:eastAsia="Times New Roman"/>
          <w:color w:val="000000"/>
          <w:sz w:val="20"/>
          <w:szCs w:val="20"/>
        </w:rPr>
        <w:t>•the extent to which our product candidates,</w:t>
      </w:r>
      <w:r>
        <w:rPr>
          <w:rFonts w:eastAsia="Times New Roman"/>
          <w:color w:val="000000"/>
          <w:sz w:val="20"/>
          <w:szCs w:val="20"/>
        </w:rPr>
        <w:t xml:space="preserve"> technology and processes infringe on intellectual property of the licensor that is not subject to the licensing agreement;</w:t>
      </w:r>
    </w:p>
    <w:p w:rsidR="00000000" w:rsidRDefault="00FD7D3C">
      <w:pPr>
        <w:ind w:hanging="1260"/>
        <w:divId w:val="1720083205"/>
        <w:rPr>
          <w:rFonts w:eastAsia="Times New Roman"/>
        </w:rPr>
      </w:pPr>
      <w:r>
        <w:rPr>
          <w:rFonts w:eastAsia="Times New Roman"/>
          <w:color w:val="000000"/>
          <w:sz w:val="20"/>
          <w:szCs w:val="20"/>
        </w:rPr>
        <w:t>•the sublicensing of patent and other rights under our collaborative development relationships;</w:t>
      </w:r>
    </w:p>
    <w:p w:rsidR="00000000" w:rsidRDefault="00FD7D3C">
      <w:pPr>
        <w:ind w:hanging="1260"/>
        <w:divId w:val="1781798066"/>
        <w:rPr>
          <w:rFonts w:eastAsia="Times New Roman"/>
        </w:rPr>
      </w:pPr>
      <w:r>
        <w:rPr>
          <w:rFonts w:eastAsia="Times New Roman"/>
          <w:color w:val="000000"/>
          <w:sz w:val="20"/>
          <w:szCs w:val="20"/>
        </w:rPr>
        <w:t>•our diligence obligations under the</w:t>
      </w:r>
      <w:r>
        <w:rPr>
          <w:rFonts w:eastAsia="Times New Roman"/>
          <w:color w:val="000000"/>
          <w:sz w:val="20"/>
          <w:szCs w:val="20"/>
        </w:rPr>
        <w:t xml:space="preserve"> license agreement and what activities satisfy those diligence obligations;</w:t>
      </w:r>
    </w:p>
    <w:p w:rsidR="00000000" w:rsidRDefault="00FD7D3C">
      <w:pPr>
        <w:ind w:hanging="1260"/>
        <w:divId w:val="1876497653"/>
        <w:rPr>
          <w:rFonts w:eastAsia="Times New Roman"/>
        </w:rPr>
      </w:pPr>
      <w:r>
        <w:rPr>
          <w:rFonts w:eastAsia="Times New Roman"/>
          <w:color w:val="000000"/>
          <w:sz w:val="20"/>
          <w:szCs w:val="20"/>
        </w:rPr>
        <w:t>•the inventorship and ownership of inventions and know-how resulting from the joint creation or use of intellectual property by our licensors and us and our partners; and</w:t>
      </w:r>
    </w:p>
    <w:p w:rsidR="00000000" w:rsidRDefault="00FD7D3C">
      <w:pPr>
        <w:ind w:hanging="1260"/>
        <w:divId w:val="180438653"/>
        <w:rPr>
          <w:rFonts w:eastAsia="Times New Roman"/>
        </w:rPr>
      </w:pPr>
      <w:r>
        <w:rPr>
          <w:rFonts w:eastAsia="Times New Roman"/>
          <w:color w:val="000000"/>
          <w:sz w:val="20"/>
          <w:szCs w:val="20"/>
        </w:rPr>
        <w:t>•the prio</w:t>
      </w:r>
      <w:r>
        <w:rPr>
          <w:rFonts w:eastAsia="Times New Roman"/>
          <w:color w:val="000000"/>
          <w:sz w:val="20"/>
          <w:szCs w:val="20"/>
        </w:rPr>
        <w:t>rity of invention of patented technology.</w:t>
      </w:r>
    </w:p>
    <w:p w:rsidR="00000000" w:rsidRDefault="00FD7D3C">
      <w:pPr>
        <w:ind w:firstLine="1080"/>
        <w:divId w:val="889879968"/>
        <w:rPr>
          <w:rFonts w:eastAsia="Times New Roman"/>
        </w:rPr>
      </w:pPr>
      <w:r>
        <w:rPr>
          <w:rFonts w:eastAsia="Times New Roman"/>
          <w:color w:val="000000"/>
          <w:sz w:val="20"/>
          <w:szCs w:val="20"/>
        </w:rPr>
        <w:t>In addition, the agreements under which we currently license intellectual property or technology from third parties are complex, and certain provisions in such agreements may be susceptible to multiple interpretati</w:t>
      </w:r>
      <w:r>
        <w:rPr>
          <w:rFonts w:eastAsia="Times New Roman"/>
          <w:color w:val="000000"/>
          <w:sz w:val="20"/>
          <w:szCs w:val="20"/>
        </w:rPr>
        <w:t>ons. The resolution of any contract interpretation disagreement that may arise could narrow what we believe to be the scope of our rights to the relevant intellectual property or technology or increase what we believe to be our financial or other obligatio</w:t>
      </w:r>
      <w:r>
        <w:rPr>
          <w:rFonts w:eastAsia="Times New Roman"/>
          <w:color w:val="000000"/>
          <w:sz w:val="20"/>
          <w:szCs w:val="20"/>
        </w:rPr>
        <w:t>ns under the relevant agreement, either of which could have a material adverse effect on our business, financial condition, results of operations, and prospects. Moreover, if disputes over intellectual property that we have licensed prevent or impair our a</w:t>
      </w:r>
      <w:r>
        <w:rPr>
          <w:rFonts w:eastAsia="Times New Roman"/>
          <w:color w:val="000000"/>
          <w:sz w:val="20"/>
          <w:szCs w:val="20"/>
        </w:rPr>
        <w:t>bility to maintain our current licensing arrangements on commercially acceptable terms, we may be unable to successfully develop and commercialize the affected product candidates, which could have a material adverse effect on our business, financial condit</w:t>
      </w:r>
      <w:r>
        <w:rPr>
          <w:rFonts w:eastAsia="Times New Roman"/>
          <w:color w:val="000000"/>
          <w:sz w:val="20"/>
          <w:szCs w:val="20"/>
        </w:rPr>
        <w:t>ions, results of operations, and prospects.</w:t>
      </w:r>
    </w:p>
    <w:p w:rsidR="00000000" w:rsidRDefault="00FD7D3C">
      <w:pPr>
        <w:ind w:firstLine="1080"/>
        <w:divId w:val="11421999"/>
        <w:rPr>
          <w:rFonts w:eastAsia="Times New Roman"/>
        </w:rPr>
      </w:pPr>
      <w:r>
        <w:rPr>
          <w:rFonts w:eastAsia="Times New Roman"/>
          <w:color w:val="000000"/>
          <w:sz w:val="20"/>
          <w:szCs w:val="20"/>
        </w:rPr>
        <w:t>In addition, we may have limited control over the maintenance and prosecution of these in-licensed patents and patent applications, or any other intellectual property that may be related to our in-licensed intell</w:t>
      </w:r>
      <w:r>
        <w:rPr>
          <w:rFonts w:eastAsia="Times New Roman"/>
          <w:color w:val="000000"/>
          <w:sz w:val="20"/>
          <w:szCs w:val="20"/>
        </w:rPr>
        <w:t>ectual property. For example, we cannot be certain that such activities by any future licensors have been or will be conducted in compliance with applicable laws and regulations or will result in valid and enforceable patents and other intellectual propert</w:t>
      </w:r>
      <w:r>
        <w:rPr>
          <w:rFonts w:eastAsia="Times New Roman"/>
          <w:color w:val="000000"/>
          <w:sz w:val="20"/>
          <w:szCs w:val="20"/>
        </w:rPr>
        <w:t>y rights. We have limited control over the manner in which our licensors initiate an infringement proceeding against a third-party infringer of the intellectual property rights or defend certain of the intellectual property that is licensed to us. It is po</w:t>
      </w:r>
      <w:r>
        <w:rPr>
          <w:rFonts w:eastAsia="Times New Roman"/>
          <w:color w:val="000000"/>
          <w:sz w:val="20"/>
          <w:szCs w:val="20"/>
        </w:rPr>
        <w:t>ssible that the licensors’ infringement proceeding, or defense activities may be less vigorous than had we conducted them ourselves.</w:t>
      </w:r>
    </w:p>
    <w:p w:rsidR="00000000" w:rsidRDefault="00FD7D3C">
      <w:pPr>
        <w:ind w:firstLine="1080"/>
        <w:divId w:val="1070273762"/>
        <w:rPr>
          <w:rFonts w:eastAsia="Times New Roman"/>
        </w:rPr>
      </w:pPr>
      <w:r>
        <w:rPr>
          <w:rFonts w:eastAsia="Times New Roman"/>
          <w:b/>
          <w:bCs/>
          <w:i/>
          <w:iCs/>
          <w:color w:val="000000"/>
          <w:sz w:val="20"/>
          <w:szCs w:val="20"/>
        </w:rPr>
        <w:t>If we are unable to protect the confidentiality of our trade secrets, our business and competitive position would be harmed</w:t>
      </w:r>
      <w:r>
        <w:rPr>
          <w:rFonts w:eastAsia="Times New Roman"/>
          <w:b/>
          <w:bCs/>
          <w:i/>
          <w:iCs/>
          <w:color w:val="000000"/>
          <w:sz w:val="20"/>
          <w:szCs w:val="20"/>
        </w:rPr>
        <w:t>.</w:t>
      </w:r>
    </w:p>
    <w:p w:rsidR="00000000" w:rsidRDefault="00FD7D3C">
      <w:pPr>
        <w:ind w:firstLine="1080"/>
        <w:divId w:val="1092168250"/>
        <w:rPr>
          <w:rFonts w:eastAsia="Times New Roman"/>
        </w:rPr>
      </w:pPr>
      <w:r>
        <w:rPr>
          <w:rFonts w:eastAsia="Times New Roman"/>
          <w:color w:val="000000"/>
          <w:sz w:val="20"/>
          <w:szCs w:val="20"/>
        </w:rPr>
        <w:t>In addition to patent protection, we rely heavily upon know-how and trade secret protection, as well as non-disclosure agreements and invention assignment agreements with our employees, consultants and third parties, to protect our confidential and propr</w:t>
      </w:r>
      <w:r>
        <w:rPr>
          <w:rFonts w:eastAsia="Times New Roman"/>
          <w:color w:val="000000"/>
          <w:sz w:val="20"/>
          <w:szCs w:val="20"/>
        </w:rPr>
        <w:t>ietary information, especially where we do not believe patent protection is appropriate or obtainable. In addition to contractual measures, we try to protect the confidential nature of our proprietary information using physical and technological security m</w:t>
      </w:r>
      <w:r>
        <w:rPr>
          <w:rFonts w:eastAsia="Times New Roman"/>
          <w:color w:val="000000"/>
          <w:sz w:val="20"/>
          <w:szCs w:val="20"/>
        </w:rPr>
        <w:t>easures. Such measures may not, for example, in the case of misappropriation of a trade secret by an employee or third-party with authorized access, provide adequate protection for our proprietary information. Our security measures may not prevent an emplo</w:t>
      </w:r>
      <w:r>
        <w:rPr>
          <w:rFonts w:eastAsia="Times New Roman"/>
          <w:color w:val="000000"/>
          <w:sz w:val="20"/>
          <w:szCs w:val="20"/>
        </w:rPr>
        <w:t>yee or consultant from misappropriating our trade secrets and providing them to a competitor, and recourse we take against such misconduct may not provide an adequate remedy to protect our interests fully. Enforcing a claim that a party illegally disclosed</w:t>
      </w:r>
      <w:r>
        <w:rPr>
          <w:rFonts w:eastAsia="Times New Roman"/>
          <w:color w:val="000000"/>
          <w:sz w:val="20"/>
          <w:szCs w:val="20"/>
        </w:rPr>
        <w:t xml:space="preserve"> or misappropriated a trade secret can be difficult, expensive, and time-consuming, and the outcome is unpredictable. In addition, trade secrets may be independently developed by others in a manner that could prevent legal recourse by us. For example, our </w:t>
      </w:r>
      <w:r>
        <w:rPr>
          <w:rFonts w:eastAsia="Times New Roman"/>
          <w:color w:val="000000"/>
          <w:sz w:val="20"/>
          <w:szCs w:val="20"/>
        </w:rPr>
        <w:t>clinical development strategy includes the testing of live tissue samples, and our techniques for preserving and testing these samples are proprietary and confidential. If one or more third parties obtain or are otherwise able to replicate these techniques</w:t>
      </w:r>
      <w:r>
        <w:rPr>
          <w:rFonts w:eastAsia="Times New Roman"/>
          <w:color w:val="000000"/>
          <w:sz w:val="20"/>
          <w:szCs w:val="20"/>
        </w:rPr>
        <w:t xml:space="preserve">, an important feature and differentiator of our clinical development strategy will become available to potential competitors. If any of our confidential or proprietary information, such as our trade secrets, were to be disclosed or misappropriated, or if </w:t>
      </w:r>
      <w:r>
        <w:rPr>
          <w:rFonts w:eastAsia="Times New Roman"/>
          <w:color w:val="000000"/>
          <w:sz w:val="20"/>
          <w:szCs w:val="20"/>
        </w:rPr>
        <w:t>any such information was independently developed by a competitor, our competitive position could be harmed.</w:t>
      </w:r>
    </w:p>
    <w:p w:rsidR="00000000" w:rsidRDefault="00FD7D3C">
      <w:pPr>
        <w:ind w:firstLine="1080"/>
        <w:divId w:val="113908200"/>
        <w:rPr>
          <w:rFonts w:eastAsia="Times New Roman"/>
        </w:rPr>
      </w:pPr>
      <w:r>
        <w:rPr>
          <w:rFonts w:eastAsia="Times New Roman"/>
          <w:color w:val="000000"/>
          <w:sz w:val="20"/>
          <w:szCs w:val="20"/>
        </w:rPr>
        <w:t>In addition, courts outside the United States are sometimes less willing to protect trade secrets. If we choose to go to court to stop a third-party</w:t>
      </w:r>
      <w:r>
        <w:rPr>
          <w:rFonts w:eastAsia="Times New Roman"/>
          <w:color w:val="000000"/>
          <w:sz w:val="20"/>
          <w:szCs w:val="20"/>
        </w:rPr>
        <w:t xml:space="preserve"> from using any of our trade secrets, we may incur substantial costs. These lawsuits may consume our time and other resources even if we are successful. Although we take steps to protect our proprietary information and trade secrets, including through cont</w:t>
      </w:r>
      <w:r>
        <w:rPr>
          <w:rFonts w:eastAsia="Times New Roman"/>
          <w:color w:val="000000"/>
          <w:sz w:val="20"/>
          <w:szCs w:val="20"/>
        </w:rPr>
        <w:t>ractual means with our employees and consultants, third parties may independently develop substantially equivalent proprietary information and techniques or otherwise gain access to our trade secrets or disclose our technology.</w:t>
      </w:r>
    </w:p>
    <w:p w:rsidR="00000000" w:rsidRDefault="00FD7D3C">
      <w:pPr>
        <w:ind w:firstLine="1080"/>
        <w:divId w:val="1494754355"/>
        <w:rPr>
          <w:rFonts w:eastAsia="Times New Roman"/>
        </w:rPr>
      </w:pPr>
      <w:r>
        <w:rPr>
          <w:rFonts w:eastAsia="Times New Roman"/>
          <w:color w:val="000000"/>
          <w:sz w:val="20"/>
          <w:szCs w:val="20"/>
        </w:rPr>
        <w:t xml:space="preserve">Thus, we may not be able to </w:t>
      </w:r>
      <w:r>
        <w:rPr>
          <w:rFonts w:eastAsia="Times New Roman"/>
          <w:color w:val="000000"/>
          <w:sz w:val="20"/>
          <w:szCs w:val="20"/>
        </w:rPr>
        <w:t>meaningfully protect our trade secrets. It is our policy to require our employees, consultants, outside scientific collaborators, sponsored researchers and other advisors to execute confidentiality agreements upon the commencement of employment or consulti</w:t>
      </w:r>
      <w:r>
        <w:rPr>
          <w:rFonts w:eastAsia="Times New Roman"/>
          <w:color w:val="000000"/>
          <w:sz w:val="20"/>
          <w:szCs w:val="20"/>
        </w:rPr>
        <w:t xml:space="preserve">ng relationships with us. These agreements provide that all confidential </w:t>
      </w:r>
    </w:p>
    <w:p w:rsidR="00000000" w:rsidRDefault="00FD7D3C">
      <w:pPr>
        <w:jc w:val="center"/>
        <w:divId w:val="1398363184"/>
        <w:rPr>
          <w:rFonts w:eastAsia="Times New Roman"/>
        </w:rPr>
      </w:pPr>
      <w:r>
        <w:rPr>
          <w:rFonts w:eastAsia="Times New Roman"/>
          <w:color w:val="000000"/>
          <w:sz w:val="20"/>
          <w:szCs w:val="20"/>
        </w:rPr>
        <w:t>66</w:t>
      </w:r>
    </w:p>
    <w:p w:rsidR="00000000" w:rsidRDefault="00FD7D3C">
      <w:pPr>
        <w:rPr>
          <w:rFonts w:eastAsia="Times New Roman"/>
        </w:rPr>
      </w:pPr>
      <w:r>
        <w:rPr>
          <w:rFonts w:eastAsia="Times New Roman"/>
        </w:rPr>
        <w:pict>
          <v:rect id="_x0000_i1119" style="width:0;height:1.5pt" o:hralign="center" o:hrstd="t" o:hr="t" fillcolor="#a0a0a0" stroked="f"/>
        </w:pict>
      </w:r>
    </w:p>
    <w:p w:rsidR="00000000" w:rsidRDefault="00FD7D3C">
      <w:pPr>
        <w:divId w:val="2143881411"/>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divId w:val="1732381218"/>
        <w:rPr>
          <w:rFonts w:eastAsia="Times New Roman"/>
        </w:rPr>
      </w:pPr>
      <w:r>
        <w:rPr>
          <w:rFonts w:eastAsia="Times New Roman"/>
          <w:color w:val="000000"/>
          <w:sz w:val="20"/>
          <w:szCs w:val="20"/>
        </w:rPr>
        <w:t>information concerning our business or financial affairs developed</w:t>
      </w:r>
      <w:r>
        <w:rPr>
          <w:rFonts w:eastAsia="Times New Roman"/>
          <w:color w:val="000000"/>
          <w:sz w:val="20"/>
          <w:szCs w:val="20"/>
        </w:rPr>
        <w:t xml:space="preserve"> by or made known to the individual or entity during the course of the party’s relationship with us is to be kept confidential and not disclosed to third parties except in specific circumstances. In the case of employees, the agreements provide that all in</w:t>
      </w:r>
      <w:r>
        <w:rPr>
          <w:rFonts w:eastAsia="Times New Roman"/>
          <w:color w:val="000000"/>
          <w:sz w:val="20"/>
          <w:szCs w:val="20"/>
        </w:rPr>
        <w:t>ventions conceived by the individual, and which are related to our current or planned business or research and development or made during normal working hours, on our premises or using our equipment or proprietary information, are our exclusive property. I</w:t>
      </w:r>
      <w:r>
        <w:rPr>
          <w:rFonts w:eastAsia="Times New Roman"/>
          <w:color w:val="000000"/>
          <w:sz w:val="20"/>
          <w:szCs w:val="20"/>
        </w:rPr>
        <w:t>n addition, we take other appropriate precautions, such as physical and technological security measures, to guard against misappropriation of our proprietary technology by third parties. We have also adopted policies and conduct training that provides guid</w:t>
      </w:r>
      <w:r>
        <w:rPr>
          <w:rFonts w:eastAsia="Times New Roman"/>
          <w:color w:val="000000"/>
          <w:sz w:val="20"/>
          <w:szCs w:val="20"/>
        </w:rPr>
        <w:t>ance on our expectations, and our advice for best practices, in protecting our trade secrets.</w:t>
      </w:r>
    </w:p>
    <w:p w:rsidR="00000000" w:rsidRDefault="00FD7D3C">
      <w:pPr>
        <w:ind w:firstLine="1080"/>
        <w:divId w:val="1413621711"/>
        <w:rPr>
          <w:rFonts w:eastAsia="Times New Roman"/>
        </w:rPr>
      </w:pPr>
      <w:r>
        <w:rPr>
          <w:rFonts w:eastAsia="Times New Roman"/>
          <w:b/>
          <w:bCs/>
          <w:i/>
          <w:iCs/>
          <w:color w:val="000000"/>
          <w:sz w:val="20"/>
          <w:szCs w:val="20"/>
        </w:rPr>
        <w:t>Third-party claims of intellectual property infringement may prevent or delay our product discovery and development efforts.</w:t>
      </w:r>
    </w:p>
    <w:p w:rsidR="00000000" w:rsidRDefault="00FD7D3C">
      <w:pPr>
        <w:ind w:firstLine="1080"/>
        <w:divId w:val="972642025"/>
        <w:rPr>
          <w:rFonts w:eastAsia="Times New Roman"/>
        </w:rPr>
      </w:pPr>
      <w:r>
        <w:rPr>
          <w:rFonts w:eastAsia="Times New Roman"/>
          <w:color w:val="000000"/>
          <w:sz w:val="20"/>
          <w:szCs w:val="20"/>
        </w:rPr>
        <w:t>Our commercial success depends in par</w:t>
      </w:r>
      <w:r>
        <w:rPr>
          <w:rFonts w:eastAsia="Times New Roman"/>
          <w:color w:val="000000"/>
          <w:sz w:val="20"/>
          <w:szCs w:val="20"/>
        </w:rPr>
        <w:t>t on our ability to develop, manufacture, market and sell our product candidates and use our proprietary technologies without infringing the proprietary rights of third parties. There is a substantial amount of litigation involving patents and other intell</w:t>
      </w:r>
      <w:r>
        <w:rPr>
          <w:rFonts w:eastAsia="Times New Roman"/>
          <w:color w:val="000000"/>
          <w:sz w:val="20"/>
          <w:szCs w:val="20"/>
        </w:rPr>
        <w:t>ectual property rights in the biotechnology and biopharmaceutical industries, as well as administrative proceedings for challenging patents, including interference, derivation, inter partes review, post grant review, and reexamination proceedings before th</w:t>
      </w:r>
      <w:r>
        <w:rPr>
          <w:rFonts w:eastAsia="Times New Roman"/>
          <w:color w:val="000000"/>
          <w:sz w:val="20"/>
          <w:szCs w:val="20"/>
        </w:rPr>
        <w:t>e USPTO or oppositions and other comparable proceedings in foreign jurisdictions. We may be exposed to, or threatened with, future litigation by third parties having patent or other intellectual property rights alleging that our product candidates and/or p</w:t>
      </w:r>
      <w:r>
        <w:rPr>
          <w:rFonts w:eastAsia="Times New Roman"/>
          <w:color w:val="000000"/>
          <w:sz w:val="20"/>
          <w:szCs w:val="20"/>
        </w:rPr>
        <w:t>roprietary technologies infringe their intellectual property rights. Numerous U.S. and foreign issued patents and pending patent applications, which are owned by third parties, exist in the fields in which we are developing our product candidates. As the b</w:t>
      </w:r>
      <w:r>
        <w:rPr>
          <w:rFonts w:eastAsia="Times New Roman"/>
          <w:color w:val="000000"/>
          <w:sz w:val="20"/>
          <w:szCs w:val="20"/>
        </w:rPr>
        <w:t>iotechnology and biopharmaceutical industries expand and more patents are issued, the risk increases that our product candidates may give rise to claims of infringement of the patent rights of others. Moreover, it is not always clear to industry participan</w:t>
      </w:r>
      <w:r>
        <w:rPr>
          <w:rFonts w:eastAsia="Times New Roman"/>
          <w:color w:val="000000"/>
          <w:sz w:val="20"/>
          <w:szCs w:val="20"/>
        </w:rPr>
        <w:t>ts, including us, which patents cover various types of drugs, products or their methods of use or manufacture. Thus, because of the large number of patents issued and patent applications filed in our fields, there may be a risk that third parties may alleg</w:t>
      </w:r>
      <w:r>
        <w:rPr>
          <w:rFonts w:eastAsia="Times New Roman"/>
          <w:color w:val="000000"/>
          <w:sz w:val="20"/>
          <w:szCs w:val="20"/>
        </w:rPr>
        <w:t>e they have patent rights encompassing our product candidates, technologies, or methods.</w:t>
      </w:r>
    </w:p>
    <w:p w:rsidR="00000000" w:rsidRDefault="00FD7D3C">
      <w:pPr>
        <w:ind w:firstLine="1080"/>
        <w:divId w:val="1050493235"/>
        <w:rPr>
          <w:rFonts w:eastAsia="Times New Roman"/>
        </w:rPr>
      </w:pPr>
      <w:r>
        <w:rPr>
          <w:rFonts w:eastAsia="Times New Roman"/>
          <w:color w:val="000000"/>
          <w:sz w:val="20"/>
          <w:szCs w:val="20"/>
        </w:rPr>
        <w:t>If a third-party claims that we infringe its intellectual property rights, we may face a number of issues, including, but not limited to:</w:t>
      </w:r>
    </w:p>
    <w:p w:rsidR="00000000" w:rsidRDefault="00FD7D3C">
      <w:pPr>
        <w:ind w:hanging="1260"/>
        <w:divId w:val="1796363357"/>
        <w:rPr>
          <w:rFonts w:eastAsia="Times New Roman"/>
        </w:rPr>
      </w:pPr>
      <w:r>
        <w:rPr>
          <w:rFonts w:ascii="Arial" w:eastAsia="Times New Roman" w:hAnsi="Arial" w:cs="Arial"/>
          <w:color w:val="000000"/>
        </w:rPr>
        <w:t>•</w:t>
      </w:r>
      <w:r>
        <w:rPr>
          <w:rFonts w:eastAsia="Times New Roman"/>
          <w:color w:val="000000"/>
          <w:sz w:val="20"/>
          <w:szCs w:val="20"/>
        </w:rPr>
        <w:t>infringement and other intellectual property claims which, regardless of merit, may be expensive and time-consuming to litigate and may divert our management’s attention from our core business;</w:t>
      </w:r>
    </w:p>
    <w:p w:rsidR="00000000" w:rsidRDefault="00FD7D3C">
      <w:pPr>
        <w:ind w:hanging="1260"/>
        <w:divId w:val="574363035"/>
        <w:rPr>
          <w:rFonts w:eastAsia="Times New Roman"/>
        </w:rPr>
      </w:pPr>
      <w:r>
        <w:rPr>
          <w:rFonts w:eastAsia="Times New Roman"/>
          <w:color w:val="000000"/>
          <w:sz w:val="20"/>
          <w:szCs w:val="20"/>
        </w:rPr>
        <w:t>•substantial damages for infringement, which we may have to pa</w:t>
      </w:r>
      <w:r>
        <w:rPr>
          <w:rFonts w:eastAsia="Times New Roman"/>
          <w:color w:val="000000"/>
          <w:sz w:val="20"/>
          <w:szCs w:val="20"/>
        </w:rPr>
        <w:t>y if a court decides that the product candidate or technology at issue infringes on or violates the third-party’s rights, and, if the court finds that the infringement was willful, we could be ordered to pay treble damages and the patent owner’s attorneys’</w:t>
      </w:r>
      <w:r>
        <w:rPr>
          <w:rFonts w:eastAsia="Times New Roman"/>
          <w:color w:val="000000"/>
          <w:sz w:val="20"/>
          <w:szCs w:val="20"/>
        </w:rPr>
        <w:t xml:space="preserve"> fees;</w:t>
      </w:r>
    </w:p>
    <w:p w:rsidR="00000000" w:rsidRDefault="00FD7D3C">
      <w:pPr>
        <w:ind w:hanging="1260"/>
        <w:divId w:val="1668048152"/>
        <w:rPr>
          <w:rFonts w:eastAsia="Times New Roman"/>
        </w:rPr>
      </w:pPr>
      <w:r>
        <w:rPr>
          <w:rFonts w:eastAsia="Times New Roman"/>
          <w:color w:val="000000"/>
          <w:sz w:val="20"/>
          <w:szCs w:val="20"/>
        </w:rPr>
        <w:t>•a court prohibiting us from developing, manufacturing, marketing or selling our product candidates, or from using our proprietary technologies, unless the third-party licenses its product rights to us, which it is not required to do;</w:t>
      </w:r>
    </w:p>
    <w:p w:rsidR="00000000" w:rsidRDefault="00FD7D3C">
      <w:pPr>
        <w:ind w:hanging="1260"/>
        <w:divId w:val="1772357184"/>
        <w:rPr>
          <w:rFonts w:eastAsia="Times New Roman"/>
        </w:rPr>
      </w:pPr>
      <w:r>
        <w:rPr>
          <w:rFonts w:eastAsia="Times New Roman"/>
          <w:color w:val="000000"/>
          <w:sz w:val="20"/>
          <w:szCs w:val="20"/>
        </w:rPr>
        <w:t xml:space="preserve">•if a license </w:t>
      </w:r>
      <w:r>
        <w:rPr>
          <w:rFonts w:eastAsia="Times New Roman"/>
          <w:color w:val="000000"/>
          <w:sz w:val="20"/>
          <w:szCs w:val="20"/>
        </w:rPr>
        <w:t>is available from a third-party, we may have to pay substantial royalties, upfront fees and other amounts, and/or grant cross-licenses to intellectual property rights for our products and any license that is available may be non-exclusive, which could resu</w:t>
      </w:r>
      <w:r>
        <w:rPr>
          <w:rFonts w:eastAsia="Times New Roman"/>
          <w:color w:val="000000"/>
          <w:sz w:val="20"/>
          <w:szCs w:val="20"/>
        </w:rPr>
        <w:t>lt in our competitors gaining access to the same intellectual property; and</w:t>
      </w:r>
    </w:p>
    <w:p w:rsidR="00000000" w:rsidRDefault="00FD7D3C">
      <w:pPr>
        <w:ind w:hanging="1260"/>
        <w:divId w:val="1145388083"/>
        <w:rPr>
          <w:rFonts w:eastAsia="Times New Roman"/>
        </w:rPr>
      </w:pPr>
      <w:r>
        <w:rPr>
          <w:rFonts w:eastAsia="Times New Roman"/>
          <w:color w:val="000000"/>
          <w:sz w:val="20"/>
          <w:szCs w:val="20"/>
        </w:rPr>
        <w:t>•redesigning our product candidates or processes so they do not infringe, which may not be possible or may require substantial monetary expenditures and time.</w:t>
      </w:r>
    </w:p>
    <w:p w:rsidR="00000000" w:rsidRDefault="00FD7D3C">
      <w:pPr>
        <w:ind w:firstLine="1080"/>
        <w:divId w:val="427042753"/>
        <w:rPr>
          <w:rFonts w:eastAsia="Times New Roman"/>
        </w:rPr>
      </w:pPr>
      <w:r>
        <w:rPr>
          <w:rFonts w:eastAsia="Times New Roman"/>
          <w:color w:val="000000"/>
          <w:sz w:val="20"/>
          <w:szCs w:val="20"/>
        </w:rPr>
        <w:t>Some of our competitors may be able to sustain the costs of complex patent litigation more effectively than we can because they have substantially greater resources. In addition, any uncertainties resulting from the initiation and continuation of any litig</w:t>
      </w:r>
      <w:r>
        <w:rPr>
          <w:rFonts w:eastAsia="Times New Roman"/>
          <w:color w:val="000000"/>
          <w:sz w:val="20"/>
          <w:szCs w:val="20"/>
        </w:rPr>
        <w:t>ation could have a material adverse effect on our ability to raise the funds necessary to continue our operations or could otherwise have a material adverse effect on our business, results of operations, financial condition, and prospects. Furthermore, bec</w:t>
      </w:r>
      <w:r>
        <w:rPr>
          <w:rFonts w:eastAsia="Times New Roman"/>
          <w:color w:val="000000"/>
          <w:sz w:val="20"/>
          <w:szCs w:val="20"/>
        </w:rPr>
        <w:t>ause of the substantial amount of discovery required in connection with intellectual property litigation or administrative proceedings, there is a risk that some of our confidential information could be compromised by disclosure.</w:t>
      </w:r>
    </w:p>
    <w:p w:rsidR="00000000" w:rsidRDefault="00FD7D3C">
      <w:pPr>
        <w:ind w:firstLine="1080"/>
        <w:divId w:val="621114749"/>
        <w:rPr>
          <w:rFonts w:eastAsia="Times New Roman"/>
        </w:rPr>
      </w:pPr>
      <w:r>
        <w:rPr>
          <w:rFonts w:eastAsia="Times New Roman"/>
          <w:b/>
          <w:bCs/>
          <w:i/>
          <w:iCs/>
          <w:color w:val="000000"/>
          <w:sz w:val="20"/>
          <w:szCs w:val="20"/>
        </w:rPr>
        <w:t>Our collaborators may asse</w:t>
      </w:r>
      <w:r>
        <w:rPr>
          <w:rFonts w:eastAsia="Times New Roman"/>
          <w:b/>
          <w:bCs/>
          <w:i/>
          <w:iCs/>
          <w:color w:val="000000"/>
          <w:sz w:val="20"/>
          <w:szCs w:val="20"/>
        </w:rPr>
        <w:t>rt ownership or commercial rights to inventions they develop from research we support or that we develop from our use of the tissue samples or other biological materials, which they provide to us, or otherwise arising from the collaboration.</w:t>
      </w:r>
    </w:p>
    <w:p w:rsidR="00000000" w:rsidRDefault="00FD7D3C">
      <w:pPr>
        <w:jc w:val="center"/>
        <w:divId w:val="1605378058"/>
        <w:rPr>
          <w:rFonts w:eastAsia="Times New Roman"/>
        </w:rPr>
      </w:pPr>
      <w:r>
        <w:rPr>
          <w:rFonts w:eastAsia="Times New Roman"/>
          <w:color w:val="000000"/>
          <w:sz w:val="20"/>
          <w:szCs w:val="20"/>
        </w:rPr>
        <w:t>67</w:t>
      </w:r>
    </w:p>
    <w:p w:rsidR="00000000" w:rsidRDefault="00FD7D3C">
      <w:pPr>
        <w:rPr>
          <w:rFonts w:eastAsia="Times New Roman"/>
        </w:rPr>
      </w:pPr>
      <w:r>
        <w:rPr>
          <w:rFonts w:eastAsia="Times New Roman"/>
        </w:rPr>
        <w:pict>
          <v:rect id="_x0000_i1120" style="width:0;height:1.5pt" o:hralign="center" o:hrstd="t" o:hr="t" fillcolor="#a0a0a0" stroked="f"/>
        </w:pict>
      </w:r>
    </w:p>
    <w:p w:rsidR="00000000" w:rsidRDefault="00FD7D3C">
      <w:pPr>
        <w:divId w:val="1663388968"/>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ind w:firstLine="1080"/>
        <w:divId w:val="2057966456"/>
        <w:rPr>
          <w:rFonts w:eastAsia="Times New Roman"/>
        </w:rPr>
      </w:pPr>
      <w:r>
        <w:rPr>
          <w:rFonts w:eastAsia="Times New Roman"/>
          <w:color w:val="000000"/>
          <w:sz w:val="20"/>
          <w:szCs w:val="20"/>
        </w:rPr>
        <w:t>We collaborate with several institutions, universities, medical centers, physicians, and researchers in scientific matters and expect to continue to enter</w:t>
      </w:r>
      <w:r>
        <w:rPr>
          <w:rFonts w:eastAsia="Times New Roman"/>
          <w:color w:val="000000"/>
          <w:sz w:val="20"/>
          <w:szCs w:val="20"/>
        </w:rPr>
        <w:t xml:space="preserve"> into additional collaboration agreements. In certain cases, we do not have written agreements with these collaborators, or the written agreements we have do not cover intellectual property rights. Also, we rely on numerous third parties to provide us with</w:t>
      </w:r>
      <w:r>
        <w:rPr>
          <w:rFonts w:eastAsia="Times New Roman"/>
          <w:color w:val="000000"/>
          <w:sz w:val="20"/>
          <w:szCs w:val="20"/>
        </w:rPr>
        <w:t xml:space="preserve"> tissue samples and biological materials that we use to conduct our research activities and develop our product candidates. If we cannot successfully negotiate sufficient ownership and commercial rights to any inventions that result from our use of a third</w:t>
      </w:r>
      <w:r>
        <w:rPr>
          <w:rFonts w:eastAsia="Times New Roman"/>
          <w:color w:val="000000"/>
          <w:sz w:val="20"/>
          <w:szCs w:val="20"/>
        </w:rPr>
        <w:t>-party collaborator’s materials, or if disputes arise with respect to the intellectual property developed with the use of a collaborator’s samples, or data developed in a collaborator’s study, we may be limited in our ability to capitalize on the market po</w:t>
      </w:r>
      <w:r>
        <w:rPr>
          <w:rFonts w:eastAsia="Times New Roman"/>
          <w:color w:val="000000"/>
          <w:sz w:val="20"/>
          <w:szCs w:val="20"/>
        </w:rPr>
        <w:t>tential of these inventions or developments.</w:t>
      </w:r>
    </w:p>
    <w:p w:rsidR="00000000" w:rsidRDefault="00FD7D3C">
      <w:pPr>
        <w:ind w:firstLine="1080"/>
        <w:divId w:val="1569653257"/>
        <w:rPr>
          <w:rFonts w:eastAsia="Times New Roman"/>
        </w:rPr>
      </w:pPr>
      <w:r>
        <w:rPr>
          <w:rFonts w:eastAsia="Times New Roman"/>
          <w:b/>
          <w:bCs/>
          <w:i/>
          <w:iCs/>
          <w:color w:val="000000"/>
          <w:sz w:val="20"/>
          <w:szCs w:val="20"/>
        </w:rPr>
        <w:t>Third parties may assert that we are employing their proprietary technology without authorization.</w:t>
      </w:r>
    </w:p>
    <w:p w:rsidR="00000000" w:rsidRDefault="00FD7D3C">
      <w:pPr>
        <w:ind w:firstLine="1080"/>
        <w:divId w:val="633757840"/>
        <w:rPr>
          <w:rFonts w:eastAsia="Times New Roman"/>
        </w:rPr>
      </w:pPr>
      <w:r>
        <w:rPr>
          <w:rFonts w:eastAsia="Times New Roman"/>
          <w:color w:val="000000"/>
          <w:sz w:val="20"/>
          <w:szCs w:val="20"/>
        </w:rPr>
        <w:t>There may be third-party patents of which we are currently unaware with claims to compositions of matter, materi</w:t>
      </w:r>
      <w:r>
        <w:rPr>
          <w:rFonts w:eastAsia="Times New Roman"/>
          <w:color w:val="000000"/>
          <w:sz w:val="20"/>
          <w:szCs w:val="20"/>
        </w:rPr>
        <w:t xml:space="preserve">als, formulations, methods of manufacture or methods for treatment that encompass the composition, use or manufacture of our product candidates. There may be currently pending patent applications of which we are currently unaware which may later result in </w:t>
      </w:r>
      <w:r>
        <w:rPr>
          <w:rFonts w:eastAsia="Times New Roman"/>
          <w:color w:val="000000"/>
          <w:sz w:val="20"/>
          <w:szCs w:val="20"/>
        </w:rPr>
        <w:t>issued patents that our product candidates or their use or manufacture may infringe. In addition, third parties may obtain patents in the future and claim that use of our technologies infringes upon these patents. If any third-party patent were held by a c</w:t>
      </w:r>
      <w:r>
        <w:rPr>
          <w:rFonts w:eastAsia="Times New Roman"/>
          <w:color w:val="000000"/>
          <w:sz w:val="20"/>
          <w:szCs w:val="20"/>
        </w:rPr>
        <w:t>ourt of competent jurisdiction to cover our product candidates, intermediates used in the manufacture of our product candidates or our materials generally, aspects of our formulations or methods of use, the holders of any such patent may be able to block o</w:t>
      </w:r>
      <w:r>
        <w:rPr>
          <w:rFonts w:eastAsia="Times New Roman"/>
          <w:color w:val="000000"/>
          <w:sz w:val="20"/>
          <w:szCs w:val="20"/>
        </w:rPr>
        <w:t>ur ability to develop and commercialize the product candidate unless we obtained a license or until such patent expires or is finally determined to be held invalid or unenforceable. In either case, such a license may not be available on commercially reason</w:t>
      </w:r>
      <w:r>
        <w:rPr>
          <w:rFonts w:eastAsia="Times New Roman"/>
          <w:color w:val="000000"/>
          <w:sz w:val="20"/>
          <w:szCs w:val="20"/>
        </w:rPr>
        <w:t>able terms or at all. If we are unable to obtain a necessary license to a third-party patent on commercially reasonable terms, or at all, our ability to commercialize our product candidates may be impaired or delayed, which could in turn significantly harm</w:t>
      </w:r>
      <w:r>
        <w:rPr>
          <w:rFonts w:eastAsia="Times New Roman"/>
          <w:color w:val="000000"/>
          <w:sz w:val="20"/>
          <w:szCs w:val="20"/>
        </w:rPr>
        <w:t xml:space="preserve"> our business. Even if we obtain a license, it may be non-exclusive, thereby giving our competitors access to the same technologies licensed to us. In addition, if the breadth or strength of protection provided by our patents and patent applications is thr</w:t>
      </w:r>
      <w:r>
        <w:rPr>
          <w:rFonts w:eastAsia="Times New Roman"/>
          <w:color w:val="000000"/>
          <w:sz w:val="20"/>
          <w:szCs w:val="20"/>
        </w:rPr>
        <w:t>eatened, it could dissuade companies from collaborating with us to license, develop or commercialize current or future product candidates.</w:t>
      </w:r>
    </w:p>
    <w:p w:rsidR="00000000" w:rsidRDefault="00FD7D3C">
      <w:pPr>
        <w:ind w:firstLine="1080"/>
        <w:divId w:val="267277020"/>
        <w:rPr>
          <w:rFonts w:eastAsia="Times New Roman"/>
        </w:rPr>
      </w:pPr>
      <w:r>
        <w:rPr>
          <w:rFonts w:eastAsia="Times New Roman"/>
          <w:color w:val="000000"/>
          <w:sz w:val="20"/>
          <w:szCs w:val="20"/>
        </w:rPr>
        <w:t>Parties making claims against us may seek and obtain injunctive or other equitable relief, which could effectively bl</w:t>
      </w:r>
      <w:r>
        <w:rPr>
          <w:rFonts w:eastAsia="Times New Roman"/>
          <w:color w:val="000000"/>
          <w:sz w:val="20"/>
          <w:szCs w:val="20"/>
        </w:rPr>
        <w:t>ock our ability to further develop and commercialize our product candidates. Defense of these claims, regardless of their merit, would involve substantial litigation expense and would be a substantial diversion of employee resources from our business. In t</w:t>
      </w:r>
      <w:r>
        <w:rPr>
          <w:rFonts w:eastAsia="Times New Roman"/>
          <w:color w:val="000000"/>
          <w:sz w:val="20"/>
          <w:szCs w:val="20"/>
        </w:rPr>
        <w:t>he event of a successful claim of infringement against us, we may have to pay substantial damages, including treble damages and attorneys’ fees for willful infringement, obtain one or more licenses from third parties, pay royalties, or redesign our infring</w:t>
      </w:r>
      <w:r>
        <w:rPr>
          <w:rFonts w:eastAsia="Times New Roman"/>
          <w:color w:val="000000"/>
          <w:sz w:val="20"/>
          <w:szCs w:val="20"/>
        </w:rPr>
        <w:t>ing products, which may be impossible or require substantial time and monetary expenditure. We cannot predict whether any such license would be available at all or whether it would be available on commercially reasonable terms. Furthermore, even in the abs</w:t>
      </w:r>
      <w:r>
        <w:rPr>
          <w:rFonts w:eastAsia="Times New Roman"/>
          <w:color w:val="000000"/>
          <w:sz w:val="20"/>
          <w:szCs w:val="20"/>
        </w:rPr>
        <w:t xml:space="preserve">ence of litigation, we may need to obtain licenses from third parties to advance our research or allow commercialization of our product candidates. We may fail to obtain any of these licenses at a reasonable cost or on reasonable terms, if at all. In that </w:t>
      </w:r>
      <w:r>
        <w:rPr>
          <w:rFonts w:eastAsia="Times New Roman"/>
          <w:color w:val="000000"/>
          <w:sz w:val="20"/>
          <w:szCs w:val="20"/>
        </w:rPr>
        <w:t>event, we would be unable to further develop and commercialize our product candidates, which could harm our business significantly.</w:t>
      </w:r>
    </w:p>
    <w:p w:rsidR="00000000" w:rsidRDefault="00FD7D3C">
      <w:pPr>
        <w:ind w:firstLine="1080"/>
        <w:divId w:val="1741948413"/>
        <w:rPr>
          <w:rFonts w:eastAsia="Times New Roman"/>
        </w:rPr>
      </w:pPr>
      <w:r>
        <w:rPr>
          <w:rFonts w:eastAsia="Times New Roman"/>
          <w:b/>
          <w:bCs/>
          <w:i/>
          <w:iCs/>
          <w:color w:val="000000"/>
          <w:sz w:val="20"/>
          <w:szCs w:val="20"/>
        </w:rPr>
        <w:t>Third parties may assert that our employees or consultants have wrongfully used or disclosed confidential information or mis</w:t>
      </w:r>
      <w:r>
        <w:rPr>
          <w:rFonts w:eastAsia="Times New Roman"/>
          <w:b/>
          <w:bCs/>
          <w:i/>
          <w:iCs/>
          <w:color w:val="000000"/>
          <w:sz w:val="20"/>
          <w:szCs w:val="20"/>
        </w:rPr>
        <w:t>appropriated trade secrets.</w:t>
      </w:r>
    </w:p>
    <w:p w:rsidR="00000000" w:rsidRDefault="00FD7D3C">
      <w:pPr>
        <w:ind w:firstLine="1080"/>
        <w:divId w:val="989094086"/>
        <w:rPr>
          <w:rFonts w:eastAsia="Times New Roman"/>
        </w:rPr>
      </w:pPr>
      <w:r>
        <w:rPr>
          <w:rFonts w:eastAsia="Times New Roman"/>
          <w:color w:val="000000"/>
          <w:sz w:val="20"/>
          <w:szCs w:val="20"/>
        </w:rPr>
        <w:t>As is common in the biotechnology and biopharmaceutical industries, we employ individuals who were previously employed at universities or other biotechnology or biopharmaceutical companies, including our competitors or potential</w:t>
      </w:r>
      <w:r>
        <w:rPr>
          <w:rFonts w:eastAsia="Times New Roman"/>
          <w:color w:val="000000"/>
          <w:sz w:val="20"/>
          <w:szCs w:val="20"/>
        </w:rPr>
        <w:t xml:space="preserve"> competitors. Although no claims against us are currently pending, and although we try to ensure that our employees and consultants do not use the proprietary information or know-how of others in their work for us, we may be subject to claims that we or ou</w:t>
      </w:r>
      <w:r>
        <w:rPr>
          <w:rFonts w:eastAsia="Times New Roman"/>
          <w:color w:val="000000"/>
          <w:sz w:val="20"/>
          <w:szCs w:val="20"/>
        </w:rPr>
        <w:t xml:space="preserve">r employees, consultants or independent contractors have inadvertently or otherwise used or disclosed intellectual property, including trade secrets or other proprietary information, of a former employer or other third parties. Litigation may be necessary </w:t>
      </w:r>
      <w:r>
        <w:rPr>
          <w:rFonts w:eastAsia="Times New Roman"/>
          <w:color w:val="000000"/>
          <w:sz w:val="20"/>
          <w:szCs w:val="20"/>
        </w:rPr>
        <w:t>to defend against these claims. If we fail in defending any such claims, in addition to paying monetary damages, we may lose valuable intellectual property rights or personnel. Even if we are successful in defending against such claims, litigation or other</w:t>
      </w:r>
      <w:r>
        <w:rPr>
          <w:rFonts w:eastAsia="Times New Roman"/>
          <w:color w:val="000000"/>
          <w:sz w:val="20"/>
          <w:szCs w:val="20"/>
        </w:rPr>
        <w:t xml:space="preserve"> legal proceedings relating to intellectual property claims may cause us to incur significant expenses and could distract our technical and management personnel from their normal responsibilities. In addition, there could be public announcements of the res</w:t>
      </w:r>
      <w:r>
        <w:rPr>
          <w:rFonts w:eastAsia="Times New Roman"/>
          <w:color w:val="000000"/>
          <w:sz w:val="20"/>
          <w:szCs w:val="20"/>
        </w:rPr>
        <w:t xml:space="preserve">ults of hearings, motions or other interim proceedings or developments, and, if securities analysts or investors perceive these results to be negative, it could have a substantial adverse effect on the price of our common stock. This type of litigation or </w:t>
      </w:r>
      <w:r>
        <w:rPr>
          <w:rFonts w:eastAsia="Times New Roman"/>
          <w:color w:val="000000"/>
          <w:sz w:val="20"/>
          <w:szCs w:val="20"/>
        </w:rPr>
        <w:t>proceeding could substantially increase our operating losses and reduce our resources available for development activities. We may not have sufficient financial or other resources to adequately conduct such litigation or proceedings. Some of our competitor</w:t>
      </w:r>
      <w:r>
        <w:rPr>
          <w:rFonts w:eastAsia="Times New Roman"/>
          <w:color w:val="000000"/>
          <w:sz w:val="20"/>
          <w:szCs w:val="20"/>
        </w:rPr>
        <w:t>s may be able to sustain the costs of such litigation or proceedings more effectively than we can because of their substantially greater financial resources. Uncertainties resulting from the initiation and continuation of patent litigation or other intelle</w:t>
      </w:r>
      <w:r>
        <w:rPr>
          <w:rFonts w:eastAsia="Times New Roman"/>
          <w:color w:val="000000"/>
          <w:sz w:val="20"/>
          <w:szCs w:val="20"/>
        </w:rPr>
        <w:t>ctual property related proceedings could adversely affect our ability to compete in the marketplace.</w:t>
      </w:r>
    </w:p>
    <w:p w:rsidR="00000000" w:rsidRDefault="00FD7D3C">
      <w:pPr>
        <w:jc w:val="center"/>
        <w:divId w:val="776947991"/>
        <w:rPr>
          <w:rFonts w:eastAsia="Times New Roman"/>
        </w:rPr>
      </w:pPr>
      <w:r>
        <w:rPr>
          <w:rFonts w:eastAsia="Times New Roman"/>
          <w:color w:val="000000"/>
          <w:sz w:val="20"/>
          <w:szCs w:val="20"/>
        </w:rPr>
        <w:t>68</w:t>
      </w:r>
    </w:p>
    <w:p w:rsidR="00000000" w:rsidRDefault="00FD7D3C">
      <w:pPr>
        <w:rPr>
          <w:rFonts w:eastAsia="Times New Roman"/>
        </w:rPr>
      </w:pPr>
      <w:r>
        <w:rPr>
          <w:rFonts w:eastAsia="Times New Roman"/>
        </w:rPr>
        <w:pict>
          <v:rect id="_x0000_i1121" style="width:0;height:1.5pt" o:hralign="center" o:hrstd="t" o:hr="t" fillcolor="#a0a0a0" stroked="f"/>
        </w:pict>
      </w:r>
    </w:p>
    <w:p w:rsidR="00000000" w:rsidRDefault="00FD7D3C">
      <w:pPr>
        <w:divId w:val="2049917410"/>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ind w:firstLine="1080"/>
        <w:divId w:val="48652984"/>
        <w:rPr>
          <w:rFonts w:eastAsia="Times New Roman"/>
        </w:rPr>
      </w:pPr>
      <w:r>
        <w:rPr>
          <w:rFonts w:eastAsia="Times New Roman"/>
          <w:b/>
          <w:bCs/>
          <w:i/>
          <w:iCs/>
          <w:color w:val="000000"/>
          <w:sz w:val="20"/>
          <w:szCs w:val="20"/>
        </w:rPr>
        <w:t>We may not be successful in obtaining or</w:t>
      </w:r>
      <w:r>
        <w:rPr>
          <w:rFonts w:eastAsia="Times New Roman"/>
          <w:b/>
          <w:bCs/>
          <w:i/>
          <w:iCs/>
          <w:color w:val="000000"/>
          <w:sz w:val="20"/>
          <w:szCs w:val="20"/>
        </w:rPr>
        <w:t xml:space="preserve"> maintaining necessary rights to develop any future product candidates on acceptable terms.</w:t>
      </w:r>
    </w:p>
    <w:p w:rsidR="00000000" w:rsidRDefault="00FD7D3C">
      <w:pPr>
        <w:ind w:firstLine="1080"/>
        <w:divId w:val="1347441472"/>
        <w:rPr>
          <w:rFonts w:eastAsia="Times New Roman"/>
        </w:rPr>
      </w:pPr>
      <w:r>
        <w:rPr>
          <w:rFonts w:eastAsia="Times New Roman"/>
          <w:color w:val="000000"/>
          <w:sz w:val="20"/>
          <w:szCs w:val="20"/>
        </w:rPr>
        <w:t xml:space="preserve">Because our programs may involve additional product candidates that may require the use of proprietary rights held by third parties, the growth of our business may </w:t>
      </w:r>
      <w:r>
        <w:rPr>
          <w:rFonts w:eastAsia="Times New Roman"/>
          <w:color w:val="000000"/>
          <w:sz w:val="20"/>
          <w:szCs w:val="20"/>
        </w:rPr>
        <w:t>depend in part on our ability to acquire, in-license or use these proprietary rights.</w:t>
      </w:r>
    </w:p>
    <w:p w:rsidR="00000000" w:rsidRDefault="00FD7D3C">
      <w:pPr>
        <w:ind w:firstLine="1080"/>
        <w:divId w:val="1895237782"/>
        <w:rPr>
          <w:rFonts w:eastAsia="Times New Roman"/>
        </w:rPr>
      </w:pPr>
      <w:r>
        <w:rPr>
          <w:rFonts w:eastAsia="Times New Roman"/>
          <w:color w:val="000000"/>
          <w:sz w:val="20"/>
          <w:szCs w:val="20"/>
        </w:rPr>
        <w:t>Our product candidates may also require specific formulations to work effectively and efficiently, and these rights may be held by others. We may develop products contain</w:t>
      </w:r>
      <w:r>
        <w:rPr>
          <w:rFonts w:eastAsia="Times New Roman"/>
          <w:color w:val="000000"/>
          <w:sz w:val="20"/>
          <w:szCs w:val="20"/>
        </w:rPr>
        <w:t>ing our compounds and pre-existing biopharmaceutical compounds. We may be unable to acquire or in-license any compositions, methods of use, processes, or other third-party intellectual property rights from third parties that we identify as necessary or imp</w:t>
      </w:r>
      <w:r>
        <w:rPr>
          <w:rFonts w:eastAsia="Times New Roman"/>
          <w:color w:val="000000"/>
          <w:sz w:val="20"/>
          <w:szCs w:val="20"/>
        </w:rPr>
        <w:t>ortant to our business operations. We may fail to obtain any of these licenses at a reasonable cost or on reasonable terms, if at all, which would harm our business. We may need to cease use of the compositions or methods covered by such third-party intell</w:t>
      </w:r>
      <w:r>
        <w:rPr>
          <w:rFonts w:eastAsia="Times New Roman"/>
          <w:color w:val="000000"/>
          <w:sz w:val="20"/>
          <w:szCs w:val="20"/>
        </w:rPr>
        <w:t>ectual property rights and may need to seek to develop alternative approaches that do not infringe on such intellectual property rights which may entail additional costs and development delays, even if we were able to develop such alternatives, which may n</w:t>
      </w:r>
      <w:r>
        <w:rPr>
          <w:rFonts w:eastAsia="Times New Roman"/>
          <w:color w:val="000000"/>
          <w:sz w:val="20"/>
          <w:szCs w:val="20"/>
        </w:rPr>
        <w:t>ot be feasible. Even if we are able to obtain a license, it may be non-exclusive, thereby giving our competitors access to the same technologies licensed to us. In that event, we may be required to expend significant time and resources to develop or licens</w:t>
      </w:r>
      <w:r>
        <w:rPr>
          <w:rFonts w:eastAsia="Times New Roman"/>
          <w:color w:val="000000"/>
          <w:sz w:val="20"/>
          <w:szCs w:val="20"/>
        </w:rPr>
        <w:t>e replacement technology.</w:t>
      </w:r>
    </w:p>
    <w:p w:rsidR="00000000" w:rsidRDefault="00FD7D3C">
      <w:pPr>
        <w:ind w:firstLine="1080"/>
        <w:divId w:val="1580141125"/>
        <w:rPr>
          <w:rFonts w:eastAsia="Times New Roman"/>
        </w:rPr>
      </w:pPr>
      <w:r>
        <w:rPr>
          <w:rFonts w:eastAsia="Times New Roman"/>
          <w:color w:val="000000"/>
          <w:sz w:val="20"/>
          <w:szCs w:val="20"/>
        </w:rPr>
        <w:t>Additionally, we sometimes collaborate with academic institutions to accelerate our preclinical research or development under written agreements with these institutions. In certain cases, these institutions provide us with an opti</w:t>
      </w:r>
      <w:r>
        <w:rPr>
          <w:rFonts w:eastAsia="Times New Roman"/>
          <w:color w:val="000000"/>
          <w:sz w:val="20"/>
          <w:szCs w:val="20"/>
        </w:rPr>
        <w:t>on to negotiate a license to any of the institution’s rights in technology resulting from the collaboration. Regardless of such option, we may be unable to negotiate a license within the specified timeframe or under terms that are acceptable to us. If we a</w:t>
      </w:r>
      <w:r>
        <w:rPr>
          <w:rFonts w:eastAsia="Times New Roman"/>
          <w:color w:val="000000"/>
          <w:sz w:val="20"/>
          <w:szCs w:val="20"/>
        </w:rPr>
        <w:t>re unable to do so, the institution may offer the intellectual property rights to others, potentially blocking our ability to pursue our program. If we are unable to successfully obtain rights to required third-party intellectual property or to maintain th</w:t>
      </w:r>
      <w:r>
        <w:rPr>
          <w:rFonts w:eastAsia="Times New Roman"/>
          <w:color w:val="000000"/>
          <w:sz w:val="20"/>
          <w:szCs w:val="20"/>
        </w:rPr>
        <w:t>e existing intellectual property rights we have, we may have to abandon development of such program and our business and financial condition could suffer.</w:t>
      </w:r>
    </w:p>
    <w:p w:rsidR="00000000" w:rsidRDefault="00FD7D3C">
      <w:pPr>
        <w:ind w:firstLine="1080"/>
        <w:divId w:val="1910529197"/>
        <w:rPr>
          <w:rFonts w:eastAsia="Times New Roman"/>
        </w:rPr>
      </w:pPr>
      <w:r>
        <w:rPr>
          <w:rFonts w:eastAsia="Times New Roman"/>
          <w:color w:val="000000"/>
          <w:sz w:val="20"/>
          <w:szCs w:val="20"/>
        </w:rPr>
        <w:t xml:space="preserve">The licensing and acquisition of third-party intellectual property rights is a competitive area, and </w:t>
      </w:r>
      <w:r>
        <w:rPr>
          <w:rFonts w:eastAsia="Times New Roman"/>
          <w:color w:val="000000"/>
          <w:sz w:val="20"/>
          <w:szCs w:val="20"/>
        </w:rPr>
        <w:t>companies, which may be more established, or have greater resources than we do, may also be pursuing strategies to license or acquire third-party intellectual property rights that we may consider necessary or attractive in order to commercialize our produc</w:t>
      </w:r>
      <w:r>
        <w:rPr>
          <w:rFonts w:eastAsia="Times New Roman"/>
          <w:color w:val="000000"/>
          <w:sz w:val="20"/>
          <w:szCs w:val="20"/>
        </w:rPr>
        <w:t>t candidates. More established companies may have a competitive advantage over us due to their size, cash resources and greater clinical development and commercialization capabilities. There can be no assurance that we will be able to successfully complete</w:t>
      </w:r>
      <w:r>
        <w:rPr>
          <w:rFonts w:eastAsia="Times New Roman"/>
          <w:color w:val="000000"/>
          <w:sz w:val="20"/>
          <w:szCs w:val="20"/>
        </w:rPr>
        <w:t xml:space="preserve"> such negotiations and ultimately acquire the rights to the intellectual property surrounding the additional product candidates that we may seek to acquire.</w:t>
      </w:r>
    </w:p>
    <w:p w:rsidR="00000000" w:rsidRDefault="00FD7D3C">
      <w:pPr>
        <w:ind w:firstLine="1080"/>
        <w:divId w:val="1849126935"/>
        <w:rPr>
          <w:rFonts w:eastAsia="Times New Roman"/>
        </w:rPr>
      </w:pPr>
      <w:r>
        <w:rPr>
          <w:rFonts w:eastAsia="Times New Roman"/>
          <w:b/>
          <w:bCs/>
          <w:i/>
          <w:iCs/>
          <w:color w:val="000000"/>
          <w:sz w:val="20"/>
          <w:szCs w:val="20"/>
        </w:rPr>
        <w:t>We may be involved in lawsuits to protect or enforce our patents or the patents of our licensors, w</w:t>
      </w:r>
      <w:r>
        <w:rPr>
          <w:rFonts w:eastAsia="Times New Roman"/>
          <w:b/>
          <w:bCs/>
          <w:i/>
          <w:iCs/>
          <w:color w:val="000000"/>
          <w:sz w:val="20"/>
          <w:szCs w:val="20"/>
        </w:rPr>
        <w:t>hich could be expensive, time-consuming and unsuccessful.</w:t>
      </w:r>
    </w:p>
    <w:p w:rsidR="00000000" w:rsidRDefault="00FD7D3C">
      <w:pPr>
        <w:ind w:firstLine="1080"/>
        <w:divId w:val="997224112"/>
        <w:rPr>
          <w:rFonts w:eastAsia="Times New Roman"/>
        </w:rPr>
      </w:pPr>
      <w:r>
        <w:rPr>
          <w:rFonts w:eastAsia="Times New Roman"/>
          <w:color w:val="000000"/>
          <w:sz w:val="20"/>
          <w:szCs w:val="20"/>
        </w:rPr>
        <w:t>Competitors may infringe our patents or the patents of our current or future licensors. To counter infringement or unauthorized use, we may be required to file infringement claims, which can be expe</w:t>
      </w:r>
      <w:r>
        <w:rPr>
          <w:rFonts w:eastAsia="Times New Roman"/>
          <w:color w:val="000000"/>
          <w:sz w:val="20"/>
          <w:szCs w:val="20"/>
        </w:rPr>
        <w:t>nsive and time-consuming. In addition, in an infringement proceeding, a court may decide that one or more of our patents is not valid or is unenforceable or may refuse to stop the other party from using the technology at issue on the grounds that our paten</w:t>
      </w:r>
      <w:r>
        <w:rPr>
          <w:rFonts w:eastAsia="Times New Roman"/>
          <w:color w:val="000000"/>
          <w:sz w:val="20"/>
          <w:szCs w:val="20"/>
        </w:rPr>
        <w:t>ts do not cover the technology in question or for other reasons. An adverse result in any litigation or defense proceedings could put one or more of our patents at risk of being invalidated, held unenforceable, or interpreted narrowly and could put our pat</w:t>
      </w:r>
      <w:r>
        <w:rPr>
          <w:rFonts w:eastAsia="Times New Roman"/>
          <w:color w:val="000000"/>
          <w:sz w:val="20"/>
          <w:szCs w:val="20"/>
        </w:rPr>
        <w:t>ent applications at risk of not issuing. Defense of these claims, regardless of their merit, would involve substantial litigation expense and would be a substantial diversion of employee resources from our business.</w:t>
      </w:r>
    </w:p>
    <w:p w:rsidR="00000000" w:rsidRDefault="00FD7D3C">
      <w:pPr>
        <w:ind w:firstLine="1080"/>
        <w:divId w:val="2061200277"/>
        <w:rPr>
          <w:rFonts w:eastAsia="Times New Roman"/>
        </w:rPr>
      </w:pPr>
      <w:r>
        <w:rPr>
          <w:rFonts w:eastAsia="Times New Roman"/>
          <w:color w:val="000000"/>
          <w:sz w:val="20"/>
          <w:szCs w:val="20"/>
        </w:rPr>
        <w:t>We may choose to challenge the patentabi</w:t>
      </w:r>
      <w:r>
        <w:rPr>
          <w:rFonts w:eastAsia="Times New Roman"/>
          <w:color w:val="000000"/>
          <w:sz w:val="20"/>
          <w:szCs w:val="20"/>
        </w:rPr>
        <w:t>lity of claims in a third-party’s U.S. patent by requesting that the USPTO review the patent claims in an ex-parte re-examination, inter partes review or post-grant review proceedings. These proceedings are expensive and may consume our time or other resou</w:t>
      </w:r>
      <w:r>
        <w:rPr>
          <w:rFonts w:eastAsia="Times New Roman"/>
          <w:color w:val="000000"/>
          <w:sz w:val="20"/>
          <w:szCs w:val="20"/>
        </w:rPr>
        <w:t>rces. We may choose to challenge a third-party’s patent in patent opposition proceedings in the European Patent Office, or EPO, or other foreign patent office.</w:t>
      </w:r>
    </w:p>
    <w:p w:rsidR="00000000" w:rsidRDefault="00FD7D3C">
      <w:pPr>
        <w:ind w:firstLine="1080"/>
        <w:divId w:val="1215628436"/>
        <w:rPr>
          <w:rFonts w:eastAsia="Times New Roman"/>
        </w:rPr>
      </w:pPr>
      <w:r>
        <w:rPr>
          <w:rFonts w:eastAsia="Times New Roman"/>
          <w:color w:val="000000"/>
          <w:sz w:val="20"/>
          <w:szCs w:val="20"/>
        </w:rPr>
        <w:t>The costs of these opposition proceedings could be substantial and may consume our time or other resources. If we fail to obtain a favorable result at the USPTO, EPO or other patent office then we may be exposed to litigation by a third-party alleging that</w:t>
      </w:r>
      <w:r>
        <w:rPr>
          <w:rFonts w:eastAsia="Times New Roman"/>
          <w:color w:val="000000"/>
          <w:sz w:val="20"/>
          <w:szCs w:val="20"/>
        </w:rPr>
        <w:t xml:space="preserve"> the patent may be infringed by our product candidates or proprietary technologies.</w:t>
      </w:r>
    </w:p>
    <w:p w:rsidR="00000000" w:rsidRDefault="00FD7D3C">
      <w:pPr>
        <w:ind w:firstLine="1080"/>
        <w:divId w:val="460927910"/>
        <w:rPr>
          <w:rFonts w:eastAsia="Times New Roman"/>
        </w:rPr>
      </w:pPr>
      <w:r>
        <w:rPr>
          <w:rFonts w:eastAsia="Times New Roman"/>
          <w:color w:val="000000"/>
          <w:sz w:val="20"/>
          <w:szCs w:val="20"/>
        </w:rPr>
        <w:t>In addition, because some patent applications in the United States may be maintained in secrecy until the patents are issued, patent applications in the United States and m</w:t>
      </w:r>
      <w:r>
        <w:rPr>
          <w:rFonts w:eastAsia="Times New Roman"/>
          <w:color w:val="000000"/>
          <w:sz w:val="20"/>
          <w:szCs w:val="20"/>
        </w:rPr>
        <w:t>any foreign jurisdictions are typically not published until 18 months after filing, and publications in the scientific literature often lag behind actual discoveries, we cannot be certain that others have not filed patent applications for technology covere</w:t>
      </w:r>
      <w:r>
        <w:rPr>
          <w:rFonts w:eastAsia="Times New Roman"/>
          <w:color w:val="000000"/>
          <w:sz w:val="20"/>
          <w:szCs w:val="20"/>
        </w:rPr>
        <w:t>d by our owned and in-licensed issued patents or our pending applications, or that we or, if applicable, a licensor were the first to invent the technology. Our competitors may have filed, and may in the future file, patent applications covering our produc</w:t>
      </w:r>
      <w:r>
        <w:rPr>
          <w:rFonts w:eastAsia="Times New Roman"/>
          <w:color w:val="000000"/>
          <w:sz w:val="20"/>
          <w:szCs w:val="20"/>
        </w:rPr>
        <w:t xml:space="preserve">ts or technology similar to ours. Any such </w:t>
      </w:r>
    </w:p>
    <w:p w:rsidR="00000000" w:rsidRDefault="00FD7D3C">
      <w:pPr>
        <w:jc w:val="center"/>
        <w:divId w:val="1897625227"/>
        <w:rPr>
          <w:rFonts w:eastAsia="Times New Roman"/>
        </w:rPr>
      </w:pPr>
      <w:r>
        <w:rPr>
          <w:rFonts w:eastAsia="Times New Roman"/>
          <w:color w:val="000000"/>
          <w:sz w:val="20"/>
          <w:szCs w:val="20"/>
        </w:rPr>
        <w:t>69</w:t>
      </w:r>
    </w:p>
    <w:p w:rsidR="00000000" w:rsidRDefault="00FD7D3C">
      <w:pPr>
        <w:rPr>
          <w:rFonts w:eastAsia="Times New Roman"/>
        </w:rPr>
      </w:pPr>
      <w:r>
        <w:rPr>
          <w:rFonts w:eastAsia="Times New Roman"/>
        </w:rPr>
        <w:pict>
          <v:rect id="_x0000_i1122" style="width:0;height:1.5pt" o:hralign="center" o:hrstd="t" o:hr="t" fillcolor="#a0a0a0" stroked="f"/>
        </w:pict>
      </w:r>
    </w:p>
    <w:p w:rsidR="00000000" w:rsidRDefault="00FD7D3C">
      <w:pPr>
        <w:divId w:val="1087845476"/>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divId w:val="1279676272"/>
        <w:rPr>
          <w:rFonts w:eastAsia="Times New Roman"/>
        </w:rPr>
      </w:pPr>
      <w:r>
        <w:rPr>
          <w:rFonts w:eastAsia="Times New Roman"/>
          <w:color w:val="000000"/>
          <w:sz w:val="20"/>
          <w:szCs w:val="20"/>
        </w:rPr>
        <w:t>patent application may have priority over our owned and in-licensed patent applications or patents, which could require us to obtain rights to issued patents covering such technologies. If another party has filed a U.S. patent application on inventions sim</w:t>
      </w:r>
      <w:r>
        <w:rPr>
          <w:rFonts w:eastAsia="Times New Roman"/>
          <w:color w:val="000000"/>
          <w:sz w:val="20"/>
          <w:szCs w:val="20"/>
        </w:rPr>
        <w:t>ilar to those owned by or in-licensed to us, we or, in the case of in-licensed technology, the licensor may have to participate in an interference or derivation proceeding declared by the USPTO to determine priority of invention in the United States. If we</w:t>
      </w:r>
      <w:r>
        <w:rPr>
          <w:rFonts w:eastAsia="Times New Roman"/>
          <w:color w:val="000000"/>
          <w:sz w:val="20"/>
          <w:szCs w:val="20"/>
        </w:rPr>
        <w:t xml:space="preserve"> or one of our licensors is a party to an interference or derivation proceeding involving a U.S. patent application on inventions owned by or in-licensed to us, we may incur substantial costs, divert management’s time and expend other resources, even if we</w:t>
      </w:r>
      <w:r>
        <w:rPr>
          <w:rFonts w:eastAsia="Times New Roman"/>
          <w:color w:val="000000"/>
          <w:sz w:val="20"/>
          <w:szCs w:val="20"/>
        </w:rPr>
        <w:t xml:space="preserve"> are successful.</w:t>
      </w:r>
    </w:p>
    <w:p w:rsidR="00000000" w:rsidRDefault="00FD7D3C">
      <w:pPr>
        <w:ind w:firstLine="1080"/>
        <w:divId w:val="641157988"/>
        <w:rPr>
          <w:rFonts w:eastAsia="Times New Roman"/>
        </w:rPr>
      </w:pPr>
      <w:r>
        <w:rPr>
          <w:rFonts w:eastAsia="Times New Roman"/>
          <w:color w:val="000000"/>
          <w:sz w:val="20"/>
          <w:szCs w:val="20"/>
        </w:rPr>
        <w:t>Interference or derivation proceedings provoked by third parties or brought by us or declared by the USPTO may be necessary to determine the priority of inventions with respect to our patents or patent applications or those of our licensor</w:t>
      </w:r>
      <w:r>
        <w:rPr>
          <w:rFonts w:eastAsia="Times New Roman"/>
          <w:color w:val="000000"/>
          <w:sz w:val="20"/>
          <w:szCs w:val="20"/>
        </w:rPr>
        <w:t>s. An unfavorable outcome could result in a loss of our current patent rights and could require us to cease using the related technology or to attempt to license rights to it from the prevailing party. Our business could be harmed if the prevailing party d</w:t>
      </w:r>
      <w:r>
        <w:rPr>
          <w:rFonts w:eastAsia="Times New Roman"/>
          <w:color w:val="000000"/>
          <w:sz w:val="20"/>
          <w:szCs w:val="20"/>
        </w:rPr>
        <w:t>oes not offer us a license on commercially reasonable terms or at all, or if a non-exclusive license is offered and our competitors gain access to the same technology. Litigation or interference proceedings may result in a decision adverse to our interests</w:t>
      </w:r>
      <w:r>
        <w:rPr>
          <w:rFonts w:eastAsia="Times New Roman"/>
          <w:color w:val="000000"/>
          <w:sz w:val="20"/>
          <w:szCs w:val="20"/>
        </w:rPr>
        <w:t xml:space="preserve"> and, even if we are successful, may result in substantial costs and distract our management and other employees. We may not be able to prevent, alone or with our licensors, misappropriation of our trade secrets or confidential information, particularly in</w:t>
      </w:r>
      <w:r>
        <w:rPr>
          <w:rFonts w:eastAsia="Times New Roman"/>
          <w:color w:val="000000"/>
          <w:sz w:val="20"/>
          <w:szCs w:val="20"/>
        </w:rPr>
        <w:t xml:space="preserve"> countries where the laws may not protect those rights as fully as in the United States.</w:t>
      </w:r>
    </w:p>
    <w:p w:rsidR="00000000" w:rsidRDefault="00FD7D3C">
      <w:pPr>
        <w:ind w:firstLine="1080"/>
        <w:divId w:val="1342049477"/>
        <w:rPr>
          <w:rFonts w:eastAsia="Times New Roman"/>
        </w:rPr>
      </w:pPr>
      <w:r>
        <w:rPr>
          <w:rFonts w:eastAsia="Times New Roman"/>
          <w:color w:val="000000"/>
          <w:sz w:val="20"/>
          <w:szCs w:val="20"/>
        </w:rPr>
        <w:t>Furthermore, because of the substantial amount of discovery required in connection with intellectual property litigation, there is a risk that some of our confidential</w:t>
      </w:r>
      <w:r>
        <w:rPr>
          <w:rFonts w:eastAsia="Times New Roman"/>
          <w:color w:val="000000"/>
          <w:sz w:val="20"/>
          <w:szCs w:val="20"/>
        </w:rPr>
        <w:t xml:space="preserve"> information could be compromised by disclosure during this type of litigation. In addition, there could be public announcements of the results of hearings, motions or other interim proceedings or developments. If securities analysts or investors perceive </w:t>
      </w:r>
      <w:r>
        <w:rPr>
          <w:rFonts w:eastAsia="Times New Roman"/>
          <w:color w:val="000000"/>
          <w:sz w:val="20"/>
          <w:szCs w:val="20"/>
        </w:rPr>
        <w:t>these results to be negative, it could have a substantial adverse effect on the price of our common stock.</w:t>
      </w:r>
    </w:p>
    <w:p w:rsidR="00000000" w:rsidRDefault="00FD7D3C">
      <w:pPr>
        <w:ind w:firstLine="1080"/>
        <w:divId w:val="1785416504"/>
        <w:rPr>
          <w:rFonts w:eastAsia="Times New Roman"/>
        </w:rPr>
      </w:pPr>
      <w:r>
        <w:rPr>
          <w:rFonts w:eastAsia="Times New Roman"/>
          <w:b/>
          <w:bCs/>
          <w:i/>
          <w:iCs/>
          <w:color w:val="000000"/>
          <w:sz w:val="20"/>
          <w:szCs w:val="20"/>
        </w:rPr>
        <w:t>Obtaining and maintaining our patent protection depends on compliance with various procedural, document submission, fee payment and other requirement</w:t>
      </w:r>
      <w:r>
        <w:rPr>
          <w:rFonts w:eastAsia="Times New Roman"/>
          <w:b/>
          <w:bCs/>
          <w:i/>
          <w:iCs/>
          <w:color w:val="000000"/>
          <w:sz w:val="20"/>
          <w:szCs w:val="20"/>
        </w:rPr>
        <w:t>s imposed by governmental patent agencies, and our patent protection could be reduced or eliminated for non-compliance with these requirements.</w:t>
      </w:r>
    </w:p>
    <w:p w:rsidR="00000000" w:rsidRDefault="00FD7D3C">
      <w:pPr>
        <w:ind w:firstLine="1080"/>
        <w:divId w:val="1109202076"/>
        <w:rPr>
          <w:rFonts w:eastAsia="Times New Roman"/>
        </w:rPr>
      </w:pPr>
      <w:r>
        <w:rPr>
          <w:rFonts w:eastAsia="Times New Roman"/>
          <w:color w:val="000000"/>
          <w:sz w:val="20"/>
          <w:szCs w:val="20"/>
        </w:rPr>
        <w:t>Periodic maintenance fees on any issued patent are due to be paid to the USPTO and foreign patent agencies in se</w:t>
      </w:r>
      <w:r>
        <w:rPr>
          <w:rFonts w:eastAsia="Times New Roman"/>
          <w:color w:val="000000"/>
          <w:sz w:val="20"/>
          <w:szCs w:val="20"/>
        </w:rPr>
        <w:t>veral stages over the lifetime of the patent. The USPTO and various foreign governmental patent agencies require compliance with a number of procedural, documentary, fee payment and other provisions during the patent application process and following the i</w:t>
      </w:r>
      <w:r>
        <w:rPr>
          <w:rFonts w:eastAsia="Times New Roman"/>
          <w:color w:val="000000"/>
          <w:sz w:val="20"/>
          <w:szCs w:val="20"/>
        </w:rPr>
        <w:t>ssuance of a patent. While an inadvertent lapse can in many cases be cured by payment of a late fee or by other means in accordance with the applicable rules, there are situations in which noncompliance can result in abandonment or lapse of the patent or p</w:t>
      </w:r>
      <w:r>
        <w:rPr>
          <w:rFonts w:eastAsia="Times New Roman"/>
          <w:color w:val="000000"/>
          <w:sz w:val="20"/>
          <w:szCs w:val="20"/>
        </w:rPr>
        <w:t xml:space="preserve">atent application, resulting in partial or complete loss of patent rights in the relevant jurisdiction. Noncompliance events that could result in abandonment or lapse of a patent or patent application include, but are not limited to, failure to respond to </w:t>
      </w:r>
      <w:r>
        <w:rPr>
          <w:rFonts w:eastAsia="Times New Roman"/>
          <w:color w:val="000000"/>
          <w:sz w:val="20"/>
          <w:szCs w:val="20"/>
        </w:rPr>
        <w:t>official actions within prescribed time limits, non-payment of fees and failure to properly legalize and submit formal documents. In certain circumstances, even inadvertent noncompliance events may permanently and irrevocably jeopardize patent rights. In s</w:t>
      </w:r>
      <w:r>
        <w:rPr>
          <w:rFonts w:eastAsia="Times New Roman"/>
          <w:color w:val="000000"/>
          <w:sz w:val="20"/>
          <w:szCs w:val="20"/>
        </w:rPr>
        <w:t>uch an event, our competitors might be able to enter the market, which would have a material adverse effect on our business.</w:t>
      </w:r>
    </w:p>
    <w:p w:rsidR="00000000" w:rsidRDefault="00FD7D3C">
      <w:pPr>
        <w:ind w:firstLine="1080"/>
        <w:divId w:val="560479618"/>
        <w:rPr>
          <w:rFonts w:eastAsia="Times New Roman"/>
        </w:rPr>
      </w:pPr>
      <w:r>
        <w:rPr>
          <w:rFonts w:eastAsia="Times New Roman"/>
          <w:b/>
          <w:bCs/>
          <w:i/>
          <w:iCs/>
          <w:color w:val="000000"/>
          <w:sz w:val="20"/>
          <w:szCs w:val="20"/>
        </w:rPr>
        <w:t>Any patents covering our product candidates could be found invalid or unenforceable if challenged in court or the USPTO (or foreign</w:t>
      </w:r>
      <w:r>
        <w:rPr>
          <w:rFonts w:eastAsia="Times New Roman"/>
          <w:b/>
          <w:bCs/>
          <w:i/>
          <w:iCs/>
          <w:color w:val="000000"/>
          <w:sz w:val="20"/>
          <w:szCs w:val="20"/>
        </w:rPr>
        <w:t xml:space="preserve"> patent offices).</w:t>
      </w:r>
    </w:p>
    <w:p w:rsidR="00000000" w:rsidRDefault="00FD7D3C">
      <w:pPr>
        <w:ind w:firstLine="1080"/>
        <w:divId w:val="808861517"/>
        <w:rPr>
          <w:rFonts w:eastAsia="Times New Roman"/>
        </w:rPr>
      </w:pPr>
      <w:r>
        <w:rPr>
          <w:rFonts w:eastAsia="Times New Roman"/>
          <w:color w:val="000000"/>
          <w:sz w:val="20"/>
          <w:szCs w:val="20"/>
        </w:rPr>
        <w:t xml:space="preserve">If we or one of our licensors initiate legal proceedings against a third-party to enforce a patent covering one of our product candidates, the defendant could counterclaim that the patent covering our product candidate, as applicable, is </w:t>
      </w:r>
      <w:r>
        <w:rPr>
          <w:rFonts w:eastAsia="Times New Roman"/>
          <w:color w:val="000000"/>
          <w:sz w:val="20"/>
          <w:szCs w:val="20"/>
        </w:rPr>
        <w:t xml:space="preserve">invalid and/or unenforceable. In patent litigation in the United States, defendant counterclaims alleging invalidity and/or unenforceability are commonplace, and there are numerous grounds upon which a third-party can assert invalidity or unenforceability </w:t>
      </w:r>
      <w:r>
        <w:rPr>
          <w:rFonts w:eastAsia="Times New Roman"/>
          <w:color w:val="000000"/>
          <w:sz w:val="20"/>
          <w:szCs w:val="20"/>
        </w:rPr>
        <w:t>of a patent. Third parties may also raise similar claims before administrative bodies in the United States or abroad, even outside the context of litigation. Such mechanisms include re-examination, inter partes review, post grant review, and equivalent pro</w:t>
      </w:r>
      <w:r>
        <w:rPr>
          <w:rFonts w:eastAsia="Times New Roman"/>
          <w:color w:val="000000"/>
          <w:sz w:val="20"/>
          <w:szCs w:val="20"/>
        </w:rPr>
        <w:t>ceedings in foreign jurisdictions (e.g., opposition proceedings). Such proceedings could result in revocation or amendment to our patents in such a way that they no longer cover our product candidates. The outcome following legal assertions of invalidity a</w:t>
      </w:r>
      <w:r>
        <w:rPr>
          <w:rFonts w:eastAsia="Times New Roman"/>
          <w:color w:val="000000"/>
          <w:sz w:val="20"/>
          <w:szCs w:val="20"/>
        </w:rPr>
        <w:t xml:space="preserve">nd unenforceability is unpredictable. With respect to the validity question, for example, we cannot be certain that there is no invalidating prior art, of which we, our patent counsel and the patent examiner were unaware during prosecution. If a defendant </w:t>
      </w:r>
      <w:r>
        <w:rPr>
          <w:rFonts w:eastAsia="Times New Roman"/>
          <w:color w:val="000000"/>
          <w:sz w:val="20"/>
          <w:szCs w:val="20"/>
        </w:rPr>
        <w:t>were to prevail on a legal assertion of invalidity and/or unenforceability, or if we are otherwise unable to adequately protect our rights, we would lose at least part, and perhaps all, of the patent protection on our product candidates. Such a loss of pat</w:t>
      </w:r>
      <w:r>
        <w:rPr>
          <w:rFonts w:eastAsia="Times New Roman"/>
          <w:color w:val="000000"/>
          <w:sz w:val="20"/>
          <w:szCs w:val="20"/>
        </w:rPr>
        <w:t>ent protection could have a material adverse impact on our business and our ability to commercialize or license our technology and product candidates.</w:t>
      </w:r>
    </w:p>
    <w:p w:rsidR="00000000" w:rsidRDefault="00FD7D3C">
      <w:pPr>
        <w:ind w:firstLine="1080"/>
        <w:divId w:val="449013366"/>
        <w:rPr>
          <w:rFonts w:eastAsia="Times New Roman"/>
        </w:rPr>
      </w:pPr>
      <w:r>
        <w:rPr>
          <w:rFonts w:eastAsia="Times New Roman"/>
          <w:color w:val="000000"/>
          <w:sz w:val="20"/>
          <w:szCs w:val="20"/>
        </w:rPr>
        <w:t>Our earliest patents may expire before, or soon after, our first product achieves marketing approval in t</w:t>
      </w:r>
      <w:r>
        <w:rPr>
          <w:rFonts w:eastAsia="Times New Roman"/>
          <w:color w:val="000000"/>
          <w:sz w:val="20"/>
          <w:szCs w:val="20"/>
        </w:rPr>
        <w:t xml:space="preserve">he United States or foreign jurisdictions. Upon the expiration of our current patents, we may lose the right to exclude others from practicing these inventions. The expiration of these patents could also have a similar material adverse effect on our </w:t>
      </w:r>
    </w:p>
    <w:p w:rsidR="00000000" w:rsidRDefault="00FD7D3C">
      <w:pPr>
        <w:jc w:val="center"/>
        <w:divId w:val="1666739498"/>
        <w:rPr>
          <w:rFonts w:eastAsia="Times New Roman"/>
        </w:rPr>
      </w:pPr>
      <w:r>
        <w:rPr>
          <w:rFonts w:eastAsia="Times New Roman"/>
          <w:color w:val="000000"/>
          <w:sz w:val="20"/>
          <w:szCs w:val="20"/>
        </w:rPr>
        <w:t>70</w:t>
      </w:r>
    </w:p>
    <w:p w:rsidR="00000000" w:rsidRDefault="00FD7D3C">
      <w:pPr>
        <w:rPr>
          <w:rFonts w:eastAsia="Times New Roman"/>
        </w:rPr>
      </w:pPr>
      <w:r>
        <w:rPr>
          <w:rFonts w:eastAsia="Times New Roman"/>
        </w:rPr>
        <w:pict>
          <v:rect id="_x0000_i1123" style="width:0;height:1.5pt" o:hralign="center" o:hrstd="t" o:hr="t" fillcolor="#a0a0a0" stroked="f"/>
        </w:pict>
      </w:r>
    </w:p>
    <w:p w:rsidR="00000000" w:rsidRDefault="00FD7D3C">
      <w:pPr>
        <w:divId w:val="2003501980"/>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divId w:val="1395539918"/>
        <w:rPr>
          <w:rFonts w:eastAsia="Times New Roman"/>
        </w:rPr>
      </w:pPr>
      <w:r>
        <w:rPr>
          <w:rFonts w:eastAsia="Times New Roman"/>
          <w:color w:val="000000"/>
          <w:sz w:val="20"/>
          <w:szCs w:val="20"/>
        </w:rPr>
        <w:t>business, results of operations, financial condition and prospects. We own pending patent applications covering our proprietary technologies or ou</w:t>
      </w:r>
      <w:r>
        <w:rPr>
          <w:rFonts w:eastAsia="Times New Roman"/>
          <w:color w:val="000000"/>
          <w:sz w:val="20"/>
          <w:szCs w:val="20"/>
        </w:rPr>
        <w:t>r product candidates that if issued as patents are expected to expire from 2037 through 2042, without taking into account any possible patent term adjustments or extensions. However, we cannot be assured that the USPTO, EPO or other relevant foreign patent</w:t>
      </w:r>
      <w:r>
        <w:rPr>
          <w:rFonts w:eastAsia="Times New Roman"/>
          <w:color w:val="000000"/>
          <w:sz w:val="20"/>
          <w:szCs w:val="20"/>
        </w:rPr>
        <w:t xml:space="preserve"> offices will grant any of these patent applications.</w:t>
      </w:r>
    </w:p>
    <w:p w:rsidR="00000000" w:rsidRDefault="00FD7D3C">
      <w:pPr>
        <w:ind w:firstLine="1080"/>
        <w:divId w:val="1681661636"/>
        <w:rPr>
          <w:rFonts w:eastAsia="Times New Roman"/>
        </w:rPr>
      </w:pPr>
      <w:r>
        <w:rPr>
          <w:rFonts w:eastAsia="Times New Roman"/>
          <w:b/>
          <w:bCs/>
          <w:i/>
          <w:iCs/>
          <w:color w:val="000000"/>
          <w:sz w:val="20"/>
          <w:szCs w:val="20"/>
        </w:rPr>
        <w:t>Changes in patent law in the U.S. and in foreign jurisdictions could diminish the value of patents in general, thereby impairing our ability to protect our products.</w:t>
      </w:r>
    </w:p>
    <w:p w:rsidR="00000000" w:rsidRDefault="00FD7D3C">
      <w:pPr>
        <w:ind w:firstLine="1080"/>
        <w:divId w:val="1144935235"/>
        <w:rPr>
          <w:rFonts w:eastAsia="Times New Roman"/>
        </w:rPr>
      </w:pPr>
      <w:r>
        <w:rPr>
          <w:rFonts w:eastAsia="Times New Roman"/>
          <w:color w:val="000000"/>
          <w:sz w:val="20"/>
          <w:szCs w:val="20"/>
        </w:rPr>
        <w:t>Changes in either the patent laws or</w:t>
      </w:r>
      <w:r>
        <w:rPr>
          <w:rFonts w:eastAsia="Times New Roman"/>
          <w:color w:val="000000"/>
          <w:sz w:val="20"/>
          <w:szCs w:val="20"/>
        </w:rPr>
        <w:t xml:space="preserve"> interpretation of the patent laws in the United States could increase the uncertainties and costs surrounding the prosecution of patent applications and the enforcement or defense of issued patents. Assuming that other requirements for patentability are m</w:t>
      </w:r>
      <w:r>
        <w:rPr>
          <w:rFonts w:eastAsia="Times New Roman"/>
          <w:color w:val="000000"/>
          <w:sz w:val="20"/>
          <w:szCs w:val="20"/>
        </w:rPr>
        <w:t>et, prior to March 16, 2013, in the United States, the first to invent the claimed invention was entitled to the patent, while outside the United States, the first to file a patent application was entitled to the patent. On March 16, 2013, under the Leahy-</w:t>
      </w:r>
      <w:r>
        <w:rPr>
          <w:rFonts w:eastAsia="Times New Roman"/>
          <w:color w:val="000000"/>
          <w:sz w:val="20"/>
          <w:szCs w:val="20"/>
        </w:rPr>
        <w:t>Smith America Invents Act, or the America Invents Act, enacted in September 2011, the United States transitioned to a first inventor to file system in which, assuming that other requirements for patentability are met, the first inventor to file a patent ap</w:t>
      </w:r>
      <w:r>
        <w:rPr>
          <w:rFonts w:eastAsia="Times New Roman"/>
          <w:color w:val="000000"/>
          <w:sz w:val="20"/>
          <w:szCs w:val="20"/>
        </w:rPr>
        <w:t>plication will be entitled to the patent on an invention regardless of whether a third party was the first to invent the claimed invention. A third party that files a patent application in the USPTO on or after March 16, 2013, but before us could therefore</w:t>
      </w:r>
      <w:r>
        <w:rPr>
          <w:rFonts w:eastAsia="Times New Roman"/>
          <w:color w:val="000000"/>
          <w:sz w:val="20"/>
          <w:szCs w:val="20"/>
        </w:rPr>
        <w:t xml:space="preserve"> be awarded a patent covering an invention of ours even if we had made the invention before it was made by such third party. This will require us to be cognizant of the time from invention to filing of a patent application. Since patent applications in the</w:t>
      </w:r>
      <w:r>
        <w:rPr>
          <w:rFonts w:eastAsia="Times New Roman"/>
          <w:color w:val="000000"/>
          <w:sz w:val="20"/>
          <w:szCs w:val="20"/>
        </w:rPr>
        <w:t xml:space="preserve"> United States and most other countries are confidential for a period of time after filing or until issuance, we cannot be certain that we or our licensors were the first to either (i) file any patent application related to our product candidates or (ii) i</w:t>
      </w:r>
      <w:r>
        <w:rPr>
          <w:rFonts w:eastAsia="Times New Roman"/>
          <w:color w:val="000000"/>
          <w:sz w:val="20"/>
          <w:szCs w:val="20"/>
        </w:rPr>
        <w:t>nvent any of the inventions claimed in our or our licensor’s patents or patent applications.</w:t>
      </w:r>
    </w:p>
    <w:p w:rsidR="00000000" w:rsidRDefault="00FD7D3C">
      <w:pPr>
        <w:ind w:firstLine="1080"/>
        <w:divId w:val="1526019894"/>
        <w:rPr>
          <w:rFonts w:eastAsia="Times New Roman"/>
        </w:rPr>
      </w:pPr>
      <w:r>
        <w:rPr>
          <w:rFonts w:eastAsia="Times New Roman"/>
          <w:color w:val="000000"/>
          <w:sz w:val="20"/>
          <w:szCs w:val="20"/>
        </w:rPr>
        <w:t>The America Invents Act also includes a number of significant changes that affect the way patent applications will be prosecuted and also may affect patent litigat</w:t>
      </w:r>
      <w:r>
        <w:rPr>
          <w:rFonts w:eastAsia="Times New Roman"/>
          <w:color w:val="000000"/>
          <w:sz w:val="20"/>
          <w:szCs w:val="20"/>
        </w:rPr>
        <w:t>ion. These include allowing third party submission of prior art to the USPTO during patent prosecution and additional procedures to attack the validity of a patent by USPTO administered post-grant proceedings, including post-grant review, inter-partes revi</w:t>
      </w:r>
      <w:r>
        <w:rPr>
          <w:rFonts w:eastAsia="Times New Roman"/>
          <w:color w:val="000000"/>
          <w:sz w:val="20"/>
          <w:szCs w:val="20"/>
        </w:rPr>
        <w:t xml:space="preserve">ew, and derivation proceedings. Because of a lower evidentiary standard in USPTO proceedings compared to the evidentiary standard in United States federal courts necessary to invalidate a patent claim, a third party could potentially provide evidence in a </w:t>
      </w:r>
      <w:r>
        <w:rPr>
          <w:rFonts w:eastAsia="Times New Roman"/>
          <w:color w:val="000000"/>
          <w:sz w:val="20"/>
          <w:szCs w:val="20"/>
        </w:rPr>
        <w:t xml:space="preserve">USPTO proceeding sufficient for the USPTO to hold a claim invalid even though the same evidence would be insufficient to invalidate the claim if first presented in a district court action. Accordingly, a third party may attempt to use the USPTO procedures </w:t>
      </w:r>
      <w:r>
        <w:rPr>
          <w:rFonts w:eastAsia="Times New Roman"/>
          <w:color w:val="000000"/>
          <w:sz w:val="20"/>
          <w:szCs w:val="20"/>
        </w:rPr>
        <w:t>to invalidate our patent claims that would not have been invalidated if first challenged by the third party as a defendant in a district court action. Therefore, the America Invents Act and its implementation could increase the uncertainties and costs surr</w:t>
      </w:r>
      <w:r>
        <w:rPr>
          <w:rFonts w:eastAsia="Times New Roman"/>
          <w:color w:val="000000"/>
          <w:sz w:val="20"/>
          <w:szCs w:val="20"/>
        </w:rPr>
        <w:t>ounding the prosecution of our owned or in-licensed patent applications and the enforcement or defense of our owned or in-licensed issued patents, all of which could have a material adverse effect on our business, financial condition, results of operations</w:t>
      </w:r>
      <w:r>
        <w:rPr>
          <w:rFonts w:eastAsia="Times New Roman"/>
          <w:color w:val="000000"/>
          <w:sz w:val="20"/>
          <w:szCs w:val="20"/>
        </w:rPr>
        <w:t>, and prospects.</w:t>
      </w:r>
    </w:p>
    <w:p w:rsidR="00000000" w:rsidRDefault="00FD7D3C">
      <w:pPr>
        <w:ind w:firstLine="1080"/>
        <w:divId w:val="814294275"/>
        <w:rPr>
          <w:rFonts w:eastAsia="Times New Roman"/>
        </w:rPr>
      </w:pPr>
      <w:r>
        <w:rPr>
          <w:rFonts w:eastAsia="Times New Roman"/>
          <w:color w:val="000000"/>
          <w:sz w:val="20"/>
          <w:szCs w:val="20"/>
        </w:rPr>
        <w:t>In addition, the patent positions of companies in the development and commercialization of biopharmaceuticals are particularly uncertain. Recent U.S. Supreme Court rulings have narrowed the scope of patent protection available in certain c</w:t>
      </w:r>
      <w:r>
        <w:rPr>
          <w:rFonts w:eastAsia="Times New Roman"/>
          <w:color w:val="000000"/>
          <w:sz w:val="20"/>
          <w:szCs w:val="20"/>
        </w:rPr>
        <w:t>ircumstances and weakened the rights of patent owners in certain situations. This combination of events has created uncertainty with respect to the validity and enforceability of patents, once obtained. Depending on future actions by the U.S. Congress, the</w:t>
      </w:r>
      <w:r>
        <w:rPr>
          <w:rFonts w:eastAsia="Times New Roman"/>
          <w:color w:val="000000"/>
          <w:sz w:val="20"/>
          <w:szCs w:val="20"/>
        </w:rPr>
        <w:t xml:space="preserve"> federal courts, and the USPTO, the laws and regulations governing patents could change in unpredictable ways that could have a material adverse effect on our existing patent portfolio and our ability to protect and enforce our intellectual property in the</w:t>
      </w:r>
      <w:r>
        <w:rPr>
          <w:rFonts w:eastAsia="Times New Roman"/>
          <w:color w:val="000000"/>
          <w:sz w:val="20"/>
          <w:szCs w:val="20"/>
        </w:rPr>
        <w:t xml:space="preserve"> future.</w:t>
      </w:r>
    </w:p>
    <w:p w:rsidR="00000000" w:rsidRDefault="00FD7D3C">
      <w:pPr>
        <w:ind w:firstLine="1080"/>
        <w:divId w:val="1916669249"/>
        <w:rPr>
          <w:rFonts w:eastAsia="Times New Roman"/>
        </w:rPr>
      </w:pPr>
      <w:r>
        <w:rPr>
          <w:rFonts w:eastAsia="Times New Roman"/>
          <w:b/>
          <w:bCs/>
          <w:i/>
          <w:iCs/>
          <w:color w:val="000000"/>
          <w:sz w:val="20"/>
          <w:szCs w:val="20"/>
        </w:rPr>
        <w:t>We have limited foreign intellectual property rights and may not be able to protect our intellectual property rights throughout the world.</w:t>
      </w:r>
    </w:p>
    <w:p w:rsidR="00000000" w:rsidRDefault="00FD7D3C">
      <w:pPr>
        <w:ind w:firstLine="1080"/>
        <w:divId w:val="22413804"/>
        <w:rPr>
          <w:rFonts w:eastAsia="Times New Roman"/>
        </w:rPr>
      </w:pPr>
      <w:r>
        <w:rPr>
          <w:rFonts w:eastAsia="Times New Roman"/>
          <w:color w:val="000000"/>
          <w:sz w:val="20"/>
          <w:szCs w:val="20"/>
        </w:rPr>
        <w:t>We have limited intellectual property rights outside the United States. Filing, prosecuting, and defending p</w:t>
      </w:r>
      <w:r>
        <w:rPr>
          <w:rFonts w:eastAsia="Times New Roman"/>
          <w:color w:val="000000"/>
          <w:sz w:val="20"/>
          <w:szCs w:val="20"/>
        </w:rPr>
        <w:t>atents on product candidates in all countries throughout the world would be prohibitively expensive, and our intellectual property rights in some countries outside the United States can be less extensive than those in the United States. In addition, the la</w:t>
      </w:r>
      <w:r>
        <w:rPr>
          <w:rFonts w:eastAsia="Times New Roman"/>
          <w:color w:val="000000"/>
          <w:sz w:val="20"/>
          <w:szCs w:val="20"/>
        </w:rPr>
        <w:t>ws of some foreign countries do not protect intellectual property rights to the same extent as federal and state laws in the United States. Consequently, we may not be able to prevent third parties from practicing our inventions in all countries outside th</w:t>
      </w:r>
      <w:r>
        <w:rPr>
          <w:rFonts w:eastAsia="Times New Roman"/>
          <w:color w:val="000000"/>
          <w:sz w:val="20"/>
          <w:szCs w:val="20"/>
        </w:rPr>
        <w:t>e United States, or from selling or importing products made using our inventions in and into the United States or other jurisdictions. Competitors may use our technologies in jurisdictions where we have not obtained patent protection to develop their own p</w:t>
      </w:r>
      <w:r>
        <w:rPr>
          <w:rFonts w:eastAsia="Times New Roman"/>
          <w:color w:val="000000"/>
          <w:sz w:val="20"/>
          <w:szCs w:val="20"/>
        </w:rPr>
        <w:t>roducts and, further, may export otherwise infringing products to territories where we have patent protection but where enforcement is not as strong as that in the United States. These products may compete with our products in jurisdictions where we do not</w:t>
      </w:r>
      <w:r>
        <w:rPr>
          <w:rFonts w:eastAsia="Times New Roman"/>
          <w:color w:val="000000"/>
          <w:sz w:val="20"/>
          <w:szCs w:val="20"/>
        </w:rPr>
        <w:t xml:space="preserve"> have any issued patents and our patent claims or other intellectual property rights may not be effective or sufficient to prevent them from competing.</w:t>
      </w:r>
    </w:p>
    <w:p w:rsidR="00000000" w:rsidRDefault="00FD7D3C">
      <w:pPr>
        <w:ind w:firstLine="1080"/>
        <w:divId w:val="1140222259"/>
        <w:rPr>
          <w:rFonts w:eastAsia="Times New Roman"/>
        </w:rPr>
      </w:pPr>
      <w:r>
        <w:rPr>
          <w:rFonts w:eastAsia="Times New Roman"/>
          <w:color w:val="000000"/>
          <w:sz w:val="20"/>
          <w:szCs w:val="20"/>
        </w:rPr>
        <w:t>Many companies have encountered significant problems in protecting and defending intellectual property r</w:t>
      </w:r>
      <w:r>
        <w:rPr>
          <w:rFonts w:eastAsia="Times New Roman"/>
          <w:color w:val="000000"/>
          <w:sz w:val="20"/>
          <w:szCs w:val="20"/>
        </w:rPr>
        <w:t xml:space="preserve">ights in foreign jurisdictions. The legal systems of certain countries, particularly certain developing countries, do not favor </w:t>
      </w:r>
    </w:p>
    <w:p w:rsidR="00000000" w:rsidRDefault="00FD7D3C">
      <w:pPr>
        <w:jc w:val="center"/>
        <w:divId w:val="1664510718"/>
        <w:rPr>
          <w:rFonts w:eastAsia="Times New Roman"/>
        </w:rPr>
      </w:pPr>
      <w:r>
        <w:rPr>
          <w:rFonts w:eastAsia="Times New Roman"/>
          <w:color w:val="000000"/>
          <w:sz w:val="20"/>
          <w:szCs w:val="20"/>
        </w:rPr>
        <w:t>71</w:t>
      </w:r>
    </w:p>
    <w:p w:rsidR="00000000" w:rsidRDefault="00FD7D3C">
      <w:pPr>
        <w:rPr>
          <w:rFonts w:eastAsia="Times New Roman"/>
        </w:rPr>
      </w:pPr>
      <w:r>
        <w:rPr>
          <w:rFonts w:eastAsia="Times New Roman"/>
        </w:rPr>
        <w:pict>
          <v:rect id="_x0000_i1124" style="width:0;height:1.5pt" o:hralign="center" o:hrstd="t" o:hr="t" fillcolor="#a0a0a0" stroked="f"/>
        </w:pict>
      </w:r>
    </w:p>
    <w:p w:rsidR="00000000" w:rsidRDefault="00FD7D3C">
      <w:pPr>
        <w:divId w:val="1044212968"/>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divId w:val="588392583"/>
        <w:rPr>
          <w:rFonts w:eastAsia="Times New Roman"/>
        </w:rPr>
      </w:pPr>
      <w:r>
        <w:rPr>
          <w:rFonts w:eastAsia="Times New Roman"/>
          <w:color w:val="000000"/>
          <w:sz w:val="20"/>
          <w:szCs w:val="20"/>
        </w:rPr>
        <w:t xml:space="preserve">the enforcement of, and may require a compulsory license to, patents, trade secrets and other intellectual property protection, particularly those relating to biopharmaceutical products, which could make it difficult for us to stop the infringement of our </w:t>
      </w:r>
      <w:r>
        <w:rPr>
          <w:rFonts w:eastAsia="Times New Roman"/>
          <w:color w:val="000000"/>
          <w:sz w:val="20"/>
          <w:szCs w:val="20"/>
        </w:rPr>
        <w:t xml:space="preserve">patents or marketing of competing products against third parties in violation of our proprietary rights generally. The initiation of proceedings by third parties to challenge the scope or validity of our patent rights in foreign jurisdictions could result </w:t>
      </w:r>
      <w:r>
        <w:rPr>
          <w:rFonts w:eastAsia="Times New Roman"/>
          <w:color w:val="000000"/>
          <w:sz w:val="20"/>
          <w:szCs w:val="20"/>
        </w:rPr>
        <w:t xml:space="preserve">in substantial cost and divert our efforts and attention from other aspects of our business. Proceedings to enforce our patent rights in foreign jurisdictions could result in substantial costs and divert our efforts and attention from other aspects of our </w:t>
      </w:r>
      <w:r>
        <w:rPr>
          <w:rFonts w:eastAsia="Times New Roman"/>
          <w:color w:val="000000"/>
          <w:sz w:val="20"/>
          <w:szCs w:val="20"/>
        </w:rPr>
        <w:t>business, could put our patents at risk of being invalidated or interpreted narrowly and our patent applications at risk of not issuing and could provoke third parties to assert claims against us. We may not prevail in any lawsuits that we initiate and the</w:t>
      </w:r>
      <w:r>
        <w:rPr>
          <w:rFonts w:eastAsia="Times New Roman"/>
          <w:color w:val="000000"/>
          <w:sz w:val="20"/>
          <w:szCs w:val="20"/>
        </w:rPr>
        <w:t xml:space="preserve"> damages or other remedies awarded, if any, may not be commercially meaningful. Accordingly, our efforts to enforce our intellectual property rights around the world may be inadequate to obtain a significant commercial advantage from the intellectual prope</w:t>
      </w:r>
      <w:r>
        <w:rPr>
          <w:rFonts w:eastAsia="Times New Roman"/>
          <w:color w:val="000000"/>
          <w:sz w:val="20"/>
          <w:szCs w:val="20"/>
        </w:rPr>
        <w:t>rty that we develop or license.</w:t>
      </w:r>
    </w:p>
    <w:p w:rsidR="00000000" w:rsidRDefault="00FD7D3C">
      <w:pPr>
        <w:ind w:firstLine="1080"/>
        <w:divId w:val="1342974651"/>
        <w:rPr>
          <w:rFonts w:eastAsia="Times New Roman"/>
        </w:rPr>
      </w:pPr>
      <w:r>
        <w:rPr>
          <w:rFonts w:eastAsia="Times New Roman"/>
          <w:b/>
          <w:bCs/>
          <w:i/>
          <w:iCs/>
          <w:color w:val="000000"/>
          <w:sz w:val="20"/>
          <w:szCs w:val="20"/>
        </w:rPr>
        <w:t>Patent terms may be inadequate to protect our competitive position on our product candidates for an adequate amount of time.</w:t>
      </w:r>
    </w:p>
    <w:p w:rsidR="00000000" w:rsidRDefault="00FD7D3C">
      <w:pPr>
        <w:ind w:firstLine="1080"/>
        <w:divId w:val="1569336893"/>
        <w:rPr>
          <w:rFonts w:eastAsia="Times New Roman"/>
        </w:rPr>
      </w:pPr>
      <w:r>
        <w:rPr>
          <w:rFonts w:eastAsia="Times New Roman"/>
          <w:color w:val="000000"/>
          <w:sz w:val="20"/>
          <w:szCs w:val="20"/>
        </w:rPr>
        <w:t>Patents have a limited lifespan. In the United States, if all maintenance fees are timely paid, the</w:t>
      </w:r>
      <w:r>
        <w:rPr>
          <w:rFonts w:eastAsia="Times New Roman"/>
          <w:color w:val="000000"/>
          <w:sz w:val="20"/>
          <w:szCs w:val="20"/>
        </w:rPr>
        <w:t xml:space="preserve"> natural expiration of a patent is generally 20 years from its earliest U.S. non-provisional filing date. Various extensions such as patent term adjustments and/or extensions, may be available, but the life of a patent, and the protection it affords, is li</w:t>
      </w:r>
      <w:r>
        <w:rPr>
          <w:rFonts w:eastAsia="Times New Roman"/>
          <w:color w:val="000000"/>
          <w:sz w:val="20"/>
          <w:szCs w:val="20"/>
        </w:rPr>
        <w:t>mited. Even if patents covering our product candidates are obtained, once the patent life has expired, we may be open to competition from competitive products. Given the amount of time required for the development, testing and regulatory review of new prod</w:t>
      </w:r>
      <w:r>
        <w:rPr>
          <w:rFonts w:eastAsia="Times New Roman"/>
          <w:color w:val="000000"/>
          <w:sz w:val="20"/>
          <w:szCs w:val="20"/>
        </w:rPr>
        <w:t>uct candidates, patents protecting such candidates might expire before or shortly after such candidates are commercialized. As a result, our owned and licensed patent portfolio may not provide us with sufficient rights to exclude others from commercializin</w:t>
      </w:r>
      <w:r>
        <w:rPr>
          <w:rFonts w:eastAsia="Times New Roman"/>
          <w:color w:val="000000"/>
          <w:sz w:val="20"/>
          <w:szCs w:val="20"/>
        </w:rPr>
        <w:t>g products similar or identical to ours.</w:t>
      </w:r>
    </w:p>
    <w:p w:rsidR="00000000" w:rsidRDefault="00FD7D3C">
      <w:pPr>
        <w:ind w:firstLine="1080"/>
        <w:divId w:val="1974866383"/>
        <w:rPr>
          <w:rFonts w:eastAsia="Times New Roman"/>
        </w:rPr>
      </w:pPr>
      <w:r>
        <w:rPr>
          <w:rFonts w:eastAsia="Times New Roman"/>
          <w:color w:val="000000"/>
          <w:sz w:val="20"/>
          <w:szCs w:val="20"/>
        </w:rPr>
        <w:t>At the EU level, the Court of Justice of the European Union (CJEU) has recently narrowed the availability of patent term extension for second medical use therefore affecting the scope of patent protection available.</w:t>
      </w:r>
      <w:r>
        <w:rPr>
          <w:rFonts w:eastAsia="Times New Roman"/>
          <w:color w:val="000000"/>
          <w:sz w:val="20"/>
          <w:szCs w:val="20"/>
        </w:rPr>
        <w:t xml:space="preserve"> </w:t>
      </w:r>
    </w:p>
    <w:p w:rsidR="00000000" w:rsidRDefault="00FD7D3C">
      <w:pPr>
        <w:ind w:firstLine="1080"/>
        <w:divId w:val="1242640450"/>
        <w:rPr>
          <w:rFonts w:eastAsia="Times New Roman"/>
        </w:rPr>
      </w:pPr>
      <w:r>
        <w:rPr>
          <w:rFonts w:eastAsia="Times New Roman"/>
          <w:b/>
          <w:bCs/>
          <w:i/>
          <w:iCs/>
          <w:color w:val="000000"/>
          <w:sz w:val="20"/>
          <w:szCs w:val="20"/>
        </w:rPr>
        <w:t>If we do not obtain patent term extension and data exclusivity for any product candidates we may develop, our business may be materially harmed.</w:t>
      </w:r>
    </w:p>
    <w:p w:rsidR="00000000" w:rsidRDefault="00FD7D3C">
      <w:pPr>
        <w:ind w:firstLine="1080"/>
        <w:divId w:val="1568607743"/>
        <w:rPr>
          <w:rFonts w:eastAsia="Times New Roman"/>
        </w:rPr>
      </w:pPr>
      <w:r>
        <w:rPr>
          <w:rFonts w:eastAsia="Times New Roman"/>
          <w:color w:val="000000"/>
          <w:sz w:val="20"/>
          <w:szCs w:val="20"/>
        </w:rPr>
        <w:t>Depending upon the timing, duration, and specifics of any FDA marketing approval of any product candidates we</w:t>
      </w:r>
      <w:r>
        <w:rPr>
          <w:rFonts w:eastAsia="Times New Roman"/>
          <w:color w:val="000000"/>
          <w:sz w:val="20"/>
          <w:szCs w:val="20"/>
        </w:rPr>
        <w:t xml:space="preserve"> may develop, one or more of our U.S. patents may be eligible for limited patent term extension under the Drug Price Competition and Patent Term Restoration Action of 1984 Hatch-Waxman Amendments. The Hatch-Waxman Amendments permit a patent extension term </w:t>
      </w:r>
      <w:r>
        <w:rPr>
          <w:rFonts w:eastAsia="Times New Roman"/>
          <w:color w:val="000000"/>
          <w:sz w:val="20"/>
          <w:szCs w:val="20"/>
        </w:rPr>
        <w:t>of up to five years as compensation for patent term lost during the FDA regulatory review process. A patent term extension cannot extend the remaining term of a patent beyond a total of 14 years from the date of product approval, only one patent may be ext</w:t>
      </w:r>
      <w:r>
        <w:rPr>
          <w:rFonts w:eastAsia="Times New Roman"/>
          <w:color w:val="000000"/>
          <w:sz w:val="20"/>
          <w:szCs w:val="20"/>
        </w:rPr>
        <w:t>ended and only those claims covering the approved drug, a method for using it, or a method for manufacturing it may be extended. However, we may not be granted an extension because of, for example, failing to exercise due diligence during the testing phase</w:t>
      </w:r>
      <w:r>
        <w:rPr>
          <w:rFonts w:eastAsia="Times New Roman"/>
          <w:color w:val="000000"/>
          <w:sz w:val="20"/>
          <w:szCs w:val="20"/>
        </w:rPr>
        <w:t xml:space="preserve"> or regulatory review process, failing to apply within applicable deadlines, failing to apply prior to expiration of relevant patents, or otherwise failing to satisfy applicable requirements. Moreover, the applicable time period or the scope of patent prot</w:t>
      </w:r>
      <w:r>
        <w:rPr>
          <w:rFonts w:eastAsia="Times New Roman"/>
          <w:color w:val="000000"/>
          <w:sz w:val="20"/>
          <w:szCs w:val="20"/>
        </w:rPr>
        <w:t>ection afforded could be less than we request. In addition, within the EU, regulatory protections afforded to medicinal products such as data exclusivity, marketing protection, market exclusivity for orphan indications and pediatric extensions are currentl</w:t>
      </w:r>
      <w:r>
        <w:rPr>
          <w:rFonts w:eastAsia="Times New Roman"/>
          <w:color w:val="000000"/>
          <w:sz w:val="20"/>
          <w:szCs w:val="20"/>
        </w:rPr>
        <w:t>y under review and could be curtailed in future years. If we are unable to obtain patent term extension or the term of any such extension is less than we request, or if data exclusivity or other regulatory protections are reduced, our competitors may obtai</w:t>
      </w:r>
      <w:r>
        <w:rPr>
          <w:rFonts w:eastAsia="Times New Roman"/>
          <w:color w:val="000000"/>
          <w:sz w:val="20"/>
          <w:szCs w:val="20"/>
        </w:rPr>
        <w:t>n approval of competing products following our patent expiration, and our business, financial condition, results of operations, and prospects could be materially harmed.</w:t>
      </w:r>
    </w:p>
    <w:p w:rsidR="00000000" w:rsidRDefault="00FD7D3C">
      <w:pPr>
        <w:ind w:firstLine="1080"/>
        <w:divId w:val="249312484"/>
        <w:rPr>
          <w:rFonts w:eastAsia="Times New Roman"/>
        </w:rPr>
      </w:pPr>
      <w:r>
        <w:rPr>
          <w:rFonts w:eastAsia="Times New Roman"/>
          <w:b/>
          <w:bCs/>
          <w:i/>
          <w:iCs/>
          <w:color w:val="000000"/>
          <w:sz w:val="20"/>
          <w:szCs w:val="20"/>
        </w:rPr>
        <w:t>If our trademarks and trade names are not adequately protected, then we may not be able to build name recognition in our markets of interest and our business may be adversely affected.</w:t>
      </w:r>
    </w:p>
    <w:p w:rsidR="00000000" w:rsidRDefault="00FD7D3C">
      <w:pPr>
        <w:ind w:firstLine="1080"/>
        <w:divId w:val="840051626"/>
        <w:rPr>
          <w:rFonts w:eastAsia="Times New Roman"/>
        </w:rPr>
      </w:pPr>
      <w:r>
        <w:rPr>
          <w:rFonts w:eastAsia="Times New Roman"/>
          <w:color w:val="000000"/>
          <w:sz w:val="20"/>
          <w:szCs w:val="20"/>
        </w:rPr>
        <w:t>Our trademarks or trade names may be challenged, infringed, circumvente</w:t>
      </w:r>
      <w:r>
        <w:rPr>
          <w:rFonts w:eastAsia="Times New Roman"/>
          <w:color w:val="000000"/>
          <w:sz w:val="20"/>
          <w:szCs w:val="20"/>
        </w:rPr>
        <w:t>d, or declared generic or determined to be infringing on other marks. We may not be able to protect our rights to these trademarks and trade names or may be forced to stop using these names, which we need for name recognition by potential partners or custo</w:t>
      </w:r>
      <w:r>
        <w:rPr>
          <w:rFonts w:eastAsia="Times New Roman"/>
          <w:color w:val="000000"/>
          <w:sz w:val="20"/>
          <w:szCs w:val="20"/>
        </w:rPr>
        <w:t>mers in our markets of interest. If we are unable to establish name recognition based on our trademarks and trade names, we may not be able to compete effectively, and our business may be adversely affected.</w:t>
      </w:r>
    </w:p>
    <w:p w:rsidR="00000000" w:rsidRDefault="00FD7D3C">
      <w:pPr>
        <w:divId w:val="938564658"/>
        <w:rPr>
          <w:rFonts w:eastAsia="Times New Roman"/>
        </w:rPr>
      </w:pPr>
    </w:p>
    <w:p w:rsidR="00000000" w:rsidRDefault="00FD7D3C">
      <w:pPr>
        <w:ind w:firstLine="482"/>
        <w:divId w:val="527330757"/>
        <w:rPr>
          <w:rFonts w:eastAsia="Times New Roman"/>
        </w:rPr>
      </w:pPr>
      <w:r>
        <w:rPr>
          <w:rFonts w:eastAsia="Times New Roman"/>
          <w:b/>
          <w:bCs/>
          <w:i/>
          <w:iCs/>
          <w:color w:val="000000"/>
          <w:sz w:val="20"/>
          <w:szCs w:val="20"/>
        </w:rPr>
        <w:t>Intellectual property rights do not necessaril</w:t>
      </w:r>
      <w:r>
        <w:rPr>
          <w:rFonts w:eastAsia="Times New Roman"/>
          <w:b/>
          <w:bCs/>
          <w:i/>
          <w:iCs/>
          <w:color w:val="000000"/>
          <w:sz w:val="20"/>
          <w:szCs w:val="20"/>
        </w:rPr>
        <w:t>y address all potential threats to our competitive advantage.</w:t>
      </w:r>
    </w:p>
    <w:p w:rsidR="00000000" w:rsidRDefault="00FD7D3C">
      <w:pPr>
        <w:ind w:firstLine="482"/>
        <w:divId w:val="1172143671"/>
        <w:rPr>
          <w:rFonts w:eastAsia="Times New Roman"/>
        </w:rPr>
      </w:pPr>
      <w:r>
        <w:rPr>
          <w:rFonts w:eastAsia="Times New Roman"/>
          <w:color w:val="000000"/>
          <w:sz w:val="20"/>
          <w:szCs w:val="20"/>
        </w:rPr>
        <w:t>The degree of future protection afforded by our intellectual property rights is uncertain because intellectual property rights have limitations and may not adequately protect our business or per</w:t>
      </w:r>
      <w:r>
        <w:rPr>
          <w:rFonts w:eastAsia="Times New Roman"/>
          <w:color w:val="000000"/>
          <w:sz w:val="20"/>
          <w:szCs w:val="20"/>
        </w:rPr>
        <w:t>mit us to maintain our competitive advantage. For example:</w:t>
      </w:r>
    </w:p>
    <w:p w:rsidR="00000000" w:rsidRDefault="00FD7D3C">
      <w:pPr>
        <w:jc w:val="center"/>
        <w:divId w:val="1024944361"/>
        <w:rPr>
          <w:rFonts w:eastAsia="Times New Roman"/>
        </w:rPr>
      </w:pPr>
      <w:r>
        <w:rPr>
          <w:rFonts w:eastAsia="Times New Roman"/>
          <w:color w:val="000000"/>
          <w:sz w:val="20"/>
          <w:szCs w:val="20"/>
        </w:rPr>
        <w:t>72</w:t>
      </w:r>
    </w:p>
    <w:p w:rsidR="00000000" w:rsidRDefault="00FD7D3C">
      <w:pPr>
        <w:rPr>
          <w:rFonts w:eastAsia="Times New Roman"/>
        </w:rPr>
      </w:pPr>
      <w:r>
        <w:rPr>
          <w:rFonts w:eastAsia="Times New Roman"/>
        </w:rPr>
        <w:pict>
          <v:rect id="_x0000_i1125" style="width:0;height:1.5pt" o:hralign="center" o:hrstd="t" o:hr="t" fillcolor="#a0a0a0" stroked="f"/>
        </w:pict>
      </w:r>
    </w:p>
    <w:p w:rsidR="00000000" w:rsidRDefault="00FD7D3C">
      <w:pPr>
        <w:divId w:val="774398288"/>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ind w:hanging="1260"/>
        <w:divId w:val="320357964"/>
        <w:rPr>
          <w:rFonts w:eastAsia="Times New Roman"/>
        </w:rPr>
      </w:pPr>
      <w:r>
        <w:rPr>
          <w:rFonts w:ascii="Arial" w:eastAsia="Times New Roman" w:hAnsi="Arial" w:cs="Arial"/>
          <w:color w:val="000000"/>
        </w:rPr>
        <w:t>•</w:t>
      </w:r>
      <w:r>
        <w:rPr>
          <w:rFonts w:eastAsia="Times New Roman"/>
          <w:color w:val="000000"/>
          <w:sz w:val="20"/>
          <w:szCs w:val="20"/>
        </w:rPr>
        <w:t xml:space="preserve">others may be able to make drug candidates that are similar to ours but that are </w:t>
      </w:r>
      <w:r>
        <w:rPr>
          <w:rFonts w:eastAsia="Times New Roman"/>
          <w:color w:val="000000"/>
          <w:sz w:val="20"/>
          <w:szCs w:val="20"/>
        </w:rPr>
        <w:t>not covered by the claims of the patents that we own or have exclusively licensed;</w:t>
      </w:r>
    </w:p>
    <w:p w:rsidR="00000000" w:rsidRDefault="00FD7D3C">
      <w:pPr>
        <w:ind w:hanging="1260"/>
        <w:divId w:val="1590307759"/>
        <w:rPr>
          <w:rFonts w:eastAsia="Times New Roman"/>
        </w:rPr>
      </w:pPr>
      <w:r>
        <w:rPr>
          <w:rFonts w:eastAsia="Times New Roman"/>
          <w:color w:val="000000"/>
          <w:sz w:val="20"/>
          <w:szCs w:val="20"/>
        </w:rPr>
        <w:t>•we or our licensors or future collaborators might not have been the first to make the inventions covered by the issued patent or pending patent application that we own or h</w:t>
      </w:r>
      <w:r>
        <w:rPr>
          <w:rFonts w:eastAsia="Times New Roman"/>
          <w:color w:val="000000"/>
          <w:sz w:val="20"/>
          <w:szCs w:val="20"/>
        </w:rPr>
        <w:t>ave exclusively licensed;</w:t>
      </w:r>
    </w:p>
    <w:p w:rsidR="00000000" w:rsidRDefault="00FD7D3C">
      <w:pPr>
        <w:ind w:hanging="1260"/>
        <w:divId w:val="1985698649"/>
        <w:rPr>
          <w:rFonts w:eastAsia="Times New Roman"/>
        </w:rPr>
      </w:pPr>
      <w:r>
        <w:rPr>
          <w:rFonts w:eastAsia="Times New Roman"/>
          <w:color w:val="000000"/>
          <w:sz w:val="20"/>
          <w:szCs w:val="20"/>
        </w:rPr>
        <w:t>•we or our licensors or future collaborators might not have been the first to file patent applications covering certain of our inventions;</w:t>
      </w:r>
    </w:p>
    <w:p w:rsidR="00000000" w:rsidRDefault="00FD7D3C">
      <w:pPr>
        <w:ind w:hanging="1260"/>
        <w:divId w:val="117140753"/>
        <w:rPr>
          <w:rFonts w:eastAsia="Times New Roman"/>
        </w:rPr>
      </w:pPr>
      <w:r>
        <w:rPr>
          <w:rFonts w:eastAsia="Times New Roman"/>
          <w:color w:val="000000"/>
          <w:sz w:val="20"/>
          <w:szCs w:val="20"/>
        </w:rPr>
        <w:t>•others may independently develop similar or alternative technologies or duplicate any of o</w:t>
      </w:r>
      <w:r>
        <w:rPr>
          <w:rFonts w:eastAsia="Times New Roman"/>
          <w:color w:val="000000"/>
          <w:sz w:val="20"/>
          <w:szCs w:val="20"/>
        </w:rPr>
        <w:t>ur technologies without infringing our intellectual property rights;</w:t>
      </w:r>
    </w:p>
    <w:p w:rsidR="00000000" w:rsidRDefault="00FD7D3C">
      <w:pPr>
        <w:ind w:hanging="1260"/>
        <w:divId w:val="1463228417"/>
        <w:rPr>
          <w:rFonts w:eastAsia="Times New Roman"/>
        </w:rPr>
      </w:pPr>
      <w:r>
        <w:rPr>
          <w:rFonts w:eastAsia="Times New Roman"/>
          <w:color w:val="000000"/>
          <w:sz w:val="20"/>
          <w:szCs w:val="20"/>
        </w:rPr>
        <w:t>•it is possible that our pending patent applications will not lead to issued patents;</w:t>
      </w:r>
    </w:p>
    <w:p w:rsidR="00000000" w:rsidRDefault="00FD7D3C">
      <w:pPr>
        <w:ind w:hanging="1260"/>
        <w:divId w:val="1883976144"/>
        <w:rPr>
          <w:rFonts w:eastAsia="Times New Roman"/>
        </w:rPr>
      </w:pPr>
      <w:r>
        <w:rPr>
          <w:rFonts w:eastAsia="Times New Roman"/>
          <w:color w:val="000000"/>
          <w:sz w:val="20"/>
          <w:szCs w:val="20"/>
        </w:rPr>
        <w:t>•issued patents that we own or have exclusively licensed may be held invalid or unenforceable, as a r</w:t>
      </w:r>
      <w:r>
        <w:rPr>
          <w:rFonts w:eastAsia="Times New Roman"/>
          <w:color w:val="000000"/>
          <w:sz w:val="20"/>
          <w:szCs w:val="20"/>
        </w:rPr>
        <w:t>esult of legal challenges by our competitors;</w:t>
      </w:r>
    </w:p>
    <w:p w:rsidR="00000000" w:rsidRDefault="00FD7D3C">
      <w:pPr>
        <w:ind w:hanging="1260"/>
        <w:divId w:val="534389631"/>
        <w:rPr>
          <w:rFonts w:eastAsia="Times New Roman"/>
        </w:rPr>
      </w:pPr>
      <w:r>
        <w:rPr>
          <w:rFonts w:eastAsia="Times New Roman"/>
          <w:color w:val="000000"/>
          <w:sz w:val="20"/>
          <w:szCs w:val="20"/>
        </w:rPr>
        <w:t>•our competitors might conduct research and development activities in countries where we do not have patent rights and then use the information learned from such activities to develop competitive products for s</w:t>
      </w:r>
      <w:r>
        <w:rPr>
          <w:rFonts w:eastAsia="Times New Roman"/>
          <w:color w:val="000000"/>
          <w:sz w:val="20"/>
          <w:szCs w:val="20"/>
        </w:rPr>
        <w:t>ale in our major commercial markets;</w:t>
      </w:r>
    </w:p>
    <w:p w:rsidR="00000000" w:rsidRDefault="00FD7D3C">
      <w:pPr>
        <w:ind w:hanging="1260"/>
        <w:divId w:val="1441334055"/>
        <w:rPr>
          <w:rFonts w:eastAsia="Times New Roman"/>
        </w:rPr>
      </w:pPr>
      <w:r>
        <w:rPr>
          <w:rFonts w:eastAsia="Times New Roman"/>
          <w:color w:val="000000"/>
          <w:sz w:val="20"/>
          <w:szCs w:val="20"/>
        </w:rPr>
        <w:t>•we may not develop additional proprietary technologies that are patentable;</w:t>
      </w:r>
    </w:p>
    <w:p w:rsidR="00000000" w:rsidRDefault="00FD7D3C">
      <w:pPr>
        <w:ind w:hanging="1260"/>
        <w:divId w:val="1705868353"/>
        <w:rPr>
          <w:rFonts w:eastAsia="Times New Roman"/>
        </w:rPr>
      </w:pPr>
      <w:r>
        <w:rPr>
          <w:rFonts w:eastAsia="Times New Roman"/>
          <w:color w:val="000000"/>
          <w:sz w:val="20"/>
          <w:szCs w:val="20"/>
        </w:rPr>
        <w:t>•we cannot predict the scope of protection of any patent issuing based on our patent applications, including whether the patent applications t</w:t>
      </w:r>
      <w:r>
        <w:rPr>
          <w:rFonts w:eastAsia="Times New Roman"/>
          <w:color w:val="000000"/>
          <w:sz w:val="20"/>
          <w:szCs w:val="20"/>
        </w:rPr>
        <w:t>hat we own or in-license will result in issued patents with claims that cover our drug candidates, drug products or uses thereof in the United States or in other foreign countries;</w:t>
      </w:r>
    </w:p>
    <w:p w:rsidR="00000000" w:rsidRDefault="00FD7D3C">
      <w:pPr>
        <w:ind w:hanging="1260"/>
        <w:divId w:val="36048166"/>
        <w:rPr>
          <w:rFonts w:eastAsia="Times New Roman"/>
        </w:rPr>
      </w:pPr>
      <w:r>
        <w:rPr>
          <w:rFonts w:eastAsia="Times New Roman"/>
          <w:color w:val="000000"/>
          <w:sz w:val="20"/>
          <w:szCs w:val="20"/>
        </w:rPr>
        <w:t xml:space="preserve">•the claims of any patent issuing based on our patent applications may not </w:t>
      </w:r>
      <w:r>
        <w:rPr>
          <w:rFonts w:eastAsia="Times New Roman"/>
          <w:color w:val="000000"/>
          <w:sz w:val="20"/>
          <w:szCs w:val="20"/>
        </w:rPr>
        <w:t>provide protection against competitors or any competitive advantages, or may be challenged by third parties;</w:t>
      </w:r>
    </w:p>
    <w:p w:rsidR="00000000" w:rsidRDefault="00FD7D3C">
      <w:pPr>
        <w:ind w:hanging="1260"/>
        <w:divId w:val="1854489187"/>
        <w:rPr>
          <w:rFonts w:eastAsia="Times New Roman"/>
        </w:rPr>
      </w:pPr>
      <w:r>
        <w:rPr>
          <w:rFonts w:eastAsia="Times New Roman"/>
          <w:color w:val="000000"/>
          <w:sz w:val="20"/>
          <w:szCs w:val="20"/>
        </w:rPr>
        <w:t>•if enforced, a court may not hold that our patents are valid, enforceable and/or infringed;</w:t>
      </w:r>
    </w:p>
    <w:p w:rsidR="00000000" w:rsidRDefault="00FD7D3C">
      <w:pPr>
        <w:ind w:hanging="1260"/>
        <w:divId w:val="1569918630"/>
        <w:rPr>
          <w:rFonts w:eastAsia="Times New Roman"/>
        </w:rPr>
      </w:pPr>
      <w:r>
        <w:rPr>
          <w:rFonts w:eastAsia="Times New Roman"/>
          <w:color w:val="000000"/>
          <w:sz w:val="20"/>
          <w:szCs w:val="20"/>
        </w:rPr>
        <w:t xml:space="preserve">•we may need to initiate litigation or administrative </w:t>
      </w:r>
      <w:r>
        <w:rPr>
          <w:rFonts w:eastAsia="Times New Roman"/>
          <w:color w:val="000000"/>
          <w:sz w:val="20"/>
          <w:szCs w:val="20"/>
        </w:rPr>
        <w:t>proceedings to enforce and/or defend our patent rights which will be costly whether we win or lose;</w:t>
      </w:r>
    </w:p>
    <w:p w:rsidR="00000000" w:rsidRDefault="00FD7D3C">
      <w:pPr>
        <w:ind w:hanging="1260"/>
        <w:divId w:val="245655258"/>
        <w:rPr>
          <w:rFonts w:eastAsia="Times New Roman"/>
        </w:rPr>
      </w:pPr>
      <w:r>
        <w:rPr>
          <w:rFonts w:eastAsia="Times New Roman"/>
          <w:color w:val="000000"/>
          <w:sz w:val="20"/>
          <w:szCs w:val="20"/>
        </w:rPr>
        <w:t>•we may choose not to file a patent application in order to maintain certain trade secrets or know-how, and a third party may subsequently file a patent app</w:t>
      </w:r>
      <w:r>
        <w:rPr>
          <w:rFonts w:eastAsia="Times New Roman"/>
          <w:color w:val="000000"/>
          <w:sz w:val="20"/>
          <w:szCs w:val="20"/>
        </w:rPr>
        <w:t>lication covering such intellectual property;</w:t>
      </w:r>
    </w:p>
    <w:p w:rsidR="00000000" w:rsidRDefault="00FD7D3C">
      <w:pPr>
        <w:ind w:hanging="1260"/>
        <w:divId w:val="1503426831"/>
        <w:rPr>
          <w:rFonts w:eastAsia="Times New Roman"/>
        </w:rPr>
      </w:pPr>
      <w:r>
        <w:rPr>
          <w:rFonts w:eastAsia="Times New Roman"/>
          <w:color w:val="000000"/>
          <w:sz w:val="20"/>
          <w:szCs w:val="20"/>
        </w:rPr>
        <w:t xml:space="preserve">•we may fail to adequately protect and police our trademarks and trade secrets; </w:t>
      </w:r>
    </w:p>
    <w:p w:rsidR="00000000" w:rsidRDefault="00FD7D3C">
      <w:pPr>
        <w:ind w:hanging="1260"/>
        <w:divId w:val="1498810797"/>
        <w:rPr>
          <w:rFonts w:eastAsia="Times New Roman"/>
        </w:rPr>
      </w:pPr>
      <w:r>
        <w:rPr>
          <w:rFonts w:eastAsia="Times New Roman"/>
          <w:color w:val="000000"/>
          <w:sz w:val="20"/>
          <w:szCs w:val="20"/>
        </w:rPr>
        <w:t>•other parties may independently develop the technology covered by our trade secrets; and</w:t>
      </w:r>
    </w:p>
    <w:p w:rsidR="00000000" w:rsidRDefault="00FD7D3C">
      <w:pPr>
        <w:ind w:hanging="1260"/>
        <w:divId w:val="717582264"/>
        <w:rPr>
          <w:rFonts w:eastAsia="Times New Roman"/>
        </w:rPr>
      </w:pPr>
      <w:r>
        <w:rPr>
          <w:rFonts w:eastAsia="Times New Roman"/>
          <w:color w:val="000000"/>
          <w:sz w:val="20"/>
          <w:szCs w:val="20"/>
        </w:rPr>
        <w:t>•the patents of others may have an adve</w:t>
      </w:r>
      <w:r>
        <w:rPr>
          <w:rFonts w:eastAsia="Times New Roman"/>
          <w:color w:val="000000"/>
          <w:sz w:val="20"/>
          <w:szCs w:val="20"/>
        </w:rPr>
        <w:t>rse effect on our business, including if others obtain patents claiming subject matter similar to or improving that covered by our patents and patent applications.</w:t>
      </w:r>
    </w:p>
    <w:p w:rsidR="00000000" w:rsidRDefault="00FD7D3C">
      <w:pPr>
        <w:ind w:firstLine="1080"/>
        <w:divId w:val="124083986"/>
        <w:rPr>
          <w:rFonts w:eastAsia="Times New Roman"/>
        </w:rPr>
      </w:pPr>
      <w:r>
        <w:rPr>
          <w:rFonts w:eastAsia="Times New Roman"/>
          <w:color w:val="000000"/>
          <w:sz w:val="20"/>
          <w:szCs w:val="20"/>
        </w:rPr>
        <w:t>Should any of these events occur, they could significantly harm our business, financial cond</w:t>
      </w:r>
      <w:r>
        <w:rPr>
          <w:rFonts w:eastAsia="Times New Roman"/>
          <w:color w:val="000000"/>
          <w:sz w:val="20"/>
          <w:szCs w:val="20"/>
        </w:rPr>
        <w:t>ition, results of operations, and prospects.</w:t>
      </w:r>
    </w:p>
    <w:p w:rsidR="00000000" w:rsidRDefault="00FD7D3C">
      <w:pPr>
        <w:ind w:firstLine="1080"/>
        <w:divId w:val="1626885844"/>
        <w:rPr>
          <w:rFonts w:eastAsia="Times New Roman"/>
        </w:rPr>
      </w:pPr>
    </w:p>
    <w:p w:rsidR="00000000" w:rsidRDefault="00FD7D3C">
      <w:pPr>
        <w:ind w:firstLine="1080"/>
        <w:divId w:val="1077049428"/>
        <w:rPr>
          <w:rFonts w:eastAsia="Times New Roman"/>
        </w:rPr>
      </w:pPr>
      <w:r>
        <w:rPr>
          <w:rFonts w:eastAsia="Times New Roman"/>
          <w:b/>
          <w:bCs/>
          <w:color w:val="000000"/>
          <w:sz w:val="20"/>
          <w:szCs w:val="20"/>
        </w:rPr>
        <w:t>Risks Related to Our Reliance on Third Parties</w:t>
      </w:r>
    </w:p>
    <w:p w:rsidR="00000000" w:rsidRDefault="00FD7D3C">
      <w:pPr>
        <w:ind w:firstLine="1080"/>
        <w:divId w:val="1287084529"/>
        <w:rPr>
          <w:rFonts w:eastAsia="Times New Roman"/>
        </w:rPr>
      </w:pPr>
      <w:r>
        <w:rPr>
          <w:rFonts w:eastAsia="Times New Roman"/>
          <w:b/>
          <w:bCs/>
          <w:i/>
          <w:iCs/>
          <w:color w:val="000000"/>
          <w:sz w:val="20"/>
          <w:szCs w:val="20"/>
        </w:rPr>
        <w:t>We have entered into a collaboration agreement with Novartis for the development of PLN-1474, and may in the future seek to enter into collaborations with third parties for the development and commercialization of other product candidates. If we fail to en</w:t>
      </w:r>
      <w:r>
        <w:rPr>
          <w:rFonts w:eastAsia="Times New Roman"/>
          <w:b/>
          <w:bCs/>
          <w:i/>
          <w:iCs/>
          <w:color w:val="000000"/>
          <w:sz w:val="20"/>
          <w:szCs w:val="20"/>
        </w:rPr>
        <w:t>ter into such collaborations, or if our collaborations are not successful, we may be unable to continue development of such product candidates, we would not receive any contemplated milestone payments or royalties, and we could fail to capitalize on the ma</w:t>
      </w:r>
      <w:r>
        <w:rPr>
          <w:rFonts w:eastAsia="Times New Roman"/>
          <w:b/>
          <w:bCs/>
          <w:i/>
          <w:iCs/>
          <w:color w:val="000000"/>
          <w:sz w:val="20"/>
          <w:szCs w:val="20"/>
        </w:rPr>
        <w:t>rket potential of such product candidates.</w:t>
      </w:r>
    </w:p>
    <w:p w:rsidR="00000000" w:rsidRDefault="00FD7D3C">
      <w:pPr>
        <w:ind w:firstLine="1080"/>
        <w:divId w:val="317155526"/>
        <w:rPr>
          <w:rFonts w:eastAsia="Times New Roman"/>
        </w:rPr>
      </w:pPr>
      <w:r>
        <w:rPr>
          <w:rFonts w:eastAsia="Times New Roman"/>
          <w:color w:val="000000"/>
          <w:sz w:val="20"/>
          <w:szCs w:val="20"/>
        </w:rPr>
        <w:t>In October 2019, we entered into a license and collaboration agreement with Novartis for the development and commercialization of our then preclinical product candidate, PLN-1474, and up to three integrin research</w:t>
      </w:r>
      <w:r>
        <w:rPr>
          <w:rFonts w:eastAsia="Times New Roman"/>
          <w:color w:val="000000"/>
          <w:sz w:val="20"/>
          <w:szCs w:val="20"/>
        </w:rPr>
        <w:t xml:space="preserve"> targets. In December 2019, we received an upfront license payment of $50.0 million for the worldwide exclusive license to PLN-1474 and, upon achievement of the first patient dosing milestone, received a payment of $25.0 million in the second quarter of 20</w:t>
      </w:r>
      <w:r>
        <w:rPr>
          <w:rFonts w:eastAsia="Times New Roman"/>
          <w:color w:val="000000"/>
          <w:sz w:val="20"/>
          <w:szCs w:val="20"/>
        </w:rPr>
        <w:t xml:space="preserve">20. Pursuant to the Novartis Agreement, we expect to receive research and development funding totaling up to $19.6 million for PLN-1474 development services and funding of up to $13.4 million for optional research and development </w:t>
      </w:r>
    </w:p>
    <w:p w:rsidR="00000000" w:rsidRDefault="00FD7D3C">
      <w:pPr>
        <w:jc w:val="center"/>
        <w:divId w:val="483857539"/>
        <w:rPr>
          <w:rFonts w:eastAsia="Times New Roman"/>
        </w:rPr>
      </w:pPr>
      <w:r>
        <w:rPr>
          <w:rFonts w:eastAsia="Times New Roman"/>
          <w:color w:val="000000"/>
          <w:sz w:val="20"/>
          <w:szCs w:val="20"/>
        </w:rPr>
        <w:t>73</w:t>
      </w:r>
    </w:p>
    <w:p w:rsidR="00000000" w:rsidRDefault="00FD7D3C">
      <w:pPr>
        <w:rPr>
          <w:rFonts w:eastAsia="Times New Roman"/>
        </w:rPr>
      </w:pPr>
      <w:r>
        <w:rPr>
          <w:rFonts w:eastAsia="Times New Roman"/>
        </w:rPr>
        <w:pict>
          <v:rect id="_x0000_i1126" style="width:0;height:1.5pt" o:hralign="center" o:hrstd="t" o:hr="t" fillcolor="#a0a0a0" stroked="f"/>
        </w:pict>
      </w:r>
    </w:p>
    <w:p w:rsidR="00000000" w:rsidRDefault="00FD7D3C">
      <w:pPr>
        <w:divId w:val="1135486926"/>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divId w:val="228078345"/>
        <w:rPr>
          <w:rFonts w:eastAsia="Times New Roman"/>
        </w:rPr>
      </w:pPr>
      <w:r>
        <w:rPr>
          <w:rFonts w:eastAsia="Times New Roman"/>
          <w:color w:val="000000"/>
          <w:sz w:val="20"/>
          <w:szCs w:val="20"/>
        </w:rPr>
        <w:t>services on the integrin research targets. Additionally, we are eligible to receive additional developmental, regulatory and commercial milestone payments of up to $3</w:t>
      </w:r>
      <w:r>
        <w:rPr>
          <w:rFonts w:eastAsia="Times New Roman"/>
          <w:color w:val="000000"/>
          <w:sz w:val="20"/>
          <w:szCs w:val="20"/>
        </w:rPr>
        <w:t>91.0 million if defined development, regulatory and commercialization milestones are achieved and tiered royalties, on a product-by-product basis based on annual net sales of products, at percentages ranging from high-single digits to low teens of the appl</w:t>
      </w:r>
      <w:r>
        <w:rPr>
          <w:rFonts w:eastAsia="Times New Roman"/>
          <w:color w:val="000000"/>
          <w:sz w:val="20"/>
          <w:szCs w:val="20"/>
        </w:rPr>
        <w:t>icable licensed products and mid-single digits to high-single digits for any products resulting from the research programs. The IND application candidate was transferred to Novartis in the first quarter of 2021, and Novartis is responsible for all PLN-1474</w:t>
      </w:r>
      <w:r>
        <w:rPr>
          <w:rFonts w:eastAsia="Times New Roman"/>
          <w:color w:val="000000"/>
          <w:sz w:val="20"/>
          <w:szCs w:val="20"/>
        </w:rPr>
        <w:t xml:space="preserve"> development, manufacturing, and commercialization activities after the initial development period. As a result, we are reliant on Novartis and its efforts and capabilities with respect to the advancement of this candidate. If we or our collaborators are u</w:t>
      </w:r>
      <w:r>
        <w:rPr>
          <w:rFonts w:eastAsia="Times New Roman"/>
          <w:color w:val="000000"/>
          <w:sz w:val="20"/>
          <w:szCs w:val="20"/>
        </w:rPr>
        <w:t>nable to successfully advance the development of our product candidates, including PLN-1474, or achieve milestones, revenue and cash resources from milestone payments under our collaboration agreements will be substantially less than expected.</w:t>
      </w:r>
    </w:p>
    <w:p w:rsidR="00000000" w:rsidRDefault="00FD7D3C">
      <w:pPr>
        <w:ind w:firstLine="1080"/>
        <w:divId w:val="1779980681"/>
        <w:rPr>
          <w:rFonts w:eastAsia="Times New Roman"/>
        </w:rPr>
      </w:pPr>
      <w:r>
        <w:rPr>
          <w:rFonts w:eastAsia="Times New Roman"/>
          <w:color w:val="000000"/>
          <w:sz w:val="20"/>
          <w:szCs w:val="20"/>
        </w:rPr>
        <w:t>In addition,</w:t>
      </w:r>
      <w:r>
        <w:rPr>
          <w:rFonts w:eastAsia="Times New Roman"/>
          <w:color w:val="000000"/>
          <w:sz w:val="20"/>
          <w:szCs w:val="20"/>
        </w:rPr>
        <w:t xml:space="preserve"> to the extent that any of our existing or future collaborators were to terminate a collaboration agreement, we may be forced to independently develop these product candidates, including funding preclinical or clinical trials, assuming marketing and distri</w:t>
      </w:r>
      <w:r>
        <w:rPr>
          <w:rFonts w:eastAsia="Times New Roman"/>
          <w:color w:val="000000"/>
          <w:sz w:val="20"/>
          <w:szCs w:val="20"/>
        </w:rPr>
        <w:t>bution costs and defending intellectual property rights, or, in certain instances, abandon product candidates altogether, any of which could result in a change to our business plan and a material and adverse effect on our business, financial condition, res</w:t>
      </w:r>
      <w:r>
        <w:rPr>
          <w:rFonts w:eastAsia="Times New Roman"/>
          <w:color w:val="000000"/>
          <w:sz w:val="20"/>
          <w:szCs w:val="20"/>
        </w:rPr>
        <w:t>ults of operations and prospects.</w:t>
      </w:r>
    </w:p>
    <w:p w:rsidR="00000000" w:rsidRDefault="00FD7D3C">
      <w:pPr>
        <w:ind w:firstLine="1080"/>
        <w:divId w:val="1860966161"/>
        <w:rPr>
          <w:rFonts w:eastAsia="Times New Roman"/>
        </w:rPr>
      </w:pPr>
      <w:r>
        <w:rPr>
          <w:rFonts w:eastAsia="Times New Roman"/>
          <w:b/>
          <w:bCs/>
          <w:i/>
          <w:iCs/>
          <w:color w:val="000000"/>
          <w:sz w:val="20"/>
          <w:szCs w:val="20"/>
        </w:rPr>
        <w:t>We rely on third parties to conduct certain aspects of our preclinical studies and clinical trials. If these third parties do not successfully carry out their contractual duties, meet expected deadlines or comply with regu</w:t>
      </w:r>
      <w:r>
        <w:rPr>
          <w:rFonts w:eastAsia="Times New Roman"/>
          <w:b/>
          <w:bCs/>
          <w:i/>
          <w:iCs/>
          <w:color w:val="000000"/>
          <w:sz w:val="20"/>
          <w:szCs w:val="20"/>
        </w:rPr>
        <w:t>latory requirements, we may not be able to obtain regulatory approval of or commercialize any potential product candidates.</w:t>
      </w:r>
    </w:p>
    <w:p w:rsidR="00000000" w:rsidRDefault="00FD7D3C">
      <w:pPr>
        <w:ind w:firstLine="1080"/>
        <w:divId w:val="1858495561"/>
        <w:rPr>
          <w:rFonts w:eastAsia="Times New Roman"/>
        </w:rPr>
      </w:pPr>
      <w:r>
        <w:rPr>
          <w:rFonts w:eastAsia="Times New Roman"/>
          <w:color w:val="000000"/>
          <w:sz w:val="20"/>
          <w:szCs w:val="20"/>
        </w:rPr>
        <w:t>We depend upon third parties to conduct certain aspects of our preclinical studies and clinical trials, under agreements with univer</w:t>
      </w:r>
      <w:r>
        <w:rPr>
          <w:rFonts w:eastAsia="Times New Roman"/>
          <w:color w:val="000000"/>
          <w:sz w:val="20"/>
          <w:szCs w:val="20"/>
        </w:rPr>
        <w:t>sities, medical institutions, CROs, strategic collaborators and others. We expect to have to negotiate budgets and contracts with such third parties, which may result in delays to our development timelines and increased costs.</w:t>
      </w:r>
    </w:p>
    <w:p w:rsidR="00000000" w:rsidRDefault="00FD7D3C">
      <w:pPr>
        <w:ind w:firstLine="1080"/>
        <w:divId w:val="1475444336"/>
        <w:rPr>
          <w:rFonts w:eastAsia="Times New Roman"/>
        </w:rPr>
      </w:pPr>
      <w:r>
        <w:rPr>
          <w:rFonts w:eastAsia="Times New Roman"/>
          <w:color w:val="000000"/>
          <w:sz w:val="20"/>
          <w:szCs w:val="20"/>
        </w:rPr>
        <w:t>We will rely especially heavi</w:t>
      </w:r>
      <w:r>
        <w:rPr>
          <w:rFonts w:eastAsia="Times New Roman"/>
          <w:color w:val="000000"/>
          <w:sz w:val="20"/>
          <w:szCs w:val="20"/>
        </w:rPr>
        <w:t>ly on third parties over the course of our clinical trials, and, as a result, will have limited control over the clinical investigators and limited visibility into their day-to-day activities, including with respect to their compliance with the approved cl</w:t>
      </w:r>
      <w:r>
        <w:rPr>
          <w:rFonts w:eastAsia="Times New Roman"/>
          <w:color w:val="000000"/>
          <w:sz w:val="20"/>
          <w:szCs w:val="20"/>
        </w:rPr>
        <w:t>inical protocol. Nevertheless, we are responsible for ensuring that each of our trials is conducted in accordance with the applicable protocol, legal and regulatory requirements and scientific standards, and our reliance on third parties does not relieve u</w:t>
      </w:r>
      <w:r>
        <w:rPr>
          <w:rFonts w:eastAsia="Times New Roman"/>
          <w:color w:val="000000"/>
          <w:sz w:val="20"/>
          <w:szCs w:val="20"/>
        </w:rPr>
        <w:t>s of our regulatory responsibilities. We and these third parties are required to comply with GCP requirements, which are regulations and guidelines enforced by the FDA and comparable foreign regulatory authorities for product candidates in clinical develop</w:t>
      </w:r>
      <w:r>
        <w:rPr>
          <w:rFonts w:eastAsia="Times New Roman"/>
          <w:color w:val="000000"/>
          <w:sz w:val="20"/>
          <w:szCs w:val="20"/>
        </w:rPr>
        <w:t>ment. Regulatory authorities enforce these GCP requirements through periodic inspections of trial sponsors, clinical investigators and trial sites. If we or any of these third parties fail to comply with applicable GCP requirements, the clinical data gener</w:t>
      </w:r>
      <w:r>
        <w:rPr>
          <w:rFonts w:eastAsia="Times New Roman"/>
          <w:color w:val="000000"/>
          <w:sz w:val="20"/>
          <w:szCs w:val="20"/>
        </w:rPr>
        <w:t>ated in our clinical trials may be deemed unreliable and the FDA or comparable foreign regulatory authorities may require us to suspend or terminate these trials or perform additional preclinical studies or clinical trials before approving our marketing ap</w:t>
      </w:r>
      <w:r>
        <w:rPr>
          <w:rFonts w:eastAsia="Times New Roman"/>
          <w:color w:val="000000"/>
          <w:sz w:val="20"/>
          <w:szCs w:val="20"/>
        </w:rPr>
        <w:t>plications. We cannot be certain that, upon inspection, such regulatory authorities will determine that any of our clinical trials comply with the GCP requirements.</w:t>
      </w:r>
    </w:p>
    <w:p w:rsidR="00000000" w:rsidRDefault="00FD7D3C">
      <w:pPr>
        <w:ind w:firstLine="1080"/>
        <w:divId w:val="1057049447"/>
        <w:rPr>
          <w:rFonts w:eastAsia="Times New Roman"/>
        </w:rPr>
      </w:pPr>
      <w:r>
        <w:rPr>
          <w:rFonts w:eastAsia="Times New Roman"/>
          <w:color w:val="000000"/>
          <w:sz w:val="20"/>
          <w:szCs w:val="20"/>
        </w:rPr>
        <w:t>Our failure or any failure by these third parties to comply with these regulations or to re</w:t>
      </w:r>
      <w:r>
        <w:rPr>
          <w:rFonts w:eastAsia="Times New Roman"/>
          <w:color w:val="000000"/>
          <w:sz w:val="20"/>
          <w:szCs w:val="20"/>
        </w:rPr>
        <w:t>cruit a sufficient number of patients may require us to repeat clinical trials, which would delay the regulatory approval process. Moreover, our business may be implicated if any of these third parties violates federal or state fraud and abuse or false cla</w:t>
      </w:r>
      <w:r>
        <w:rPr>
          <w:rFonts w:eastAsia="Times New Roman"/>
          <w:color w:val="000000"/>
          <w:sz w:val="20"/>
          <w:szCs w:val="20"/>
        </w:rPr>
        <w:t>ims laws and regulations or healthcare privacy and security laws.</w:t>
      </w:r>
    </w:p>
    <w:p w:rsidR="00000000" w:rsidRDefault="00FD7D3C">
      <w:pPr>
        <w:ind w:firstLine="1080"/>
        <w:divId w:val="1419521496"/>
        <w:rPr>
          <w:rFonts w:eastAsia="Times New Roman"/>
        </w:rPr>
      </w:pPr>
      <w:r>
        <w:rPr>
          <w:rFonts w:eastAsia="Times New Roman"/>
          <w:color w:val="000000"/>
          <w:sz w:val="20"/>
          <w:szCs w:val="20"/>
        </w:rPr>
        <w:t>Any third parties conducting aspects of our preclinical studies or clinical trials will not be our employees and, except for remedies that may be available to us under our agreements with su</w:t>
      </w:r>
      <w:r>
        <w:rPr>
          <w:rFonts w:eastAsia="Times New Roman"/>
          <w:color w:val="000000"/>
          <w:sz w:val="20"/>
          <w:szCs w:val="20"/>
        </w:rPr>
        <w:t>ch third parties, we cannot control whether or not they devote sufficient time and resources to our preclinical studies and clinical programs. These third parties may also have relationships with other commercial entities, including our competitors, for wh</w:t>
      </w:r>
      <w:r>
        <w:rPr>
          <w:rFonts w:eastAsia="Times New Roman"/>
          <w:color w:val="000000"/>
          <w:sz w:val="20"/>
          <w:szCs w:val="20"/>
        </w:rPr>
        <w:t>om they may also be conducting clinical trials or other product development activities, which could affect their performance on our behalf. If these third parties do not successfully carry out their contractual duties or obligations or meet expected deadli</w:t>
      </w:r>
      <w:r>
        <w:rPr>
          <w:rFonts w:eastAsia="Times New Roman"/>
          <w:color w:val="000000"/>
          <w:sz w:val="20"/>
          <w:szCs w:val="20"/>
        </w:rPr>
        <w:t>nes, if they need to be replaced or if the quality or accuracy of the preclinical or clinical data they obtain is compromised due to the failure to adhere to our protocols or regulatory requirements or for other reasons or if due to federal or state orders</w:t>
      </w:r>
      <w:r>
        <w:rPr>
          <w:rFonts w:eastAsia="Times New Roman"/>
          <w:color w:val="000000"/>
          <w:sz w:val="20"/>
          <w:szCs w:val="20"/>
        </w:rPr>
        <w:t xml:space="preserve"> or absenteeism due to the COVID-19 pandemic they are unable to meet their contractual and regulatory obligations, our development timelines, including clinical development timelines, may be extended, delayed or terminated and we may not be able to complet</w:t>
      </w:r>
      <w:r>
        <w:rPr>
          <w:rFonts w:eastAsia="Times New Roman"/>
          <w:color w:val="000000"/>
          <w:sz w:val="20"/>
          <w:szCs w:val="20"/>
        </w:rPr>
        <w:t>e development of, obtain regulatory approval of or successfully commercialize our product candidates. As a result, our financial results and the commercial prospects for our product candidates would be harmed, our costs could increase and our ability to ge</w:t>
      </w:r>
      <w:r>
        <w:rPr>
          <w:rFonts w:eastAsia="Times New Roman"/>
          <w:color w:val="000000"/>
          <w:sz w:val="20"/>
          <w:szCs w:val="20"/>
        </w:rPr>
        <w:t>nerate revenue could be delayed.</w:t>
      </w:r>
    </w:p>
    <w:p w:rsidR="00000000" w:rsidRDefault="00FD7D3C">
      <w:pPr>
        <w:ind w:firstLine="1080"/>
        <w:divId w:val="1303462103"/>
        <w:rPr>
          <w:rFonts w:eastAsia="Times New Roman"/>
        </w:rPr>
      </w:pPr>
      <w:r>
        <w:rPr>
          <w:rFonts w:eastAsia="Times New Roman"/>
          <w:color w:val="000000"/>
          <w:sz w:val="20"/>
          <w:szCs w:val="20"/>
        </w:rPr>
        <w:t>If any of our relationships with these third-party CROs or others terminate, we may not be able to enter into arrangements with alternative CROs or other third parties or to do so on commercially reasonable terms.</w:t>
      </w:r>
    </w:p>
    <w:p w:rsidR="00000000" w:rsidRDefault="00FD7D3C">
      <w:pPr>
        <w:jc w:val="center"/>
        <w:divId w:val="216163585"/>
        <w:rPr>
          <w:rFonts w:eastAsia="Times New Roman"/>
        </w:rPr>
      </w:pPr>
      <w:r>
        <w:rPr>
          <w:rFonts w:eastAsia="Times New Roman"/>
          <w:color w:val="000000"/>
          <w:sz w:val="20"/>
          <w:szCs w:val="20"/>
        </w:rPr>
        <w:t>74</w:t>
      </w:r>
    </w:p>
    <w:p w:rsidR="00000000" w:rsidRDefault="00FD7D3C">
      <w:pPr>
        <w:rPr>
          <w:rFonts w:eastAsia="Times New Roman"/>
        </w:rPr>
      </w:pPr>
      <w:r>
        <w:rPr>
          <w:rFonts w:eastAsia="Times New Roman"/>
        </w:rPr>
        <w:pict>
          <v:rect id="_x0000_i1127" style="width:0;height:1.5pt" o:hralign="center" o:hrstd="t" o:hr="t" fillcolor="#a0a0a0" stroked="f"/>
        </w:pict>
      </w:r>
    </w:p>
    <w:p w:rsidR="00000000" w:rsidRDefault="00FD7D3C">
      <w:pPr>
        <w:divId w:val="1264336758"/>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ind w:firstLine="1080"/>
        <w:divId w:val="1713919721"/>
        <w:rPr>
          <w:rFonts w:eastAsia="Times New Roman"/>
        </w:rPr>
      </w:pPr>
      <w:r>
        <w:rPr>
          <w:rFonts w:eastAsia="Times New Roman"/>
          <w:color w:val="000000"/>
          <w:sz w:val="20"/>
          <w:szCs w:val="20"/>
        </w:rPr>
        <w:t>Switching or adding additional CROs involves additional cost and requires management time and focus. In addition, there is a natural transition period</w:t>
      </w:r>
      <w:r>
        <w:rPr>
          <w:rFonts w:eastAsia="Times New Roman"/>
          <w:color w:val="000000"/>
          <w:sz w:val="20"/>
          <w:szCs w:val="20"/>
        </w:rPr>
        <w:t xml:space="preserve"> when a new CRO begins work. As a result, delays may occur, which can materially impact our ability to meet our desired development timelines. Though we carefully manage our relationships with our CROs, there can be no assurance that we will not encounter </w:t>
      </w:r>
      <w:r>
        <w:rPr>
          <w:rFonts w:eastAsia="Times New Roman"/>
          <w:color w:val="000000"/>
          <w:sz w:val="20"/>
          <w:szCs w:val="20"/>
        </w:rPr>
        <w:t>similar challenges or delays in the future or that these delays or challenges will not have a material adverse impact on our business, financial condition and prospects.</w:t>
      </w:r>
    </w:p>
    <w:p w:rsidR="00000000" w:rsidRDefault="00FD7D3C">
      <w:pPr>
        <w:ind w:firstLine="1080"/>
        <w:divId w:val="1249075234"/>
        <w:rPr>
          <w:rFonts w:eastAsia="Times New Roman"/>
        </w:rPr>
      </w:pPr>
      <w:r>
        <w:rPr>
          <w:rFonts w:eastAsia="Times New Roman"/>
          <w:b/>
          <w:bCs/>
          <w:i/>
          <w:iCs/>
          <w:color w:val="000000"/>
          <w:sz w:val="20"/>
          <w:szCs w:val="20"/>
        </w:rPr>
        <w:t>We rely on third parties for tissue samples and other materials required for our resea</w:t>
      </w:r>
      <w:r>
        <w:rPr>
          <w:rFonts w:eastAsia="Times New Roman"/>
          <w:b/>
          <w:bCs/>
          <w:i/>
          <w:iCs/>
          <w:color w:val="000000"/>
          <w:sz w:val="20"/>
          <w:szCs w:val="20"/>
        </w:rPr>
        <w:t>rch and development activities, and if we are unable to reach agreements with these third parties our research and development activities would be delayed.</w:t>
      </w:r>
    </w:p>
    <w:p w:rsidR="00000000" w:rsidRDefault="00FD7D3C">
      <w:pPr>
        <w:ind w:firstLine="1080"/>
        <w:divId w:val="710694410"/>
        <w:rPr>
          <w:rFonts w:eastAsia="Times New Roman"/>
        </w:rPr>
      </w:pPr>
      <w:r>
        <w:rPr>
          <w:rFonts w:eastAsia="Times New Roman"/>
          <w:color w:val="000000"/>
          <w:sz w:val="20"/>
          <w:szCs w:val="20"/>
        </w:rPr>
        <w:t>We rely on third parties, primarily hospitals, health clinics and academic institutions, for the pro</w:t>
      </w:r>
      <w:r>
        <w:rPr>
          <w:rFonts w:eastAsia="Times New Roman"/>
          <w:color w:val="000000"/>
          <w:sz w:val="20"/>
          <w:szCs w:val="20"/>
        </w:rPr>
        <w:t>vision of tissue samples and other materials required in our research and development activities. Obtaining these materials requires various approvals as well as reaching a commercial agreement on acceptable terms with the hospital or other provider of the</w:t>
      </w:r>
      <w:r>
        <w:rPr>
          <w:rFonts w:eastAsia="Times New Roman"/>
          <w:color w:val="000000"/>
          <w:sz w:val="20"/>
          <w:szCs w:val="20"/>
        </w:rPr>
        <w:t xml:space="preserve"> materials. While we currently have agreements in place with the institutions from which we receive our tissue samples, we do not have any exclusive arrangements with such sources and there is no guarantee that we will be able to maintain or renew such agr</w:t>
      </w:r>
      <w:r>
        <w:rPr>
          <w:rFonts w:eastAsia="Times New Roman"/>
          <w:color w:val="000000"/>
          <w:sz w:val="20"/>
          <w:szCs w:val="20"/>
        </w:rPr>
        <w:t xml:space="preserve">eements on commercially reasonable terms, if at all. If we were unable to maintain or renew such agreements, we would be forced to seek new arrangements with new hospitals, clinics or health institutions. If so, we may not be able to reach agreements with </w:t>
      </w:r>
      <w:r>
        <w:rPr>
          <w:rFonts w:eastAsia="Times New Roman"/>
          <w:color w:val="000000"/>
          <w:sz w:val="20"/>
          <w:szCs w:val="20"/>
        </w:rPr>
        <w:t>alternative partners or do so on terms acceptable to us. If we are unable to enter into such agreements, our research and development activities will be delayed and our ability to implement a key part of our development strategy will be compromised.</w:t>
      </w:r>
    </w:p>
    <w:p w:rsidR="00000000" w:rsidRDefault="00FD7D3C">
      <w:pPr>
        <w:ind w:firstLine="1080"/>
        <w:divId w:val="1840658283"/>
        <w:rPr>
          <w:rFonts w:eastAsia="Times New Roman"/>
        </w:rPr>
      </w:pPr>
      <w:r>
        <w:rPr>
          <w:rFonts w:eastAsia="Times New Roman"/>
          <w:b/>
          <w:bCs/>
          <w:i/>
          <w:iCs/>
          <w:color w:val="000000"/>
          <w:sz w:val="20"/>
          <w:szCs w:val="20"/>
        </w:rPr>
        <w:t>Becaus</w:t>
      </w:r>
      <w:r>
        <w:rPr>
          <w:rFonts w:eastAsia="Times New Roman"/>
          <w:b/>
          <w:bCs/>
          <w:i/>
          <w:iCs/>
          <w:color w:val="000000"/>
          <w:sz w:val="20"/>
          <w:szCs w:val="20"/>
        </w:rPr>
        <w:t>e we rely on third-party manufacturing and supply vendors, our supply of research and development, preclinical and clinical development materials may become limited or interrupted or may not be of satisfactory quantity or quality.</w:t>
      </w:r>
    </w:p>
    <w:p w:rsidR="00000000" w:rsidRDefault="00FD7D3C">
      <w:pPr>
        <w:ind w:firstLine="1080"/>
        <w:divId w:val="727531464"/>
        <w:rPr>
          <w:rFonts w:eastAsia="Times New Roman"/>
        </w:rPr>
      </w:pPr>
      <w:r>
        <w:rPr>
          <w:rFonts w:eastAsia="Times New Roman"/>
          <w:color w:val="000000"/>
          <w:sz w:val="20"/>
          <w:szCs w:val="20"/>
        </w:rPr>
        <w:t>We rely on third-party co</w:t>
      </w:r>
      <w:r>
        <w:rPr>
          <w:rFonts w:eastAsia="Times New Roman"/>
          <w:color w:val="000000"/>
          <w:sz w:val="20"/>
          <w:szCs w:val="20"/>
        </w:rPr>
        <w:t>ntract manufacturers to manufacture our product candidates for preclinical studies and clinical trials. We do not own manufacturing facilities for producing any clinical trial product supplies. There can be no assurance that our preclinical and clinical de</w:t>
      </w:r>
      <w:r>
        <w:rPr>
          <w:rFonts w:eastAsia="Times New Roman"/>
          <w:color w:val="000000"/>
          <w:sz w:val="20"/>
          <w:szCs w:val="20"/>
        </w:rPr>
        <w:t>velopment product supplies will not be limited, interrupted, or of satisfactory quality or continue to be available at acceptable prices. For example, the extent to which the COVID-19 pandemic impacts our ability to procure sufficient supplies for the deve</w:t>
      </w:r>
      <w:r>
        <w:rPr>
          <w:rFonts w:eastAsia="Times New Roman"/>
          <w:color w:val="000000"/>
          <w:sz w:val="20"/>
          <w:szCs w:val="20"/>
        </w:rPr>
        <w:t>lopment of our product candidates will depend on the severity and duration of the spread of the virus, and the actions undertaken to contain COVID-19 or treat its effects. In particular, any replacement of our manufacturers could require significant effort</w:t>
      </w:r>
      <w:r>
        <w:rPr>
          <w:rFonts w:eastAsia="Times New Roman"/>
          <w:color w:val="000000"/>
          <w:sz w:val="20"/>
          <w:szCs w:val="20"/>
        </w:rPr>
        <w:t xml:space="preserve"> and expertise because there may be a limited number of qualified replacements. In addition, three vaccines for COVID-19 were granted Emergency Use Authorization by the FDA in late 2020 and early 2021, and more are likely to be authorized in the coming mon</w:t>
      </w:r>
      <w:r>
        <w:rPr>
          <w:rFonts w:eastAsia="Times New Roman"/>
          <w:color w:val="000000"/>
          <w:sz w:val="20"/>
          <w:szCs w:val="20"/>
        </w:rPr>
        <w:t xml:space="preserve">ths. The resultant demand for vaccines and potential for manufacturing facilities and materials to be commandeered under the Defense Production Act of 1950, equivalent foreign legislation or heightened demand on manufacturers may make it more difficult to </w:t>
      </w:r>
      <w:r>
        <w:rPr>
          <w:rFonts w:eastAsia="Times New Roman"/>
          <w:color w:val="000000"/>
          <w:sz w:val="20"/>
          <w:szCs w:val="20"/>
        </w:rPr>
        <w:t>obtain materials or manufacturing slots for the products needed for our development efforts, which could lead to delays in our clinical trials and scientific development efforts.</w:t>
      </w:r>
    </w:p>
    <w:p w:rsidR="00000000" w:rsidRDefault="00FD7D3C">
      <w:pPr>
        <w:ind w:firstLine="1080"/>
        <w:divId w:val="56713893"/>
        <w:rPr>
          <w:rFonts w:eastAsia="Times New Roman"/>
        </w:rPr>
      </w:pPr>
      <w:r>
        <w:rPr>
          <w:rFonts w:eastAsia="Times New Roman"/>
          <w:color w:val="000000"/>
          <w:sz w:val="20"/>
          <w:szCs w:val="20"/>
        </w:rPr>
        <w:t>The manufacturing process for a product candidate is subject to FDA and forei</w:t>
      </w:r>
      <w:r>
        <w:rPr>
          <w:rFonts w:eastAsia="Times New Roman"/>
          <w:color w:val="000000"/>
          <w:sz w:val="20"/>
          <w:szCs w:val="20"/>
        </w:rPr>
        <w:t xml:space="preserve">gn regulatory authority review. Suppliers and manufacturers must meet applicable manufacturing requirements and undergo rigorous facility and process validation tests required by regulatory authorities in order to comply with regulatory standards, such as </w:t>
      </w:r>
      <w:r>
        <w:rPr>
          <w:rFonts w:eastAsia="Times New Roman"/>
          <w:color w:val="000000"/>
          <w:sz w:val="20"/>
          <w:szCs w:val="20"/>
        </w:rPr>
        <w:t>cGMPs. In the event that any of our manufacturers fails to comply with such requirements or to perform its obligations to us in relation to quality, timing or otherwise, or if our supply of components or other materials becomes limited or interrupted for o</w:t>
      </w:r>
      <w:r>
        <w:rPr>
          <w:rFonts w:eastAsia="Times New Roman"/>
          <w:color w:val="000000"/>
          <w:sz w:val="20"/>
          <w:szCs w:val="20"/>
        </w:rPr>
        <w:t xml:space="preserve">ther reasons, we may be forced to manufacture the materials ourselves, for which we currently do not have the capabilities or resources, or enter into an agreement with another third-party, which we may not be able to do on reasonable terms, if at all. In </w:t>
      </w:r>
      <w:r>
        <w:rPr>
          <w:rFonts w:eastAsia="Times New Roman"/>
          <w:color w:val="000000"/>
          <w:sz w:val="20"/>
          <w:szCs w:val="20"/>
        </w:rPr>
        <w:t xml:space="preserve">some cases, the technical skills or technology required to manufacture our product candidates may be unique or proprietary to the original manufacturer and we may have difficulty transferring such skills or technology to another third-party and a feasible </w:t>
      </w:r>
      <w:r>
        <w:rPr>
          <w:rFonts w:eastAsia="Times New Roman"/>
          <w:color w:val="000000"/>
          <w:sz w:val="20"/>
          <w:szCs w:val="20"/>
        </w:rPr>
        <w:t>alternative may not exist. These factors would increase our reliance on such manufacturer or require us to obtain a license from such manufacturer in order to have another third-party manufacture our product candidates. If we are required to change manufac</w:t>
      </w:r>
      <w:r>
        <w:rPr>
          <w:rFonts w:eastAsia="Times New Roman"/>
          <w:color w:val="000000"/>
          <w:sz w:val="20"/>
          <w:szCs w:val="20"/>
        </w:rPr>
        <w:t>turers for any reason, we will be required to verify that the new manufacturer maintains facilities and procedures that comply with quality standards and with all applicable regulations and guidelines. The delays associated with the verification of a new m</w:t>
      </w:r>
      <w:r>
        <w:rPr>
          <w:rFonts w:eastAsia="Times New Roman"/>
          <w:color w:val="000000"/>
          <w:sz w:val="20"/>
          <w:szCs w:val="20"/>
        </w:rPr>
        <w:t>anufacturer could negatively affect our ability to develop product candidates in a timely manner or within budget.</w:t>
      </w:r>
    </w:p>
    <w:p w:rsidR="00000000" w:rsidRDefault="00FD7D3C">
      <w:pPr>
        <w:ind w:firstLine="1080"/>
        <w:divId w:val="12851298"/>
        <w:rPr>
          <w:rFonts w:eastAsia="Times New Roman"/>
        </w:rPr>
      </w:pPr>
      <w:r>
        <w:rPr>
          <w:rFonts w:eastAsia="Times New Roman"/>
          <w:color w:val="000000"/>
          <w:sz w:val="20"/>
          <w:szCs w:val="20"/>
        </w:rPr>
        <w:t>We expect to continue to rely on third-party manufacturers if we receive regulatory approval for PLN-74809 or any other product candidate. To</w:t>
      </w:r>
      <w:r>
        <w:rPr>
          <w:rFonts w:eastAsia="Times New Roman"/>
          <w:color w:val="000000"/>
          <w:sz w:val="20"/>
          <w:szCs w:val="20"/>
        </w:rPr>
        <w:t xml:space="preserve"> the extent that we have existing, or enter into future, manufacturing arrangements with third parties, we will depend on these third parties to perform their obligations in a timely manner consistent with contractual and regulatory requirements, including</w:t>
      </w:r>
      <w:r>
        <w:rPr>
          <w:rFonts w:eastAsia="Times New Roman"/>
          <w:color w:val="000000"/>
          <w:sz w:val="20"/>
          <w:szCs w:val="20"/>
        </w:rPr>
        <w:t xml:space="preserve"> those related to quality control and assurance. If we are unable to obtain or maintain third-party manufacturing for product candidates, or to do so on commercially reasonable terms, we may not be </w:t>
      </w:r>
    </w:p>
    <w:p w:rsidR="00000000" w:rsidRDefault="00FD7D3C">
      <w:pPr>
        <w:jc w:val="center"/>
        <w:divId w:val="1856454515"/>
        <w:rPr>
          <w:rFonts w:eastAsia="Times New Roman"/>
        </w:rPr>
      </w:pPr>
      <w:r>
        <w:rPr>
          <w:rFonts w:eastAsia="Times New Roman"/>
          <w:color w:val="000000"/>
          <w:sz w:val="20"/>
          <w:szCs w:val="20"/>
        </w:rPr>
        <w:t>75</w:t>
      </w:r>
    </w:p>
    <w:p w:rsidR="00000000" w:rsidRDefault="00FD7D3C">
      <w:pPr>
        <w:rPr>
          <w:rFonts w:eastAsia="Times New Roman"/>
        </w:rPr>
      </w:pPr>
      <w:r>
        <w:rPr>
          <w:rFonts w:eastAsia="Times New Roman"/>
        </w:rPr>
        <w:pict>
          <v:rect id="_x0000_i1128" style="width:0;height:1.5pt" o:hralign="center" o:hrstd="t" o:hr="t" fillcolor="#a0a0a0" stroked="f"/>
        </w:pict>
      </w:r>
    </w:p>
    <w:p w:rsidR="00000000" w:rsidRDefault="00FD7D3C">
      <w:pPr>
        <w:divId w:val="1599025521"/>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divId w:val="1248416812"/>
        <w:rPr>
          <w:rFonts w:eastAsia="Times New Roman"/>
        </w:rPr>
      </w:pPr>
      <w:r>
        <w:rPr>
          <w:rFonts w:eastAsia="Times New Roman"/>
          <w:color w:val="000000"/>
          <w:sz w:val="20"/>
          <w:szCs w:val="20"/>
        </w:rPr>
        <w:t>able to develop and commercialize our product candidates successfully. Our or a third-party’s failure to execute on our manufacturing requirements and comply with cGMP could advers</w:t>
      </w:r>
      <w:r>
        <w:rPr>
          <w:rFonts w:eastAsia="Times New Roman"/>
          <w:color w:val="000000"/>
          <w:sz w:val="20"/>
          <w:szCs w:val="20"/>
        </w:rPr>
        <w:t>ely affect our business in a number of ways, including:</w:t>
      </w:r>
    </w:p>
    <w:p w:rsidR="00000000" w:rsidRDefault="00FD7D3C">
      <w:pPr>
        <w:ind w:hanging="1260"/>
        <w:divId w:val="759109617"/>
        <w:rPr>
          <w:rFonts w:eastAsia="Times New Roman"/>
        </w:rPr>
      </w:pPr>
      <w:r>
        <w:rPr>
          <w:rFonts w:ascii="Arial" w:eastAsia="Times New Roman" w:hAnsi="Arial" w:cs="Arial"/>
          <w:color w:val="000000"/>
        </w:rPr>
        <w:t>•</w:t>
      </w:r>
      <w:r>
        <w:rPr>
          <w:rFonts w:eastAsia="Times New Roman"/>
          <w:color w:val="000000"/>
          <w:sz w:val="20"/>
          <w:szCs w:val="20"/>
        </w:rPr>
        <w:t>an inability to initiate or continue clinical trials of product candidates under development;</w:t>
      </w:r>
    </w:p>
    <w:p w:rsidR="00000000" w:rsidRDefault="00FD7D3C">
      <w:pPr>
        <w:ind w:hanging="1260"/>
        <w:divId w:val="2017727627"/>
        <w:rPr>
          <w:rFonts w:eastAsia="Times New Roman"/>
        </w:rPr>
      </w:pPr>
      <w:r>
        <w:rPr>
          <w:rFonts w:eastAsia="Times New Roman"/>
          <w:color w:val="000000"/>
          <w:sz w:val="20"/>
          <w:szCs w:val="20"/>
        </w:rPr>
        <w:t>•</w:t>
      </w:r>
      <w:r>
        <w:rPr>
          <w:rFonts w:eastAsia="Times New Roman"/>
          <w:color w:val="000000"/>
          <w:sz w:val="20"/>
          <w:szCs w:val="20"/>
        </w:rPr>
        <w:t>delay in submitting regulatory applications, or receiving regulatory approvals, for product candidates;</w:t>
      </w:r>
    </w:p>
    <w:p w:rsidR="00000000" w:rsidRDefault="00FD7D3C">
      <w:pPr>
        <w:ind w:hanging="1260"/>
        <w:divId w:val="419524203"/>
        <w:rPr>
          <w:rFonts w:eastAsia="Times New Roman"/>
        </w:rPr>
      </w:pPr>
      <w:r>
        <w:rPr>
          <w:rFonts w:eastAsia="Times New Roman"/>
          <w:color w:val="000000"/>
          <w:sz w:val="20"/>
          <w:szCs w:val="20"/>
        </w:rPr>
        <w:t>•loss of the cooperation of an existing or future collaborator;</w:t>
      </w:r>
    </w:p>
    <w:p w:rsidR="00000000" w:rsidRDefault="00FD7D3C">
      <w:pPr>
        <w:ind w:hanging="1260"/>
        <w:divId w:val="866719134"/>
        <w:rPr>
          <w:rFonts w:eastAsia="Times New Roman"/>
        </w:rPr>
      </w:pPr>
      <w:r>
        <w:rPr>
          <w:rFonts w:eastAsia="Times New Roman"/>
          <w:color w:val="000000"/>
          <w:sz w:val="20"/>
          <w:szCs w:val="20"/>
        </w:rPr>
        <w:t>•subjecting third-party manufacturing facilities or our manufacturing facilities to addi</w:t>
      </w:r>
      <w:r>
        <w:rPr>
          <w:rFonts w:eastAsia="Times New Roman"/>
          <w:color w:val="000000"/>
          <w:sz w:val="20"/>
          <w:szCs w:val="20"/>
        </w:rPr>
        <w:t>tional inspections by regulatory authorities;</w:t>
      </w:r>
    </w:p>
    <w:p w:rsidR="00000000" w:rsidRDefault="00FD7D3C">
      <w:pPr>
        <w:ind w:hanging="1260"/>
        <w:divId w:val="1339649637"/>
        <w:rPr>
          <w:rFonts w:eastAsia="Times New Roman"/>
        </w:rPr>
      </w:pPr>
      <w:r>
        <w:rPr>
          <w:rFonts w:eastAsia="Times New Roman"/>
          <w:color w:val="000000"/>
          <w:sz w:val="20"/>
          <w:szCs w:val="20"/>
        </w:rPr>
        <w:t>•requirements to cease distribution or to recall batches of our product candidates; and</w:t>
      </w:r>
    </w:p>
    <w:p w:rsidR="00000000" w:rsidRDefault="00FD7D3C">
      <w:pPr>
        <w:ind w:hanging="1260"/>
        <w:divId w:val="1140533755"/>
        <w:rPr>
          <w:rFonts w:eastAsia="Times New Roman"/>
        </w:rPr>
      </w:pPr>
      <w:r>
        <w:rPr>
          <w:rFonts w:eastAsia="Times New Roman"/>
          <w:color w:val="000000"/>
          <w:sz w:val="20"/>
          <w:szCs w:val="20"/>
        </w:rPr>
        <w:t>•in the event of approval to market and commercialize a product candidate, an inability to meet commercial demands for our</w:t>
      </w:r>
      <w:r>
        <w:rPr>
          <w:rFonts w:eastAsia="Times New Roman"/>
          <w:color w:val="000000"/>
          <w:sz w:val="20"/>
          <w:szCs w:val="20"/>
        </w:rPr>
        <w:t xml:space="preserve"> products.</w:t>
      </w:r>
    </w:p>
    <w:p w:rsidR="00000000" w:rsidRDefault="00FD7D3C">
      <w:pPr>
        <w:ind w:firstLine="1080"/>
        <w:divId w:val="537165468"/>
        <w:rPr>
          <w:rFonts w:eastAsia="Times New Roman"/>
        </w:rPr>
      </w:pPr>
      <w:r>
        <w:rPr>
          <w:rFonts w:eastAsia="Times New Roman"/>
          <w:color w:val="000000"/>
          <w:sz w:val="20"/>
          <w:szCs w:val="20"/>
        </w:rPr>
        <w:t>We rely on a sole supplier for the manufacture of PLN-74809. If this sole supplier is unable to supply to us in the quantities we require, or at all, or otherwise defaults on its supply obligations to us, we may not be able to obtain alternative</w:t>
      </w:r>
      <w:r>
        <w:rPr>
          <w:rFonts w:eastAsia="Times New Roman"/>
          <w:color w:val="000000"/>
          <w:sz w:val="20"/>
          <w:szCs w:val="20"/>
        </w:rPr>
        <w:t xml:space="preserve"> supplies from other suppliers on acceptable terms, in a timely manner, or at all. We also do not have long-term supply agreements with any of our suppliers. Our current contracts with certain suppliers may be canceled or not extended by such suppliers and</w:t>
      </w:r>
      <w:r>
        <w:rPr>
          <w:rFonts w:eastAsia="Times New Roman"/>
          <w:color w:val="000000"/>
          <w:sz w:val="20"/>
          <w:szCs w:val="20"/>
        </w:rPr>
        <w:t xml:space="preserve">, therefore, do not afford us with protection against a reduction or interruption in supplies. Moreover, in the event any of these suppliers breach their contracts with us, our legal remedies associated with such a breach may be insufficient to compensate </w:t>
      </w:r>
      <w:r>
        <w:rPr>
          <w:rFonts w:eastAsia="Times New Roman"/>
          <w:color w:val="000000"/>
          <w:sz w:val="20"/>
          <w:szCs w:val="20"/>
        </w:rPr>
        <w:t>us for any damages we may suffer.</w:t>
      </w:r>
    </w:p>
    <w:p w:rsidR="00000000" w:rsidRDefault="00FD7D3C">
      <w:pPr>
        <w:ind w:firstLine="1080"/>
        <w:divId w:val="1704138353"/>
        <w:rPr>
          <w:rFonts w:eastAsia="Times New Roman"/>
        </w:rPr>
      </w:pPr>
      <w:r>
        <w:rPr>
          <w:rFonts w:eastAsia="Times New Roman"/>
          <w:color w:val="000000"/>
          <w:sz w:val="20"/>
          <w:szCs w:val="20"/>
        </w:rPr>
        <w:t>In addition, we contract with fill and finishing providers with the appropriate expertise, facilities and scale to meet our needs. Failure to maintain cGMP can result in a contractor receiving FDA sanctions, which can impa</w:t>
      </w:r>
      <w:r>
        <w:rPr>
          <w:rFonts w:eastAsia="Times New Roman"/>
          <w:color w:val="000000"/>
          <w:sz w:val="20"/>
          <w:szCs w:val="20"/>
        </w:rPr>
        <w:t>ct our ability to operate or lead to delays in any clinical development programs. We believe that our current fill and finish contractor is operating in accordance with cGMP, but we can give no assurance that FDA or other regulatory agencies will not concl</w:t>
      </w:r>
      <w:r>
        <w:rPr>
          <w:rFonts w:eastAsia="Times New Roman"/>
          <w:color w:val="000000"/>
          <w:sz w:val="20"/>
          <w:szCs w:val="20"/>
        </w:rPr>
        <w:t>ude that a lack of compliance exists. In addition, any delay in contracting for fill and finish services, or failure of the contract manufacturer to perform the services as needed, may delay any clinical trials, registration and launches, which could negat</w:t>
      </w:r>
      <w:r>
        <w:rPr>
          <w:rFonts w:eastAsia="Times New Roman"/>
          <w:color w:val="000000"/>
          <w:sz w:val="20"/>
          <w:szCs w:val="20"/>
        </w:rPr>
        <w:t>ively affect our business. In the future, if we advance a biological product candidate into IND-enabling studies, we will need to identify and contract with suppliers who are able to produce biological product candidates and adhere to additional cGMP compl</w:t>
      </w:r>
      <w:r>
        <w:rPr>
          <w:rFonts w:eastAsia="Times New Roman"/>
          <w:color w:val="000000"/>
          <w:sz w:val="20"/>
          <w:szCs w:val="20"/>
        </w:rPr>
        <w:t>iance obligations required for biologicals.</w:t>
      </w:r>
    </w:p>
    <w:p w:rsidR="00000000" w:rsidRDefault="00FD7D3C">
      <w:pPr>
        <w:ind w:firstLine="1080"/>
        <w:divId w:val="1825781937"/>
        <w:rPr>
          <w:rFonts w:eastAsia="Times New Roman"/>
        </w:rPr>
      </w:pPr>
      <w:r>
        <w:rPr>
          <w:rFonts w:eastAsia="Times New Roman"/>
          <w:b/>
          <w:bCs/>
          <w:i/>
          <w:iCs/>
          <w:color w:val="000000"/>
          <w:sz w:val="20"/>
          <w:szCs w:val="20"/>
        </w:rPr>
        <w:t>Our existing collaborations and future collaborations are and will be important to our business. If we are unable to enter into new collaborations, or if these collaborations are not successful, our business coul</w:t>
      </w:r>
      <w:r>
        <w:rPr>
          <w:rFonts w:eastAsia="Times New Roman"/>
          <w:b/>
          <w:bCs/>
          <w:i/>
          <w:iCs/>
          <w:color w:val="000000"/>
          <w:sz w:val="20"/>
          <w:szCs w:val="20"/>
        </w:rPr>
        <w:t>d be adversely affected.</w:t>
      </w:r>
    </w:p>
    <w:p w:rsidR="00000000" w:rsidRDefault="00FD7D3C">
      <w:pPr>
        <w:ind w:firstLine="1080"/>
        <w:divId w:val="1938904935"/>
        <w:rPr>
          <w:rFonts w:eastAsia="Times New Roman"/>
        </w:rPr>
      </w:pPr>
      <w:r>
        <w:rPr>
          <w:rFonts w:eastAsia="Times New Roman"/>
          <w:color w:val="000000"/>
          <w:sz w:val="20"/>
          <w:szCs w:val="20"/>
        </w:rPr>
        <w:t>A part of our strategy is to selectively evaluate partnerships in indications and geographies where we believe partners can add significant commercial and/or development capabilities. Further, we have limited capabilities for produ</w:t>
      </w:r>
      <w:r>
        <w:rPr>
          <w:rFonts w:eastAsia="Times New Roman"/>
          <w:color w:val="000000"/>
          <w:sz w:val="20"/>
          <w:szCs w:val="20"/>
        </w:rPr>
        <w:t>ct development and do not yet have any capability for commercialization. Accordingly, we have and may in the future enter into collaborations with other companies to provide us with important technologies and funding for our programs and technology.</w:t>
      </w:r>
    </w:p>
    <w:p w:rsidR="00000000" w:rsidRDefault="00FD7D3C">
      <w:pPr>
        <w:ind w:firstLine="1080"/>
        <w:divId w:val="900210555"/>
        <w:rPr>
          <w:rFonts w:eastAsia="Times New Roman"/>
        </w:rPr>
      </w:pPr>
      <w:r>
        <w:rPr>
          <w:rFonts w:eastAsia="Times New Roman"/>
          <w:color w:val="000000"/>
          <w:sz w:val="20"/>
          <w:szCs w:val="20"/>
        </w:rPr>
        <w:t>Our ex</w:t>
      </w:r>
      <w:r>
        <w:rPr>
          <w:rFonts w:eastAsia="Times New Roman"/>
          <w:color w:val="000000"/>
          <w:sz w:val="20"/>
          <w:szCs w:val="20"/>
        </w:rPr>
        <w:t>isting collaborations and any future collaborations we enter into may pose a number of risks, including the following:</w:t>
      </w:r>
    </w:p>
    <w:p w:rsidR="00000000" w:rsidRDefault="00FD7D3C">
      <w:pPr>
        <w:ind w:hanging="1260"/>
        <w:divId w:val="1339192825"/>
        <w:rPr>
          <w:rFonts w:eastAsia="Times New Roman"/>
        </w:rPr>
      </w:pPr>
      <w:r>
        <w:rPr>
          <w:rFonts w:ascii="Arial" w:eastAsia="Times New Roman" w:hAnsi="Arial" w:cs="Arial"/>
          <w:color w:val="000000"/>
        </w:rPr>
        <w:t>•</w:t>
      </w:r>
      <w:r>
        <w:rPr>
          <w:rFonts w:eastAsia="Times New Roman"/>
          <w:color w:val="000000"/>
          <w:sz w:val="20"/>
          <w:szCs w:val="20"/>
        </w:rPr>
        <w:t>collaborators have significant discretion in determining the efforts and resources that they will apply;</w:t>
      </w:r>
    </w:p>
    <w:p w:rsidR="00000000" w:rsidRDefault="00FD7D3C">
      <w:pPr>
        <w:ind w:hanging="1260"/>
        <w:divId w:val="112798065"/>
        <w:rPr>
          <w:rFonts w:eastAsia="Times New Roman"/>
        </w:rPr>
      </w:pPr>
      <w:r>
        <w:rPr>
          <w:rFonts w:ascii="Arial" w:eastAsia="Times New Roman" w:hAnsi="Arial" w:cs="Arial"/>
          <w:color w:val="000000"/>
        </w:rPr>
        <w:t>•</w:t>
      </w:r>
      <w:r>
        <w:rPr>
          <w:rFonts w:eastAsia="Times New Roman"/>
          <w:color w:val="000000"/>
          <w:sz w:val="20"/>
          <w:szCs w:val="20"/>
        </w:rPr>
        <w:t xml:space="preserve">collaborators may not perform </w:t>
      </w:r>
      <w:r>
        <w:rPr>
          <w:rFonts w:eastAsia="Times New Roman"/>
          <w:color w:val="000000"/>
          <w:sz w:val="20"/>
          <w:szCs w:val="20"/>
        </w:rPr>
        <w:t>their obligations as expected;</w:t>
      </w:r>
    </w:p>
    <w:p w:rsidR="00000000" w:rsidRDefault="00FD7D3C">
      <w:pPr>
        <w:ind w:hanging="1260"/>
        <w:divId w:val="1989825195"/>
        <w:rPr>
          <w:rFonts w:eastAsia="Times New Roman"/>
        </w:rPr>
      </w:pPr>
      <w:r>
        <w:rPr>
          <w:rFonts w:ascii="Arial" w:eastAsia="Times New Roman" w:hAnsi="Arial" w:cs="Arial"/>
          <w:color w:val="000000"/>
        </w:rPr>
        <w:t>•</w:t>
      </w:r>
      <w:r>
        <w:rPr>
          <w:rFonts w:eastAsia="Times New Roman"/>
          <w:color w:val="000000"/>
          <w:sz w:val="20"/>
          <w:szCs w:val="20"/>
        </w:rPr>
        <w:t>collaborators may not pursue development and commercialization of any product candidates that achieve regulatory approval or may elect not to continue or renew development or commercialization programs or license arrangement</w:t>
      </w:r>
      <w:r>
        <w:rPr>
          <w:rFonts w:eastAsia="Times New Roman"/>
          <w:color w:val="000000"/>
          <w:sz w:val="20"/>
          <w:szCs w:val="20"/>
        </w:rPr>
        <w:t>s based on clinical trial results, changes in the collaborators’ strategic focus or available funding, or external factors, such as a strategic transaction that may divert resources or create competing priorities;</w:t>
      </w:r>
    </w:p>
    <w:p w:rsidR="00000000" w:rsidRDefault="00FD7D3C">
      <w:pPr>
        <w:jc w:val="center"/>
        <w:divId w:val="210532549"/>
        <w:rPr>
          <w:rFonts w:eastAsia="Times New Roman"/>
        </w:rPr>
      </w:pPr>
      <w:r>
        <w:rPr>
          <w:rFonts w:eastAsia="Times New Roman"/>
          <w:color w:val="000000"/>
          <w:sz w:val="20"/>
          <w:szCs w:val="20"/>
        </w:rPr>
        <w:t>76</w:t>
      </w:r>
    </w:p>
    <w:p w:rsidR="00000000" w:rsidRDefault="00FD7D3C">
      <w:pPr>
        <w:rPr>
          <w:rFonts w:eastAsia="Times New Roman"/>
        </w:rPr>
      </w:pPr>
      <w:r>
        <w:rPr>
          <w:rFonts w:eastAsia="Times New Roman"/>
        </w:rPr>
        <w:pict>
          <v:rect id="_x0000_i1129" style="width:0;height:1.5pt" o:hralign="center" o:hrstd="t" o:hr="t" fillcolor="#a0a0a0" stroked="f"/>
        </w:pict>
      </w:r>
    </w:p>
    <w:p w:rsidR="00000000" w:rsidRDefault="00FD7D3C">
      <w:pPr>
        <w:divId w:val="315650814"/>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ind w:hanging="1260"/>
        <w:divId w:val="1341160488"/>
        <w:rPr>
          <w:rFonts w:eastAsia="Times New Roman"/>
        </w:rPr>
      </w:pPr>
      <w:r>
        <w:rPr>
          <w:rFonts w:ascii="Arial" w:eastAsia="Times New Roman" w:hAnsi="Arial" w:cs="Arial"/>
          <w:color w:val="000000"/>
        </w:rPr>
        <w:t>•</w:t>
      </w:r>
      <w:r>
        <w:rPr>
          <w:rFonts w:eastAsia="Times New Roman"/>
          <w:color w:val="000000"/>
          <w:sz w:val="20"/>
          <w:szCs w:val="20"/>
        </w:rPr>
        <w:t>collaborators may delay clinical trials, provide insufficient funding for a clinical trial program, stop a clinical trial or abandon a product candidate, repeat or conduct new clini</w:t>
      </w:r>
      <w:r>
        <w:rPr>
          <w:rFonts w:eastAsia="Times New Roman"/>
          <w:color w:val="000000"/>
          <w:sz w:val="20"/>
          <w:szCs w:val="20"/>
        </w:rPr>
        <w:t>cal trials or require a new formulation of a product candidate for clinical testing;</w:t>
      </w:r>
    </w:p>
    <w:p w:rsidR="00000000" w:rsidRDefault="00FD7D3C">
      <w:pPr>
        <w:ind w:hanging="1260"/>
        <w:divId w:val="928195777"/>
        <w:rPr>
          <w:rFonts w:eastAsia="Times New Roman"/>
        </w:rPr>
      </w:pPr>
      <w:r>
        <w:rPr>
          <w:rFonts w:ascii="Arial" w:eastAsia="Times New Roman" w:hAnsi="Arial" w:cs="Arial"/>
          <w:color w:val="000000"/>
        </w:rPr>
        <w:t>•</w:t>
      </w:r>
      <w:r>
        <w:rPr>
          <w:rFonts w:eastAsia="Times New Roman"/>
          <w:color w:val="000000"/>
          <w:sz w:val="20"/>
          <w:szCs w:val="20"/>
        </w:rPr>
        <w:t>collaborators could independently develop, or develop with third parties, products that compete directly or indirectly with our products and product candidates if the col</w:t>
      </w:r>
      <w:r>
        <w:rPr>
          <w:rFonts w:eastAsia="Times New Roman"/>
          <w:color w:val="000000"/>
          <w:sz w:val="20"/>
          <w:szCs w:val="20"/>
        </w:rPr>
        <w:t>laborators believe that the competitive products are more likely to be successfully developed or can be commercialized under terms that are more economically attractive than ours;</w:t>
      </w:r>
    </w:p>
    <w:p w:rsidR="00000000" w:rsidRDefault="00FD7D3C">
      <w:pPr>
        <w:ind w:hanging="1260"/>
        <w:divId w:val="547496651"/>
        <w:rPr>
          <w:rFonts w:eastAsia="Times New Roman"/>
        </w:rPr>
      </w:pPr>
      <w:r>
        <w:rPr>
          <w:rFonts w:ascii="Arial" w:eastAsia="Times New Roman" w:hAnsi="Arial" w:cs="Arial"/>
          <w:color w:val="000000"/>
        </w:rPr>
        <w:t>•</w:t>
      </w:r>
      <w:r>
        <w:rPr>
          <w:rFonts w:eastAsia="Times New Roman"/>
          <w:color w:val="000000"/>
          <w:sz w:val="20"/>
          <w:szCs w:val="20"/>
        </w:rPr>
        <w:t>product candidates discovered in collaboration with us may be viewed by our</w:t>
      </w:r>
      <w:r>
        <w:rPr>
          <w:rFonts w:eastAsia="Times New Roman"/>
          <w:color w:val="000000"/>
          <w:sz w:val="20"/>
          <w:szCs w:val="20"/>
        </w:rPr>
        <w:t xml:space="preserve"> collaborators as competitive with their own product candidates or products, which may cause collaborators to cease to devote resources to the commercialization of our product candidates;</w:t>
      </w:r>
    </w:p>
    <w:p w:rsidR="00000000" w:rsidRDefault="00FD7D3C">
      <w:pPr>
        <w:ind w:hanging="1260"/>
        <w:divId w:val="1536847012"/>
        <w:rPr>
          <w:rFonts w:eastAsia="Times New Roman"/>
        </w:rPr>
      </w:pPr>
      <w:r>
        <w:rPr>
          <w:rFonts w:ascii="Arial" w:eastAsia="Times New Roman" w:hAnsi="Arial" w:cs="Arial"/>
          <w:color w:val="000000"/>
        </w:rPr>
        <w:t>•</w:t>
      </w:r>
      <w:r>
        <w:rPr>
          <w:rFonts w:eastAsia="Times New Roman"/>
          <w:color w:val="000000"/>
          <w:sz w:val="20"/>
          <w:szCs w:val="20"/>
        </w:rPr>
        <w:t>collaborators may fail to comply with applicable regulatory require</w:t>
      </w:r>
      <w:r>
        <w:rPr>
          <w:rFonts w:eastAsia="Times New Roman"/>
          <w:color w:val="000000"/>
          <w:sz w:val="20"/>
          <w:szCs w:val="20"/>
        </w:rPr>
        <w:t>ments regarding the development, manufacture, distribution or marketing of a product candidate or product;</w:t>
      </w:r>
    </w:p>
    <w:p w:rsidR="00000000" w:rsidRDefault="00FD7D3C">
      <w:pPr>
        <w:ind w:hanging="1260"/>
        <w:divId w:val="1765109094"/>
        <w:rPr>
          <w:rFonts w:eastAsia="Times New Roman"/>
        </w:rPr>
      </w:pPr>
      <w:r>
        <w:rPr>
          <w:rFonts w:ascii="Arial" w:eastAsia="Times New Roman" w:hAnsi="Arial" w:cs="Arial"/>
          <w:color w:val="000000"/>
        </w:rPr>
        <w:t>•</w:t>
      </w:r>
      <w:r>
        <w:rPr>
          <w:rFonts w:eastAsia="Times New Roman"/>
          <w:color w:val="000000"/>
          <w:sz w:val="20"/>
          <w:szCs w:val="20"/>
        </w:rPr>
        <w:t>collaborators with marketing and distribution rights to one or more of our product candidates that achieve regulatory approval may not commit sufficient resources to the marketing and distribution of such product or products;</w:t>
      </w:r>
    </w:p>
    <w:p w:rsidR="00000000" w:rsidRDefault="00FD7D3C">
      <w:pPr>
        <w:ind w:hanging="1260"/>
        <w:divId w:val="464354876"/>
        <w:rPr>
          <w:rFonts w:eastAsia="Times New Roman"/>
        </w:rPr>
      </w:pPr>
      <w:r>
        <w:rPr>
          <w:rFonts w:ascii="Arial" w:eastAsia="Times New Roman" w:hAnsi="Arial" w:cs="Arial"/>
          <w:color w:val="000000"/>
        </w:rPr>
        <w:t>•</w:t>
      </w:r>
      <w:r>
        <w:rPr>
          <w:rFonts w:eastAsia="Times New Roman"/>
          <w:color w:val="000000"/>
          <w:sz w:val="20"/>
          <w:szCs w:val="20"/>
        </w:rPr>
        <w:t>collaborators may not provide</w:t>
      </w:r>
      <w:r>
        <w:rPr>
          <w:rFonts w:eastAsia="Times New Roman"/>
          <w:color w:val="000000"/>
          <w:sz w:val="20"/>
          <w:szCs w:val="20"/>
        </w:rPr>
        <w:t xml:space="preserve"> us with timely and accurate information regarding development progress and activity under any future license agreement, which could adversely impact our ability to report progress to our investors and otherwise plan development of our product candidates;</w:t>
      </w:r>
    </w:p>
    <w:p w:rsidR="00000000" w:rsidRDefault="00FD7D3C">
      <w:pPr>
        <w:ind w:hanging="1260"/>
        <w:divId w:val="1803186984"/>
        <w:rPr>
          <w:rFonts w:eastAsia="Times New Roman"/>
        </w:rPr>
      </w:pPr>
      <w:r>
        <w:rPr>
          <w:rFonts w:ascii="Arial" w:eastAsia="Times New Roman" w:hAnsi="Arial" w:cs="Arial"/>
          <w:color w:val="000000"/>
        </w:rPr>
        <w:t>•</w:t>
      </w:r>
      <w:r>
        <w:rPr>
          <w:rFonts w:eastAsia="Times New Roman"/>
          <w:color w:val="000000"/>
          <w:sz w:val="20"/>
          <w:szCs w:val="20"/>
        </w:rPr>
        <w:t xml:space="preserve">disagreements with collaborators, including disagreements over proprietary rights, contract interpretation or the preferred course of development, might cause delays or terminations of the research, development or commercialization of product candidates, </w:t>
      </w:r>
      <w:r>
        <w:rPr>
          <w:rFonts w:eastAsia="Times New Roman"/>
          <w:color w:val="000000"/>
          <w:sz w:val="20"/>
          <w:szCs w:val="20"/>
        </w:rPr>
        <w:t>might lead to additional responsibilities for us with respect to product candidates, or might result in litigation or arbitration, any of which would be time-consuming and expensive;</w:t>
      </w:r>
    </w:p>
    <w:p w:rsidR="00000000" w:rsidRDefault="00FD7D3C">
      <w:pPr>
        <w:ind w:hanging="1260"/>
        <w:divId w:val="1556430746"/>
        <w:rPr>
          <w:rFonts w:eastAsia="Times New Roman"/>
        </w:rPr>
      </w:pPr>
      <w:r>
        <w:rPr>
          <w:rFonts w:ascii="Arial" w:eastAsia="Times New Roman" w:hAnsi="Arial" w:cs="Arial"/>
          <w:color w:val="000000"/>
        </w:rPr>
        <w:t>•</w:t>
      </w:r>
      <w:r>
        <w:rPr>
          <w:rFonts w:eastAsia="Times New Roman"/>
          <w:color w:val="000000"/>
          <w:sz w:val="20"/>
          <w:szCs w:val="20"/>
        </w:rPr>
        <w:t>collaborators may not properly maintain or defend our intellectual prope</w:t>
      </w:r>
      <w:r>
        <w:rPr>
          <w:rFonts w:eastAsia="Times New Roman"/>
          <w:color w:val="000000"/>
          <w:sz w:val="20"/>
          <w:szCs w:val="20"/>
        </w:rPr>
        <w:t>rty rights or may use our proprietary information in such a way as to invite litigation that could jeopardize or invalidate our intellectual property or proprietary information or expose us to potential litigation;</w:t>
      </w:r>
    </w:p>
    <w:p w:rsidR="00000000" w:rsidRDefault="00FD7D3C">
      <w:pPr>
        <w:ind w:hanging="1260"/>
        <w:divId w:val="231623247"/>
        <w:rPr>
          <w:rFonts w:eastAsia="Times New Roman"/>
        </w:rPr>
      </w:pPr>
      <w:r>
        <w:rPr>
          <w:rFonts w:ascii="Arial" w:eastAsia="Times New Roman" w:hAnsi="Arial" w:cs="Arial"/>
          <w:color w:val="000000"/>
        </w:rPr>
        <w:t>•</w:t>
      </w:r>
      <w:r>
        <w:rPr>
          <w:rFonts w:eastAsia="Times New Roman"/>
          <w:color w:val="000000"/>
          <w:sz w:val="20"/>
          <w:szCs w:val="20"/>
        </w:rPr>
        <w:t>collaborators may infringe the intellect</w:t>
      </w:r>
      <w:r>
        <w:rPr>
          <w:rFonts w:eastAsia="Times New Roman"/>
          <w:color w:val="000000"/>
          <w:sz w:val="20"/>
          <w:szCs w:val="20"/>
        </w:rPr>
        <w:t>ual property rights of third parties, which may expose us to litigation and potential liability;</w:t>
      </w:r>
    </w:p>
    <w:p w:rsidR="00000000" w:rsidRDefault="00FD7D3C">
      <w:pPr>
        <w:ind w:hanging="1260"/>
        <w:divId w:val="1197237081"/>
        <w:rPr>
          <w:rFonts w:eastAsia="Times New Roman"/>
        </w:rPr>
      </w:pPr>
      <w:r>
        <w:rPr>
          <w:rFonts w:ascii="Arial" w:eastAsia="Times New Roman" w:hAnsi="Arial" w:cs="Arial"/>
          <w:color w:val="000000"/>
        </w:rPr>
        <w:t>•</w:t>
      </w:r>
      <w:r>
        <w:rPr>
          <w:rFonts w:eastAsia="Times New Roman"/>
          <w:color w:val="000000"/>
          <w:sz w:val="20"/>
          <w:szCs w:val="20"/>
        </w:rPr>
        <w:t>if a collaborator of ours is involved in a business combination, the collaborator might deemphasize or terminate the development or commercialization of any p</w:t>
      </w:r>
      <w:r>
        <w:rPr>
          <w:rFonts w:eastAsia="Times New Roman"/>
          <w:color w:val="000000"/>
          <w:sz w:val="20"/>
          <w:szCs w:val="20"/>
        </w:rPr>
        <w:t>roduct candidate licensed to it by us; and</w:t>
      </w:r>
    </w:p>
    <w:p w:rsidR="00000000" w:rsidRDefault="00FD7D3C">
      <w:pPr>
        <w:ind w:hanging="1260"/>
        <w:divId w:val="1758361259"/>
        <w:rPr>
          <w:rFonts w:eastAsia="Times New Roman"/>
        </w:rPr>
      </w:pPr>
      <w:r>
        <w:rPr>
          <w:rFonts w:ascii="Arial" w:eastAsia="Times New Roman" w:hAnsi="Arial" w:cs="Arial"/>
          <w:color w:val="000000"/>
        </w:rPr>
        <w:t>•</w:t>
      </w:r>
      <w:r>
        <w:rPr>
          <w:rFonts w:eastAsia="Times New Roman"/>
          <w:color w:val="000000"/>
          <w:sz w:val="20"/>
          <w:szCs w:val="20"/>
        </w:rPr>
        <w:t>collaborations may be terminated by the collaborator, and, if terminated, we could be required to raise additional capital to pursue further development or commercialization of the applicable product candidates.</w:t>
      </w:r>
    </w:p>
    <w:p w:rsidR="00000000" w:rsidRDefault="00FD7D3C">
      <w:pPr>
        <w:ind w:firstLine="1080"/>
        <w:divId w:val="715546866"/>
        <w:rPr>
          <w:rFonts w:eastAsia="Times New Roman"/>
        </w:rPr>
      </w:pPr>
      <w:r>
        <w:rPr>
          <w:rFonts w:eastAsia="Times New Roman"/>
          <w:color w:val="000000"/>
          <w:sz w:val="20"/>
          <w:szCs w:val="20"/>
        </w:rPr>
        <w:t>If our existing collaborations and any futur</w:t>
      </w:r>
      <w:r>
        <w:rPr>
          <w:rFonts w:eastAsia="Times New Roman"/>
          <w:color w:val="000000"/>
          <w:sz w:val="20"/>
          <w:szCs w:val="20"/>
        </w:rPr>
        <w:t>e collaborations we enter into do not result in the successful discovery, development and commercialization of product candidates or if one of our collaborators terminates its agreement with us, we may not receive any future research funding or milestone o</w:t>
      </w:r>
      <w:r>
        <w:rPr>
          <w:rFonts w:eastAsia="Times New Roman"/>
          <w:color w:val="000000"/>
          <w:sz w:val="20"/>
          <w:szCs w:val="20"/>
        </w:rPr>
        <w:t>r royalty payments under such collaboration. All of the risks relating to product development, regulatory approval and commercialization described in this Report also apply to the activities of our therapeutic collaborators.</w:t>
      </w:r>
    </w:p>
    <w:p w:rsidR="00000000" w:rsidRDefault="00FD7D3C">
      <w:pPr>
        <w:ind w:firstLine="1080"/>
        <w:divId w:val="1238827416"/>
        <w:rPr>
          <w:rFonts w:eastAsia="Times New Roman"/>
        </w:rPr>
      </w:pPr>
      <w:r>
        <w:rPr>
          <w:rFonts w:eastAsia="Times New Roman"/>
          <w:color w:val="000000"/>
          <w:sz w:val="20"/>
          <w:szCs w:val="20"/>
        </w:rPr>
        <w:t>Additionally, if one of our exi</w:t>
      </w:r>
      <w:r>
        <w:rPr>
          <w:rFonts w:eastAsia="Times New Roman"/>
          <w:color w:val="000000"/>
          <w:sz w:val="20"/>
          <w:szCs w:val="20"/>
        </w:rPr>
        <w:t>sting or future collaborators terminates its agreement with us, we may find it more difficult to attract new collaborators and our perception in the business and financial communities could be adversely affected.</w:t>
      </w:r>
    </w:p>
    <w:p w:rsidR="00000000" w:rsidRDefault="00FD7D3C">
      <w:pPr>
        <w:jc w:val="center"/>
        <w:divId w:val="870072580"/>
        <w:rPr>
          <w:rFonts w:eastAsia="Times New Roman"/>
        </w:rPr>
      </w:pPr>
      <w:r>
        <w:rPr>
          <w:rFonts w:eastAsia="Times New Roman"/>
          <w:color w:val="000000"/>
          <w:sz w:val="20"/>
          <w:szCs w:val="20"/>
        </w:rPr>
        <w:t>77</w:t>
      </w:r>
    </w:p>
    <w:p w:rsidR="00000000" w:rsidRDefault="00FD7D3C">
      <w:pPr>
        <w:rPr>
          <w:rFonts w:eastAsia="Times New Roman"/>
        </w:rPr>
      </w:pPr>
      <w:r>
        <w:rPr>
          <w:rFonts w:eastAsia="Times New Roman"/>
        </w:rPr>
        <w:pict>
          <v:rect id="_x0000_i1130" style="width:0;height:1.5pt" o:hralign="center" o:hrstd="t" o:hr="t" fillcolor="#a0a0a0" stroked="f"/>
        </w:pict>
      </w:r>
    </w:p>
    <w:p w:rsidR="00000000" w:rsidRDefault="00FD7D3C">
      <w:pPr>
        <w:divId w:val="1675768823"/>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ind w:firstLine="1080"/>
        <w:divId w:val="1927958527"/>
        <w:rPr>
          <w:rFonts w:eastAsia="Times New Roman"/>
        </w:rPr>
      </w:pPr>
      <w:r>
        <w:rPr>
          <w:rFonts w:eastAsia="Times New Roman"/>
          <w:color w:val="000000"/>
          <w:sz w:val="20"/>
          <w:szCs w:val="20"/>
        </w:rPr>
        <w:t>We face significant competition in seeking appropriate collaborators for our product candidates, and the negotiation process is time-consuming and complex. In order for us to successfu</w:t>
      </w:r>
      <w:r>
        <w:rPr>
          <w:rFonts w:eastAsia="Times New Roman"/>
          <w:color w:val="000000"/>
          <w:sz w:val="20"/>
          <w:szCs w:val="20"/>
        </w:rPr>
        <w:t>lly establish a collaboration for one or more of our product candidates, potential collaborators must view these product candidates as economically valuable in markets they determine to be attractive in light of the terms that we are seeking and other avai</w:t>
      </w:r>
      <w:r>
        <w:rPr>
          <w:rFonts w:eastAsia="Times New Roman"/>
          <w:color w:val="000000"/>
          <w:sz w:val="20"/>
          <w:szCs w:val="20"/>
        </w:rPr>
        <w:t>lable products for licensing by other companies. Collaborations are complex and time-consuming to negotiate and document. In addition, there have been a significant number of recent business combinations among large biopharmaceutical companies that have re</w:t>
      </w:r>
      <w:r>
        <w:rPr>
          <w:rFonts w:eastAsia="Times New Roman"/>
          <w:color w:val="000000"/>
          <w:sz w:val="20"/>
          <w:szCs w:val="20"/>
        </w:rPr>
        <w:t>sulted in a reduced number of potential future collaborators. Our ability to reach a definitive agreement for a collaboration will depend, among other things, upon our assessment of the collaborator’s resources and expertise, the terms and conditions of th</w:t>
      </w:r>
      <w:r>
        <w:rPr>
          <w:rFonts w:eastAsia="Times New Roman"/>
          <w:color w:val="000000"/>
          <w:sz w:val="20"/>
          <w:szCs w:val="20"/>
        </w:rPr>
        <w:t>e proposed collaboration and the proposed collaborator’s evaluation of a number of factors. If we are unable to reach agreements with suitable collaborators on a timely basis, on acceptable terms, or at all, we may have to curtail the development of a prod</w:t>
      </w:r>
      <w:r>
        <w:rPr>
          <w:rFonts w:eastAsia="Times New Roman"/>
          <w:color w:val="000000"/>
          <w:sz w:val="20"/>
          <w:szCs w:val="20"/>
        </w:rPr>
        <w:t xml:space="preserve">uct candidate, reduce or delay its development program or one or more of our other development programs, delay its potential commercialization or reduce the scope of any sales or marketing activities, or increase our expenditures and undertake development </w:t>
      </w:r>
      <w:r>
        <w:rPr>
          <w:rFonts w:eastAsia="Times New Roman"/>
          <w:color w:val="000000"/>
          <w:sz w:val="20"/>
          <w:szCs w:val="20"/>
        </w:rPr>
        <w:t>or commercialization activities at our own expense. If we elect to increase our expenditures to fund development or commercialization activities on our own, we may need to obtain additional expertise and additional capital, which may not be available to us</w:t>
      </w:r>
      <w:r>
        <w:rPr>
          <w:rFonts w:eastAsia="Times New Roman"/>
          <w:color w:val="000000"/>
          <w:sz w:val="20"/>
          <w:szCs w:val="20"/>
        </w:rPr>
        <w:t xml:space="preserve"> on acceptable terms, or at all. If we fail to enter into future collaborations or do not have sufficient funds or expertise to undertake the necessary development and commercialization activities, we may not be able to further develop our product candidat</w:t>
      </w:r>
      <w:r>
        <w:rPr>
          <w:rFonts w:eastAsia="Times New Roman"/>
          <w:color w:val="000000"/>
          <w:sz w:val="20"/>
          <w:szCs w:val="20"/>
        </w:rPr>
        <w:t>es, bring them to market and generate revenue from sales of drugs or continue to develop our technology, and our business may be materially and adversely affected. Even if we are successful in our efforts to establish new strategic collaborations, the term</w:t>
      </w:r>
      <w:r>
        <w:rPr>
          <w:rFonts w:eastAsia="Times New Roman"/>
          <w:color w:val="000000"/>
          <w:sz w:val="20"/>
          <w:szCs w:val="20"/>
        </w:rPr>
        <w:t>s that we agree upon may not be favorable to us, and we may not be able to maintain such strategic collaborations if, for example, development or approval of a product candidate is delayed or sales of an approved product are disappointing. Any delay in ent</w:t>
      </w:r>
      <w:r>
        <w:rPr>
          <w:rFonts w:eastAsia="Times New Roman"/>
          <w:color w:val="000000"/>
          <w:sz w:val="20"/>
          <w:szCs w:val="20"/>
        </w:rPr>
        <w:t>ering into new strategic collaboration agreements related to our product candidates could delay the development and commercialization of our product candidates and reduce their competitiveness even if they reach the market.</w:t>
      </w:r>
    </w:p>
    <w:p w:rsidR="00000000" w:rsidRDefault="00FD7D3C">
      <w:pPr>
        <w:ind w:firstLine="1080"/>
        <w:divId w:val="292294002"/>
        <w:rPr>
          <w:rFonts w:eastAsia="Times New Roman"/>
        </w:rPr>
      </w:pPr>
      <w:r>
        <w:rPr>
          <w:rFonts w:eastAsia="Times New Roman"/>
          <w:b/>
          <w:bCs/>
          <w:i/>
          <w:iCs/>
          <w:color w:val="000000"/>
          <w:sz w:val="20"/>
          <w:szCs w:val="20"/>
        </w:rPr>
        <w:t>Our collaborators, prospective c</w:t>
      </w:r>
      <w:r>
        <w:rPr>
          <w:rFonts w:eastAsia="Times New Roman"/>
          <w:b/>
          <w:bCs/>
          <w:i/>
          <w:iCs/>
          <w:color w:val="000000"/>
          <w:sz w:val="20"/>
          <w:szCs w:val="20"/>
        </w:rPr>
        <w:t xml:space="preserve">ollaborators, and suppliers may need assurances that our financial resources and stability on a stand-alone basis are sufficient to satisfy their requirements for doing or continuing to do business with us. </w:t>
      </w:r>
    </w:p>
    <w:p w:rsidR="00000000" w:rsidRDefault="00FD7D3C">
      <w:pPr>
        <w:ind w:firstLine="1080"/>
        <w:divId w:val="1686470518"/>
        <w:rPr>
          <w:rFonts w:eastAsia="Times New Roman"/>
        </w:rPr>
      </w:pPr>
      <w:r>
        <w:rPr>
          <w:rFonts w:eastAsia="Times New Roman"/>
          <w:color w:val="000000"/>
          <w:sz w:val="20"/>
          <w:szCs w:val="20"/>
        </w:rPr>
        <w:t>Some of our collaborators, prospective collabora</w:t>
      </w:r>
      <w:r>
        <w:rPr>
          <w:rFonts w:eastAsia="Times New Roman"/>
          <w:color w:val="000000"/>
          <w:sz w:val="20"/>
          <w:szCs w:val="20"/>
        </w:rPr>
        <w:t>tors, and suppliers may need assurances that our financial resources and stability on a stand-alone basis are sufficient to satisfy their requirements for doing or continuing to do business with us. If our collaborators, prospective collaborators or suppli</w:t>
      </w:r>
      <w:r>
        <w:rPr>
          <w:rFonts w:eastAsia="Times New Roman"/>
          <w:color w:val="000000"/>
          <w:sz w:val="20"/>
          <w:szCs w:val="20"/>
        </w:rPr>
        <w:t>ers are not satisfied with our financial resources and stability, it could have a material adverse effect on our ability to develop our drug candidates, enter into licenses or other agreements and on our business, financial condition or results of operatio</w:t>
      </w:r>
      <w:r>
        <w:rPr>
          <w:rFonts w:eastAsia="Times New Roman"/>
          <w:color w:val="000000"/>
          <w:sz w:val="20"/>
          <w:szCs w:val="20"/>
        </w:rPr>
        <w:t xml:space="preserve">ns. </w:t>
      </w:r>
    </w:p>
    <w:p w:rsidR="00000000" w:rsidRDefault="00FD7D3C">
      <w:pPr>
        <w:ind w:firstLine="1080"/>
        <w:divId w:val="284122533"/>
        <w:rPr>
          <w:rFonts w:eastAsia="Times New Roman"/>
        </w:rPr>
      </w:pPr>
      <w:r>
        <w:rPr>
          <w:rFonts w:eastAsia="Times New Roman"/>
          <w:b/>
          <w:bCs/>
          <w:color w:val="000000"/>
          <w:sz w:val="20"/>
          <w:szCs w:val="20"/>
        </w:rPr>
        <w:t>Risks Related to Managing Our Business and Operations</w:t>
      </w:r>
    </w:p>
    <w:p w:rsidR="00000000" w:rsidRDefault="00FD7D3C">
      <w:pPr>
        <w:ind w:firstLine="1080"/>
        <w:divId w:val="449783411"/>
        <w:rPr>
          <w:rFonts w:eastAsia="Times New Roman"/>
        </w:rPr>
      </w:pPr>
      <w:r>
        <w:rPr>
          <w:rFonts w:eastAsia="Times New Roman"/>
          <w:b/>
          <w:bCs/>
          <w:i/>
          <w:iCs/>
          <w:color w:val="000000"/>
          <w:sz w:val="20"/>
          <w:szCs w:val="20"/>
        </w:rPr>
        <w:t>The outbreak of the coronavirus disease, COVID-19, could adversely impact our business, including our preclinical studies and clinical trials.</w:t>
      </w:r>
    </w:p>
    <w:p w:rsidR="00000000" w:rsidRDefault="00FD7D3C">
      <w:pPr>
        <w:ind w:firstLine="1080"/>
        <w:divId w:val="627668683"/>
        <w:rPr>
          <w:rFonts w:eastAsia="Times New Roman"/>
        </w:rPr>
      </w:pPr>
      <w:r>
        <w:rPr>
          <w:rFonts w:eastAsia="Times New Roman"/>
          <w:color w:val="000000"/>
          <w:sz w:val="20"/>
          <w:szCs w:val="20"/>
        </w:rPr>
        <w:t>In December 2019, a novel strain of the coronavirus di</w:t>
      </w:r>
      <w:r>
        <w:rPr>
          <w:rFonts w:eastAsia="Times New Roman"/>
          <w:color w:val="000000"/>
          <w:sz w:val="20"/>
          <w:szCs w:val="20"/>
        </w:rPr>
        <w:t>sease, COVID-19, was identified in Wuhan, China. This virus has spread to a number of countries globally, including the United States. The outbreak and government measures taken in response have also had a significant impact, both direct and indirect, on b</w:t>
      </w:r>
      <w:r>
        <w:rPr>
          <w:rFonts w:eastAsia="Times New Roman"/>
          <w:color w:val="000000"/>
          <w:sz w:val="20"/>
          <w:szCs w:val="20"/>
        </w:rPr>
        <w:t>usinesses and commerce, as worker shortages have occurred; supply chains have been disrupted; facilities and production have been suspended; and demand for certain goods and services, such as medical services and supplies, has spiked, while demand for othe</w:t>
      </w:r>
      <w:r>
        <w:rPr>
          <w:rFonts w:eastAsia="Times New Roman"/>
          <w:color w:val="000000"/>
          <w:sz w:val="20"/>
          <w:szCs w:val="20"/>
        </w:rPr>
        <w:t>r goods and services, such as travel, has fallen. In response to the spread of COVID-19, we significantly limited access to our executive offices with the majority of our administrative employees continuing their work outside of our offices and limited the</w:t>
      </w:r>
      <w:r>
        <w:rPr>
          <w:rFonts w:eastAsia="Times New Roman"/>
          <w:color w:val="000000"/>
          <w:sz w:val="20"/>
          <w:szCs w:val="20"/>
        </w:rPr>
        <w:t xml:space="preserve"> presence of our staff in the laboratory and in the administrative spaces to levels that adhere to social distancing protocols. As a result of the COVID-19 pandemic, we have experienced disruptions and may continue to experience disruptions that could seve</w:t>
      </w:r>
      <w:r>
        <w:rPr>
          <w:rFonts w:eastAsia="Times New Roman"/>
          <w:color w:val="000000"/>
          <w:sz w:val="20"/>
          <w:szCs w:val="20"/>
        </w:rPr>
        <w:t>rely impact our business, preclinical studies and clinical trials, including:</w:t>
      </w:r>
    </w:p>
    <w:p w:rsidR="00000000" w:rsidRDefault="00FD7D3C">
      <w:pPr>
        <w:ind w:hanging="1260"/>
        <w:divId w:val="5715686"/>
        <w:rPr>
          <w:rFonts w:eastAsia="Times New Roman"/>
        </w:rPr>
      </w:pPr>
      <w:r>
        <w:rPr>
          <w:rFonts w:ascii="Arial" w:eastAsia="Times New Roman" w:hAnsi="Arial" w:cs="Arial"/>
          <w:color w:val="000000"/>
        </w:rPr>
        <w:t>•</w:t>
      </w:r>
      <w:r>
        <w:rPr>
          <w:rFonts w:eastAsia="Times New Roman"/>
          <w:color w:val="000000"/>
          <w:sz w:val="20"/>
          <w:szCs w:val="20"/>
        </w:rPr>
        <w:t>delays or difficulties in commencing enrollment of patients in our clinical trials, including our Phase 2a clinical trials of PLN-74809 in IPF and PSC and our Phase 1 clinical t</w:t>
      </w:r>
      <w:r>
        <w:rPr>
          <w:rFonts w:eastAsia="Times New Roman"/>
          <w:color w:val="000000"/>
          <w:sz w:val="20"/>
          <w:szCs w:val="20"/>
        </w:rPr>
        <w:t>rial of PLN-1474. With respect to the Phase 2a trials of PLN-74809 in IPF and PSC, following delays in site initiation due to the impacts of COVID-19, both trials have resumed active enrollment of patients. With respect to the</w:t>
      </w:r>
      <w:r>
        <w:rPr>
          <w:rFonts w:eastAsia="Times New Roman"/>
          <w:color w:val="000000"/>
        </w:rPr>
        <w:t xml:space="preserve"> </w:t>
      </w:r>
      <w:r>
        <w:rPr>
          <w:rFonts w:eastAsia="Times New Roman"/>
          <w:color w:val="000000"/>
          <w:sz w:val="20"/>
          <w:szCs w:val="20"/>
        </w:rPr>
        <w:t>Phase 1 trial of PLN-1474, th</w:t>
      </w:r>
      <w:r>
        <w:rPr>
          <w:rFonts w:eastAsia="Times New Roman"/>
          <w:color w:val="000000"/>
          <w:sz w:val="20"/>
          <w:szCs w:val="20"/>
        </w:rPr>
        <w:t>e Phase 1 trial site experienced delays due to its location in an area heavily impacted by COVID-19; however, the trial site reopened and completed dosing the remaining cohorts, and the trial was subsequently completed;</w:t>
      </w:r>
    </w:p>
    <w:p w:rsidR="00000000" w:rsidRDefault="00FD7D3C">
      <w:pPr>
        <w:jc w:val="center"/>
        <w:divId w:val="766972958"/>
        <w:rPr>
          <w:rFonts w:eastAsia="Times New Roman"/>
        </w:rPr>
      </w:pPr>
      <w:r>
        <w:rPr>
          <w:rFonts w:eastAsia="Times New Roman"/>
          <w:color w:val="000000"/>
          <w:sz w:val="20"/>
          <w:szCs w:val="20"/>
        </w:rPr>
        <w:t>78</w:t>
      </w:r>
    </w:p>
    <w:p w:rsidR="00000000" w:rsidRDefault="00FD7D3C">
      <w:pPr>
        <w:rPr>
          <w:rFonts w:eastAsia="Times New Roman"/>
        </w:rPr>
      </w:pPr>
      <w:r>
        <w:rPr>
          <w:rFonts w:eastAsia="Times New Roman"/>
        </w:rPr>
        <w:pict>
          <v:rect id="_x0000_i1131" style="width:0;height:1.5pt" o:hralign="center" o:hrstd="t" o:hr="t" fillcolor="#a0a0a0" stroked="f"/>
        </w:pict>
      </w:r>
    </w:p>
    <w:p w:rsidR="00000000" w:rsidRDefault="00FD7D3C">
      <w:pPr>
        <w:divId w:val="1443261077"/>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ind w:hanging="1260"/>
        <w:divId w:val="1724333197"/>
        <w:rPr>
          <w:rFonts w:eastAsia="Times New Roman"/>
        </w:rPr>
      </w:pPr>
      <w:r>
        <w:rPr>
          <w:rFonts w:ascii="Arial" w:eastAsia="Times New Roman" w:hAnsi="Arial" w:cs="Arial"/>
          <w:color w:val="000000"/>
        </w:rPr>
        <w:t>•</w:t>
      </w:r>
      <w:r>
        <w:rPr>
          <w:rFonts w:eastAsia="Times New Roman"/>
          <w:color w:val="000000"/>
          <w:sz w:val="20"/>
          <w:szCs w:val="20"/>
        </w:rPr>
        <w:t>the impact from potential delays, including potential difficulties in clinical site initiation, including difficulties in recruiting clinical site investigators and clinical site staff;</w:t>
      </w:r>
    </w:p>
    <w:p w:rsidR="00000000" w:rsidRDefault="00FD7D3C">
      <w:pPr>
        <w:ind w:hanging="1260"/>
        <w:divId w:val="36928838"/>
        <w:rPr>
          <w:rFonts w:eastAsia="Times New Roman"/>
        </w:rPr>
      </w:pPr>
      <w:r>
        <w:rPr>
          <w:rFonts w:ascii="Arial" w:eastAsia="Times New Roman" w:hAnsi="Arial" w:cs="Arial"/>
          <w:color w:val="000000"/>
        </w:rPr>
        <w:t>•</w:t>
      </w:r>
      <w:r>
        <w:rPr>
          <w:rFonts w:eastAsia="Times New Roman"/>
          <w:color w:val="000000"/>
          <w:sz w:val="20"/>
          <w:szCs w:val="20"/>
        </w:rPr>
        <w:t>diversion of healthcare resources away from the conduct of clinical t</w:t>
      </w:r>
      <w:r>
        <w:rPr>
          <w:rFonts w:eastAsia="Times New Roman"/>
          <w:color w:val="000000"/>
          <w:sz w:val="20"/>
          <w:szCs w:val="20"/>
        </w:rPr>
        <w:t>rials, including the diversion of hospitals serving as our clinical trial sites and hospital staff supporting the conduct of our clinical trials;</w:t>
      </w:r>
    </w:p>
    <w:p w:rsidR="00000000" w:rsidRDefault="00FD7D3C">
      <w:pPr>
        <w:ind w:hanging="1260"/>
        <w:divId w:val="182089620"/>
        <w:rPr>
          <w:rFonts w:eastAsia="Times New Roman"/>
        </w:rPr>
      </w:pPr>
      <w:r>
        <w:rPr>
          <w:rFonts w:ascii="Arial" w:eastAsia="Times New Roman" w:hAnsi="Arial" w:cs="Arial"/>
          <w:color w:val="000000"/>
        </w:rPr>
        <w:t>•</w:t>
      </w:r>
      <w:r>
        <w:rPr>
          <w:rFonts w:eastAsia="Times New Roman"/>
          <w:color w:val="000000"/>
          <w:sz w:val="20"/>
          <w:szCs w:val="20"/>
        </w:rPr>
        <w:t>interruption of key clinical trial activities, such as clinical trial site data monitoring, due to limitation</w:t>
      </w:r>
      <w:r>
        <w:rPr>
          <w:rFonts w:eastAsia="Times New Roman"/>
          <w:color w:val="000000"/>
          <w:sz w:val="20"/>
          <w:szCs w:val="20"/>
        </w:rPr>
        <w:t xml:space="preserve">s on travel imposed or recommended by federal or state governments, employers and others or interruption of clinical trial subject visits and study procedures that are deemed non-essential, which may impact the integrity of subject data and clinical study </w:t>
      </w:r>
      <w:r>
        <w:rPr>
          <w:rFonts w:eastAsia="Times New Roman"/>
          <w:color w:val="000000"/>
          <w:sz w:val="20"/>
          <w:szCs w:val="20"/>
        </w:rPr>
        <w:t>endpoints;</w:t>
      </w:r>
    </w:p>
    <w:p w:rsidR="00000000" w:rsidRDefault="00FD7D3C">
      <w:pPr>
        <w:ind w:hanging="1260"/>
        <w:divId w:val="48264385"/>
        <w:rPr>
          <w:rFonts w:eastAsia="Times New Roman"/>
        </w:rPr>
      </w:pPr>
      <w:r>
        <w:rPr>
          <w:rFonts w:ascii="Arial" w:eastAsia="Times New Roman" w:hAnsi="Arial" w:cs="Arial"/>
          <w:color w:val="000000"/>
        </w:rPr>
        <w:t>•</w:t>
      </w:r>
      <w:r>
        <w:rPr>
          <w:rFonts w:eastAsia="Times New Roman"/>
          <w:color w:val="000000"/>
          <w:sz w:val="20"/>
          <w:szCs w:val="20"/>
        </w:rPr>
        <w:t>interruption or delays in the operations of the FDA or other regulatory authorities, which may impact review and approval timelines;</w:t>
      </w:r>
    </w:p>
    <w:p w:rsidR="00000000" w:rsidRDefault="00FD7D3C">
      <w:pPr>
        <w:ind w:hanging="1260"/>
        <w:divId w:val="1244146741"/>
        <w:rPr>
          <w:rFonts w:eastAsia="Times New Roman"/>
        </w:rPr>
      </w:pPr>
      <w:r>
        <w:rPr>
          <w:rFonts w:ascii="Arial" w:eastAsia="Times New Roman" w:hAnsi="Arial" w:cs="Arial"/>
          <w:color w:val="000000"/>
        </w:rPr>
        <w:t>•</w:t>
      </w:r>
      <w:r>
        <w:rPr>
          <w:rFonts w:eastAsia="Times New Roman"/>
          <w:color w:val="000000"/>
          <w:sz w:val="20"/>
          <w:szCs w:val="20"/>
        </w:rPr>
        <w:t>interruption of, or delays in receiving, supplies of our product candidates from our contract manufacturing or</w:t>
      </w:r>
      <w:r>
        <w:rPr>
          <w:rFonts w:eastAsia="Times New Roman"/>
          <w:color w:val="000000"/>
          <w:sz w:val="20"/>
          <w:szCs w:val="20"/>
        </w:rPr>
        <w:t>ganizations due to staffing shortages, production slowdowns or stoppages and disruptions in delivery systems;</w:t>
      </w:r>
    </w:p>
    <w:p w:rsidR="00000000" w:rsidRDefault="00FD7D3C">
      <w:pPr>
        <w:ind w:hanging="1260"/>
        <w:divId w:val="199514243"/>
        <w:rPr>
          <w:rFonts w:eastAsia="Times New Roman"/>
        </w:rPr>
      </w:pPr>
      <w:r>
        <w:rPr>
          <w:rFonts w:ascii="Arial" w:eastAsia="Times New Roman" w:hAnsi="Arial" w:cs="Arial"/>
          <w:color w:val="000000"/>
        </w:rPr>
        <w:t>•</w:t>
      </w:r>
      <w:r>
        <w:rPr>
          <w:rFonts w:eastAsia="Times New Roman"/>
          <w:color w:val="000000"/>
          <w:sz w:val="20"/>
          <w:szCs w:val="20"/>
        </w:rPr>
        <w:t>interruptions in preclinical studies due to restricted or limited operations at our laboratory facility;</w:t>
      </w:r>
    </w:p>
    <w:p w:rsidR="00000000" w:rsidRDefault="00FD7D3C">
      <w:pPr>
        <w:ind w:hanging="1260"/>
        <w:divId w:val="973825764"/>
        <w:rPr>
          <w:rFonts w:eastAsia="Times New Roman"/>
        </w:rPr>
      </w:pPr>
      <w:r>
        <w:rPr>
          <w:rFonts w:ascii="Arial" w:eastAsia="Times New Roman" w:hAnsi="Arial" w:cs="Arial"/>
          <w:color w:val="000000"/>
        </w:rPr>
        <w:t>•</w:t>
      </w:r>
      <w:r>
        <w:rPr>
          <w:rFonts w:eastAsia="Times New Roman"/>
          <w:color w:val="000000"/>
          <w:sz w:val="20"/>
          <w:szCs w:val="20"/>
        </w:rPr>
        <w:t xml:space="preserve">limitations on employee resources that </w:t>
      </w:r>
      <w:r>
        <w:rPr>
          <w:rFonts w:eastAsia="Times New Roman"/>
          <w:color w:val="000000"/>
          <w:sz w:val="20"/>
          <w:szCs w:val="20"/>
        </w:rPr>
        <w:t>would otherwise be focused on the conduct of our preclinical studies and clinical trials, including because of sickness of employees or their families or the desire of employees to avoid contact with large groups of people; and</w:t>
      </w:r>
    </w:p>
    <w:p w:rsidR="00000000" w:rsidRDefault="00FD7D3C">
      <w:pPr>
        <w:ind w:hanging="1260"/>
        <w:divId w:val="1596160885"/>
        <w:rPr>
          <w:rFonts w:eastAsia="Times New Roman"/>
        </w:rPr>
      </w:pPr>
      <w:r>
        <w:rPr>
          <w:rFonts w:ascii="Arial" w:eastAsia="Times New Roman" w:hAnsi="Arial" w:cs="Arial"/>
          <w:color w:val="000000"/>
        </w:rPr>
        <w:t>•</w:t>
      </w:r>
      <w:r>
        <w:rPr>
          <w:rFonts w:eastAsia="Times New Roman"/>
          <w:color w:val="000000"/>
          <w:sz w:val="20"/>
          <w:szCs w:val="20"/>
        </w:rPr>
        <w:t>interruption or delays to o</w:t>
      </w:r>
      <w:r>
        <w:rPr>
          <w:rFonts w:eastAsia="Times New Roman"/>
          <w:color w:val="000000"/>
          <w:sz w:val="20"/>
          <w:szCs w:val="20"/>
        </w:rPr>
        <w:t>ur sourced discovery and clinical activities.</w:t>
      </w:r>
    </w:p>
    <w:p w:rsidR="00000000" w:rsidRDefault="00FD7D3C">
      <w:pPr>
        <w:ind w:firstLine="1080"/>
        <w:divId w:val="1570654677"/>
        <w:rPr>
          <w:rFonts w:eastAsia="Times New Roman"/>
        </w:rPr>
      </w:pPr>
      <w:r>
        <w:rPr>
          <w:rFonts w:eastAsia="Times New Roman"/>
          <w:color w:val="000000"/>
          <w:sz w:val="20"/>
          <w:szCs w:val="20"/>
        </w:rPr>
        <w:t xml:space="preserve">The COVID-19 pandemic continues to rapidly evolve and new variants of the virus continue to emerge. The extent to which the outbreak impacts our business, preclinical studies and clinical trials will depend on </w:t>
      </w:r>
      <w:r>
        <w:rPr>
          <w:rFonts w:eastAsia="Times New Roman"/>
          <w:color w:val="000000"/>
          <w:sz w:val="20"/>
          <w:szCs w:val="20"/>
        </w:rPr>
        <w:t>future developments, which are highly uncertain and cannot be predicted with confidence, such as the ultimate geographic spread of the disease, the duration of the pandemic, travel restrictions and social distancing in the United States and other countries</w:t>
      </w:r>
      <w:r>
        <w:rPr>
          <w:rFonts w:eastAsia="Times New Roman"/>
          <w:color w:val="000000"/>
          <w:sz w:val="20"/>
          <w:szCs w:val="20"/>
        </w:rPr>
        <w:t>, business closures or business disruptions and the effectiveness of actions taken in the United States and other countries to contain and treat the disease.The foregoing disruptions, and other continued disruptions to our business in connection with the C</w:t>
      </w:r>
      <w:r>
        <w:rPr>
          <w:rFonts w:eastAsia="Times New Roman"/>
          <w:color w:val="000000"/>
          <w:sz w:val="20"/>
          <w:szCs w:val="20"/>
        </w:rPr>
        <w:t>OVID-19 pandemic, could have a material adverse impact on our business, financial condition or results of operations. In addition, the COVID-19 pandemic heightens many of the other risks and uncertainties discussed herein.</w:t>
      </w:r>
    </w:p>
    <w:p w:rsidR="00000000" w:rsidRDefault="00FD7D3C">
      <w:pPr>
        <w:ind w:firstLine="1080"/>
        <w:divId w:val="309554072"/>
        <w:rPr>
          <w:rFonts w:eastAsia="Times New Roman"/>
        </w:rPr>
      </w:pPr>
      <w:r>
        <w:rPr>
          <w:rFonts w:eastAsia="Times New Roman"/>
          <w:b/>
          <w:bCs/>
          <w:i/>
          <w:iCs/>
          <w:color w:val="000000"/>
          <w:sz w:val="20"/>
          <w:szCs w:val="20"/>
        </w:rPr>
        <w:t xml:space="preserve">We may encounter difficulties in </w:t>
      </w:r>
      <w:r>
        <w:rPr>
          <w:rFonts w:eastAsia="Times New Roman"/>
          <w:b/>
          <w:bCs/>
          <w:i/>
          <w:iCs/>
          <w:color w:val="000000"/>
          <w:sz w:val="20"/>
          <w:szCs w:val="20"/>
        </w:rPr>
        <w:t>managing our growth, which could adversely affect our operations.</w:t>
      </w:r>
    </w:p>
    <w:p w:rsidR="00000000" w:rsidRDefault="00FD7D3C">
      <w:pPr>
        <w:ind w:firstLine="1080"/>
        <w:divId w:val="1185022193"/>
        <w:rPr>
          <w:rFonts w:eastAsia="Times New Roman"/>
        </w:rPr>
      </w:pPr>
      <w:r>
        <w:rPr>
          <w:rFonts w:eastAsia="Times New Roman"/>
          <w:color w:val="000000"/>
          <w:sz w:val="20"/>
          <w:szCs w:val="20"/>
        </w:rPr>
        <w:t>As of December 31, 2021, we had 91 full-time employees. As our clinical development and commercialization plans and strategies develop, and as we transition into operating as a public compan</w:t>
      </w:r>
      <w:r>
        <w:rPr>
          <w:rFonts w:eastAsia="Times New Roman"/>
          <w:color w:val="000000"/>
          <w:sz w:val="20"/>
          <w:szCs w:val="20"/>
        </w:rPr>
        <w:t xml:space="preserve">y, we will need to expand our managerial, clinical, regulatory, sales, marketing, financial, development, manufacturing and legal capabilities or contract with third parties to provide these capabilities for us. As our operations expand, we expect that we </w:t>
      </w:r>
      <w:r>
        <w:rPr>
          <w:rFonts w:eastAsia="Times New Roman"/>
          <w:color w:val="000000"/>
          <w:sz w:val="20"/>
          <w:szCs w:val="20"/>
        </w:rPr>
        <w:t>will need to manage additional relationships with various strategic collaborators, suppliers and other third parties. Our future growth would impose significant added responsibilities on members of management, including:</w:t>
      </w:r>
    </w:p>
    <w:p w:rsidR="00000000" w:rsidRDefault="00FD7D3C">
      <w:pPr>
        <w:ind w:hanging="1260"/>
        <w:divId w:val="943150801"/>
        <w:rPr>
          <w:rFonts w:eastAsia="Times New Roman"/>
        </w:rPr>
      </w:pPr>
      <w:r>
        <w:rPr>
          <w:rFonts w:ascii="Arial" w:eastAsia="Times New Roman" w:hAnsi="Arial" w:cs="Arial"/>
          <w:color w:val="000000"/>
        </w:rPr>
        <w:t>•</w:t>
      </w:r>
      <w:r>
        <w:rPr>
          <w:rFonts w:eastAsia="Times New Roman"/>
          <w:color w:val="000000"/>
          <w:sz w:val="20"/>
          <w:szCs w:val="20"/>
        </w:rPr>
        <w:t>identifying, recruiting, integrating, maintaining and motivating additional employees;</w:t>
      </w:r>
    </w:p>
    <w:p w:rsidR="00000000" w:rsidRDefault="00FD7D3C">
      <w:pPr>
        <w:ind w:hanging="1260"/>
        <w:divId w:val="664012621"/>
        <w:rPr>
          <w:rFonts w:eastAsia="Times New Roman"/>
        </w:rPr>
      </w:pPr>
      <w:r>
        <w:rPr>
          <w:rFonts w:ascii="Arial" w:eastAsia="Times New Roman" w:hAnsi="Arial" w:cs="Arial"/>
          <w:color w:val="000000"/>
        </w:rPr>
        <w:t>•</w:t>
      </w:r>
      <w:r>
        <w:rPr>
          <w:rFonts w:eastAsia="Times New Roman"/>
          <w:color w:val="000000"/>
          <w:sz w:val="20"/>
          <w:szCs w:val="20"/>
        </w:rPr>
        <w:t xml:space="preserve">managing our development and commercialization efforts effectively, including the clinical and FDA review process for PLN-74809 and any other product candidates, while </w:t>
      </w:r>
      <w:r>
        <w:rPr>
          <w:rFonts w:eastAsia="Times New Roman"/>
          <w:color w:val="000000"/>
          <w:sz w:val="20"/>
          <w:szCs w:val="20"/>
        </w:rPr>
        <w:t>complying with our contractual obligations to contractors and other third parties; and</w:t>
      </w:r>
    </w:p>
    <w:p w:rsidR="00000000" w:rsidRDefault="00FD7D3C">
      <w:pPr>
        <w:ind w:hanging="1260"/>
        <w:divId w:val="227956992"/>
        <w:rPr>
          <w:rFonts w:eastAsia="Times New Roman"/>
        </w:rPr>
      </w:pPr>
      <w:r>
        <w:rPr>
          <w:rFonts w:ascii="Arial" w:eastAsia="Times New Roman" w:hAnsi="Arial" w:cs="Arial"/>
          <w:color w:val="000000"/>
        </w:rPr>
        <w:t>•</w:t>
      </w:r>
      <w:r>
        <w:rPr>
          <w:rFonts w:eastAsia="Times New Roman"/>
          <w:color w:val="000000"/>
          <w:sz w:val="20"/>
          <w:szCs w:val="20"/>
        </w:rPr>
        <w:t>improving our operational, financial and management controls, reporting systems and procedures.</w:t>
      </w:r>
    </w:p>
    <w:p w:rsidR="00000000" w:rsidRDefault="00FD7D3C">
      <w:pPr>
        <w:ind w:firstLine="1080"/>
        <w:divId w:val="1890874163"/>
        <w:rPr>
          <w:rFonts w:eastAsia="Times New Roman"/>
        </w:rPr>
      </w:pPr>
      <w:r>
        <w:rPr>
          <w:rFonts w:eastAsia="Times New Roman"/>
          <w:color w:val="000000"/>
          <w:sz w:val="20"/>
          <w:szCs w:val="20"/>
        </w:rPr>
        <w:t>Our ability to continue to develop and, if approved, commercialize our p</w:t>
      </w:r>
      <w:r>
        <w:rPr>
          <w:rFonts w:eastAsia="Times New Roman"/>
          <w:color w:val="000000"/>
          <w:sz w:val="20"/>
          <w:szCs w:val="20"/>
        </w:rPr>
        <w:t xml:space="preserve">roduct candidates will depend, in part, on our ability to effectively manage any future growth. Our management may also have to divert a disproportionate </w:t>
      </w:r>
    </w:p>
    <w:p w:rsidR="00000000" w:rsidRDefault="00FD7D3C">
      <w:pPr>
        <w:jc w:val="center"/>
        <w:divId w:val="443691767"/>
        <w:rPr>
          <w:rFonts w:eastAsia="Times New Roman"/>
        </w:rPr>
      </w:pPr>
      <w:r>
        <w:rPr>
          <w:rFonts w:eastAsia="Times New Roman"/>
          <w:color w:val="000000"/>
          <w:sz w:val="20"/>
          <w:szCs w:val="20"/>
        </w:rPr>
        <w:t>79</w:t>
      </w:r>
    </w:p>
    <w:p w:rsidR="00000000" w:rsidRDefault="00FD7D3C">
      <w:pPr>
        <w:rPr>
          <w:rFonts w:eastAsia="Times New Roman"/>
        </w:rPr>
      </w:pPr>
      <w:r>
        <w:rPr>
          <w:rFonts w:eastAsia="Times New Roman"/>
        </w:rPr>
        <w:pict>
          <v:rect id="_x0000_i1132" style="width:0;height:1.5pt" o:hralign="center" o:hrstd="t" o:hr="t" fillcolor="#a0a0a0" stroked="f"/>
        </w:pict>
      </w:r>
    </w:p>
    <w:p w:rsidR="00000000" w:rsidRDefault="00FD7D3C">
      <w:pPr>
        <w:divId w:val="1875842306"/>
        <w:rPr>
          <w:rFonts w:eastAsia="Times New Roman"/>
        </w:rPr>
      </w:pPr>
      <w:hyperlink w:anchor="i988625df783e4cc0a27bd76df388da57_7" w:history="1">
        <w:r>
          <w:rPr>
            <w:rStyle w:val="a3"/>
            <w:rFonts w:eastAsia="Times New Roman"/>
            <w:sz w:val="20"/>
            <w:szCs w:val="20"/>
          </w:rPr>
          <w:t>Tabl</w:t>
        </w:r>
        <w:r>
          <w:rPr>
            <w:rStyle w:val="a3"/>
            <w:rFonts w:eastAsia="Times New Roman"/>
            <w:sz w:val="20"/>
            <w:szCs w:val="20"/>
          </w:rPr>
          <w:t>e of Contents</w:t>
        </w:r>
      </w:hyperlink>
    </w:p>
    <w:p w:rsidR="00000000" w:rsidRDefault="00FD7D3C">
      <w:pPr>
        <w:divId w:val="498692009"/>
        <w:rPr>
          <w:rFonts w:eastAsia="Times New Roman"/>
        </w:rPr>
      </w:pPr>
      <w:r>
        <w:rPr>
          <w:rFonts w:eastAsia="Times New Roman"/>
          <w:color w:val="000000"/>
          <w:sz w:val="20"/>
          <w:szCs w:val="20"/>
        </w:rPr>
        <w:t>amount of its attention away from day-to-day activities in order to devote a substantial amount of time to managing these growth activities.</w:t>
      </w:r>
    </w:p>
    <w:p w:rsidR="00000000" w:rsidRDefault="00FD7D3C">
      <w:pPr>
        <w:ind w:firstLine="1080"/>
        <w:divId w:val="1027020226"/>
        <w:rPr>
          <w:rFonts w:eastAsia="Times New Roman"/>
        </w:rPr>
      </w:pPr>
      <w:r>
        <w:rPr>
          <w:rFonts w:eastAsia="Times New Roman"/>
          <w:color w:val="000000"/>
          <w:sz w:val="20"/>
          <w:szCs w:val="20"/>
        </w:rPr>
        <w:t>We currently rely, and for the foreseeable future will continue to rely, in substantial part on certa</w:t>
      </w:r>
      <w:r>
        <w:rPr>
          <w:rFonts w:eastAsia="Times New Roman"/>
          <w:color w:val="000000"/>
          <w:sz w:val="20"/>
          <w:szCs w:val="20"/>
        </w:rPr>
        <w:t>in independent organizations, advisors and consultants to provide certain services, including contract manufacturers and companies focused on research and development and discovery activities. There can be no assurance that the services of independent orga</w:t>
      </w:r>
      <w:r>
        <w:rPr>
          <w:rFonts w:eastAsia="Times New Roman"/>
          <w:color w:val="000000"/>
          <w:sz w:val="20"/>
          <w:szCs w:val="20"/>
        </w:rPr>
        <w:t xml:space="preserve">nizations, advisors and consultants will continue to be available to us on a timely basis when needed, or that we can find qualified replacements. In addition, if we are unable to effectively manage our outsourced activities or if the quality, accuracy or </w:t>
      </w:r>
      <w:r>
        <w:rPr>
          <w:rFonts w:eastAsia="Times New Roman"/>
          <w:color w:val="000000"/>
          <w:sz w:val="20"/>
          <w:szCs w:val="20"/>
        </w:rPr>
        <w:t>quantity of the services provided is compromised for any reason, our clinical trials may be extended, delayed or terminated, and we may not be able to obtain, or may be substantially delayed in obtaining, regulatory approval of our product candidates or ot</w:t>
      </w:r>
      <w:r>
        <w:rPr>
          <w:rFonts w:eastAsia="Times New Roman"/>
          <w:color w:val="000000"/>
          <w:sz w:val="20"/>
          <w:szCs w:val="20"/>
        </w:rPr>
        <w:t>herwise advance our business. There can be no assurance that we will be able to manage our existing consultants or find other competent outside contractors and consultants on economically reasonable terms, or at all.</w:t>
      </w:r>
    </w:p>
    <w:p w:rsidR="00000000" w:rsidRDefault="00FD7D3C">
      <w:pPr>
        <w:ind w:firstLine="1080"/>
        <w:divId w:val="1303654132"/>
        <w:rPr>
          <w:rFonts w:eastAsia="Times New Roman"/>
        </w:rPr>
      </w:pPr>
      <w:r>
        <w:rPr>
          <w:rFonts w:eastAsia="Times New Roman"/>
          <w:color w:val="000000"/>
          <w:sz w:val="20"/>
          <w:szCs w:val="20"/>
        </w:rPr>
        <w:t>If we are not able to effectively expand our organization by hiring new employees and expanding our groups of consultants and contractors, we may not be able to successfully implement the tasks necessary to further develop and commercialize PLN-74809 or an</w:t>
      </w:r>
      <w:r>
        <w:rPr>
          <w:rFonts w:eastAsia="Times New Roman"/>
          <w:color w:val="000000"/>
          <w:sz w:val="20"/>
          <w:szCs w:val="20"/>
        </w:rPr>
        <w:t>y other product candidates and, accordingly, may not achieve our research, development and commercialization goals.</w:t>
      </w:r>
    </w:p>
    <w:p w:rsidR="00000000" w:rsidRDefault="00FD7D3C">
      <w:pPr>
        <w:ind w:firstLine="1080"/>
        <w:divId w:val="1262572402"/>
        <w:rPr>
          <w:rFonts w:eastAsia="Times New Roman"/>
        </w:rPr>
      </w:pPr>
      <w:r>
        <w:rPr>
          <w:rFonts w:eastAsia="Times New Roman"/>
          <w:color w:val="000000"/>
          <w:sz w:val="20"/>
          <w:szCs w:val="20"/>
        </w:rPr>
        <w:t>We may acquire additional technology and complementary businesses in the future. Acquisitions involve many risks, any of which could materia</w:t>
      </w:r>
      <w:r>
        <w:rPr>
          <w:rFonts w:eastAsia="Times New Roman"/>
          <w:color w:val="000000"/>
          <w:sz w:val="20"/>
          <w:szCs w:val="20"/>
        </w:rPr>
        <w:t>lly harm our business, including the diversion of management’s attention from core business concerns, failure to effectively exploit acquired technologies, failure to successfully integrate the acquired business or realize expected synergies or the loss of</w:t>
      </w:r>
      <w:r>
        <w:rPr>
          <w:rFonts w:eastAsia="Times New Roman"/>
          <w:color w:val="000000"/>
          <w:sz w:val="20"/>
          <w:szCs w:val="20"/>
        </w:rPr>
        <w:t xml:space="preserve"> key employees from either our business or the acquired businesses.</w:t>
      </w:r>
    </w:p>
    <w:p w:rsidR="00000000" w:rsidRDefault="00FD7D3C">
      <w:pPr>
        <w:ind w:firstLine="1080"/>
        <w:divId w:val="1412892737"/>
        <w:rPr>
          <w:rFonts w:eastAsia="Times New Roman"/>
        </w:rPr>
      </w:pPr>
      <w:r>
        <w:rPr>
          <w:rFonts w:eastAsia="Times New Roman"/>
          <w:b/>
          <w:bCs/>
          <w:i/>
          <w:iCs/>
          <w:color w:val="000000"/>
          <w:sz w:val="20"/>
          <w:szCs w:val="20"/>
        </w:rPr>
        <w:t>If we lose key management personnel, or if we fail to recruit additional highly skilled personnel, our ability to develop current product candidates or identify and develop new product can</w:t>
      </w:r>
      <w:r>
        <w:rPr>
          <w:rFonts w:eastAsia="Times New Roman"/>
          <w:b/>
          <w:bCs/>
          <w:i/>
          <w:iCs/>
          <w:color w:val="000000"/>
          <w:sz w:val="20"/>
          <w:szCs w:val="20"/>
        </w:rPr>
        <w:t>didates will be impaired, could result in loss of markets or market share and could make us less competitive.</w:t>
      </w:r>
    </w:p>
    <w:p w:rsidR="00000000" w:rsidRDefault="00FD7D3C">
      <w:pPr>
        <w:ind w:firstLine="1080"/>
        <w:divId w:val="648167190"/>
        <w:rPr>
          <w:rFonts w:eastAsia="Times New Roman"/>
        </w:rPr>
      </w:pPr>
      <w:r>
        <w:rPr>
          <w:rFonts w:eastAsia="Times New Roman"/>
          <w:color w:val="000000"/>
          <w:sz w:val="20"/>
          <w:szCs w:val="20"/>
        </w:rPr>
        <w:t>Our ability to compete in the highly competitive biotechnology and biopharmaceutical industries depends upon our ability to attract and retain hig</w:t>
      </w:r>
      <w:r>
        <w:rPr>
          <w:rFonts w:eastAsia="Times New Roman"/>
          <w:color w:val="000000"/>
          <w:sz w:val="20"/>
          <w:szCs w:val="20"/>
        </w:rPr>
        <w:t>hly qualified managerial, scientific, and medical personnel. We are highly dependent on our management, scientific and medical personnel, including Bernard Coulie, M.D., Ph.D., our President and Chief Executive Officer, Keith Cummings, M.D., our Chief Fina</w:t>
      </w:r>
      <w:r>
        <w:rPr>
          <w:rFonts w:eastAsia="Times New Roman"/>
          <w:color w:val="000000"/>
          <w:sz w:val="20"/>
          <w:szCs w:val="20"/>
        </w:rPr>
        <w:t>ncial Officer, Johannes (Hans) Hull, J.D., our Chief Business Officer and Éric Lefebvre, M.D., our Chief Medical Officer. The loss of the services of any of our executive officers, other key employees and other scientific and medical advisors, and our inab</w:t>
      </w:r>
      <w:r>
        <w:rPr>
          <w:rFonts w:eastAsia="Times New Roman"/>
          <w:color w:val="000000"/>
          <w:sz w:val="20"/>
          <w:szCs w:val="20"/>
        </w:rPr>
        <w:t>ility to find suitable replacements could result in delays in product development and harm our business.</w:t>
      </w:r>
    </w:p>
    <w:p w:rsidR="00000000" w:rsidRDefault="00FD7D3C">
      <w:pPr>
        <w:ind w:firstLine="1080"/>
        <w:divId w:val="1459378551"/>
        <w:rPr>
          <w:rFonts w:eastAsia="Times New Roman"/>
        </w:rPr>
      </w:pPr>
      <w:r>
        <w:rPr>
          <w:rFonts w:eastAsia="Times New Roman"/>
          <w:color w:val="000000"/>
          <w:sz w:val="20"/>
          <w:szCs w:val="20"/>
        </w:rPr>
        <w:t>We conduct our operations at our facility in South San Francisco, California. This region is headquarters to many other biopharmaceutical companies, bi</w:t>
      </w:r>
      <w:r>
        <w:rPr>
          <w:rFonts w:eastAsia="Times New Roman"/>
          <w:color w:val="000000"/>
          <w:sz w:val="20"/>
          <w:szCs w:val="20"/>
        </w:rPr>
        <w:t>otechnology companies and research institutions. Competition for skilled personnel in our market is intense and may limit our ability to hire and retain highly qualified personnel on acceptable terms or at all.</w:t>
      </w:r>
    </w:p>
    <w:p w:rsidR="00000000" w:rsidRDefault="00FD7D3C">
      <w:pPr>
        <w:ind w:firstLine="1080"/>
        <w:divId w:val="1018773125"/>
        <w:rPr>
          <w:rFonts w:eastAsia="Times New Roman"/>
        </w:rPr>
      </w:pPr>
      <w:r>
        <w:rPr>
          <w:rFonts w:eastAsia="Times New Roman"/>
          <w:color w:val="000000"/>
          <w:sz w:val="20"/>
          <w:szCs w:val="20"/>
        </w:rPr>
        <w:t>To induce valuable employees to remain at our</w:t>
      </w:r>
      <w:r>
        <w:rPr>
          <w:rFonts w:eastAsia="Times New Roman"/>
          <w:color w:val="000000"/>
          <w:sz w:val="20"/>
          <w:szCs w:val="20"/>
        </w:rPr>
        <w:t xml:space="preserve"> company, in addition to salary and cash incentives, we have provided equity awards that vest over time. The value to employees of equity awards that vest over time may be significantly affected by movements in our stock price that are beyond our control a</w:t>
      </w:r>
      <w:r>
        <w:rPr>
          <w:rFonts w:eastAsia="Times New Roman"/>
          <w:color w:val="000000"/>
          <w:sz w:val="20"/>
          <w:szCs w:val="20"/>
        </w:rPr>
        <w:t>nd may at any time be insufficient to counteract more lucrative offers from other companies. Despite our efforts to retain valuable employees, members of our management, scientific and development teams may terminate their employment with us on short notic</w:t>
      </w:r>
      <w:r>
        <w:rPr>
          <w:rFonts w:eastAsia="Times New Roman"/>
          <w:color w:val="000000"/>
          <w:sz w:val="20"/>
          <w:szCs w:val="20"/>
        </w:rPr>
        <w:t>e. Our key employees are at-will employees, which means that any of our employees could leave our employment at any time, with or without notice. We do not maintain “key person” insurance policies on the lives of these individuals or the lives of any of ou</w:t>
      </w:r>
      <w:r>
        <w:rPr>
          <w:rFonts w:eastAsia="Times New Roman"/>
          <w:color w:val="000000"/>
          <w:sz w:val="20"/>
          <w:szCs w:val="20"/>
        </w:rPr>
        <w:t>r other employees. Our success also depends on our ability to continue to attract, retain and motivate highly skilled junior, mid-level and senior scientific and medical personnel.</w:t>
      </w:r>
    </w:p>
    <w:p w:rsidR="00000000" w:rsidRDefault="00FD7D3C">
      <w:pPr>
        <w:ind w:firstLine="1080"/>
        <w:divId w:val="117575105"/>
        <w:rPr>
          <w:rFonts w:eastAsia="Times New Roman"/>
        </w:rPr>
      </w:pPr>
      <w:r>
        <w:rPr>
          <w:rFonts w:eastAsia="Times New Roman"/>
          <w:b/>
          <w:bCs/>
          <w:i/>
          <w:iCs/>
          <w:color w:val="000000"/>
          <w:sz w:val="20"/>
          <w:szCs w:val="20"/>
        </w:rPr>
        <w:t>Our current operations are concentrated in one location, and we or the thir</w:t>
      </w:r>
      <w:r>
        <w:rPr>
          <w:rFonts w:eastAsia="Times New Roman"/>
          <w:b/>
          <w:bCs/>
          <w:i/>
          <w:iCs/>
          <w:color w:val="000000"/>
          <w:sz w:val="20"/>
          <w:szCs w:val="20"/>
        </w:rPr>
        <w:t>d parties upon whom we depend may be adversely affected by earthquakes or other natural disasters and our business continuity and disaster recovery plans may not adequately protect us from a serious disaster, including earthquakes, outbreak of disease or o</w:t>
      </w:r>
      <w:r>
        <w:rPr>
          <w:rFonts w:eastAsia="Times New Roman"/>
          <w:b/>
          <w:bCs/>
          <w:i/>
          <w:iCs/>
          <w:color w:val="000000"/>
          <w:sz w:val="20"/>
          <w:szCs w:val="20"/>
        </w:rPr>
        <w:t>ther natural disasters.</w:t>
      </w:r>
    </w:p>
    <w:p w:rsidR="00000000" w:rsidRDefault="00FD7D3C">
      <w:pPr>
        <w:ind w:firstLine="1080"/>
        <w:divId w:val="853886377"/>
        <w:rPr>
          <w:rFonts w:eastAsia="Times New Roman"/>
        </w:rPr>
      </w:pPr>
      <w:r>
        <w:rPr>
          <w:rFonts w:eastAsia="Times New Roman"/>
          <w:color w:val="000000"/>
          <w:sz w:val="20"/>
          <w:szCs w:val="20"/>
        </w:rPr>
        <w:t>Our current operations are located in our facilities in South San Francisco, California. Any unplanned event, such as flood, fire, explosion, earthquake, extreme weather condition, medical epidemics, power shortage, telecommunicatio</w:t>
      </w:r>
      <w:r>
        <w:rPr>
          <w:rFonts w:eastAsia="Times New Roman"/>
          <w:color w:val="000000"/>
          <w:sz w:val="20"/>
          <w:szCs w:val="20"/>
        </w:rPr>
        <w:t>n failure or other natural or manmade accidents or incidents that result in us being unable to fully utilize our facilities, or the manufacturing facilities of our third-party contract manufacturers, may have a material and adverse effect on our ability to</w:t>
      </w:r>
      <w:r>
        <w:rPr>
          <w:rFonts w:eastAsia="Times New Roman"/>
          <w:color w:val="000000"/>
          <w:sz w:val="20"/>
          <w:szCs w:val="20"/>
        </w:rPr>
        <w:t xml:space="preserve"> operate our business, particularly on a daily basis, and have significant negative consequences on our financial and operating conditions. Loss of access to these facilities may result in increased costs, delays in the development of our product candidate</w:t>
      </w:r>
      <w:r>
        <w:rPr>
          <w:rFonts w:eastAsia="Times New Roman"/>
          <w:color w:val="000000"/>
          <w:sz w:val="20"/>
          <w:szCs w:val="20"/>
        </w:rPr>
        <w:t xml:space="preserve">s or interruption of our business operations. Earthquakes or other natural disasters </w:t>
      </w:r>
    </w:p>
    <w:p w:rsidR="00000000" w:rsidRDefault="00FD7D3C">
      <w:pPr>
        <w:jc w:val="center"/>
        <w:divId w:val="29688683"/>
        <w:rPr>
          <w:rFonts w:eastAsia="Times New Roman"/>
        </w:rPr>
      </w:pPr>
      <w:r>
        <w:rPr>
          <w:rFonts w:eastAsia="Times New Roman"/>
          <w:color w:val="000000"/>
          <w:sz w:val="20"/>
          <w:szCs w:val="20"/>
        </w:rPr>
        <w:t>80</w:t>
      </w:r>
    </w:p>
    <w:p w:rsidR="00000000" w:rsidRDefault="00FD7D3C">
      <w:pPr>
        <w:rPr>
          <w:rFonts w:eastAsia="Times New Roman"/>
        </w:rPr>
      </w:pPr>
      <w:r>
        <w:rPr>
          <w:rFonts w:eastAsia="Times New Roman"/>
        </w:rPr>
        <w:pict>
          <v:rect id="_x0000_i1133" style="width:0;height:1.5pt" o:hralign="center" o:hrstd="t" o:hr="t" fillcolor="#a0a0a0" stroked="f"/>
        </w:pict>
      </w:r>
    </w:p>
    <w:p w:rsidR="00000000" w:rsidRDefault="00FD7D3C">
      <w:pPr>
        <w:divId w:val="403845424"/>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divId w:val="1832791404"/>
        <w:rPr>
          <w:rFonts w:eastAsia="Times New Roman"/>
        </w:rPr>
      </w:pPr>
      <w:r>
        <w:rPr>
          <w:rFonts w:eastAsia="Times New Roman"/>
          <w:color w:val="000000"/>
          <w:sz w:val="20"/>
          <w:szCs w:val="20"/>
        </w:rPr>
        <w:t>could further disrupt our operations and have a materi</w:t>
      </w:r>
      <w:r>
        <w:rPr>
          <w:rFonts w:eastAsia="Times New Roman"/>
          <w:color w:val="000000"/>
          <w:sz w:val="20"/>
          <w:szCs w:val="20"/>
        </w:rPr>
        <w:t>al and adverse effect on our business, financial condition, results of operations and prospects. In addition, global climate change could result in certain types of natural disasters occurring more frequently or with more intense effects. If a natural disa</w:t>
      </w:r>
      <w:r>
        <w:rPr>
          <w:rFonts w:eastAsia="Times New Roman"/>
          <w:color w:val="000000"/>
          <w:sz w:val="20"/>
          <w:szCs w:val="20"/>
        </w:rPr>
        <w:t>ster, power outage or other event occurred that prevented us from using all or a significant portion of our headquarters, that damaged critical infrastructure, such as our research facilities or the manufacturing facilities of our third-party contract manu</w:t>
      </w:r>
      <w:r>
        <w:rPr>
          <w:rFonts w:eastAsia="Times New Roman"/>
          <w:color w:val="000000"/>
          <w:sz w:val="20"/>
          <w:szCs w:val="20"/>
        </w:rPr>
        <w:t>facturers, or that otherwise disrupted operations, it may be difficult or, in certain cases, impossible, for us to continue our business for a substantial period of time.</w:t>
      </w:r>
    </w:p>
    <w:p w:rsidR="00000000" w:rsidRDefault="00FD7D3C">
      <w:pPr>
        <w:ind w:firstLine="1080"/>
        <w:divId w:val="293218296"/>
        <w:rPr>
          <w:rFonts w:eastAsia="Times New Roman"/>
        </w:rPr>
      </w:pPr>
      <w:r>
        <w:rPr>
          <w:rFonts w:eastAsia="Times New Roman"/>
          <w:color w:val="000000"/>
          <w:sz w:val="20"/>
          <w:szCs w:val="20"/>
        </w:rPr>
        <w:t>The disaster recovery and business continuity plans we have in place may prove inadeq</w:t>
      </w:r>
      <w:r>
        <w:rPr>
          <w:rFonts w:eastAsia="Times New Roman"/>
          <w:color w:val="000000"/>
          <w:sz w:val="20"/>
          <w:szCs w:val="20"/>
        </w:rPr>
        <w:t>uate in the event of a serious disaster or similar event. We may incur substantial expenses as a result of the limited nature of our disaster recovery and business continuity plans, which, could have a material adverse effect on our business. As part of ou</w:t>
      </w:r>
      <w:r>
        <w:rPr>
          <w:rFonts w:eastAsia="Times New Roman"/>
          <w:color w:val="000000"/>
          <w:sz w:val="20"/>
          <w:szCs w:val="20"/>
        </w:rPr>
        <w:t>r risk management policy, we maintain insurance coverage at levels that we believe are appropriate for our business. However, in the event of an accident or incident at these facilities, we cannot assure you that the amounts of insurance will be sufficient</w:t>
      </w:r>
      <w:r>
        <w:rPr>
          <w:rFonts w:eastAsia="Times New Roman"/>
          <w:color w:val="000000"/>
          <w:sz w:val="20"/>
          <w:szCs w:val="20"/>
        </w:rPr>
        <w:t xml:space="preserve"> to satisfy any damages and losses. If our facilities, or the manufacturing facilities of our third-party contract manufacturers, are unable to operate because of an accident or incident or for any other reason, even for a short period of time, any or all </w:t>
      </w:r>
      <w:r>
        <w:rPr>
          <w:rFonts w:eastAsia="Times New Roman"/>
          <w:color w:val="000000"/>
          <w:sz w:val="20"/>
          <w:szCs w:val="20"/>
        </w:rPr>
        <w:t>of our research and development programs may be harmed.</w:t>
      </w:r>
    </w:p>
    <w:p w:rsidR="00000000" w:rsidRDefault="00FD7D3C">
      <w:pPr>
        <w:ind w:firstLine="1080"/>
        <w:divId w:val="1954702003"/>
        <w:rPr>
          <w:rFonts w:eastAsia="Times New Roman"/>
        </w:rPr>
      </w:pPr>
      <w:r>
        <w:rPr>
          <w:rFonts w:eastAsia="Times New Roman"/>
          <w:b/>
          <w:bCs/>
          <w:i/>
          <w:iCs/>
          <w:color w:val="000000"/>
          <w:sz w:val="20"/>
          <w:szCs w:val="20"/>
        </w:rPr>
        <w:t>Our employees, independent contractors, consultants, commercial partners, collaborators and vendors may engage in misconduct or other improper activities, including noncompliance with regulatory stand</w:t>
      </w:r>
      <w:r>
        <w:rPr>
          <w:rFonts w:eastAsia="Times New Roman"/>
          <w:b/>
          <w:bCs/>
          <w:i/>
          <w:iCs/>
          <w:color w:val="000000"/>
          <w:sz w:val="20"/>
          <w:szCs w:val="20"/>
        </w:rPr>
        <w:t>ards and requirements.</w:t>
      </w:r>
    </w:p>
    <w:p w:rsidR="00000000" w:rsidRDefault="00FD7D3C">
      <w:pPr>
        <w:ind w:firstLine="1080"/>
        <w:divId w:val="365565302"/>
        <w:rPr>
          <w:rFonts w:eastAsia="Times New Roman"/>
        </w:rPr>
      </w:pPr>
      <w:r>
        <w:rPr>
          <w:rFonts w:eastAsia="Times New Roman"/>
          <w:color w:val="000000"/>
          <w:sz w:val="20"/>
          <w:szCs w:val="20"/>
        </w:rPr>
        <w:t>We are exposed to the risk of employee fraud or other illegal activity by our employees, independent contractors, consultants, commercial partners, collaborators, and vendors. Misconduct by these parties could include intentional, re</w:t>
      </w:r>
      <w:r>
        <w:rPr>
          <w:rFonts w:eastAsia="Times New Roman"/>
          <w:color w:val="000000"/>
          <w:sz w:val="20"/>
          <w:szCs w:val="20"/>
        </w:rPr>
        <w:t>ckless and/or negligent conduct that fails to comply with the laws of the FDA and other similar foreign regulatory bodies, provide true, complete and accurate information to the FDA and other similar foreign regulatory bodies, comply with manufacturing sta</w:t>
      </w:r>
      <w:r>
        <w:rPr>
          <w:rFonts w:eastAsia="Times New Roman"/>
          <w:color w:val="000000"/>
          <w:sz w:val="20"/>
          <w:szCs w:val="20"/>
        </w:rPr>
        <w:t>ndards we have established, comply with healthcare fraud and abuse laws in the United States and similar foreign fraudulent misconduct laws, or report financial information or data accurately or to disclose unauthorized activities to us. If we obtain FDA a</w:t>
      </w:r>
      <w:r>
        <w:rPr>
          <w:rFonts w:eastAsia="Times New Roman"/>
          <w:color w:val="000000"/>
          <w:sz w:val="20"/>
          <w:szCs w:val="20"/>
        </w:rPr>
        <w:t>pproval of any of our product candidates and begin commercializing those products in the United States, our potential exposure under such laws will increase significantly, and our costs associated with compliance with such laws will also increase. These la</w:t>
      </w:r>
      <w:r>
        <w:rPr>
          <w:rFonts w:eastAsia="Times New Roman"/>
          <w:color w:val="000000"/>
          <w:sz w:val="20"/>
          <w:szCs w:val="20"/>
        </w:rPr>
        <w:t>ws may impact, among other things, our current activities with principal investigators and research patients, as well as proposed and future sales, marketing, and education programs. We adopted a code of business conduct and ethics, but it is not always po</w:t>
      </w:r>
      <w:r>
        <w:rPr>
          <w:rFonts w:eastAsia="Times New Roman"/>
          <w:color w:val="000000"/>
          <w:sz w:val="20"/>
          <w:szCs w:val="20"/>
        </w:rPr>
        <w:t xml:space="preserve">ssible to identify and deter misconduct by our employees, independent contractors, consultants, commercial partners and vendors, and the precautions we take to detect and prevent this activity may not be effective in controlling unknown or unmanaged risks </w:t>
      </w:r>
      <w:r>
        <w:rPr>
          <w:rFonts w:eastAsia="Times New Roman"/>
          <w:color w:val="000000"/>
          <w:sz w:val="20"/>
          <w:szCs w:val="20"/>
        </w:rPr>
        <w:t>or losses or in protecting us from governmental investigations or other actions or lawsuits stemming from a failure to comply with these laws or regulations. If any actions are instituted against us and we are not successful in defending ourselves or asser</w:t>
      </w:r>
      <w:r>
        <w:rPr>
          <w:rFonts w:eastAsia="Times New Roman"/>
          <w:color w:val="000000"/>
          <w:sz w:val="20"/>
          <w:szCs w:val="20"/>
        </w:rPr>
        <w:t>ting our rights, those actions could result in the imposition of civil, criminal and administrative penalties, damages, monetary fines, imprisonment, disgorgement, possible exclusion from participation in government healthcare programs, additional reportin</w:t>
      </w:r>
      <w:r>
        <w:rPr>
          <w:rFonts w:eastAsia="Times New Roman"/>
          <w:color w:val="000000"/>
          <w:sz w:val="20"/>
          <w:szCs w:val="20"/>
        </w:rPr>
        <w:t>g obligations and oversight if we become subject to a corporate integrity agreement or other agreement to resolve allegations of non-compliance with these laws, contractual damages, reputational harm, diminished profits and future earnings and the curtailm</w:t>
      </w:r>
      <w:r>
        <w:rPr>
          <w:rFonts w:eastAsia="Times New Roman"/>
          <w:color w:val="000000"/>
          <w:sz w:val="20"/>
          <w:szCs w:val="20"/>
        </w:rPr>
        <w:t>ent of our operations.</w:t>
      </w:r>
    </w:p>
    <w:p w:rsidR="00000000" w:rsidRDefault="00FD7D3C">
      <w:pPr>
        <w:ind w:firstLine="1080"/>
        <w:divId w:val="1451584733"/>
        <w:rPr>
          <w:rFonts w:eastAsia="Times New Roman"/>
        </w:rPr>
      </w:pPr>
      <w:r>
        <w:rPr>
          <w:rFonts w:eastAsia="Times New Roman"/>
          <w:b/>
          <w:bCs/>
          <w:i/>
          <w:iCs/>
          <w:color w:val="000000"/>
          <w:sz w:val="20"/>
          <w:szCs w:val="20"/>
        </w:rPr>
        <w:t>We use and generate materials that may expose us to material liability.</w:t>
      </w:r>
    </w:p>
    <w:p w:rsidR="00000000" w:rsidRDefault="00FD7D3C">
      <w:pPr>
        <w:ind w:firstLine="1080"/>
        <w:divId w:val="350958266"/>
        <w:rPr>
          <w:rFonts w:eastAsia="Times New Roman"/>
        </w:rPr>
      </w:pPr>
      <w:r>
        <w:rPr>
          <w:rFonts w:eastAsia="Times New Roman"/>
          <w:color w:val="000000"/>
          <w:sz w:val="20"/>
          <w:szCs w:val="20"/>
        </w:rPr>
        <w:t>Our research programs involve the use of hazardous materials and chemicals, which are currently only handled by third parties. We are subject to foreign, federal</w:t>
      </w:r>
      <w:r>
        <w:rPr>
          <w:rFonts w:eastAsia="Times New Roman"/>
          <w:color w:val="000000"/>
          <w:sz w:val="20"/>
          <w:szCs w:val="20"/>
        </w:rPr>
        <w:t>, state, and local environmental and health and safety laws and regulations governing, among other matters, the use, manufacture, handling, storage and disposal of hazardous materials and waste products such as human tissue samples that may have the potent</w:t>
      </w:r>
      <w:r>
        <w:rPr>
          <w:rFonts w:eastAsia="Times New Roman"/>
          <w:color w:val="000000"/>
          <w:sz w:val="20"/>
          <w:szCs w:val="20"/>
        </w:rPr>
        <w:t>ial to transmit diseases. We may incur significant costs to comply with these current or future environmental and health and safety laws and regulations. In addition, we cannot completely eliminate the risk of contamination or injury from hazardous materia</w:t>
      </w:r>
      <w:r>
        <w:rPr>
          <w:rFonts w:eastAsia="Times New Roman"/>
          <w:color w:val="000000"/>
          <w:sz w:val="20"/>
          <w:szCs w:val="20"/>
        </w:rPr>
        <w:t>ls and may incur material liability as a result of such contamination or injury. In the event of an accident, an injured party may seek to hold us liable for any damages that result. Any liability could exceed the limits or fall outside the coverage of our</w:t>
      </w:r>
      <w:r>
        <w:rPr>
          <w:rFonts w:eastAsia="Times New Roman"/>
          <w:color w:val="000000"/>
          <w:sz w:val="20"/>
          <w:szCs w:val="20"/>
        </w:rPr>
        <w:t xml:space="preserve"> workers’ compensation, property and business interruption insurance and we may not be able to maintain insurance on acceptable terms, if at all. We currently carry no insurance specifically covering environmental claims.</w:t>
      </w:r>
    </w:p>
    <w:p w:rsidR="00000000" w:rsidRDefault="00FD7D3C">
      <w:pPr>
        <w:ind w:firstLine="1080"/>
        <w:divId w:val="722215841"/>
        <w:rPr>
          <w:rFonts w:eastAsia="Times New Roman"/>
        </w:rPr>
      </w:pPr>
      <w:r>
        <w:rPr>
          <w:rFonts w:eastAsia="Times New Roman"/>
          <w:b/>
          <w:bCs/>
          <w:i/>
          <w:iCs/>
          <w:color w:val="000000"/>
          <w:sz w:val="20"/>
          <w:szCs w:val="20"/>
        </w:rPr>
        <w:t>If we fail to comply with environm</w:t>
      </w:r>
      <w:r>
        <w:rPr>
          <w:rFonts w:eastAsia="Times New Roman"/>
          <w:b/>
          <w:bCs/>
          <w:i/>
          <w:iCs/>
          <w:color w:val="000000"/>
          <w:sz w:val="20"/>
          <w:szCs w:val="20"/>
        </w:rPr>
        <w:t>ental, health and safety laws and regulations, we could become subject to fines or penalties or incur costs that could have a material adverse effect on the success of our business.</w:t>
      </w:r>
    </w:p>
    <w:p w:rsidR="00000000" w:rsidRDefault="00FD7D3C">
      <w:pPr>
        <w:ind w:firstLine="1080"/>
        <w:divId w:val="1703438109"/>
        <w:rPr>
          <w:rFonts w:eastAsia="Times New Roman"/>
        </w:rPr>
      </w:pPr>
      <w:r>
        <w:rPr>
          <w:rFonts w:eastAsia="Times New Roman"/>
          <w:color w:val="000000"/>
          <w:sz w:val="20"/>
          <w:szCs w:val="20"/>
        </w:rPr>
        <w:t>We are subject to numerous environmental, health and safety laws and regulations, including those governing laboratory procedures and the handling, use, storage, treatment and disposal of hazardous materials and wastes. Our research and development activit</w:t>
      </w:r>
      <w:r>
        <w:rPr>
          <w:rFonts w:eastAsia="Times New Roman"/>
          <w:color w:val="000000"/>
          <w:sz w:val="20"/>
          <w:szCs w:val="20"/>
        </w:rPr>
        <w:t>ies involve the use of biological and hazardous materials and produce hazardous waste products. We generally contract with third parties for the disposal of these materials and wastes. We cannot eliminate the risk of contamination or injury from these mate</w:t>
      </w:r>
      <w:r>
        <w:rPr>
          <w:rFonts w:eastAsia="Times New Roman"/>
          <w:color w:val="000000"/>
          <w:sz w:val="20"/>
          <w:szCs w:val="20"/>
        </w:rPr>
        <w:t xml:space="preserve">rials, which could cause an interruption of our commercialization efforts, </w:t>
      </w:r>
    </w:p>
    <w:p w:rsidR="00000000" w:rsidRDefault="00FD7D3C">
      <w:pPr>
        <w:jc w:val="center"/>
        <w:divId w:val="1559977356"/>
        <w:rPr>
          <w:rFonts w:eastAsia="Times New Roman"/>
        </w:rPr>
      </w:pPr>
      <w:r>
        <w:rPr>
          <w:rFonts w:eastAsia="Times New Roman"/>
          <w:color w:val="000000"/>
          <w:sz w:val="20"/>
          <w:szCs w:val="20"/>
        </w:rPr>
        <w:t>81</w:t>
      </w:r>
    </w:p>
    <w:p w:rsidR="00000000" w:rsidRDefault="00FD7D3C">
      <w:pPr>
        <w:rPr>
          <w:rFonts w:eastAsia="Times New Roman"/>
        </w:rPr>
      </w:pPr>
      <w:r>
        <w:rPr>
          <w:rFonts w:eastAsia="Times New Roman"/>
        </w:rPr>
        <w:pict>
          <v:rect id="_x0000_i1134" style="width:0;height:1.5pt" o:hralign="center" o:hrstd="t" o:hr="t" fillcolor="#a0a0a0" stroked="f"/>
        </w:pict>
      </w:r>
    </w:p>
    <w:p w:rsidR="00000000" w:rsidRDefault="00FD7D3C">
      <w:pPr>
        <w:divId w:val="81492756"/>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divId w:val="70932678"/>
        <w:rPr>
          <w:rFonts w:eastAsia="Times New Roman"/>
        </w:rPr>
      </w:pPr>
      <w:r>
        <w:rPr>
          <w:rFonts w:eastAsia="Times New Roman"/>
          <w:color w:val="000000"/>
          <w:sz w:val="20"/>
          <w:szCs w:val="20"/>
        </w:rPr>
        <w:t>research and development efforts and business operations, enviro</w:t>
      </w:r>
      <w:r>
        <w:rPr>
          <w:rFonts w:eastAsia="Times New Roman"/>
          <w:color w:val="000000"/>
          <w:sz w:val="20"/>
          <w:szCs w:val="20"/>
        </w:rPr>
        <w:t xml:space="preserve">nmental damage resulting in costly clean-up and liabilities under applicable laws and regulations governing the use, storage, handling and disposal of these materials and specified waste products. Although we believe that the safety procedures utilized by </w:t>
      </w:r>
      <w:r>
        <w:rPr>
          <w:rFonts w:eastAsia="Times New Roman"/>
          <w:color w:val="000000"/>
          <w:sz w:val="20"/>
          <w:szCs w:val="20"/>
        </w:rPr>
        <w:t xml:space="preserve">our third-party manufacturers for handling and disposing of these materials generally comply with the standards prescribed by these laws and regulations, we cannot guarantee that this is the case or eliminate the risk of accidental contamination or injury </w:t>
      </w:r>
      <w:r>
        <w:rPr>
          <w:rFonts w:eastAsia="Times New Roman"/>
          <w:color w:val="000000"/>
          <w:sz w:val="20"/>
          <w:szCs w:val="20"/>
        </w:rPr>
        <w:t>from these materials. In such an event, we may be held liable for any resulting damages and such liability could exceed our resources and state or federal or other applicable authorities may curtail our use of certain materials and/or interrupt our busines</w:t>
      </w:r>
      <w:r>
        <w:rPr>
          <w:rFonts w:eastAsia="Times New Roman"/>
          <w:color w:val="000000"/>
          <w:sz w:val="20"/>
          <w:szCs w:val="20"/>
        </w:rPr>
        <w:t>s operations. Furthermore, environmental laws and regulations are complex, change frequently and have tended to become more stringent. We cannot predict the impact of such changes and cannot be certain of our future compliance. In addition, we may incur su</w:t>
      </w:r>
      <w:r>
        <w:rPr>
          <w:rFonts w:eastAsia="Times New Roman"/>
          <w:color w:val="000000"/>
          <w:sz w:val="20"/>
          <w:szCs w:val="20"/>
        </w:rPr>
        <w:t xml:space="preserve">bstantial costs in order to comply with current or future environmental, health and safety laws and regulations. These current or future laws and regulations may impair our research, development or production efforts. Failure to comply with these laws and </w:t>
      </w:r>
      <w:r>
        <w:rPr>
          <w:rFonts w:eastAsia="Times New Roman"/>
          <w:color w:val="000000"/>
          <w:sz w:val="20"/>
          <w:szCs w:val="20"/>
        </w:rPr>
        <w:t>regulations also may result in substantial fines, penalties or other sanctions.</w:t>
      </w:r>
    </w:p>
    <w:p w:rsidR="00000000" w:rsidRDefault="00FD7D3C">
      <w:pPr>
        <w:ind w:firstLine="1080"/>
        <w:divId w:val="1162429880"/>
        <w:rPr>
          <w:rFonts w:eastAsia="Times New Roman"/>
        </w:rPr>
      </w:pPr>
      <w:r>
        <w:rPr>
          <w:rFonts w:eastAsia="Times New Roman"/>
          <w:color w:val="000000"/>
          <w:sz w:val="20"/>
          <w:szCs w:val="20"/>
        </w:rPr>
        <w:t>Although we maintain workers’ compensation insurance to cover us for costs and expenses, we may incur due to injuries to our employees resulting from the use of hazardous mater</w:t>
      </w:r>
      <w:r>
        <w:rPr>
          <w:rFonts w:eastAsia="Times New Roman"/>
          <w:color w:val="000000"/>
          <w:sz w:val="20"/>
          <w:szCs w:val="20"/>
        </w:rPr>
        <w:t>ials or other work-related injuries, this insurance may not provide adequate coverage against potential liabilities. We do not carry specific biological waste or hazardous waste insurance coverage, workers’ compensation or property and casualty and general</w:t>
      </w:r>
      <w:r>
        <w:rPr>
          <w:rFonts w:eastAsia="Times New Roman"/>
          <w:color w:val="000000"/>
          <w:sz w:val="20"/>
          <w:szCs w:val="20"/>
        </w:rPr>
        <w:t xml:space="preserve"> liability insurance policies that include coverage for damages and fines arising from biological or hazardous waste exposure or contamination.</w:t>
      </w:r>
    </w:p>
    <w:p w:rsidR="00000000" w:rsidRDefault="00FD7D3C">
      <w:pPr>
        <w:ind w:firstLine="1080"/>
        <w:divId w:val="1138914983"/>
        <w:rPr>
          <w:rFonts w:eastAsia="Times New Roman"/>
        </w:rPr>
      </w:pPr>
      <w:r>
        <w:rPr>
          <w:rFonts w:eastAsia="Times New Roman"/>
          <w:b/>
          <w:bCs/>
          <w:i/>
          <w:iCs/>
          <w:color w:val="000000"/>
          <w:sz w:val="20"/>
          <w:szCs w:val="20"/>
        </w:rPr>
        <w:t xml:space="preserve">Compliance with governmental regulations regarding the treatment of animals used in research could increase our </w:t>
      </w:r>
      <w:r>
        <w:rPr>
          <w:rFonts w:eastAsia="Times New Roman"/>
          <w:b/>
          <w:bCs/>
          <w:i/>
          <w:iCs/>
          <w:color w:val="000000"/>
          <w:sz w:val="20"/>
          <w:szCs w:val="20"/>
        </w:rPr>
        <w:t>operating costs, which would adversely affect the commercialization of our products.</w:t>
      </w:r>
    </w:p>
    <w:p w:rsidR="00000000" w:rsidRDefault="00FD7D3C">
      <w:pPr>
        <w:ind w:firstLine="1080"/>
        <w:divId w:val="419764405"/>
        <w:rPr>
          <w:rFonts w:eastAsia="Times New Roman"/>
        </w:rPr>
      </w:pPr>
      <w:r>
        <w:rPr>
          <w:rFonts w:eastAsia="Times New Roman"/>
          <w:color w:val="000000"/>
          <w:sz w:val="20"/>
          <w:szCs w:val="20"/>
        </w:rPr>
        <w:t>The Animal Welfare Act, or AWA, is the federal law that covers the treatment of certain animals used in research. Currently, the AWA imposes a wide variety of specific reg</w:t>
      </w:r>
      <w:r>
        <w:rPr>
          <w:rFonts w:eastAsia="Times New Roman"/>
          <w:color w:val="000000"/>
          <w:sz w:val="20"/>
          <w:szCs w:val="20"/>
        </w:rPr>
        <w:t>ulations that govern the humane handling, care, treatment, and transportation of certain animals by producers and users of research animals, most notably relating to personnel, facilities, sanitation, cage size, and feeding, watering, and shipping conditio</w:t>
      </w:r>
      <w:r>
        <w:rPr>
          <w:rFonts w:eastAsia="Times New Roman"/>
          <w:color w:val="000000"/>
          <w:sz w:val="20"/>
          <w:szCs w:val="20"/>
        </w:rPr>
        <w:t>ns. Third parties with whom we contract are subject to registration, inspections, and reporting requirements under the AWA. Furthermore, some states have their own regulations, including general anti-cruelty legislation, which establish certain standards i</w:t>
      </w:r>
      <w:r>
        <w:rPr>
          <w:rFonts w:eastAsia="Times New Roman"/>
          <w:color w:val="000000"/>
          <w:sz w:val="20"/>
          <w:szCs w:val="20"/>
        </w:rPr>
        <w:t>n handling animals. Comparable rules, regulations, and or obligations exist in many foreign jurisdictions. If we or our contractors fail to comply with regulations concerning the treatment of animals used in research, we may be subject to fines and penalti</w:t>
      </w:r>
      <w:r>
        <w:rPr>
          <w:rFonts w:eastAsia="Times New Roman"/>
          <w:color w:val="000000"/>
          <w:sz w:val="20"/>
          <w:szCs w:val="20"/>
        </w:rPr>
        <w:t>es and adverse publicity, and our operations could be adversely affected.</w:t>
      </w:r>
    </w:p>
    <w:p w:rsidR="00000000" w:rsidRDefault="00FD7D3C">
      <w:pPr>
        <w:ind w:firstLine="1080"/>
        <w:divId w:val="2009287834"/>
        <w:rPr>
          <w:rFonts w:eastAsia="Times New Roman"/>
        </w:rPr>
      </w:pPr>
      <w:r>
        <w:rPr>
          <w:rFonts w:eastAsia="Times New Roman"/>
          <w:b/>
          <w:bCs/>
          <w:i/>
          <w:iCs/>
          <w:color w:val="000000"/>
          <w:sz w:val="20"/>
          <w:szCs w:val="20"/>
        </w:rPr>
        <w:t>Our ability to use our net operating loss carryforwards and certain tax credit carryforwards may be subject to limitation.</w:t>
      </w:r>
    </w:p>
    <w:p w:rsidR="00000000" w:rsidRDefault="00FD7D3C">
      <w:pPr>
        <w:ind w:firstLine="1080"/>
        <w:divId w:val="1047995010"/>
        <w:rPr>
          <w:rFonts w:eastAsia="Times New Roman"/>
        </w:rPr>
      </w:pPr>
      <w:r>
        <w:rPr>
          <w:rFonts w:eastAsia="Times New Roman"/>
          <w:color w:val="000000"/>
          <w:sz w:val="20"/>
          <w:szCs w:val="20"/>
        </w:rPr>
        <w:t>As of December 31, 2021, we had net operating loss carryfor</w:t>
      </w:r>
      <w:r>
        <w:rPr>
          <w:rFonts w:eastAsia="Times New Roman"/>
          <w:color w:val="000000"/>
          <w:sz w:val="20"/>
          <w:szCs w:val="20"/>
        </w:rPr>
        <w:t>wards for U.S. federal and state income tax purposes of $184.7 million and $183.0 million, respectively, some of which will begin to expire in 2035. As of December 31, 2021, we also had available tax credit carryforwards for U.S. federal income tax purpose</w:t>
      </w:r>
      <w:r>
        <w:rPr>
          <w:rFonts w:eastAsia="Times New Roman"/>
          <w:color w:val="000000"/>
          <w:sz w:val="20"/>
          <w:szCs w:val="20"/>
        </w:rPr>
        <w:t>s of $14.1 million, which begin to expire in 2036, and state income tax purposes of $4.1 million, which can be carried forward indefinitely. Under Section 382 of the Internal Revenue Code, as amended, or the Code, changes in our ownership may limit the amo</w:t>
      </w:r>
      <w:r>
        <w:rPr>
          <w:rFonts w:eastAsia="Times New Roman"/>
          <w:color w:val="000000"/>
          <w:sz w:val="20"/>
          <w:szCs w:val="20"/>
        </w:rPr>
        <w:t>unt of our net operating loss carryforwards and tax credit carryforwards that could be utilized annually to offset our future taxable income, if any. This limitation would generally apply in the event of a cumulative change in ownership of our company of m</w:t>
      </w:r>
      <w:r>
        <w:rPr>
          <w:rFonts w:eastAsia="Times New Roman"/>
          <w:color w:val="000000"/>
          <w:sz w:val="20"/>
          <w:szCs w:val="20"/>
        </w:rPr>
        <w:t>ore than 50 percentage points within a three-year period. Any such limitation may significantly reduce our ability to utilize our net operating loss carryforwards and tax credit carryforwards before they expire. We completed a Section 382 study of transact</w:t>
      </w:r>
      <w:r>
        <w:rPr>
          <w:rFonts w:eastAsia="Times New Roman"/>
          <w:color w:val="000000"/>
          <w:sz w:val="20"/>
          <w:szCs w:val="20"/>
        </w:rPr>
        <w:t xml:space="preserve">ions in our stock ownership through December 31, 2021 and concluded that we have experienced ownership changes since inception and our utilization of pre-change net operating loss and credit carryforwards will be subject to the limitation. In addition, we </w:t>
      </w:r>
      <w:r>
        <w:rPr>
          <w:rFonts w:eastAsia="Times New Roman"/>
          <w:color w:val="000000"/>
          <w:sz w:val="20"/>
          <w:szCs w:val="20"/>
        </w:rPr>
        <w:t xml:space="preserve">may experience subsequent ownership changes as a result of future equity offerings or other changes in our stock ownership. Any such limitation could have a material adverse effect on our results of operations in future years. Our ability to utilize those </w:t>
      </w:r>
      <w:r>
        <w:rPr>
          <w:rFonts w:eastAsia="Times New Roman"/>
          <w:color w:val="000000"/>
          <w:sz w:val="20"/>
          <w:szCs w:val="20"/>
        </w:rPr>
        <w:t>net operating loss carryforwards could be limited by an “ownership change” as described above, which could result in increased tax liability to us. Net operating losses generated after December 31, 2017 are not subject to expiration, but may not be carried</w:t>
      </w:r>
      <w:r>
        <w:rPr>
          <w:rFonts w:eastAsia="Times New Roman"/>
          <w:color w:val="000000"/>
          <w:sz w:val="20"/>
          <w:szCs w:val="20"/>
        </w:rPr>
        <w:t xml:space="preserve"> back to prior taxable years, except that net operating losses generated in 2018, 2019 and 2020 may be carried back five taxable years. Additionally, the deductibility of such U.S. federal net operating losses is limited to 80% of our taxable income in any</w:t>
      </w:r>
      <w:r>
        <w:rPr>
          <w:rFonts w:eastAsia="Times New Roman"/>
          <w:color w:val="000000"/>
          <w:sz w:val="20"/>
          <w:szCs w:val="20"/>
        </w:rPr>
        <w:t xml:space="preserve"> taxable year beginning after December 31, 2020.</w:t>
      </w:r>
    </w:p>
    <w:p w:rsidR="00000000" w:rsidRDefault="00FD7D3C">
      <w:pPr>
        <w:ind w:firstLine="1080"/>
        <w:divId w:val="1475682647"/>
        <w:rPr>
          <w:rFonts w:eastAsia="Times New Roman"/>
        </w:rPr>
      </w:pPr>
      <w:r>
        <w:rPr>
          <w:rFonts w:eastAsia="Times New Roman"/>
          <w:b/>
          <w:bCs/>
          <w:color w:val="000000"/>
          <w:sz w:val="20"/>
          <w:szCs w:val="20"/>
        </w:rPr>
        <w:t>Risks Related to Our Common Stock</w:t>
      </w:r>
    </w:p>
    <w:p w:rsidR="00000000" w:rsidRDefault="00FD7D3C">
      <w:pPr>
        <w:ind w:firstLine="1080"/>
        <w:divId w:val="440685991"/>
        <w:rPr>
          <w:rFonts w:eastAsia="Times New Roman"/>
        </w:rPr>
      </w:pPr>
      <w:r>
        <w:rPr>
          <w:rFonts w:eastAsia="Times New Roman"/>
          <w:b/>
          <w:bCs/>
          <w:i/>
          <w:iCs/>
          <w:color w:val="000000"/>
          <w:sz w:val="20"/>
          <w:szCs w:val="20"/>
        </w:rPr>
        <w:t>An active or liquid market for our common stock may not be sustained.</w:t>
      </w:r>
    </w:p>
    <w:p w:rsidR="00000000" w:rsidRDefault="00FD7D3C">
      <w:pPr>
        <w:ind w:firstLine="1080"/>
        <w:divId w:val="284233883"/>
        <w:rPr>
          <w:rFonts w:eastAsia="Times New Roman"/>
        </w:rPr>
      </w:pPr>
      <w:r>
        <w:rPr>
          <w:rFonts w:eastAsia="Times New Roman"/>
          <w:color w:val="000000"/>
          <w:sz w:val="20"/>
          <w:szCs w:val="20"/>
        </w:rPr>
        <w:t xml:space="preserve">Prior to our initial public offering in June 2020, there was no public market for shares of our common stock. In connection with our initial public offering, our common stock was listed for trading on the Nasdaq Global Select Market. However, an active or </w:t>
      </w:r>
      <w:r>
        <w:rPr>
          <w:rFonts w:eastAsia="Times New Roman"/>
          <w:color w:val="000000"/>
          <w:sz w:val="20"/>
          <w:szCs w:val="20"/>
        </w:rPr>
        <w:t>liquid market in our common stock may not be sustained.</w:t>
      </w:r>
    </w:p>
    <w:p w:rsidR="00000000" w:rsidRDefault="00FD7D3C">
      <w:pPr>
        <w:jc w:val="center"/>
        <w:divId w:val="564877408"/>
        <w:rPr>
          <w:rFonts w:eastAsia="Times New Roman"/>
        </w:rPr>
      </w:pPr>
      <w:r>
        <w:rPr>
          <w:rFonts w:eastAsia="Times New Roman"/>
          <w:color w:val="000000"/>
          <w:sz w:val="20"/>
          <w:szCs w:val="20"/>
        </w:rPr>
        <w:t>82</w:t>
      </w:r>
    </w:p>
    <w:p w:rsidR="00000000" w:rsidRDefault="00FD7D3C">
      <w:pPr>
        <w:rPr>
          <w:rFonts w:eastAsia="Times New Roman"/>
        </w:rPr>
      </w:pPr>
      <w:r>
        <w:rPr>
          <w:rFonts w:eastAsia="Times New Roman"/>
        </w:rPr>
        <w:pict>
          <v:rect id="_x0000_i1135" style="width:0;height:1.5pt" o:hralign="center" o:hrstd="t" o:hr="t" fillcolor="#a0a0a0" stroked="f"/>
        </w:pict>
      </w:r>
    </w:p>
    <w:p w:rsidR="00000000" w:rsidRDefault="00FD7D3C">
      <w:pPr>
        <w:divId w:val="2102945105"/>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ind w:firstLine="1080"/>
        <w:divId w:val="1711804463"/>
        <w:rPr>
          <w:rFonts w:eastAsia="Times New Roman"/>
        </w:rPr>
      </w:pPr>
      <w:r>
        <w:rPr>
          <w:rFonts w:eastAsia="Times New Roman"/>
          <w:color w:val="000000"/>
          <w:sz w:val="20"/>
          <w:szCs w:val="20"/>
        </w:rPr>
        <w:t xml:space="preserve">Further, an inactive market may also impair our ability to raise capital by selling </w:t>
      </w:r>
      <w:r>
        <w:rPr>
          <w:rFonts w:eastAsia="Times New Roman"/>
          <w:color w:val="000000"/>
          <w:sz w:val="20"/>
          <w:szCs w:val="20"/>
        </w:rPr>
        <w:t>shares of our common stock and may impair our ability to enter into strategic collaborations or acquire companies or products by using our shares of common stock as consideration.</w:t>
      </w:r>
    </w:p>
    <w:p w:rsidR="00000000" w:rsidRDefault="00FD7D3C">
      <w:pPr>
        <w:ind w:firstLine="1080"/>
        <w:divId w:val="1796944634"/>
        <w:rPr>
          <w:rFonts w:eastAsia="Times New Roman"/>
        </w:rPr>
      </w:pPr>
      <w:r>
        <w:rPr>
          <w:rFonts w:eastAsia="Times New Roman"/>
          <w:b/>
          <w:bCs/>
          <w:i/>
          <w:iCs/>
          <w:color w:val="000000"/>
          <w:sz w:val="20"/>
          <w:szCs w:val="20"/>
        </w:rPr>
        <w:t>The price of our stock may be volatile, and you could lose all or part of yo</w:t>
      </w:r>
      <w:r>
        <w:rPr>
          <w:rFonts w:eastAsia="Times New Roman"/>
          <w:b/>
          <w:bCs/>
          <w:i/>
          <w:iCs/>
          <w:color w:val="000000"/>
          <w:sz w:val="20"/>
          <w:szCs w:val="20"/>
        </w:rPr>
        <w:t>ur investment.</w:t>
      </w:r>
    </w:p>
    <w:p w:rsidR="00000000" w:rsidRDefault="00FD7D3C">
      <w:pPr>
        <w:ind w:firstLine="1080"/>
        <w:divId w:val="1239826999"/>
        <w:rPr>
          <w:rFonts w:eastAsia="Times New Roman"/>
        </w:rPr>
      </w:pPr>
      <w:r>
        <w:rPr>
          <w:rFonts w:eastAsia="Times New Roman"/>
          <w:color w:val="000000"/>
          <w:sz w:val="20"/>
          <w:szCs w:val="20"/>
        </w:rPr>
        <w:t>The trading price of our common stock is likely to be highly volatile and could be subject to wide fluctuations in response to various factors, some of which are beyond our control, including limited trading volume. In addition to the factor</w:t>
      </w:r>
      <w:r>
        <w:rPr>
          <w:rFonts w:eastAsia="Times New Roman"/>
          <w:color w:val="000000"/>
          <w:sz w:val="20"/>
          <w:szCs w:val="20"/>
        </w:rPr>
        <w:t>s discussed in this “Risk Factors” section and elsewhere in this Report, these factors include:</w:t>
      </w:r>
    </w:p>
    <w:p w:rsidR="00000000" w:rsidRDefault="00FD7D3C">
      <w:pPr>
        <w:ind w:hanging="1260"/>
        <w:divId w:val="1487359145"/>
        <w:rPr>
          <w:rFonts w:eastAsia="Times New Roman"/>
        </w:rPr>
      </w:pPr>
      <w:r>
        <w:rPr>
          <w:rFonts w:ascii="Arial" w:eastAsia="Times New Roman" w:hAnsi="Arial" w:cs="Arial"/>
          <w:color w:val="000000"/>
        </w:rPr>
        <w:t>•</w:t>
      </w:r>
      <w:r>
        <w:rPr>
          <w:rFonts w:eastAsia="Times New Roman"/>
          <w:color w:val="000000"/>
          <w:sz w:val="20"/>
          <w:szCs w:val="20"/>
        </w:rPr>
        <w:t>the commencement, enrollment or results of our current Phase 2a clinical trials of PLN-74809 and any other clinical trials for our product candidates conducted</w:t>
      </w:r>
      <w:r>
        <w:rPr>
          <w:rFonts w:eastAsia="Times New Roman"/>
          <w:color w:val="000000"/>
          <w:sz w:val="20"/>
          <w:szCs w:val="20"/>
        </w:rPr>
        <w:t xml:space="preserve"> by us or our collaborators;</w:t>
      </w:r>
    </w:p>
    <w:p w:rsidR="00000000" w:rsidRDefault="00FD7D3C">
      <w:pPr>
        <w:ind w:hanging="1260"/>
        <w:divId w:val="87511319"/>
        <w:rPr>
          <w:rFonts w:eastAsia="Times New Roman"/>
        </w:rPr>
      </w:pPr>
      <w:r>
        <w:rPr>
          <w:rFonts w:ascii="Arial" w:eastAsia="Times New Roman" w:hAnsi="Arial" w:cs="Arial"/>
          <w:color w:val="000000"/>
        </w:rPr>
        <w:t>•</w:t>
      </w:r>
      <w:r>
        <w:rPr>
          <w:rFonts w:eastAsia="Times New Roman"/>
          <w:color w:val="000000"/>
          <w:sz w:val="20"/>
          <w:szCs w:val="20"/>
        </w:rPr>
        <w:t>any delay in identifying and advancing a clinical candidate for our other development programs;</w:t>
      </w:r>
    </w:p>
    <w:p w:rsidR="00000000" w:rsidRDefault="00FD7D3C">
      <w:pPr>
        <w:ind w:hanging="1260"/>
        <w:divId w:val="2029982436"/>
        <w:rPr>
          <w:rFonts w:eastAsia="Times New Roman"/>
        </w:rPr>
      </w:pPr>
      <w:r>
        <w:rPr>
          <w:rFonts w:ascii="Arial" w:eastAsia="Times New Roman" w:hAnsi="Arial" w:cs="Arial"/>
          <w:color w:val="000000"/>
        </w:rPr>
        <w:t>•</w:t>
      </w:r>
      <w:r>
        <w:rPr>
          <w:rFonts w:eastAsia="Times New Roman"/>
          <w:color w:val="000000"/>
          <w:sz w:val="20"/>
          <w:szCs w:val="20"/>
        </w:rPr>
        <w:t>any delay in our regulatory filings for PLN-74809 or our other product candidates and any adverse development or perceived advers</w:t>
      </w:r>
      <w:r>
        <w:rPr>
          <w:rFonts w:eastAsia="Times New Roman"/>
          <w:color w:val="000000"/>
          <w:sz w:val="20"/>
          <w:szCs w:val="20"/>
        </w:rPr>
        <w:t>e development with respect to the applicable regulatory authority’s review of such filings, including without limitation the FDA’s issuance of a “refusal to file” letter or a request for additional information;</w:t>
      </w:r>
    </w:p>
    <w:p w:rsidR="00000000" w:rsidRDefault="00FD7D3C">
      <w:pPr>
        <w:ind w:hanging="1260"/>
        <w:divId w:val="1078478690"/>
        <w:rPr>
          <w:rFonts w:eastAsia="Times New Roman"/>
        </w:rPr>
      </w:pPr>
      <w:r>
        <w:rPr>
          <w:rFonts w:ascii="Arial" w:eastAsia="Times New Roman" w:hAnsi="Arial" w:cs="Arial"/>
          <w:color w:val="000000"/>
        </w:rPr>
        <w:t>•</w:t>
      </w:r>
      <w:r>
        <w:rPr>
          <w:rFonts w:eastAsia="Times New Roman"/>
          <w:color w:val="000000"/>
          <w:sz w:val="20"/>
          <w:szCs w:val="20"/>
        </w:rPr>
        <w:t>adverse results or delays in future clinical</w:t>
      </w:r>
      <w:r>
        <w:rPr>
          <w:rFonts w:eastAsia="Times New Roman"/>
          <w:color w:val="000000"/>
          <w:sz w:val="20"/>
          <w:szCs w:val="20"/>
        </w:rPr>
        <w:t xml:space="preserve"> trials;</w:t>
      </w:r>
    </w:p>
    <w:p w:rsidR="00000000" w:rsidRDefault="00FD7D3C">
      <w:pPr>
        <w:ind w:hanging="1260"/>
        <w:divId w:val="668606142"/>
        <w:rPr>
          <w:rFonts w:eastAsia="Times New Roman"/>
        </w:rPr>
      </w:pPr>
      <w:r>
        <w:rPr>
          <w:rFonts w:ascii="Arial" w:eastAsia="Times New Roman" w:hAnsi="Arial" w:cs="Arial"/>
          <w:color w:val="000000"/>
        </w:rPr>
        <w:t>•</w:t>
      </w:r>
      <w:r>
        <w:rPr>
          <w:rFonts w:eastAsia="Times New Roman"/>
          <w:color w:val="000000"/>
          <w:sz w:val="20"/>
          <w:szCs w:val="20"/>
        </w:rPr>
        <w:t>our decision to initiate a clinical trial, not to initiate a clinical trial or to terminate an existing clinical trial;</w:t>
      </w:r>
    </w:p>
    <w:p w:rsidR="00000000" w:rsidRDefault="00FD7D3C">
      <w:pPr>
        <w:ind w:hanging="1260"/>
        <w:divId w:val="1664384389"/>
        <w:rPr>
          <w:rFonts w:eastAsia="Times New Roman"/>
        </w:rPr>
      </w:pPr>
      <w:r>
        <w:rPr>
          <w:rFonts w:ascii="Arial" w:eastAsia="Times New Roman" w:hAnsi="Arial" w:cs="Arial"/>
          <w:color w:val="000000"/>
        </w:rPr>
        <w:t>•</w:t>
      </w:r>
      <w:r>
        <w:rPr>
          <w:rFonts w:eastAsia="Times New Roman"/>
          <w:color w:val="000000"/>
          <w:sz w:val="20"/>
          <w:szCs w:val="20"/>
        </w:rPr>
        <w:t>adverse regulatory decisions, including failure to receive regulatory approval of PLN-74809 or any other product candidate;</w:t>
      </w:r>
    </w:p>
    <w:p w:rsidR="00000000" w:rsidRDefault="00FD7D3C">
      <w:pPr>
        <w:ind w:hanging="1260"/>
        <w:divId w:val="318046538"/>
        <w:rPr>
          <w:rFonts w:eastAsia="Times New Roman"/>
        </w:rPr>
      </w:pPr>
      <w:r>
        <w:rPr>
          <w:rFonts w:ascii="Arial" w:eastAsia="Times New Roman" w:hAnsi="Arial" w:cs="Arial"/>
          <w:color w:val="000000"/>
        </w:rPr>
        <w:t>•</w:t>
      </w:r>
      <w:r>
        <w:rPr>
          <w:rFonts w:eastAsia="Times New Roman"/>
          <w:color w:val="000000"/>
          <w:sz w:val="20"/>
          <w:szCs w:val="20"/>
        </w:rPr>
        <w:t>changes in laws or regulations applicable to PLN-74809 or any other product candidate, including but not limited to clinical trial requirements for approvals;</w:t>
      </w:r>
    </w:p>
    <w:p w:rsidR="00000000" w:rsidRDefault="00FD7D3C">
      <w:pPr>
        <w:ind w:hanging="1260"/>
        <w:divId w:val="63333579"/>
        <w:rPr>
          <w:rFonts w:eastAsia="Times New Roman"/>
        </w:rPr>
      </w:pPr>
      <w:r>
        <w:rPr>
          <w:rFonts w:ascii="Arial" w:eastAsia="Times New Roman" w:hAnsi="Arial" w:cs="Arial"/>
          <w:color w:val="000000"/>
        </w:rPr>
        <w:t>•</w:t>
      </w:r>
      <w:r>
        <w:rPr>
          <w:rFonts w:eastAsia="Times New Roman"/>
          <w:color w:val="000000"/>
          <w:sz w:val="20"/>
          <w:szCs w:val="20"/>
        </w:rPr>
        <w:t>adverse developments concerning our manufacturers;</w:t>
      </w:r>
    </w:p>
    <w:p w:rsidR="00000000" w:rsidRDefault="00FD7D3C">
      <w:pPr>
        <w:ind w:hanging="1260"/>
        <w:divId w:val="1748527772"/>
        <w:rPr>
          <w:rFonts w:eastAsia="Times New Roman"/>
        </w:rPr>
      </w:pPr>
      <w:r>
        <w:rPr>
          <w:rFonts w:ascii="Arial" w:eastAsia="Times New Roman" w:hAnsi="Arial" w:cs="Arial"/>
          <w:color w:val="000000"/>
        </w:rPr>
        <w:t>•</w:t>
      </w:r>
      <w:r>
        <w:rPr>
          <w:rFonts w:eastAsia="Times New Roman"/>
          <w:color w:val="000000"/>
          <w:sz w:val="20"/>
          <w:szCs w:val="20"/>
        </w:rPr>
        <w:t>our inability to obtain adequate product supply for any approved product or inability to do so at acceptable prices;</w:t>
      </w:r>
    </w:p>
    <w:p w:rsidR="00000000" w:rsidRDefault="00FD7D3C">
      <w:pPr>
        <w:ind w:hanging="1260"/>
        <w:divId w:val="133330347"/>
        <w:rPr>
          <w:rFonts w:eastAsia="Times New Roman"/>
        </w:rPr>
      </w:pPr>
      <w:r>
        <w:rPr>
          <w:rFonts w:ascii="Arial" w:eastAsia="Times New Roman" w:hAnsi="Arial" w:cs="Arial"/>
          <w:color w:val="000000"/>
        </w:rPr>
        <w:t>•</w:t>
      </w:r>
      <w:r>
        <w:rPr>
          <w:rFonts w:eastAsia="Times New Roman"/>
          <w:color w:val="000000"/>
          <w:sz w:val="20"/>
          <w:szCs w:val="20"/>
        </w:rPr>
        <w:t>our inability to establish collaborations, if needed;</w:t>
      </w:r>
    </w:p>
    <w:p w:rsidR="00000000" w:rsidRDefault="00FD7D3C">
      <w:pPr>
        <w:ind w:hanging="1260"/>
        <w:divId w:val="1512448669"/>
        <w:rPr>
          <w:rFonts w:eastAsia="Times New Roman"/>
        </w:rPr>
      </w:pPr>
      <w:r>
        <w:rPr>
          <w:rFonts w:ascii="Arial" w:eastAsia="Times New Roman" w:hAnsi="Arial" w:cs="Arial"/>
          <w:color w:val="000000"/>
        </w:rPr>
        <w:t>•</w:t>
      </w:r>
      <w:r>
        <w:rPr>
          <w:rFonts w:eastAsia="Times New Roman"/>
          <w:color w:val="000000"/>
          <w:sz w:val="20"/>
          <w:szCs w:val="20"/>
        </w:rPr>
        <w:t>our failure to commercialize our product candidates, if approved;</w:t>
      </w:r>
    </w:p>
    <w:p w:rsidR="00000000" w:rsidRDefault="00FD7D3C">
      <w:pPr>
        <w:ind w:hanging="1260"/>
        <w:divId w:val="2140369736"/>
        <w:rPr>
          <w:rFonts w:eastAsia="Times New Roman"/>
        </w:rPr>
      </w:pPr>
      <w:r>
        <w:rPr>
          <w:rFonts w:ascii="Arial" w:eastAsia="Times New Roman" w:hAnsi="Arial" w:cs="Arial"/>
          <w:color w:val="000000"/>
        </w:rPr>
        <w:t>•</w:t>
      </w:r>
      <w:r>
        <w:rPr>
          <w:rFonts w:eastAsia="Times New Roman"/>
          <w:color w:val="000000"/>
          <w:sz w:val="20"/>
          <w:szCs w:val="20"/>
        </w:rPr>
        <w:t>additions or dep</w:t>
      </w:r>
      <w:r>
        <w:rPr>
          <w:rFonts w:eastAsia="Times New Roman"/>
          <w:color w:val="000000"/>
          <w:sz w:val="20"/>
          <w:szCs w:val="20"/>
        </w:rPr>
        <w:t>artures of key scientific or management personnel;</w:t>
      </w:r>
    </w:p>
    <w:p w:rsidR="00000000" w:rsidRDefault="00FD7D3C">
      <w:pPr>
        <w:ind w:hanging="1260"/>
        <w:divId w:val="974720299"/>
        <w:rPr>
          <w:rFonts w:eastAsia="Times New Roman"/>
        </w:rPr>
      </w:pPr>
      <w:r>
        <w:rPr>
          <w:rFonts w:ascii="Arial" w:eastAsia="Times New Roman" w:hAnsi="Arial" w:cs="Arial"/>
          <w:color w:val="000000"/>
        </w:rPr>
        <w:t>•</w:t>
      </w:r>
      <w:r>
        <w:rPr>
          <w:rFonts w:eastAsia="Times New Roman"/>
          <w:color w:val="000000"/>
          <w:sz w:val="20"/>
          <w:szCs w:val="20"/>
        </w:rPr>
        <w:t>unanticipated serious safety concerns related to the use of PLN-74809 or any other product candidate;</w:t>
      </w:r>
    </w:p>
    <w:p w:rsidR="00000000" w:rsidRDefault="00FD7D3C">
      <w:pPr>
        <w:ind w:hanging="1260"/>
        <w:divId w:val="678234467"/>
        <w:rPr>
          <w:rFonts w:eastAsia="Times New Roman"/>
        </w:rPr>
      </w:pPr>
      <w:r>
        <w:rPr>
          <w:rFonts w:ascii="Arial" w:eastAsia="Times New Roman" w:hAnsi="Arial" w:cs="Arial"/>
          <w:color w:val="000000"/>
        </w:rPr>
        <w:t>•</w:t>
      </w:r>
      <w:r>
        <w:rPr>
          <w:rFonts w:eastAsia="Times New Roman"/>
          <w:color w:val="000000"/>
          <w:sz w:val="20"/>
          <w:szCs w:val="20"/>
        </w:rPr>
        <w:t>introduction of new products or services offered by us or our competitors;</w:t>
      </w:r>
    </w:p>
    <w:p w:rsidR="00000000" w:rsidRDefault="00FD7D3C">
      <w:pPr>
        <w:ind w:hanging="1260"/>
        <w:divId w:val="431096566"/>
        <w:rPr>
          <w:rFonts w:eastAsia="Times New Roman"/>
        </w:rPr>
      </w:pPr>
      <w:r>
        <w:rPr>
          <w:rFonts w:ascii="Arial" w:eastAsia="Times New Roman" w:hAnsi="Arial" w:cs="Arial"/>
          <w:color w:val="000000"/>
        </w:rPr>
        <w:t>•</w:t>
      </w:r>
      <w:r>
        <w:rPr>
          <w:rFonts w:eastAsia="Times New Roman"/>
          <w:color w:val="000000"/>
          <w:sz w:val="20"/>
          <w:szCs w:val="20"/>
        </w:rPr>
        <w:t>announcements of significant acquisitions, strategic partnerships, joint ventures or capital commitments by us or our competitors;</w:t>
      </w:r>
    </w:p>
    <w:p w:rsidR="00000000" w:rsidRDefault="00FD7D3C">
      <w:pPr>
        <w:ind w:hanging="1260"/>
        <w:divId w:val="835000978"/>
        <w:rPr>
          <w:rFonts w:eastAsia="Times New Roman"/>
        </w:rPr>
      </w:pPr>
      <w:r>
        <w:rPr>
          <w:rFonts w:ascii="Arial" w:eastAsia="Times New Roman" w:hAnsi="Arial" w:cs="Arial"/>
          <w:color w:val="000000"/>
        </w:rPr>
        <w:t>•</w:t>
      </w:r>
      <w:r>
        <w:rPr>
          <w:rFonts w:eastAsia="Times New Roman"/>
          <w:color w:val="000000"/>
          <w:sz w:val="20"/>
          <w:szCs w:val="20"/>
        </w:rPr>
        <w:t>our ability to effectively manage our growth;</w:t>
      </w:r>
    </w:p>
    <w:p w:rsidR="00000000" w:rsidRDefault="00FD7D3C">
      <w:pPr>
        <w:ind w:hanging="1260"/>
        <w:divId w:val="1512721383"/>
        <w:rPr>
          <w:rFonts w:eastAsia="Times New Roman"/>
        </w:rPr>
      </w:pPr>
      <w:r>
        <w:rPr>
          <w:rFonts w:ascii="Arial" w:eastAsia="Times New Roman" w:hAnsi="Arial" w:cs="Arial"/>
          <w:color w:val="000000"/>
        </w:rPr>
        <w:t>•</w:t>
      </w:r>
      <w:r>
        <w:rPr>
          <w:rFonts w:eastAsia="Times New Roman"/>
          <w:color w:val="000000"/>
          <w:sz w:val="20"/>
          <w:szCs w:val="20"/>
        </w:rPr>
        <w:t>a</w:t>
      </w:r>
      <w:r>
        <w:rPr>
          <w:rFonts w:eastAsia="Times New Roman"/>
          <w:color w:val="000000"/>
          <w:sz w:val="20"/>
          <w:szCs w:val="20"/>
        </w:rPr>
        <w:t>ctual or anticipated variations in quarterly operating results;</w:t>
      </w:r>
    </w:p>
    <w:p w:rsidR="00000000" w:rsidRDefault="00FD7D3C">
      <w:pPr>
        <w:ind w:hanging="1260"/>
        <w:divId w:val="86463853"/>
        <w:rPr>
          <w:rFonts w:eastAsia="Times New Roman"/>
        </w:rPr>
      </w:pPr>
      <w:r>
        <w:rPr>
          <w:rFonts w:ascii="Arial" w:eastAsia="Times New Roman" w:hAnsi="Arial" w:cs="Arial"/>
          <w:color w:val="000000"/>
        </w:rPr>
        <w:t>•</w:t>
      </w:r>
      <w:r>
        <w:rPr>
          <w:rFonts w:eastAsia="Times New Roman"/>
          <w:color w:val="000000"/>
          <w:sz w:val="20"/>
          <w:szCs w:val="20"/>
        </w:rPr>
        <w:t>our cash position;</w:t>
      </w:r>
    </w:p>
    <w:p w:rsidR="00000000" w:rsidRDefault="00FD7D3C">
      <w:pPr>
        <w:ind w:hanging="1260"/>
        <w:divId w:val="1437023772"/>
        <w:rPr>
          <w:rFonts w:eastAsia="Times New Roman"/>
        </w:rPr>
      </w:pPr>
      <w:r>
        <w:rPr>
          <w:rFonts w:ascii="Arial" w:eastAsia="Times New Roman" w:hAnsi="Arial" w:cs="Arial"/>
          <w:color w:val="000000"/>
        </w:rPr>
        <w:t>•</w:t>
      </w:r>
      <w:r>
        <w:rPr>
          <w:rFonts w:eastAsia="Times New Roman"/>
          <w:color w:val="000000"/>
          <w:sz w:val="20"/>
          <w:szCs w:val="20"/>
        </w:rPr>
        <w:t>our failure to meet the estimates and projections of the investment community or that we may otherwise provide to the public;</w:t>
      </w:r>
    </w:p>
    <w:p w:rsidR="00000000" w:rsidRDefault="00FD7D3C">
      <w:pPr>
        <w:jc w:val="center"/>
        <w:divId w:val="1425571313"/>
        <w:rPr>
          <w:rFonts w:eastAsia="Times New Roman"/>
        </w:rPr>
      </w:pPr>
      <w:r>
        <w:rPr>
          <w:rFonts w:eastAsia="Times New Roman"/>
          <w:color w:val="000000"/>
          <w:sz w:val="20"/>
          <w:szCs w:val="20"/>
        </w:rPr>
        <w:t>83</w:t>
      </w:r>
    </w:p>
    <w:p w:rsidR="00000000" w:rsidRDefault="00FD7D3C">
      <w:pPr>
        <w:rPr>
          <w:rFonts w:eastAsia="Times New Roman"/>
        </w:rPr>
      </w:pPr>
      <w:r>
        <w:rPr>
          <w:rFonts w:eastAsia="Times New Roman"/>
        </w:rPr>
        <w:pict>
          <v:rect id="_x0000_i1136" style="width:0;height:1.5pt" o:hralign="center" o:hrstd="t" o:hr="t" fillcolor="#a0a0a0" stroked="f"/>
        </w:pict>
      </w:r>
    </w:p>
    <w:p w:rsidR="00000000" w:rsidRDefault="00FD7D3C">
      <w:pPr>
        <w:divId w:val="365063482"/>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ind w:hanging="1260"/>
        <w:divId w:val="82069321"/>
        <w:rPr>
          <w:rFonts w:eastAsia="Times New Roman"/>
        </w:rPr>
      </w:pPr>
      <w:r>
        <w:rPr>
          <w:rFonts w:ascii="Arial" w:eastAsia="Times New Roman" w:hAnsi="Arial" w:cs="Arial"/>
          <w:color w:val="000000"/>
        </w:rPr>
        <w:t>•</w:t>
      </w:r>
      <w:r>
        <w:rPr>
          <w:rFonts w:eastAsia="Times New Roman"/>
          <w:color w:val="000000"/>
          <w:sz w:val="20"/>
          <w:szCs w:val="20"/>
        </w:rPr>
        <w:t>publication of research reports about us or our industry, or product candidates in particular, or positive or negative recommendations or withdrawal of research coverage by securities a</w:t>
      </w:r>
      <w:r>
        <w:rPr>
          <w:rFonts w:eastAsia="Times New Roman"/>
          <w:color w:val="000000"/>
          <w:sz w:val="20"/>
          <w:szCs w:val="20"/>
        </w:rPr>
        <w:t>nalysts;</w:t>
      </w:r>
    </w:p>
    <w:p w:rsidR="00000000" w:rsidRDefault="00FD7D3C">
      <w:pPr>
        <w:ind w:hanging="1260"/>
        <w:divId w:val="1786193443"/>
        <w:rPr>
          <w:rFonts w:eastAsia="Times New Roman"/>
        </w:rPr>
      </w:pPr>
      <w:r>
        <w:rPr>
          <w:rFonts w:ascii="Arial" w:eastAsia="Times New Roman" w:hAnsi="Arial" w:cs="Arial"/>
          <w:color w:val="000000"/>
        </w:rPr>
        <w:t>•</w:t>
      </w:r>
      <w:r>
        <w:rPr>
          <w:rFonts w:eastAsia="Times New Roman"/>
          <w:color w:val="000000"/>
          <w:sz w:val="20"/>
          <w:szCs w:val="20"/>
        </w:rPr>
        <w:t>changes in the market valuations of similar companies;</w:t>
      </w:r>
    </w:p>
    <w:p w:rsidR="00000000" w:rsidRDefault="00FD7D3C">
      <w:pPr>
        <w:ind w:hanging="1260"/>
        <w:divId w:val="448817721"/>
        <w:rPr>
          <w:rFonts w:eastAsia="Times New Roman"/>
        </w:rPr>
      </w:pPr>
      <w:r>
        <w:rPr>
          <w:rFonts w:ascii="Arial" w:eastAsia="Times New Roman" w:hAnsi="Arial" w:cs="Arial"/>
          <w:color w:val="000000"/>
        </w:rPr>
        <w:t>•</w:t>
      </w:r>
      <w:r>
        <w:rPr>
          <w:rFonts w:eastAsia="Times New Roman"/>
          <w:color w:val="000000"/>
          <w:sz w:val="20"/>
          <w:szCs w:val="20"/>
        </w:rPr>
        <w:t>changes in the structure of the healthcare payment systems;</w:t>
      </w:r>
    </w:p>
    <w:p w:rsidR="00000000" w:rsidRDefault="00FD7D3C">
      <w:pPr>
        <w:ind w:hanging="1260"/>
        <w:divId w:val="796026846"/>
        <w:rPr>
          <w:rFonts w:eastAsia="Times New Roman"/>
        </w:rPr>
      </w:pPr>
      <w:r>
        <w:rPr>
          <w:rFonts w:ascii="Arial" w:eastAsia="Times New Roman" w:hAnsi="Arial" w:cs="Arial"/>
          <w:color w:val="000000"/>
        </w:rPr>
        <w:t>•</w:t>
      </w:r>
      <w:r>
        <w:rPr>
          <w:rFonts w:eastAsia="Times New Roman"/>
          <w:color w:val="000000"/>
          <w:sz w:val="20"/>
          <w:szCs w:val="20"/>
        </w:rPr>
        <w:t>overall performance of the equity markets;</w:t>
      </w:r>
    </w:p>
    <w:p w:rsidR="00000000" w:rsidRDefault="00FD7D3C">
      <w:pPr>
        <w:ind w:hanging="1260"/>
        <w:divId w:val="1633711637"/>
        <w:rPr>
          <w:rFonts w:eastAsia="Times New Roman"/>
        </w:rPr>
      </w:pPr>
      <w:r>
        <w:rPr>
          <w:rFonts w:ascii="Arial" w:eastAsia="Times New Roman" w:hAnsi="Arial" w:cs="Arial"/>
          <w:color w:val="000000"/>
        </w:rPr>
        <w:t>•</w:t>
      </w:r>
      <w:r>
        <w:rPr>
          <w:rFonts w:eastAsia="Times New Roman"/>
          <w:color w:val="000000"/>
          <w:sz w:val="20"/>
          <w:szCs w:val="20"/>
        </w:rPr>
        <w:t>sales of our common stock by us or our stockholders in the future;</w:t>
      </w:r>
    </w:p>
    <w:p w:rsidR="00000000" w:rsidRDefault="00FD7D3C">
      <w:pPr>
        <w:ind w:hanging="1260"/>
        <w:divId w:val="948126650"/>
        <w:rPr>
          <w:rFonts w:eastAsia="Times New Roman"/>
        </w:rPr>
      </w:pPr>
      <w:r>
        <w:rPr>
          <w:rFonts w:ascii="Arial" w:eastAsia="Times New Roman" w:hAnsi="Arial" w:cs="Arial"/>
          <w:color w:val="000000"/>
        </w:rPr>
        <w:t>•</w:t>
      </w:r>
      <w:r>
        <w:rPr>
          <w:rFonts w:eastAsia="Times New Roman"/>
          <w:color w:val="000000"/>
          <w:sz w:val="20"/>
          <w:szCs w:val="20"/>
        </w:rPr>
        <w:t>trading volume of</w:t>
      </w:r>
      <w:r>
        <w:rPr>
          <w:rFonts w:eastAsia="Times New Roman"/>
          <w:color w:val="000000"/>
          <w:sz w:val="20"/>
          <w:szCs w:val="20"/>
        </w:rPr>
        <w:t xml:space="preserve"> our common stock;</w:t>
      </w:r>
    </w:p>
    <w:p w:rsidR="00000000" w:rsidRDefault="00FD7D3C">
      <w:pPr>
        <w:ind w:hanging="1260"/>
        <w:divId w:val="1602563223"/>
        <w:rPr>
          <w:rFonts w:eastAsia="Times New Roman"/>
        </w:rPr>
      </w:pPr>
      <w:r>
        <w:rPr>
          <w:rFonts w:ascii="Arial" w:eastAsia="Times New Roman" w:hAnsi="Arial" w:cs="Arial"/>
          <w:color w:val="000000"/>
        </w:rPr>
        <w:t>•</w:t>
      </w:r>
      <w:r>
        <w:rPr>
          <w:rFonts w:eastAsia="Times New Roman"/>
          <w:color w:val="000000"/>
          <w:sz w:val="20"/>
          <w:szCs w:val="20"/>
        </w:rPr>
        <w:t>changes in accounting practices;</w:t>
      </w:r>
    </w:p>
    <w:p w:rsidR="00000000" w:rsidRDefault="00FD7D3C">
      <w:pPr>
        <w:ind w:hanging="1260"/>
        <w:divId w:val="742801568"/>
        <w:rPr>
          <w:rFonts w:eastAsia="Times New Roman"/>
        </w:rPr>
      </w:pPr>
      <w:r>
        <w:rPr>
          <w:rFonts w:ascii="Arial" w:eastAsia="Times New Roman" w:hAnsi="Arial" w:cs="Arial"/>
          <w:color w:val="000000"/>
        </w:rPr>
        <w:t>•</w:t>
      </w:r>
      <w:r>
        <w:rPr>
          <w:rFonts w:eastAsia="Times New Roman"/>
          <w:color w:val="000000"/>
          <w:sz w:val="20"/>
          <w:szCs w:val="20"/>
        </w:rPr>
        <w:t>ineffectiveness of our internal controls;</w:t>
      </w:r>
    </w:p>
    <w:p w:rsidR="00000000" w:rsidRDefault="00FD7D3C">
      <w:pPr>
        <w:ind w:hanging="1260"/>
        <w:divId w:val="1439108149"/>
        <w:rPr>
          <w:rFonts w:eastAsia="Times New Roman"/>
        </w:rPr>
      </w:pPr>
      <w:r>
        <w:rPr>
          <w:rFonts w:ascii="Arial" w:eastAsia="Times New Roman" w:hAnsi="Arial" w:cs="Arial"/>
          <w:color w:val="000000"/>
        </w:rPr>
        <w:t>•</w:t>
      </w:r>
      <w:r>
        <w:rPr>
          <w:rFonts w:eastAsia="Times New Roman"/>
          <w:color w:val="000000"/>
          <w:sz w:val="20"/>
          <w:szCs w:val="20"/>
        </w:rPr>
        <w:t>disputes or other developments relating to proprietary rights, including patents, litigation matters and our ability to obtain patent protection for our techno</w:t>
      </w:r>
      <w:r>
        <w:rPr>
          <w:rFonts w:eastAsia="Times New Roman"/>
          <w:color w:val="000000"/>
          <w:sz w:val="20"/>
          <w:szCs w:val="20"/>
        </w:rPr>
        <w:t>logies;</w:t>
      </w:r>
    </w:p>
    <w:p w:rsidR="00000000" w:rsidRDefault="00FD7D3C">
      <w:pPr>
        <w:ind w:hanging="1260"/>
        <w:divId w:val="1203783725"/>
        <w:rPr>
          <w:rFonts w:eastAsia="Times New Roman"/>
        </w:rPr>
      </w:pPr>
      <w:r>
        <w:rPr>
          <w:rFonts w:ascii="Arial" w:eastAsia="Times New Roman" w:hAnsi="Arial" w:cs="Arial"/>
          <w:color w:val="000000"/>
        </w:rPr>
        <w:t>•</w:t>
      </w:r>
      <w:r>
        <w:rPr>
          <w:rFonts w:eastAsia="Times New Roman"/>
          <w:color w:val="000000"/>
          <w:sz w:val="20"/>
          <w:szCs w:val="20"/>
        </w:rPr>
        <w:t>significant lawsuits, including patent or stockholder litigation;</w:t>
      </w:r>
    </w:p>
    <w:p w:rsidR="00000000" w:rsidRDefault="00FD7D3C">
      <w:pPr>
        <w:ind w:hanging="1260"/>
        <w:divId w:val="1949658309"/>
        <w:rPr>
          <w:rFonts w:eastAsia="Times New Roman"/>
        </w:rPr>
      </w:pPr>
      <w:r>
        <w:rPr>
          <w:rFonts w:ascii="Arial" w:eastAsia="Times New Roman" w:hAnsi="Arial" w:cs="Arial"/>
          <w:color w:val="000000"/>
        </w:rPr>
        <w:t>•</w:t>
      </w:r>
      <w:r>
        <w:rPr>
          <w:rFonts w:eastAsia="Times New Roman"/>
          <w:color w:val="000000"/>
          <w:sz w:val="20"/>
          <w:szCs w:val="20"/>
        </w:rPr>
        <w:t>general political and economic conditions; and</w:t>
      </w:r>
    </w:p>
    <w:p w:rsidR="00000000" w:rsidRDefault="00FD7D3C">
      <w:pPr>
        <w:ind w:hanging="1260"/>
        <w:divId w:val="1684895661"/>
        <w:rPr>
          <w:rFonts w:eastAsia="Times New Roman"/>
        </w:rPr>
      </w:pPr>
      <w:r>
        <w:rPr>
          <w:rFonts w:ascii="Arial" w:eastAsia="Times New Roman" w:hAnsi="Arial" w:cs="Arial"/>
          <w:color w:val="000000"/>
        </w:rPr>
        <w:t>•</w:t>
      </w:r>
      <w:r>
        <w:rPr>
          <w:rFonts w:eastAsia="Times New Roman"/>
          <w:color w:val="000000"/>
          <w:sz w:val="20"/>
          <w:szCs w:val="20"/>
        </w:rPr>
        <w:t>other events or factors, many of which are beyond our control.</w:t>
      </w:r>
    </w:p>
    <w:p w:rsidR="00000000" w:rsidRDefault="00FD7D3C">
      <w:pPr>
        <w:ind w:firstLine="1080"/>
        <w:divId w:val="1317148907"/>
        <w:rPr>
          <w:rFonts w:eastAsia="Times New Roman"/>
        </w:rPr>
      </w:pPr>
      <w:r>
        <w:rPr>
          <w:rFonts w:eastAsia="Times New Roman"/>
          <w:color w:val="000000"/>
          <w:sz w:val="20"/>
          <w:szCs w:val="20"/>
        </w:rPr>
        <w:t>In addition, the stock market in general, and the market for biopharm</w:t>
      </w:r>
      <w:r>
        <w:rPr>
          <w:rFonts w:eastAsia="Times New Roman"/>
          <w:color w:val="000000"/>
          <w:sz w:val="20"/>
          <w:szCs w:val="20"/>
        </w:rPr>
        <w:t>aceutical companies in particular, have experienced extreme price and volume fluctuations that have often been unrelated or disproportionate to the operating performance of these companies, including as a result of the COVID-19 pandemic. Broad market and i</w:t>
      </w:r>
      <w:r>
        <w:rPr>
          <w:rFonts w:eastAsia="Times New Roman"/>
          <w:color w:val="000000"/>
          <w:sz w:val="20"/>
          <w:szCs w:val="20"/>
        </w:rPr>
        <w:t>ndustry factors may negatively affect the market price of our common stock, regardless of our actual operating performance. In the past, securities class action litigation has often been instituted against companies following periods of volatility in the m</w:t>
      </w:r>
      <w:r>
        <w:rPr>
          <w:rFonts w:eastAsia="Times New Roman"/>
          <w:color w:val="000000"/>
          <w:sz w:val="20"/>
          <w:szCs w:val="20"/>
        </w:rPr>
        <w:t>arket price of a company’s securities. This type of litigation, if instituted, could result in substantial costs and a diversion of management’s attention and resources.</w:t>
      </w:r>
    </w:p>
    <w:p w:rsidR="00000000" w:rsidRDefault="00FD7D3C">
      <w:pPr>
        <w:ind w:firstLine="1080"/>
        <w:divId w:val="1885560514"/>
        <w:rPr>
          <w:rFonts w:eastAsia="Times New Roman"/>
        </w:rPr>
      </w:pPr>
      <w:r>
        <w:rPr>
          <w:rFonts w:eastAsia="Times New Roman"/>
          <w:b/>
          <w:bCs/>
          <w:i/>
          <w:iCs/>
          <w:color w:val="000000"/>
          <w:sz w:val="20"/>
          <w:szCs w:val="20"/>
        </w:rPr>
        <w:t>We do not intend to pay dividends on our common stock so any returns will be limited to the value of our stock.</w:t>
      </w:r>
    </w:p>
    <w:p w:rsidR="00000000" w:rsidRDefault="00FD7D3C">
      <w:pPr>
        <w:ind w:firstLine="1080"/>
        <w:divId w:val="1863860704"/>
        <w:rPr>
          <w:rFonts w:eastAsia="Times New Roman"/>
        </w:rPr>
      </w:pPr>
      <w:r>
        <w:rPr>
          <w:rFonts w:eastAsia="Times New Roman"/>
          <w:color w:val="000000"/>
          <w:sz w:val="20"/>
          <w:szCs w:val="20"/>
        </w:rPr>
        <w:t>We have never declared or paid any cash dividends on our capital stock. We currently intend to retain all available funds and any future earnings to fund the development, operation and growth of our business and do not anticipate declaring or paying any ca</w:t>
      </w:r>
      <w:r>
        <w:rPr>
          <w:rFonts w:eastAsia="Times New Roman"/>
          <w:color w:val="000000"/>
          <w:sz w:val="20"/>
          <w:szCs w:val="20"/>
        </w:rPr>
        <w:t xml:space="preserve">sh dividends for the foreseeable future. Furthermore, future debt or other financing arrangements may contain terms prohibiting or limiting the amount of dividends that may be declared or paid on our common stock. Any return to stockholders will therefore </w:t>
      </w:r>
      <w:r>
        <w:rPr>
          <w:rFonts w:eastAsia="Times New Roman"/>
          <w:color w:val="000000"/>
          <w:sz w:val="20"/>
          <w:szCs w:val="20"/>
        </w:rPr>
        <w:t>be limited to the appreciation of their stock.</w:t>
      </w:r>
    </w:p>
    <w:p w:rsidR="00000000" w:rsidRDefault="00FD7D3C">
      <w:pPr>
        <w:ind w:firstLine="1080"/>
        <w:divId w:val="1460106757"/>
        <w:rPr>
          <w:rFonts w:eastAsia="Times New Roman"/>
        </w:rPr>
      </w:pPr>
      <w:r>
        <w:rPr>
          <w:rFonts w:eastAsia="Times New Roman"/>
          <w:b/>
          <w:bCs/>
          <w:i/>
          <w:iCs/>
          <w:color w:val="000000"/>
          <w:sz w:val="20"/>
          <w:szCs w:val="20"/>
        </w:rPr>
        <w:t>Our executive officers, directors and their affiliates and our principal stockholders own a significant percentage of our stock and will be able to exert significant control over matters subject to stockholder</w:t>
      </w:r>
      <w:r>
        <w:rPr>
          <w:rFonts w:eastAsia="Times New Roman"/>
          <w:b/>
          <w:bCs/>
          <w:i/>
          <w:iCs/>
          <w:color w:val="000000"/>
          <w:sz w:val="20"/>
          <w:szCs w:val="20"/>
        </w:rPr>
        <w:t xml:space="preserve"> approval.</w:t>
      </w:r>
    </w:p>
    <w:p w:rsidR="00000000" w:rsidRDefault="00FD7D3C">
      <w:pPr>
        <w:ind w:firstLine="1080"/>
        <w:divId w:val="1522551748"/>
        <w:rPr>
          <w:rFonts w:eastAsia="Times New Roman"/>
        </w:rPr>
      </w:pPr>
      <w:r>
        <w:rPr>
          <w:rFonts w:eastAsia="Times New Roman"/>
          <w:color w:val="000000"/>
          <w:sz w:val="20"/>
          <w:szCs w:val="20"/>
        </w:rPr>
        <w:t>Based on shares outstanding as of December 31, 2021, our executive officers, directors and their affiliates and our principal stockholders beneficially held, in the aggregate, approximately a quarter of our outstanding voting stock. These stockh</w:t>
      </w:r>
      <w:r>
        <w:rPr>
          <w:rFonts w:eastAsia="Times New Roman"/>
          <w:color w:val="000000"/>
          <w:sz w:val="20"/>
          <w:szCs w:val="20"/>
        </w:rPr>
        <w:t>olders, acting together, would be able to significantly influence all matters requiring stockholder approval. For example, these stockholders would be able to significantly influence elections of directors, amendments of our organizational documents, or ap</w:t>
      </w:r>
      <w:r>
        <w:rPr>
          <w:rFonts w:eastAsia="Times New Roman"/>
          <w:color w:val="000000"/>
          <w:sz w:val="20"/>
          <w:szCs w:val="20"/>
        </w:rPr>
        <w:t>proval of any merger, sale of assets, or other major corporate transaction. This may prevent or discourage unsolicited acquisition proposals or offers for our common stock that you may feel are in your best interest as one of our stockholders.</w:t>
      </w:r>
    </w:p>
    <w:p w:rsidR="00000000" w:rsidRDefault="00FD7D3C">
      <w:pPr>
        <w:ind w:firstLine="1080"/>
        <w:divId w:val="971404158"/>
        <w:rPr>
          <w:rFonts w:eastAsia="Times New Roman"/>
        </w:rPr>
      </w:pPr>
      <w:r>
        <w:rPr>
          <w:rFonts w:eastAsia="Times New Roman"/>
          <w:b/>
          <w:bCs/>
          <w:i/>
          <w:iCs/>
          <w:color w:val="000000"/>
          <w:sz w:val="20"/>
          <w:szCs w:val="20"/>
        </w:rPr>
        <w:t>If there are</w:t>
      </w:r>
      <w:r>
        <w:rPr>
          <w:rFonts w:eastAsia="Times New Roman"/>
          <w:b/>
          <w:bCs/>
          <w:i/>
          <w:iCs/>
          <w:color w:val="000000"/>
          <w:sz w:val="20"/>
          <w:szCs w:val="20"/>
        </w:rPr>
        <w:t xml:space="preserve"> substantial sales of shares of our common stock, the price of our common stock could decline.</w:t>
      </w:r>
    </w:p>
    <w:p w:rsidR="00000000" w:rsidRDefault="00FD7D3C">
      <w:pPr>
        <w:ind w:firstLine="1080"/>
        <w:divId w:val="1282108609"/>
        <w:rPr>
          <w:rFonts w:eastAsia="Times New Roman"/>
        </w:rPr>
      </w:pPr>
      <w:r>
        <w:rPr>
          <w:rFonts w:eastAsia="Times New Roman"/>
          <w:color w:val="000000"/>
          <w:sz w:val="20"/>
          <w:szCs w:val="20"/>
        </w:rPr>
        <w:t>Shares of common stock that are either subject to outstanding options or reserved for future issuance under our existing equity compensation plans will become el</w:t>
      </w:r>
      <w:r>
        <w:rPr>
          <w:rFonts w:eastAsia="Times New Roman"/>
          <w:color w:val="000000"/>
          <w:sz w:val="20"/>
          <w:szCs w:val="20"/>
        </w:rPr>
        <w:t>igible for sale in the public market as they become vested. If these additional shares of common stock are sold, or if it is perceived that they will be sold, in the public market, the trading price of our common stock could decline. Additionally, the numb</w:t>
      </w:r>
      <w:r>
        <w:rPr>
          <w:rFonts w:eastAsia="Times New Roman"/>
          <w:color w:val="000000"/>
          <w:sz w:val="20"/>
          <w:szCs w:val="20"/>
        </w:rPr>
        <w:t>er of shares of our common stock reserved for issuance under our 2020 Stock Option and Incentive Plan will automatically increase on January 1 of each year by 5% of the total number of shares of our capital stock outstanding on December 31 of the preceding</w:t>
      </w:r>
      <w:r>
        <w:rPr>
          <w:rFonts w:eastAsia="Times New Roman"/>
          <w:color w:val="000000"/>
          <w:sz w:val="20"/>
          <w:szCs w:val="20"/>
        </w:rPr>
        <w:t xml:space="preserve"> calendar year, or a lesser number of shares determined by our board of directors or compensation committee. Moreover, the number of shares of our common </w:t>
      </w:r>
    </w:p>
    <w:p w:rsidR="00000000" w:rsidRDefault="00FD7D3C">
      <w:pPr>
        <w:jc w:val="center"/>
        <w:divId w:val="1468937510"/>
        <w:rPr>
          <w:rFonts w:eastAsia="Times New Roman"/>
        </w:rPr>
      </w:pPr>
      <w:r>
        <w:rPr>
          <w:rFonts w:eastAsia="Times New Roman"/>
          <w:color w:val="000000"/>
          <w:sz w:val="20"/>
          <w:szCs w:val="20"/>
        </w:rPr>
        <w:t>84</w:t>
      </w:r>
    </w:p>
    <w:p w:rsidR="00000000" w:rsidRDefault="00FD7D3C">
      <w:pPr>
        <w:rPr>
          <w:rFonts w:eastAsia="Times New Roman"/>
        </w:rPr>
      </w:pPr>
      <w:r>
        <w:rPr>
          <w:rFonts w:eastAsia="Times New Roman"/>
        </w:rPr>
        <w:pict>
          <v:rect id="_x0000_i1137" style="width:0;height:1.5pt" o:hralign="center" o:hrstd="t" o:hr="t" fillcolor="#a0a0a0" stroked="f"/>
        </w:pict>
      </w:r>
    </w:p>
    <w:p w:rsidR="00000000" w:rsidRDefault="00FD7D3C">
      <w:pPr>
        <w:divId w:val="426049605"/>
        <w:rPr>
          <w:rFonts w:eastAsia="Times New Roman"/>
        </w:rPr>
      </w:pPr>
      <w:hyperlink w:anchor="i988625df783e4cc0a27bd76df388da57_7" w:history="1">
        <w:r>
          <w:rPr>
            <w:rStyle w:val="a3"/>
            <w:rFonts w:eastAsia="Times New Roman"/>
            <w:sz w:val="20"/>
            <w:szCs w:val="20"/>
          </w:rPr>
          <w:t>Tabl</w:t>
        </w:r>
        <w:r>
          <w:rPr>
            <w:rStyle w:val="a3"/>
            <w:rFonts w:eastAsia="Times New Roman"/>
            <w:sz w:val="20"/>
            <w:szCs w:val="20"/>
          </w:rPr>
          <w:t>e of Contents</w:t>
        </w:r>
      </w:hyperlink>
    </w:p>
    <w:p w:rsidR="00000000" w:rsidRDefault="00FD7D3C">
      <w:pPr>
        <w:divId w:val="1370490695"/>
        <w:rPr>
          <w:rFonts w:eastAsia="Times New Roman"/>
        </w:rPr>
      </w:pPr>
      <w:r>
        <w:rPr>
          <w:rFonts w:eastAsia="Times New Roman"/>
          <w:color w:val="000000"/>
          <w:sz w:val="20"/>
          <w:szCs w:val="20"/>
        </w:rPr>
        <w:t>stock reserved for issuance under our 2020 Employee Stock Purchase Plan, or ESPP, will automatically increase on January 1 of each year by the lesser of 700,000 shares of common stock, 1% of the total number of shares of our capital stock out</w:t>
      </w:r>
      <w:r>
        <w:rPr>
          <w:rFonts w:eastAsia="Times New Roman"/>
          <w:color w:val="000000"/>
          <w:sz w:val="20"/>
          <w:szCs w:val="20"/>
        </w:rPr>
        <w:t>standing on December 31 of the preceding calendar year, or a lesser number of shares determined by our board of directors or compensation committee. Unless our board of directors elects not to increase the number of shares available for future grant each y</w:t>
      </w:r>
      <w:r>
        <w:rPr>
          <w:rFonts w:eastAsia="Times New Roman"/>
          <w:color w:val="000000"/>
          <w:sz w:val="20"/>
          <w:szCs w:val="20"/>
        </w:rPr>
        <w:t>ear, our stockholders may experience additional dilution.</w:t>
      </w:r>
    </w:p>
    <w:p w:rsidR="00000000" w:rsidRDefault="00FD7D3C">
      <w:pPr>
        <w:ind w:firstLine="1080"/>
        <w:divId w:val="1034967838"/>
        <w:rPr>
          <w:rFonts w:eastAsia="Times New Roman"/>
        </w:rPr>
      </w:pPr>
      <w:r>
        <w:rPr>
          <w:rFonts w:eastAsia="Times New Roman"/>
          <w:color w:val="000000"/>
          <w:sz w:val="20"/>
          <w:szCs w:val="20"/>
        </w:rPr>
        <w:t>The holders of over 20 million shares of our common stock are entitled to rights with respect to the registration of their shares under the Securities Act of 1933, as amended, or the Securities Act,</w:t>
      </w:r>
      <w:r>
        <w:rPr>
          <w:rFonts w:eastAsia="Times New Roman"/>
          <w:color w:val="000000"/>
          <w:sz w:val="20"/>
          <w:szCs w:val="20"/>
        </w:rPr>
        <w:t xml:space="preserve"> as provided under the terms of an investors’ rights agreement between us and certain of our stockholders. Registration of these shares under the Securities Act would result in the shares becoming freely tradable without restriction under the Securities Ac</w:t>
      </w:r>
      <w:r>
        <w:rPr>
          <w:rFonts w:eastAsia="Times New Roman"/>
          <w:color w:val="000000"/>
          <w:sz w:val="20"/>
          <w:szCs w:val="20"/>
        </w:rPr>
        <w:t xml:space="preserve">t, except for shares held by affiliates, as defined in Rule 144 under the Securities Act. Any sales of securities by these stockholders, or the perception that such sales could occur, could have a material adverse effect on the trading price of our common </w:t>
      </w:r>
      <w:r>
        <w:rPr>
          <w:rFonts w:eastAsia="Times New Roman"/>
          <w:color w:val="000000"/>
          <w:sz w:val="20"/>
          <w:szCs w:val="20"/>
        </w:rPr>
        <w:t>stock.</w:t>
      </w:r>
    </w:p>
    <w:p w:rsidR="00000000" w:rsidRDefault="00FD7D3C">
      <w:pPr>
        <w:ind w:firstLine="1080"/>
        <w:divId w:val="1044136614"/>
        <w:rPr>
          <w:rFonts w:eastAsia="Times New Roman"/>
        </w:rPr>
      </w:pPr>
      <w:r>
        <w:rPr>
          <w:rFonts w:eastAsia="Times New Roman"/>
          <w:b/>
          <w:bCs/>
          <w:i/>
          <w:iCs/>
          <w:color w:val="000000"/>
          <w:sz w:val="20"/>
          <w:szCs w:val="20"/>
        </w:rPr>
        <w:t>Anti-takeover provisions under our charter documents and Delaware law could delay or prevent a change of control which could limit the market price of our common stock and may prevent or frustrate attempts by our stockholders to replace or remove ou</w:t>
      </w:r>
      <w:r>
        <w:rPr>
          <w:rFonts w:eastAsia="Times New Roman"/>
          <w:b/>
          <w:bCs/>
          <w:i/>
          <w:iCs/>
          <w:color w:val="000000"/>
          <w:sz w:val="20"/>
          <w:szCs w:val="20"/>
        </w:rPr>
        <w:t>r current management.</w:t>
      </w:r>
    </w:p>
    <w:p w:rsidR="00000000" w:rsidRDefault="00FD7D3C">
      <w:pPr>
        <w:ind w:firstLine="1080"/>
        <w:divId w:val="1922979938"/>
        <w:rPr>
          <w:rFonts w:eastAsia="Times New Roman"/>
        </w:rPr>
      </w:pPr>
      <w:r>
        <w:rPr>
          <w:rFonts w:eastAsia="Times New Roman"/>
          <w:color w:val="000000"/>
          <w:sz w:val="20"/>
          <w:szCs w:val="20"/>
        </w:rPr>
        <w:t>Our certificate of incorporation and bylaws contain provisions that could delay or prevent a change of control of our company or changes in our board of directors that our stockholders might consider favorable. Some of these provision</w:t>
      </w:r>
      <w:r>
        <w:rPr>
          <w:rFonts w:eastAsia="Times New Roman"/>
          <w:color w:val="000000"/>
          <w:sz w:val="20"/>
          <w:szCs w:val="20"/>
        </w:rPr>
        <w:t>s include:</w:t>
      </w:r>
    </w:p>
    <w:p w:rsidR="00000000" w:rsidRDefault="00FD7D3C">
      <w:pPr>
        <w:ind w:hanging="1260"/>
        <w:divId w:val="1410274744"/>
        <w:rPr>
          <w:rFonts w:eastAsia="Times New Roman"/>
        </w:rPr>
      </w:pPr>
      <w:r>
        <w:rPr>
          <w:rFonts w:ascii="Arial" w:eastAsia="Times New Roman" w:hAnsi="Arial" w:cs="Arial"/>
          <w:color w:val="000000"/>
        </w:rPr>
        <w:t>•</w:t>
      </w:r>
      <w:r>
        <w:rPr>
          <w:rFonts w:eastAsia="Times New Roman"/>
          <w:color w:val="000000"/>
          <w:sz w:val="20"/>
          <w:szCs w:val="20"/>
        </w:rPr>
        <w:t>a board of directors divided into three classes serving staggered three-year terms, such that not all members of the board will be elected at one time;</w:t>
      </w:r>
    </w:p>
    <w:p w:rsidR="00000000" w:rsidRDefault="00FD7D3C">
      <w:pPr>
        <w:ind w:hanging="1260"/>
        <w:divId w:val="901062731"/>
        <w:rPr>
          <w:rFonts w:eastAsia="Times New Roman"/>
        </w:rPr>
      </w:pPr>
      <w:r>
        <w:rPr>
          <w:rFonts w:ascii="Arial" w:eastAsia="Times New Roman" w:hAnsi="Arial" w:cs="Arial"/>
          <w:color w:val="000000"/>
        </w:rPr>
        <w:t>•</w:t>
      </w:r>
      <w:r>
        <w:rPr>
          <w:rFonts w:eastAsia="Times New Roman"/>
          <w:color w:val="000000"/>
          <w:sz w:val="20"/>
          <w:szCs w:val="20"/>
        </w:rPr>
        <w:t>a prohibition on stockholder action through written consent, which requires that all stockh</w:t>
      </w:r>
      <w:r>
        <w:rPr>
          <w:rFonts w:eastAsia="Times New Roman"/>
          <w:color w:val="000000"/>
          <w:sz w:val="20"/>
          <w:szCs w:val="20"/>
        </w:rPr>
        <w:t>older actions be taken at a meeting of our stockholders;</w:t>
      </w:r>
    </w:p>
    <w:p w:rsidR="00000000" w:rsidRDefault="00FD7D3C">
      <w:pPr>
        <w:ind w:hanging="1260"/>
        <w:divId w:val="2139834329"/>
        <w:rPr>
          <w:rFonts w:eastAsia="Times New Roman"/>
        </w:rPr>
      </w:pPr>
      <w:r>
        <w:rPr>
          <w:rFonts w:ascii="Arial" w:eastAsia="Times New Roman" w:hAnsi="Arial" w:cs="Arial"/>
          <w:color w:val="000000"/>
        </w:rPr>
        <w:t>•</w:t>
      </w:r>
      <w:r>
        <w:rPr>
          <w:rFonts w:eastAsia="Times New Roman"/>
          <w:color w:val="000000"/>
          <w:sz w:val="20"/>
          <w:szCs w:val="20"/>
        </w:rPr>
        <w:t>a requirement that special meetings of stockholders be called only by the board of directors acting pursuant to a resolution approved by the affirmative vote of a majority of the directors then in o</w:t>
      </w:r>
      <w:r>
        <w:rPr>
          <w:rFonts w:eastAsia="Times New Roman"/>
          <w:color w:val="000000"/>
          <w:sz w:val="20"/>
          <w:szCs w:val="20"/>
        </w:rPr>
        <w:t>ffice;</w:t>
      </w:r>
    </w:p>
    <w:p w:rsidR="00000000" w:rsidRDefault="00FD7D3C">
      <w:pPr>
        <w:ind w:hanging="1260"/>
        <w:divId w:val="1949849504"/>
        <w:rPr>
          <w:rFonts w:eastAsia="Times New Roman"/>
        </w:rPr>
      </w:pPr>
      <w:r>
        <w:rPr>
          <w:rFonts w:ascii="Arial" w:eastAsia="Times New Roman" w:hAnsi="Arial" w:cs="Arial"/>
          <w:color w:val="000000"/>
        </w:rPr>
        <w:t>•</w:t>
      </w:r>
      <w:r>
        <w:rPr>
          <w:rFonts w:eastAsia="Times New Roman"/>
          <w:color w:val="000000"/>
          <w:sz w:val="20"/>
          <w:szCs w:val="20"/>
        </w:rPr>
        <w:t>advance notice requirements for stockholder proposals and nominations for election to our board of directors;</w:t>
      </w:r>
    </w:p>
    <w:p w:rsidR="00000000" w:rsidRDefault="00FD7D3C">
      <w:pPr>
        <w:ind w:hanging="1260"/>
        <w:divId w:val="1216315235"/>
        <w:rPr>
          <w:rFonts w:eastAsia="Times New Roman"/>
        </w:rPr>
      </w:pPr>
      <w:r>
        <w:rPr>
          <w:rFonts w:ascii="Arial" w:eastAsia="Times New Roman" w:hAnsi="Arial" w:cs="Arial"/>
          <w:color w:val="000000"/>
        </w:rPr>
        <w:t>•</w:t>
      </w:r>
      <w:r>
        <w:rPr>
          <w:rFonts w:eastAsia="Times New Roman"/>
          <w:color w:val="000000"/>
          <w:sz w:val="20"/>
          <w:szCs w:val="20"/>
        </w:rPr>
        <w:t>a requirement that no member of our board of directors may be removed from office by our stockholders except for cause and, in addition t</w:t>
      </w:r>
      <w:r>
        <w:rPr>
          <w:rFonts w:eastAsia="Times New Roman"/>
          <w:color w:val="000000"/>
          <w:sz w:val="20"/>
          <w:szCs w:val="20"/>
        </w:rPr>
        <w:t>o any other vote required by law, upon the approval of not less than two-thirds of all outstanding shares of our voting stock then entitled to vote in the election of directors;</w:t>
      </w:r>
    </w:p>
    <w:p w:rsidR="00000000" w:rsidRDefault="00FD7D3C">
      <w:pPr>
        <w:ind w:hanging="1260"/>
        <w:divId w:val="475799378"/>
        <w:rPr>
          <w:rFonts w:eastAsia="Times New Roman"/>
        </w:rPr>
      </w:pPr>
      <w:r>
        <w:rPr>
          <w:rFonts w:ascii="Arial" w:eastAsia="Times New Roman" w:hAnsi="Arial" w:cs="Arial"/>
          <w:color w:val="000000"/>
        </w:rPr>
        <w:t>•</w:t>
      </w:r>
      <w:r>
        <w:rPr>
          <w:rFonts w:eastAsia="Times New Roman"/>
          <w:color w:val="000000"/>
          <w:sz w:val="20"/>
          <w:szCs w:val="20"/>
        </w:rPr>
        <w:t>a requirement of approval of not less than two-thirds of all outstanding shar</w:t>
      </w:r>
      <w:r>
        <w:rPr>
          <w:rFonts w:eastAsia="Times New Roman"/>
          <w:color w:val="000000"/>
          <w:sz w:val="20"/>
          <w:szCs w:val="20"/>
        </w:rPr>
        <w:t>es of our voting stock to amend any bylaws by stockholder action or to amend specific provisions of our certificate of incorporation; and</w:t>
      </w:r>
    </w:p>
    <w:p w:rsidR="00000000" w:rsidRDefault="00FD7D3C">
      <w:pPr>
        <w:ind w:hanging="1260"/>
        <w:divId w:val="648553915"/>
        <w:rPr>
          <w:rFonts w:eastAsia="Times New Roman"/>
        </w:rPr>
      </w:pPr>
      <w:r>
        <w:rPr>
          <w:rFonts w:ascii="Arial" w:eastAsia="Times New Roman" w:hAnsi="Arial" w:cs="Arial"/>
          <w:color w:val="000000"/>
        </w:rPr>
        <w:t>•</w:t>
      </w:r>
      <w:r>
        <w:rPr>
          <w:rFonts w:eastAsia="Times New Roman"/>
          <w:color w:val="000000"/>
          <w:sz w:val="20"/>
          <w:szCs w:val="20"/>
        </w:rPr>
        <w:t>the authority of the board of directors to issue preferred stock on terms determined by the board of directors withou</w:t>
      </w:r>
      <w:r>
        <w:rPr>
          <w:rFonts w:eastAsia="Times New Roman"/>
          <w:color w:val="000000"/>
          <w:sz w:val="20"/>
          <w:szCs w:val="20"/>
        </w:rPr>
        <w:t>t stockholder approval and which preferred stock may include rights superior to the rights of the holders of common stock.</w:t>
      </w:r>
    </w:p>
    <w:p w:rsidR="00000000" w:rsidRDefault="00FD7D3C">
      <w:pPr>
        <w:ind w:firstLine="1080"/>
        <w:divId w:val="147523900"/>
        <w:rPr>
          <w:rFonts w:eastAsia="Times New Roman"/>
        </w:rPr>
      </w:pPr>
      <w:r>
        <w:rPr>
          <w:rFonts w:eastAsia="Times New Roman"/>
          <w:color w:val="000000"/>
          <w:sz w:val="20"/>
          <w:szCs w:val="20"/>
        </w:rPr>
        <w:t>In addition, because we are incorporated in Delaware, we are governed by the provisions of Section 203 of the General Corporation Law</w:t>
      </w:r>
      <w:r>
        <w:rPr>
          <w:rFonts w:eastAsia="Times New Roman"/>
          <w:color w:val="000000"/>
          <w:sz w:val="20"/>
          <w:szCs w:val="20"/>
        </w:rPr>
        <w:t xml:space="preserve"> of the State of Delaware, or the DGCL, which may prohibit certain business combinations with stockholders owning 15% or more of our outstanding voting stock. These anti-takeover provisions and other provisions in our certificate of incorporation and bylaw</w:t>
      </w:r>
      <w:r>
        <w:rPr>
          <w:rFonts w:eastAsia="Times New Roman"/>
          <w:color w:val="000000"/>
          <w:sz w:val="20"/>
          <w:szCs w:val="20"/>
        </w:rPr>
        <w:t>s could make it more difficult for stockholders or potential acquirers to obtain control of our board of directors or initiate actions that are opposed by the then-current board of directors and could also delay or impede a merger, tender offer or proxy co</w:t>
      </w:r>
      <w:r>
        <w:rPr>
          <w:rFonts w:eastAsia="Times New Roman"/>
          <w:color w:val="000000"/>
          <w:sz w:val="20"/>
          <w:szCs w:val="20"/>
        </w:rPr>
        <w:t>ntest involving our company. These provisions could also discourage proxy contests and make it more difficult for you and other stockholders to elect directors of your choosing or cause us to take other corporate actions you desire. Any delay or prevention</w:t>
      </w:r>
      <w:r>
        <w:rPr>
          <w:rFonts w:eastAsia="Times New Roman"/>
          <w:color w:val="000000"/>
          <w:sz w:val="20"/>
          <w:szCs w:val="20"/>
        </w:rPr>
        <w:t xml:space="preserve"> of a change of control transaction or changes in our board of directors could cause the market price of our common stock to decline.</w:t>
      </w:r>
    </w:p>
    <w:p w:rsidR="00000000" w:rsidRDefault="00FD7D3C">
      <w:pPr>
        <w:ind w:firstLine="1080"/>
        <w:divId w:val="1133908790"/>
        <w:rPr>
          <w:rFonts w:eastAsia="Times New Roman"/>
        </w:rPr>
      </w:pPr>
      <w:r>
        <w:rPr>
          <w:rFonts w:eastAsia="Times New Roman"/>
          <w:b/>
          <w:bCs/>
          <w:i/>
          <w:iCs/>
          <w:color w:val="231F20"/>
          <w:sz w:val="20"/>
          <w:szCs w:val="20"/>
        </w:rPr>
        <w:t>Our bylaws designate</w:t>
      </w:r>
      <w:r>
        <w:rPr>
          <w:rFonts w:eastAsia="Times New Roman"/>
          <w:b/>
          <w:bCs/>
          <w:i/>
          <w:iCs/>
          <w:color w:val="231F20"/>
        </w:rPr>
        <w:t xml:space="preserve"> </w:t>
      </w:r>
      <w:r>
        <w:rPr>
          <w:rFonts w:eastAsia="Times New Roman"/>
          <w:b/>
          <w:bCs/>
          <w:i/>
          <w:iCs/>
          <w:color w:val="231F20"/>
          <w:sz w:val="20"/>
          <w:szCs w:val="20"/>
        </w:rPr>
        <w:t>certain</w:t>
      </w:r>
      <w:r>
        <w:rPr>
          <w:rFonts w:eastAsia="Times New Roman"/>
          <w:b/>
          <w:bCs/>
          <w:i/>
          <w:iCs/>
          <w:color w:val="231F20"/>
        </w:rPr>
        <w:t xml:space="preserve"> </w:t>
      </w:r>
      <w:r>
        <w:rPr>
          <w:rFonts w:eastAsia="Times New Roman"/>
          <w:b/>
          <w:bCs/>
          <w:i/>
          <w:iCs/>
          <w:color w:val="231F20"/>
          <w:sz w:val="20"/>
          <w:szCs w:val="20"/>
        </w:rPr>
        <w:t>courts</w:t>
      </w:r>
      <w:r>
        <w:rPr>
          <w:rFonts w:eastAsia="Times New Roman"/>
          <w:b/>
          <w:bCs/>
          <w:i/>
          <w:iCs/>
          <w:color w:val="231F20"/>
        </w:rPr>
        <w:t xml:space="preserve"> </w:t>
      </w:r>
      <w:r>
        <w:rPr>
          <w:rFonts w:eastAsia="Times New Roman"/>
          <w:b/>
          <w:bCs/>
          <w:i/>
          <w:iCs/>
          <w:color w:val="231F20"/>
          <w:sz w:val="20"/>
          <w:szCs w:val="20"/>
        </w:rPr>
        <w:t>as the exclusive</w:t>
      </w:r>
      <w:r>
        <w:rPr>
          <w:rFonts w:eastAsia="Times New Roman"/>
          <w:b/>
          <w:bCs/>
          <w:i/>
          <w:iCs/>
          <w:color w:val="231F20"/>
        </w:rPr>
        <w:t xml:space="preserve"> </w:t>
      </w:r>
      <w:r>
        <w:rPr>
          <w:rFonts w:eastAsia="Times New Roman"/>
          <w:b/>
          <w:bCs/>
          <w:i/>
          <w:iCs/>
          <w:color w:val="231F20"/>
          <w:sz w:val="20"/>
          <w:szCs w:val="20"/>
        </w:rPr>
        <w:t>forum</w:t>
      </w:r>
      <w:r>
        <w:rPr>
          <w:rFonts w:eastAsia="Times New Roman"/>
          <w:b/>
          <w:bCs/>
          <w:i/>
          <w:iCs/>
          <w:color w:val="231F20"/>
        </w:rPr>
        <w:t xml:space="preserve"> </w:t>
      </w:r>
      <w:r>
        <w:rPr>
          <w:rFonts w:eastAsia="Times New Roman"/>
          <w:b/>
          <w:bCs/>
          <w:i/>
          <w:iCs/>
          <w:color w:val="231F20"/>
          <w:sz w:val="20"/>
          <w:szCs w:val="20"/>
        </w:rPr>
        <w:t>for</w:t>
      </w:r>
      <w:r>
        <w:rPr>
          <w:rFonts w:eastAsia="Times New Roman"/>
          <w:b/>
          <w:bCs/>
          <w:i/>
          <w:iCs/>
          <w:color w:val="231F20"/>
        </w:rPr>
        <w:t xml:space="preserve"> </w:t>
      </w:r>
      <w:r>
        <w:rPr>
          <w:rFonts w:eastAsia="Times New Roman"/>
          <w:b/>
          <w:bCs/>
          <w:i/>
          <w:iCs/>
          <w:color w:val="231F20"/>
          <w:sz w:val="20"/>
          <w:szCs w:val="20"/>
        </w:rPr>
        <w:t>certain</w:t>
      </w:r>
      <w:r>
        <w:rPr>
          <w:rFonts w:eastAsia="Times New Roman"/>
          <w:b/>
          <w:bCs/>
          <w:i/>
          <w:iCs/>
          <w:color w:val="231F20"/>
        </w:rPr>
        <w:t xml:space="preserve"> </w:t>
      </w:r>
      <w:r>
        <w:rPr>
          <w:rFonts w:eastAsia="Times New Roman"/>
          <w:b/>
          <w:bCs/>
          <w:i/>
          <w:iCs/>
          <w:color w:val="231F20"/>
          <w:sz w:val="20"/>
          <w:szCs w:val="20"/>
        </w:rPr>
        <w:t>litigation</w:t>
      </w:r>
      <w:r>
        <w:rPr>
          <w:rFonts w:eastAsia="Times New Roman"/>
          <w:b/>
          <w:bCs/>
          <w:i/>
          <w:iCs/>
          <w:color w:val="231F20"/>
        </w:rPr>
        <w:t xml:space="preserve"> </w:t>
      </w:r>
      <w:r>
        <w:rPr>
          <w:rFonts w:eastAsia="Times New Roman"/>
          <w:b/>
          <w:bCs/>
          <w:i/>
          <w:iCs/>
          <w:color w:val="231F20"/>
          <w:sz w:val="20"/>
          <w:szCs w:val="20"/>
        </w:rPr>
        <w:t>that</w:t>
      </w:r>
      <w:r>
        <w:rPr>
          <w:rFonts w:eastAsia="Times New Roman"/>
          <w:b/>
          <w:bCs/>
          <w:i/>
          <w:iCs/>
          <w:color w:val="231F20"/>
        </w:rPr>
        <w:t xml:space="preserve"> </w:t>
      </w:r>
      <w:r>
        <w:rPr>
          <w:rFonts w:eastAsia="Times New Roman"/>
          <w:b/>
          <w:bCs/>
          <w:i/>
          <w:iCs/>
          <w:color w:val="231F20"/>
          <w:sz w:val="20"/>
          <w:szCs w:val="20"/>
        </w:rPr>
        <w:t>may</w:t>
      </w:r>
      <w:r>
        <w:rPr>
          <w:rFonts w:eastAsia="Times New Roman"/>
          <w:b/>
          <w:bCs/>
          <w:i/>
          <w:iCs/>
          <w:color w:val="231F20"/>
        </w:rPr>
        <w:t xml:space="preserve"> </w:t>
      </w:r>
      <w:r>
        <w:rPr>
          <w:rFonts w:eastAsia="Times New Roman"/>
          <w:b/>
          <w:bCs/>
          <w:i/>
          <w:iCs/>
          <w:color w:val="231F20"/>
          <w:sz w:val="20"/>
          <w:szCs w:val="20"/>
        </w:rPr>
        <w:t>be initiated</w:t>
      </w:r>
      <w:r>
        <w:rPr>
          <w:rFonts w:eastAsia="Times New Roman"/>
          <w:b/>
          <w:bCs/>
          <w:i/>
          <w:iCs/>
          <w:color w:val="231F20"/>
        </w:rPr>
        <w:t xml:space="preserve"> </w:t>
      </w:r>
      <w:r>
        <w:rPr>
          <w:rFonts w:eastAsia="Times New Roman"/>
          <w:b/>
          <w:bCs/>
          <w:i/>
          <w:iCs/>
          <w:color w:val="231F20"/>
          <w:sz w:val="20"/>
          <w:szCs w:val="20"/>
        </w:rPr>
        <w:t>by our stockholders,</w:t>
      </w:r>
      <w:r>
        <w:rPr>
          <w:rFonts w:eastAsia="Times New Roman"/>
          <w:b/>
          <w:bCs/>
          <w:i/>
          <w:iCs/>
          <w:color w:val="231F20"/>
        </w:rPr>
        <w:t xml:space="preserve"> </w:t>
      </w:r>
      <w:r>
        <w:rPr>
          <w:rFonts w:eastAsia="Times New Roman"/>
          <w:b/>
          <w:bCs/>
          <w:i/>
          <w:iCs/>
          <w:color w:val="231F20"/>
          <w:sz w:val="20"/>
          <w:szCs w:val="20"/>
        </w:rPr>
        <w:t>which could limit</w:t>
      </w:r>
      <w:r>
        <w:rPr>
          <w:rFonts w:eastAsia="Times New Roman"/>
          <w:b/>
          <w:bCs/>
          <w:i/>
          <w:iCs/>
          <w:color w:val="231F20"/>
        </w:rPr>
        <w:t xml:space="preserve"> </w:t>
      </w:r>
      <w:r>
        <w:rPr>
          <w:rFonts w:eastAsia="Times New Roman"/>
          <w:b/>
          <w:bCs/>
          <w:i/>
          <w:iCs/>
          <w:color w:val="231F20"/>
          <w:sz w:val="20"/>
          <w:szCs w:val="20"/>
        </w:rPr>
        <w:t>our stockholders’</w:t>
      </w:r>
      <w:r>
        <w:rPr>
          <w:rFonts w:eastAsia="Times New Roman"/>
          <w:b/>
          <w:bCs/>
          <w:i/>
          <w:iCs/>
          <w:color w:val="231F20"/>
        </w:rPr>
        <w:t xml:space="preserve"> </w:t>
      </w:r>
      <w:r>
        <w:rPr>
          <w:rFonts w:eastAsia="Times New Roman"/>
          <w:b/>
          <w:bCs/>
          <w:i/>
          <w:iCs/>
          <w:color w:val="231F20"/>
          <w:sz w:val="20"/>
          <w:szCs w:val="20"/>
        </w:rPr>
        <w:t>ability</w:t>
      </w:r>
      <w:r>
        <w:rPr>
          <w:rFonts w:eastAsia="Times New Roman"/>
          <w:b/>
          <w:bCs/>
          <w:i/>
          <w:iCs/>
          <w:color w:val="231F20"/>
        </w:rPr>
        <w:t xml:space="preserve"> </w:t>
      </w:r>
      <w:r>
        <w:rPr>
          <w:rFonts w:eastAsia="Times New Roman"/>
          <w:b/>
          <w:bCs/>
          <w:i/>
          <w:iCs/>
          <w:color w:val="231F20"/>
          <w:sz w:val="20"/>
          <w:szCs w:val="20"/>
        </w:rPr>
        <w:t>to litigate</w:t>
      </w:r>
      <w:r>
        <w:rPr>
          <w:rFonts w:eastAsia="Times New Roman"/>
          <w:b/>
          <w:bCs/>
          <w:i/>
          <w:iCs/>
          <w:color w:val="231F20"/>
        </w:rPr>
        <w:t xml:space="preserve"> </w:t>
      </w:r>
      <w:r>
        <w:rPr>
          <w:rFonts w:eastAsia="Times New Roman"/>
          <w:b/>
          <w:bCs/>
          <w:i/>
          <w:iCs/>
          <w:color w:val="231F20"/>
          <w:sz w:val="20"/>
          <w:szCs w:val="20"/>
        </w:rPr>
        <w:t>disputes</w:t>
      </w:r>
      <w:r>
        <w:rPr>
          <w:rFonts w:eastAsia="Times New Roman"/>
          <w:b/>
          <w:bCs/>
          <w:i/>
          <w:iCs/>
          <w:color w:val="231F20"/>
        </w:rPr>
        <w:t xml:space="preserve"> </w:t>
      </w:r>
      <w:r>
        <w:rPr>
          <w:rFonts w:eastAsia="Times New Roman"/>
          <w:b/>
          <w:bCs/>
          <w:i/>
          <w:iCs/>
          <w:color w:val="231F20"/>
          <w:sz w:val="20"/>
          <w:szCs w:val="20"/>
        </w:rPr>
        <w:t>with us in a different</w:t>
      </w:r>
      <w:r>
        <w:rPr>
          <w:rFonts w:eastAsia="Times New Roman"/>
          <w:b/>
          <w:bCs/>
          <w:i/>
          <w:iCs/>
          <w:color w:val="231F20"/>
        </w:rPr>
        <w:t xml:space="preserve"> </w:t>
      </w:r>
      <w:r>
        <w:rPr>
          <w:rFonts w:eastAsia="Times New Roman"/>
          <w:b/>
          <w:bCs/>
          <w:i/>
          <w:iCs/>
          <w:color w:val="231F20"/>
          <w:sz w:val="20"/>
          <w:szCs w:val="20"/>
        </w:rPr>
        <w:t>judicial forum.</w:t>
      </w:r>
    </w:p>
    <w:p w:rsidR="00000000" w:rsidRDefault="00FD7D3C">
      <w:pPr>
        <w:jc w:val="center"/>
        <w:divId w:val="504436800"/>
        <w:rPr>
          <w:rFonts w:eastAsia="Times New Roman"/>
        </w:rPr>
      </w:pPr>
      <w:r>
        <w:rPr>
          <w:rFonts w:eastAsia="Times New Roman"/>
          <w:color w:val="000000"/>
          <w:sz w:val="20"/>
          <w:szCs w:val="20"/>
        </w:rPr>
        <w:t>85</w:t>
      </w:r>
    </w:p>
    <w:p w:rsidR="00000000" w:rsidRDefault="00FD7D3C">
      <w:pPr>
        <w:rPr>
          <w:rFonts w:eastAsia="Times New Roman"/>
        </w:rPr>
      </w:pPr>
      <w:r>
        <w:rPr>
          <w:rFonts w:eastAsia="Times New Roman"/>
        </w:rPr>
        <w:pict>
          <v:rect id="_x0000_i1138" style="width:0;height:1.5pt" o:hralign="center" o:hrstd="t" o:hr="t" fillcolor="#a0a0a0" stroked="f"/>
        </w:pict>
      </w:r>
    </w:p>
    <w:p w:rsidR="00000000" w:rsidRDefault="00FD7D3C">
      <w:pPr>
        <w:divId w:val="649165949"/>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ind w:firstLine="1080"/>
        <w:divId w:val="284967280"/>
        <w:rPr>
          <w:rFonts w:eastAsia="Times New Roman"/>
        </w:rPr>
      </w:pPr>
      <w:r>
        <w:rPr>
          <w:rFonts w:eastAsia="Times New Roman"/>
          <w:color w:val="231F20"/>
          <w:sz w:val="20"/>
          <w:szCs w:val="20"/>
        </w:rPr>
        <w:t>P</w:t>
      </w:r>
      <w:r>
        <w:rPr>
          <w:rFonts w:eastAsia="Times New Roman"/>
          <w:color w:val="000000"/>
          <w:sz w:val="20"/>
          <w:szCs w:val="20"/>
        </w:rPr>
        <w:t xml:space="preserve">ursuant to our </w:t>
      </w:r>
      <w:r>
        <w:rPr>
          <w:rFonts w:eastAsia="Times New Roman"/>
          <w:color w:val="000000"/>
          <w:sz w:val="20"/>
          <w:szCs w:val="20"/>
        </w:rPr>
        <w:t xml:space="preserve">bylaws, unless we consent in writing to the selection of an alternative forum, the Court of Chancery of the State of Delaware will be the sole and exclusive forum for any state law claims for: (i) any derivative action or proceeding brought on our behalf; </w:t>
      </w:r>
      <w:r>
        <w:rPr>
          <w:rFonts w:eastAsia="Times New Roman"/>
          <w:color w:val="000000"/>
          <w:sz w:val="20"/>
          <w:szCs w:val="20"/>
        </w:rPr>
        <w:t>(ii) any action asserting a claim of breach of a fiduciary duty or other wrongdoing by any of our directors, officers, employees or agents to us or our stockholders; (iii) any action asserting a claim against us arising pursuant to any provision of the DGC</w:t>
      </w:r>
      <w:r>
        <w:rPr>
          <w:rFonts w:eastAsia="Times New Roman"/>
          <w:color w:val="000000"/>
          <w:sz w:val="20"/>
          <w:szCs w:val="20"/>
        </w:rPr>
        <w:t xml:space="preserve">L, our certificate of incorporation or our bylaws; (iv) any action to interpret, apply, enforce or determine the validity of our certificate of incorporation or bylaws; or (v) any action asserting a claim governed by the internal affairs doctrine, in each </w:t>
      </w:r>
      <w:r>
        <w:rPr>
          <w:rFonts w:eastAsia="Times New Roman"/>
          <w:color w:val="000000"/>
          <w:sz w:val="20"/>
          <w:szCs w:val="20"/>
        </w:rPr>
        <w:t>case subject to the Court of Chancery having personal jurisdiction over the indispensable parties named as defendants therein, or the Delaware forum provision. This exclusive forum provision will not apply to any causes of action arising under the Securiti</w:t>
      </w:r>
      <w:r>
        <w:rPr>
          <w:rFonts w:eastAsia="Times New Roman"/>
          <w:color w:val="000000"/>
          <w:sz w:val="20"/>
          <w:szCs w:val="20"/>
        </w:rPr>
        <w:t>es Act or the Exchange Act or any other claim for which the federal courts have exclusive jurisdiction. Unless we consent in writing to the selection of an alternate forum, the federal district courts shall be the sole and exclusive forum for resolving any</w:t>
      </w:r>
      <w:r>
        <w:rPr>
          <w:rFonts w:eastAsia="Times New Roman"/>
          <w:color w:val="000000"/>
          <w:sz w:val="20"/>
          <w:szCs w:val="20"/>
        </w:rPr>
        <w:t xml:space="preserve"> complaint asserting a cause of action arising under the Securities Act, or the federal forum provision. In addition, our bylaws provide that any person or entity purchasing or otherwise acquiring any interest in shares of our common stock is deemed to hav</w:t>
      </w:r>
      <w:r>
        <w:rPr>
          <w:rFonts w:eastAsia="Times New Roman"/>
          <w:color w:val="000000"/>
          <w:sz w:val="20"/>
          <w:szCs w:val="20"/>
        </w:rPr>
        <w:t>e notice of and consented to the Delaware forum provision and the federal forum provision; provided, however, that stockholders cannot and will not be deemed to have waived our compliance with the federal securities laws and the rules and regulations there</w:t>
      </w:r>
      <w:r>
        <w:rPr>
          <w:rFonts w:eastAsia="Times New Roman"/>
          <w:color w:val="000000"/>
          <w:sz w:val="20"/>
          <w:szCs w:val="20"/>
        </w:rPr>
        <w:t>under.</w:t>
      </w:r>
    </w:p>
    <w:p w:rsidR="00000000" w:rsidRDefault="00FD7D3C">
      <w:pPr>
        <w:ind w:firstLine="1080"/>
        <w:divId w:val="278220664"/>
        <w:rPr>
          <w:rFonts w:eastAsia="Times New Roman"/>
        </w:rPr>
      </w:pPr>
      <w:r>
        <w:rPr>
          <w:rFonts w:eastAsia="Times New Roman"/>
          <w:color w:val="000000"/>
          <w:sz w:val="20"/>
          <w:szCs w:val="20"/>
        </w:rPr>
        <w:t>The Delaware forum provision and the federal forum provision may impose additional litigation costs on stockholders who assert the provision is not enforceable and may impose more general additional litigation costs in pursuing any such claims, part</w:t>
      </w:r>
      <w:r>
        <w:rPr>
          <w:rFonts w:eastAsia="Times New Roman"/>
          <w:color w:val="000000"/>
          <w:sz w:val="20"/>
          <w:szCs w:val="20"/>
        </w:rPr>
        <w:t>icularly if the stockholders do not reside in or near the State of Delaware or the State of California. In addition, these forum selection clauses in our bylaws may limit our stockholders’ ability to bring a claim in a judicial forum that they find favorab</w:t>
      </w:r>
      <w:r>
        <w:rPr>
          <w:rFonts w:eastAsia="Times New Roman"/>
          <w:color w:val="000000"/>
          <w:sz w:val="20"/>
          <w:szCs w:val="20"/>
        </w:rPr>
        <w:t>le for disputes with us or our directors, officers or employees, which may discourage such lawsuits against us and our directors, officers and employees even though an action, if successful, might benefit our stockholders. In addition, while the Delaware S</w:t>
      </w:r>
      <w:r>
        <w:rPr>
          <w:rFonts w:eastAsia="Times New Roman"/>
          <w:color w:val="000000"/>
          <w:sz w:val="20"/>
          <w:szCs w:val="20"/>
        </w:rPr>
        <w:t>upreme Court ruled in March 2020 that federal forum selection provisions purporting to require claims under the Securities Act be brought in federal court were “facially valid” under Delaware law, there is uncertainty as to whether other courts will enforc</w:t>
      </w:r>
      <w:r>
        <w:rPr>
          <w:rFonts w:eastAsia="Times New Roman"/>
          <w:color w:val="000000"/>
          <w:sz w:val="20"/>
          <w:szCs w:val="20"/>
        </w:rPr>
        <w:t>e our federal forum provision. If the federal forum provision is found to be unenforceable, we may incur additional costs associated with resolving such matters. The federal forum provision may also impose additional litigation costs on stockholders who as</w:t>
      </w:r>
      <w:r>
        <w:rPr>
          <w:rFonts w:eastAsia="Times New Roman"/>
          <w:color w:val="000000"/>
          <w:sz w:val="20"/>
          <w:szCs w:val="20"/>
        </w:rPr>
        <w:t>sert the provision is not enforceable or invalid. The Court of Chancery of the State of Delaware and the federal district courts may also reach different judgments or results than would other courts, including courts where a stockholder considering an acti</w:t>
      </w:r>
      <w:r>
        <w:rPr>
          <w:rFonts w:eastAsia="Times New Roman"/>
          <w:color w:val="000000"/>
          <w:sz w:val="20"/>
          <w:szCs w:val="20"/>
        </w:rPr>
        <w:t>on may be located or would otherwise choose to bring the action, and such judgments may be more or less favorable to us than our stockholders.</w:t>
      </w:r>
    </w:p>
    <w:p w:rsidR="00000000" w:rsidRDefault="00FD7D3C">
      <w:pPr>
        <w:ind w:firstLine="1080"/>
        <w:divId w:val="1150560890"/>
        <w:rPr>
          <w:rFonts w:eastAsia="Times New Roman"/>
        </w:rPr>
      </w:pPr>
    </w:p>
    <w:p w:rsidR="00000000" w:rsidRDefault="00FD7D3C">
      <w:pPr>
        <w:ind w:firstLine="1080"/>
        <w:divId w:val="337079667"/>
        <w:rPr>
          <w:rFonts w:eastAsia="Times New Roman"/>
        </w:rPr>
      </w:pPr>
      <w:r>
        <w:rPr>
          <w:rFonts w:eastAsia="Times New Roman"/>
          <w:b/>
          <w:bCs/>
          <w:color w:val="231F20"/>
          <w:sz w:val="20"/>
          <w:szCs w:val="20"/>
        </w:rPr>
        <w:t>General</w:t>
      </w:r>
      <w:r>
        <w:rPr>
          <w:rFonts w:eastAsia="Times New Roman"/>
          <w:b/>
          <w:bCs/>
          <w:color w:val="231F20"/>
        </w:rPr>
        <w:t xml:space="preserve"> </w:t>
      </w:r>
      <w:r>
        <w:rPr>
          <w:rFonts w:eastAsia="Times New Roman"/>
          <w:b/>
          <w:bCs/>
          <w:color w:val="231F20"/>
          <w:sz w:val="20"/>
          <w:szCs w:val="20"/>
        </w:rPr>
        <w:t>Risk Factors</w:t>
      </w:r>
    </w:p>
    <w:p w:rsidR="00000000" w:rsidRDefault="00FD7D3C">
      <w:pPr>
        <w:ind w:firstLine="1080"/>
        <w:divId w:val="2055960976"/>
        <w:rPr>
          <w:rFonts w:eastAsia="Times New Roman"/>
        </w:rPr>
      </w:pPr>
      <w:r>
        <w:rPr>
          <w:rFonts w:eastAsia="Times New Roman"/>
          <w:b/>
          <w:bCs/>
          <w:i/>
          <w:iCs/>
          <w:color w:val="231F20"/>
          <w:sz w:val="20"/>
          <w:szCs w:val="20"/>
        </w:rPr>
        <w:t>If</w:t>
      </w:r>
      <w:r>
        <w:rPr>
          <w:rFonts w:eastAsia="Times New Roman"/>
          <w:b/>
          <w:bCs/>
          <w:i/>
          <w:iCs/>
          <w:color w:val="231F20"/>
        </w:rPr>
        <w:t xml:space="preserve"> </w:t>
      </w:r>
      <w:r>
        <w:rPr>
          <w:rFonts w:eastAsia="Times New Roman"/>
          <w:b/>
          <w:bCs/>
          <w:i/>
          <w:iCs/>
          <w:color w:val="231F20"/>
          <w:sz w:val="20"/>
          <w:szCs w:val="20"/>
        </w:rPr>
        <w:t>we fail</w:t>
      </w:r>
      <w:r>
        <w:rPr>
          <w:rFonts w:eastAsia="Times New Roman"/>
          <w:b/>
          <w:bCs/>
          <w:i/>
          <w:iCs/>
          <w:color w:val="231F20"/>
        </w:rPr>
        <w:t xml:space="preserve"> </w:t>
      </w:r>
      <w:r>
        <w:rPr>
          <w:rFonts w:eastAsia="Times New Roman"/>
          <w:b/>
          <w:bCs/>
          <w:i/>
          <w:iCs/>
          <w:color w:val="231F20"/>
          <w:sz w:val="20"/>
          <w:szCs w:val="20"/>
        </w:rPr>
        <w:t>to maintain</w:t>
      </w:r>
      <w:r>
        <w:rPr>
          <w:rFonts w:eastAsia="Times New Roman"/>
          <w:b/>
          <w:bCs/>
          <w:i/>
          <w:iCs/>
          <w:color w:val="231F20"/>
        </w:rPr>
        <w:t xml:space="preserve"> </w:t>
      </w:r>
      <w:r>
        <w:rPr>
          <w:rFonts w:eastAsia="Times New Roman"/>
          <w:b/>
          <w:bCs/>
          <w:i/>
          <w:iCs/>
          <w:color w:val="231F20"/>
          <w:sz w:val="20"/>
          <w:szCs w:val="20"/>
        </w:rPr>
        <w:t>an effective</w:t>
      </w:r>
      <w:r>
        <w:rPr>
          <w:rFonts w:eastAsia="Times New Roman"/>
          <w:b/>
          <w:bCs/>
          <w:i/>
          <w:iCs/>
          <w:color w:val="231F20"/>
        </w:rPr>
        <w:t xml:space="preserve"> </w:t>
      </w:r>
      <w:r>
        <w:rPr>
          <w:rFonts w:eastAsia="Times New Roman"/>
          <w:b/>
          <w:bCs/>
          <w:i/>
          <w:iCs/>
          <w:color w:val="231F20"/>
          <w:sz w:val="20"/>
          <w:szCs w:val="20"/>
        </w:rPr>
        <w:t>system</w:t>
      </w:r>
      <w:r>
        <w:rPr>
          <w:rFonts w:eastAsia="Times New Roman"/>
          <w:b/>
          <w:bCs/>
          <w:i/>
          <w:iCs/>
          <w:color w:val="231F20"/>
        </w:rPr>
        <w:t xml:space="preserve"> </w:t>
      </w:r>
      <w:r>
        <w:rPr>
          <w:rFonts w:eastAsia="Times New Roman"/>
          <w:b/>
          <w:bCs/>
          <w:i/>
          <w:iCs/>
          <w:color w:val="231F20"/>
          <w:sz w:val="20"/>
          <w:szCs w:val="20"/>
        </w:rPr>
        <w:t>of internal</w:t>
      </w:r>
      <w:r>
        <w:rPr>
          <w:rFonts w:eastAsia="Times New Roman"/>
          <w:b/>
          <w:bCs/>
          <w:i/>
          <w:iCs/>
          <w:color w:val="231F20"/>
        </w:rPr>
        <w:t xml:space="preserve"> </w:t>
      </w:r>
      <w:r>
        <w:rPr>
          <w:rFonts w:eastAsia="Times New Roman"/>
          <w:b/>
          <w:bCs/>
          <w:i/>
          <w:iCs/>
          <w:color w:val="231F20"/>
          <w:sz w:val="20"/>
          <w:szCs w:val="20"/>
        </w:rPr>
        <w:t>control</w:t>
      </w:r>
      <w:r>
        <w:rPr>
          <w:rFonts w:eastAsia="Times New Roman"/>
          <w:b/>
          <w:bCs/>
          <w:i/>
          <w:iCs/>
          <w:color w:val="231F20"/>
        </w:rPr>
        <w:t xml:space="preserve"> </w:t>
      </w:r>
      <w:r>
        <w:rPr>
          <w:rFonts w:eastAsia="Times New Roman"/>
          <w:b/>
          <w:bCs/>
          <w:i/>
          <w:iCs/>
          <w:color w:val="231F20"/>
          <w:sz w:val="20"/>
          <w:szCs w:val="20"/>
        </w:rPr>
        <w:t>over</w:t>
      </w:r>
      <w:r>
        <w:rPr>
          <w:rFonts w:eastAsia="Times New Roman"/>
          <w:b/>
          <w:bCs/>
          <w:i/>
          <w:iCs/>
          <w:color w:val="231F20"/>
        </w:rPr>
        <w:t xml:space="preserve"> </w:t>
      </w:r>
      <w:r>
        <w:rPr>
          <w:rFonts w:eastAsia="Times New Roman"/>
          <w:b/>
          <w:bCs/>
          <w:i/>
          <w:iCs/>
          <w:color w:val="231F20"/>
          <w:sz w:val="20"/>
          <w:szCs w:val="20"/>
        </w:rPr>
        <w:t>financial</w:t>
      </w:r>
      <w:r>
        <w:rPr>
          <w:rFonts w:eastAsia="Times New Roman"/>
          <w:b/>
          <w:bCs/>
          <w:i/>
          <w:iCs/>
          <w:color w:val="231F20"/>
        </w:rPr>
        <w:t xml:space="preserve"> </w:t>
      </w:r>
      <w:r>
        <w:rPr>
          <w:rFonts w:eastAsia="Times New Roman"/>
          <w:b/>
          <w:bCs/>
          <w:i/>
          <w:iCs/>
          <w:color w:val="231F20"/>
          <w:sz w:val="20"/>
          <w:szCs w:val="20"/>
        </w:rPr>
        <w:t>reporting,</w:t>
      </w:r>
      <w:r>
        <w:rPr>
          <w:rFonts w:eastAsia="Times New Roman"/>
          <w:b/>
          <w:bCs/>
          <w:i/>
          <w:iCs/>
          <w:color w:val="231F20"/>
        </w:rPr>
        <w:t xml:space="preserve"> </w:t>
      </w:r>
      <w:r>
        <w:rPr>
          <w:rFonts w:eastAsia="Times New Roman"/>
          <w:b/>
          <w:bCs/>
          <w:i/>
          <w:iCs/>
          <w:color w:val="231F20"/>
          <w:sz w:val="20"/>
          <w:szCs w:val="20"/>
        </w:rPr>
        <w:t>we may</w:t>
      </w:r>
      <w:r>
        <w:rPr>
          <w:rFonts w:eastAsia="Times New Roman"/>
          <w:b/>
          <w:bCs/>
          <w:i/>
          <w:iCs/>
          <w:color w:val="231F20"/>
        </w:rPr>
        <w:t xml:space="preserve"> </w:t>
      </w:r>
      <w:r>
        <w:rPr>
          <w:rFonts w:eastAsia="Times New Roman"/>
          <w:b/>
          <w:bCs/>
          <w:i/>
          <w:iCs/>
          <w:color w:val="231F20"/>
          <w:sz w:val="20"/>
          <w:szCs w:val="20"/>
        </w:rPr>
        <w:t>not be able</w:t>
      </w:r>
      <w:r>
        <w:rPr>
          <w:rFonts w:eastAsia="Times New Roman"/>
          <w:b/>
          <w:bCs/>
          <w:i/>
          <w:iCs/>
          <w:color w:val="231F20"/>
        </w:rPr>
        <w:t xml:space="preserve"> </w:t>
      </w:r>
      <w:r>
        <w:rPr>
          <w:rFonts w:eastAsia="Times New Roman"/>
          <w:b/>
          <w:bCs/>
          <w:i/>
          <w:iCs/>
          <w:color w:val="231F20"/>
          <w:sz w:val="20"/>
          <w:szCs w:val="20"/>
        </w:rPr>
        <w:t>to accurately</w:t>
      </w:r>
      <w:r>
        <w:rPr>
          <w:rFonts w:eastAsia="Times New Roman"/>
          <w:b/>
          <w:bCs/>
          <w:i/>
          <w:iCs/>
          <w:color w:val="231F20"/>
        </w:rPr>
        <w:t xml:space="preserve"> </w:t>
      </w:r>
      <w:r>
        <w:rPr>
          <w:rFonts w:eastAsia="Times New Roman"/>
          <w:b/>
          <w:bCs/>
          <w:i/>
          <w:iCs/>
          <w:color w:val="231F20"/>
          <w:sz w:val="20"/>
          <w:szCs w:val="20"/>
        </w:rPr>
        <w:t>report</w:t>
      </w:r>
      <w:r>
        <w:rPr>
          <w:rFonts w:eastAsia="Times New Roman"/>
          <w:b/>
          <w:bCs/>
          <w:i/>
          <w:iCs/>
          <w:color w:val="231F20"/>
        </w:rPr>
        <w:t xml:space="preserve"> </w:t>
      </w:r>
      <w:r>
        <w:rPr>
          <w:rFonts w:eastAsia="Times New Roman"/>
          <w:b/>
          <w:bCs/>
          <w:i/>
          <w:iCs/>
          <w:color w:val="231F20"/>
          <w:sz w:val="20"/>
          <w:szCs w:val="20"/>
        </w:rPr>
        <w:t>our financial</w:t>
      </w:r>
      <w:r>
        <w:rPr>
          <w:rFonts w:eastAsia="Times New Roman"/>
          <w:b/>
          <w:bCs/>
          <w:i/>
          <w:iCs/>
          <w:color w:val="231F20"/>
        </w:rPr>
        <w:t xml:space="preserve"> </w:t>
      </w:r>
      <w:r>
        <w:rPr>
          <w:rFonts w:eastAsia="Times New Roman"/>
          <w:b/>
          <w:bCs/>
          <w:i/>
          <w:iCs/>
          <w:color w:val="231F20"/>
          <w:sz w:val="20"/>
          <w:szCs w:val="20"/>
        </w:rPr>
        <w:t>results</w:t>
      </w:r>
      <w:r>
        <w:rPr>
          <w:rFonts w:eastAsia="Times New Roman"/>
          <w:b/>
          <w:bCs/>
          <w:i/>
          <w:iCs/>
          <w:color w:val="231F20"/>
        </w:rPr>
        <w:t xml:space="preserve"> </w:t>
      </w:r>
      <w:r>
        <w:rPr>
          <w:rFonts w:eastAsia="Times New Roman"/>
          <w:b/>
          <w:bCs/>
          <w:i/>
          <w:iCs/>
          <w:color w:val="231F20"/>
          <w:sz w:val="20"/>
          <w:szCs w:val="20"/>
        </w:rPr>
        <w:t>or prevent</w:t>
      </w:r>
      <w:r>
        <w:rPr>
          <w:rFonts w:eastAsia="Times New Roman"/>
          <w:b/>
          <w:bCs/>
          <w:i/>
          <w:iCs/>
          <w:color w:val="231F20"/>
        </w:rPr>
        <w:t xml:space="preserve"> </w:t>
      </w:r>
      <w:r>
        <w:rPr>
          <w:rFonts w:eastAsia="Times New Roman"/>
          <w:b/>
          <w:bCs/>
          <w:i/>
          <w:iCs/>
          <w:color w:val="231F20"/>
          <w:sz w:val="20"/>
          <w:szCs w:val="20"/>
        </w:rPr>
        <w:t>fraud. As a result,</w:t>
      </w:r>
      <w:r>
        <w:rPr>
          <w:rFonts w:eastAsia="Times New Roman"/>
          <w:b/>
          <w:bCs/>
          <w:i/>
          <w:iCs/>
          <w:color w:val="231F20"/>
        </w:rPr>
        <w:t xml:space="preserve"> </w:t>
      </w:r>
      <w:r>
        <w:rPr>
          <w:rFonts w:eastAsia="Times New Roman"/>
          <w:b/>
          <w:bCs/>
          <w:i/>
          <w:iCs/>
          <w:color w:val="231F20"/>
          <w:sz w:val="20"/>
          <w:szCs w:val="20"/>
        </w:rPr>
        <w:t>stockholders</w:t>
      </w:r>
      <w:r>
        <w:rPr>
          <w:rFonts w:eastAsia="Times New Roman"/>
          <w:b/>
          <w:bCs/>
          <w:i/>
          <w:iCs/>
          <w:color w:val="231F20"/>
        </w:rPr>
        <w:t xml:space="preserve"> </w:t>
      </w:r>
      <w:r>
        <w:rPr>
          <w:rFonts w:eastAsia="Times New Roman"/>
          <w:b/>
          <w:bCs/>
          <w:i/>
          <w:iCs/>
          <w:color w:val="231F20"/>
          <w:sz w:val="20"/>
          <w:szCs w:val="20"/>
        </w:rPr>
        <w:t>could lose</w:t>
      </w:r>
      <w:r>
        <w:rPr>
          <w:rFonts w:eastAsia="Times New Roman"/>
          <w:b/>
          <w:bCs/>
          <w:i/>
          <w:iCs/>
          <w:color w:val="231F20"/>
        </w:rPr>
        <w:t xml:space="preserve"> </w:t>
      </w:r>
      <w:r>
        <w:rPr>
          <w:rFonts w:eastAsia="Times New Roman"/>
          <w:b/>
          <w:bCs/>
          <w:i/>
          <w:iCs/>
          <w:color w:val="231F20"/>
          <w:sz w:val="20"/>
          <w:szCs w:val="20"/>
        </w:rPr>
        <w:t>confidence</w:t>
      </w:r>
      <w:r>
        <w:rPr>
          <w:rFonts w:eastAsia="Times New Roman"/>
          <w:b/>
          <w:bCs/>
          <w:i/>
          <w:iCs/>
          <w:color w:val="231F20"/>
        </w:rPr>
        <w:t xml:space="preserve"> </w:t>
      </w:r>
      <w:r>
        <w:rPr>
          <w:rFonts w:eastAsia="Times New Roman"/>
          <w:b/>
          <w:bCs/>
          <w:i/>
          <w:iCs/>
          <w:color w:val="231F20"/>
          <w:sz w:val="20"/>
          <w:szCs w:val="20"/>
        </w:rPr>
        <w:t>in our financial</w:t>
      </w:r>
      <w:r>
        <w:rPr>
          <w:rFonts w:eastAsia="Times New Roman"/>
          <w:b/>
          <w:bCs/>
          <w:i/>
          <w:iCs/>
          <w:color w:val="231F20"/>
        </w:rPr>
        <w:t xml:space="preserve"> </w:t>
      </w:r>
      <w:r>
        <w:rPr>
          <w:rFonts w:eastAsia="Times New Roman"/>
          <w:b/>
          <w:bCs/>
          <w:i/>
          <w:iCs/>
          <w:color w:val="231F20"/>
          <w:sz w:val="20"/>
          <w:szCs w:val="20"/>
        </w:rPr>
        <w:t>and other</w:t>
      </w:r>
      <w:r>
        <w:rPr>
          <w:rFonts w:eastAsia="Times New Roman"/>
          <w:b/>
          <w:bCs/>
          <w:i/>
          <w:iCs/>
          <w:color w:val="231F20"/>
        </w:rPr>
        <w:t xml:space="preserve"> </w:t>
      </w:r>
      <w:r>
        <w:rPr>
          <w:rFonts w:eastAsia="Times New Roman"/>
          <w:b/>
          <w:bCs/>
          <w:i/>
          <w:iCs/>
          <w:color w:val="231F20"/>
          <w:sz w:val="20"/>
          <w:szCs w:val="20"/>
        </w:rPr>
        <w:t>public</w:t>
      </w:r>
      <w:r>
        <w:rPr>
          <w:rFonts w:eastAsia="Times New Roman"/>
          <w:b/>
          <w:bCs/>
          <w:i/>
          <w:iCs/>
          <w:color w:val="231F20"/>
        </w:rPr>
        <w:t xml:space="preserve"> </w:t>
      </w:r>
      <w:r>
        <w:rPr>
          <w:rFonts w:eastAsia="Times New Roman"/>
          <w:b/>
          <w:bCs/>
          <w:i/>
          <w:iCs/>
          <w:color w:val="231F20"/>
          <w:sz w:val="20"/>
          <w:szCs w:val="20"/>
        </w:rPr>
        <w:t>reporting,</w:t>
      </w:r>
      <w:r>
        <w:rPr>
          <w:rFonts w:eastAsia="Times New Roman"/>
          <w:b/>
          <w:bCs/>
          <w:i/>
          <w:iCs/>
          <w:color w:val="231F20"/>
        </w:rPr>
        <w:t xml:space="preserve"> </w:t>
      </w:r>
      <w:r>
        <w:rPr>
          <w:rFonts w:eastAsia="Times New Roman"/>
          <w:b/>
          <w:bCs/>
          <w:i/>
          <w:iCs/>
          <w:color w:val="231F20"/>
          <w:sz w:val="20"/>
          <w:szCs w:val="20"/>
        </w:rPr>
        <w:t>which would harm our business</w:t>
      </w:r>
      <w:r>
        <w:rPr>
          <w:rFonts w:eastAsia="Times New Roman"/>
          <w:b/>
          <w:bCs/>
          <w:i/>
          <w:iCs/>
          <w:color w:val="231F20"/>
        </w:rPr>
        <w:t xml:space="preserve"> </w:t>
      </w:r>
      <w:r>
        <w:rPr>
          <w:rFonts w:eastAsia="Times New Roman"/>
          <w:b/>
          <w:bCs/>
          <w:i/>
          <w:iCs/>
          <w:color w:val="231F20"/>
          <w:sz w:val="20"/>
          <w:szCs w:val="20"/>
        </w:rPr>
        <w:t>and the trading</w:t>
      </w:r>
      <w:r>
        <w:rPr>
          <w:rFonts w:eastAsia="Times New Roman"/>
          <w:b/>
          <w:bCs/>
          <w:i/>
          <w:iCs/>
          <w:color w:val="231F20"/>
        </w:rPr>
        <w:t xml:space="preserve"> </w:t>
      </w:r>
      <w:r>
        <w:rPr>
          <w:rFonts w:eastAsia="Times New Roman"/>
          <w:b/>
          <w:bCs/>
          <w:i/>
          <w:iCs/>
          <w:color w:val="231F20"/>
          <w:sz w:val="20"/>
          <w:szCs w:val="20"/>
        </w:rPr>
        <w:t>price</w:t>
      </w:r>
      <w:r>
        <w:rPr>
          <w:rFonts w:eastAsia="Times New Roman"/>
          <w:b/>
          <w:bCs/>
          <w:i/>
          <w:iCs/>
          <w:color w:val="231F20"/>
        </w:rPr>
        <w:t xml:space="preserve"> </w:t>
      </w:r>
      <w:r>
        <w:rPr>
          <w:rFonts w:eastAsia="Times New Roman"/>
          <w:b/>
          <w:bCs/>
          <w:i/>
          <w:iCs/>
          <w:color w:val="231F20"/>
          <w:sz w:val="20"/>
          <w:szCs w:val="20"/>
        </w:rPr>
        <w:t>of our common</w:t>
      </w:r>
      <w:r>
        <w:rPr>
          <w:rFonts w:eastAsia="Times New Roman"/>
          <w:b/>
          <w:bCs/>
          <w:i/>
          <w:iCs/>
          <w:color w:val="231F20"/>
        </w:rPr>
        <w:t xml:space="preserve"> </w:t>
      </w:r>
      <w:r>
        <w:rPr>
          <w:rFonts w:eastAsia="Times New Roman"/>
          <w:b/>
          <w:bCs/>
          <w:i/>
          <w:iCs/>
          <w:color w:val="231F20"/>
          <w:sz w:val="20"/>
          <w:szCs w:val="20"/>
        </w:rPr>
        <w:t>stock.</w:t>
      </w:r>
    </w:p>
    <w:p w:rsidR="00000000" w:rsidRDefault="00FD7D3C">
      <w:pPr>
        <w:ind w:firstLine="1080"/>
        <w:divId w:val="972056729"/>
        <w:rPr>
          <w:rFonts w:eastAsia="Times New Roman"/>
        </w:rPr>
      </w:pPr>
      <w:r>
        <w:rPr>
          <w:rFonts w:eastAsia="Times New Roman"/>
          <w:color w:val="000000"/>
          <w:sz w:val="20"/>
          <w:szCs w:val="20"/>
        </w:rPr>
        <w:t>Effective internal controls over financial reporting are necessary for us to provide reliable financial reports and, together with adequate disclosure controls and procedures, are designed to prevent fraud. Any failure to implement required new or improve</w:t>
      </w:r>
      <w:r>
        <w:rPr>
          <w:rFonts w:eastAsia="Times New Roman"/>
          <w:color w:val="000000"/>
          <w:sz w:val="20"/>
          <w:szCs w:val="20"/>
        </w:rPr>
        <w:t>d controls, or difficulties encountered in their implementation could cause us to fail to meet our reporting obligations. In addition, any testing by us conducted in connection with Section 404, or any subsequent testing by our independent registered publi</w:t>
      </w:r>
      <w:r>
        <w:rPr>
          <w:rFonts w:eastAsia="Times New Roman"/>
          <w:color w:val="000000"/>
          <w:sz w:val="20"/>
          <w:szCs w:val="20"/>
        </w:rPr>
        <w:t>c accounting firm, may reveal deficiencies in our internal controls over financial reporting that are deemed to be material weaknesses or that may require prospective or retroactive changes to our financial statements or identify other areas for further at</w:t>
      </w:r>
      <w:r>
        <w:rPr>
          <w:rFonts w:eastAsia="Times New Roman"/>
          <w:color w:val="000000"/>
          <w:sz w:val="20"/>
          <w:szCs w:val="20"/>
        </w:rPr>
        <w:t>tention or improvement. Inferior internal controls could also cause investors to lose confidence in our reported financial information, which could have a negative effect on the trading price of our stock.</w:t>
      </w:r>
    </w:p>
    <w:p w:rsidR="00000000" w:rsidRDefault="00FD7D3C">
      <w:pPr>
        <w:ind w:firstLine="1080"/>
        <w:divId w:val="1314287556"/>
        <w:rPr>
          <w:rFonts w:eastAsia="Times New Roman"/>
        </w:rPr>
      </w:pPr>
      <w:r>
        <w:rPr>
          <w:rFonts w:eastAsia="Times New Roman"/>
          <w:b/>
          <w:bCs/>
          <w:i/>
          <w:iCs/>
          <w:color w:val="231F20"/>
          <w:sz w:val="20"/>
          <w:szCs w:val="20"/>
        </w:rPr>
        <w:t>Our disclosure</w:t>
      </w:r>
      <w:r>
        <w:rPr>
          <w:rFonts w:eastAsia="Times New Roman"/>
          <w:b/>
          <w:bCs/>
          <w:i/>
          <w:iCs/>
          <w:color w:val="231F20"/>
        </w:rPr>
        <w:t xml:space="preserve"> </w:t>
      </w:r>
      <w:r>
        <w:rPr>
          <w:rFonts w:eastAsia="Times New Roman"/>
          <w:b/>
          <w:bCs/>
          <w:i/>
          <w:iCs/>
          <w:color w:val="231F20"/>
          <w:sz w:val="20"/>
          <w:szCs w:val="20"/>
        </w:rPr>
        <w:t>controls</w:t>
      </w:r>
      <w:r>
        <w:rPr>
          <w:rFonts w:eastAsia="Times New Roman"/>
          <w:b/>
          <w:bCs/>
          <w:i/>
          <w:iCs/>
          <w:color w:val="231F20"/>
        </w:rPr>
        <w:t xml:space="preserve"> </w:t>
      </w:r>
      <w:r>
        <w:rPr>
          <w:rFonts w:eastAsia="Times New Roman"/>
          <w:b/>
          <w:bCs/>
          <w:i/>
          <w:iCs/>
          <w:color w:val="231F20"/>
          <w:sz w:val="20"/>
          <w:szCs w:val="20"/>
        </w:rPr>
        <w:t>and procedures</w:t>
      </w:r>
      <w:r>
        <w:rPr>
          <w:rFonts w:eastAsia="Times New Roman"/>
          <w:b/>
          <w:bCs/>
          <w:i/>
          <w:iCs/>
          <w:color w:val="231F20"/>
        </w:rPr>
        <w:t xml:space="preserve"> </w:t>
      </w:r>
      <w:r>
        <w:rPr>
          <w:rFonts w:eastAsia="Times New Roman"/>
          <w:b/>
          <w:bCs/>
          <w:i/>
          <w:iCs/>
          <w:color w:val="231F20"/>
          <w:sz w:val="20"/>
          <w:szCs w:val="20"/>
        </w:rPr>
        <w:t>may</w:t>
      </w:r>
      <w:r>
        <w:rPr>
          <w:rFonts w:eastAsia="Times New Roman"/>
          <w:b/>
          <w:bCs/>
          <w:i/>
          <w:iCs/>
          <w:color w:val="231F20"/>
        </w:rPr>
        <w:t xml:space="preserve"> </w:t>
      </w:r>
      <w:r>
        <w:rPr>
          <w:rFonts w:eastAsia="Times New Roman"/>
          <w:b/>
          <w:bCs/>
          <w:i/>
          <w:iCs/>
          <w:color w:val="231F20"/>
          <w:sz w:val="20"/>
          <w:szCs w:val="20"/>
        </w:rPr>
        <w:t>not pre</w:t>
      </w:r>
      <w:r>
        <w:rPr>
          <w:rFonts w:eastAsia="Times New Roman"/>
          <w:b/>
          <w:bCs/>
          <w:i/>
          <w:iCs/>
          <w:color w:val="231F20"/>
          <w:sz w:val="20"/>
          <w:szCs w:val="20"/>
        </w:rPr>
        <w:t>vent</w:t>
      </w:r>
      <w:r>
        <w:rPr>
          <w:rFonts w:eastAsia="Times New Roman"/>
          <w:b/>
          <w:bCs/>
          <w:i/>
          <w:iCs/>
          <w:color w:val="231F20"/>
        </w:rPr>
        <w:t xml:space="preserve"> </w:t>
      </w:r>
      <w:r>
        <w:rPr>
          <w:rFonts w:eastAsia="Times New Roman"/>
          <w:b/>
          <w:bCs/>
          <w:i/>
          <w:iCs/>
          <w:color w:val="231F20"/>
          <w:sz w:val="20"/>
          <w:szCs w:val="20"/>
        </w:rPr>
        <w:t>or detect</w:t>
      </w:r>
      <w:r>
        <w:rPr>
          <w:rFonts w:eastAsia="Times New Roman"/>
          <w:b/>
          <w:bCs/>
          <w:i/>
          <w:iCs/>
          <w:color w:val="231F20"/>
        </w:rPr>
        <w:t xml:space="preserve"> </w:t>
      </w:r>
      <w:r>
        <w:rPr>
          <w:rFonts w:eastAsia="Times New Roman"/>
          <w:b/>
          <w:bCs/>
          <w:i/>
          <w:iCs/>
          <w:color w:val="231F20"/>
          <w:sz w:val="20"/>
          <w:szCs w:val="20"/>
        </w:rPr>
        <w:t>all</w:t>
      </w:r>
      <w:r>
        <w:rPr>
          <w:rFonts w:eastAsia="Times New Roman"/>
          <w:b/>
          <w:bCs/>
          <w:i/>
          <w:iCs/>
          <w:color w:val="231F20"/>
        </w:rPr>
        <w:t xml:space="preserve"> </w:t>
      </w:r>
      <w:r>
        <w:rPr>
          <w:rFonts w:eastAsia="Times New Roman"/>
          <w:b/>
          <w:bCs/>
          <w:i/>
          <w:iCs/>
          <w:color w:val="231F20"/>
          <w:sz w:val="20"/>
          <w:szCs w:val="20"/>
        </w:rPr>
        <w:t>errors</w:t>
      </w:r>
      <w:r>
        <w:rPr>
          <w:rFonts w:eastAsia="Times New Roman"/>
          <w:b/>
          <w:bCs/>
          <w:i/>
          <w:iCs/>
          <w:color w:val="231F20"/>
        </w:rPr>
        <w:t xml:space="preserve"> </w:t>
      </w:r>
      <w:r>
        <w:rPr>
          <w:rFonts w:eastAsia="Times New Roman"/>
          <w:b/>
          <w:bCs/>
          <w:i/>
          <w:iCs/>
          <w:color w:val="231F20"/>
          <w:sz w:val="20"/>
          <w:szCs w:val="20"/>
        </w:rPr>
        <w:t>or acts</w:t>
      </w:r>
      <w:r>
        <w:rPr>
          <w:rFonts w:eastAsia="Times New Roman"/>
          <w:b/>
          <w:bCs/>
          <w:i/>
          <w:iCs/>
          <w:color w:val="231F20"/>
        </w:rPr>
        <w:t xml:space="preserve"> </w:t>
      </w:r>
      <w:r>
        <w:rPr>
          <w:rFonts w:eastAsia="Times New Roman"/>
          <w:b/>
          <w:bCs/>
          <w:i/>
          <w:iCs/>
          <w:color w:val="231F20"/>
          <w:sz w:val="20"/>
          <w:szCs w:val="20"/>
        </w:rPr>
        <w:t>of fraud.</w:t>
      </w:r>
    </w:p>
    <w:p w:rsidR="00000000" w:rsidRDefault="00FD7D3C">
      <w:pPr>
        <w:ind w:firstLine="1080"/>
        <w:divId w:val="1223440654"/>
        <w:rPr>
          <w:rFonts w:eastAsia="Times New Roman"/>
        </w:rPr>
      </w:pPr>
      <w:r>
        <w:rPr>
          <w:rFonts w:eastAsia="Times New Roman"/>
          <w:color w:val="000000"/>
          <w:sz w:val="20"/>
          <w:szCs w:val="20"/>
        </w:rPr>
        <w:t>As a public reporting company, we are subject to certain reporting requirements of the Exchange Act. Our disclosure controls and procedures are designed to reasonably assure that information required to be disclosed by us in reports we file or submit under</w:t>
      </w:r>
      <w:r>
        <w:rPr>
          <w:rFonts w:eastAsia="Times New Roman"/>
          <w:color w:val="000000"/>
          <w:sz w:val="20"/>
          <w:szCs w:val="20"/>
        </w:rPr>
        <w:t xml:space="preserve"> the Exchange Act is accumulated and communicated to management, recorded, processed, summarized and reported within the time periods specified in the rules and forms of the SEC. We believe that any disclosure controls and procedures or internal controls a</w:t>
      </w:r>
      <w:r>
        <w:rPr>
          <w:rFonts w:eastAsia="Times New Roman"/>
          <w:color w:val="000000"/>
          <w:sz w:val="20"/>
          <w:szCs w:val="20"/>
        </w:rPr>
        <w:t>nd procedures, no matter how well conceived and operated, can provide only reasonable, not absolute, assurance that the objectives of the control system are met. These inherent limitations include the realities that judgments in decision-making can be faul</w:t>
      </w:r>
      <w:r>
        <w:rPr>
          <w:rFonts w:eastAsia="Times New Roman"/>
          <w:color w:val="000000"/>
          <w:sz w:val="20"/>
          <w:szCs w:val="20"/>
        </w:rPr>
        <w:t xml:space="preserve">ty, and that breakdowns can occur because of simple error or mistake. Additionally, controls can be circumvented by the individual acts of some persons, by collusion of </w:t>
      </w:r>
    </w:p>
    <w:p w:rsidR="00000000" w:rsidRDefault="00FD7D3C">
      <w:pPr>
        <w:jc w:val="center"/>
        <w:divId w:val="1779792572"/>
        <w:rPr>
          <w:rFonts w:eastAsia="Times New Roman"/>
        </w:rPr>
      </w:pPr>
      <w:r>
        <w:rPr>
          <w:rFonts w:eastAsia="Times New Roman"/>
          <w:color w:val="000000"/>
          <w:sz w:val="20"/>
          <w:szCs w:val="20"/>
        </w:rPr>
        <w:t>86</w:t>
      </w:r>
    </w:p>
    <w:p w:rsidR="00000000" w:rsidRDefault="00FD7D3C">
      <w:pPr>
        <w:rPr>
          <w:rFonts w:eastAsia="Times New Roman"/>
        </w:rPr>
      </w:pPr>
      <w:r>
        <w:rPr>
          <w:rFonts w:eastAsia="Times New Roman"/>
        </w:rPr>
        <w:pict>
          <v:rect id="_x0000_i1139" style="width:0;height:1.5pt" o:hralign="center" o:hrstd="t" o:hr="t" fillcolor="#a0a0a0" stroked="f"/>
        </w:pict>
      </w:r>
    </w:p>
    <w:p w:rsidR="00000000" w:rsidRDefault="00FD7D3C">
      <w:pPr>
        <w:divId w:val="2053531279"/>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divId w:val="1625648648"/>
        <w:rPr>
          <w:rFonts w:eastAsia="Times New Roman"/>
        </w:rPr>
      </w:pPr>
      <w:r>
        <w:rPr>
          <w:rFonts w:eastAsia="Times New Roman"/>
          <w:color w:val="000000"/>
          <w:sz w:val="20"/>
          <w:szCs w:val="20"/>
        </w:rPr>
        <w:t>two or more people or by an unauthorized override of the controls. Accordingly, because of the inherent limitations in our control system, misstatements or insufficient disclosures due to error or fraud may occur and not be de</w:t>
      </w:r>
      <w:r>
        <w:rPr>
          <w:rFonts w:eastAsia="Times New Roman"/>
          <w:color w:val="000000"/>
          <w:sz w:val="20"/>
          <w:szCs w:val="20"/>
        </w:rPr>
        <w:t>tected.</w:t>
      </w:r>
    </w:p>
    <w:p w:rsidR="00000000" w:rsidRDefault="00FD7D3C">
      <w:pPr>
        <w:ind w:firstLine="1080"/>
        <w:divId w:val="1492065000"/>
        <w:rPr>
          <w:rFonts w:eastAsia="Times New Roman"/>
        </w:rPr>
      </w:pPr>
      <w:r>
        <w:rPr>
          <w:rFonts w:eastAsia="Times New Roman"/>
          <w:b/>
          <w:bCs/>
          <w:i/>
          <w:iCs/>
          <w:color w:val="231F20"/>
          <w:sz w:val="20"/>
          <w:szCs w:val="20"/>
        </w:rPr>
        <w:t>Our issuance</w:t>
      </w:r>
      <w:r>
        <w:rPr>
          <w:rFonts w:eastAsia="Times New Roman"/>
          <w:b/>
          <w:bCs/>
          <w:i/>
          <w:iCs/>
          <w:color w:val="231F20"/>
        </w:rPr>
        <w:t xml:space="preserve"> </w:t>
      </w:r>
      <w:r>
        <w:rPr>
          <w:rFonts w:eastAsia="Times New Roman"/>
          <w:b/>
          <w:bCs/>
          <w:i/>
          <w:iCs/>
          <w:color w:val="231F20"/>
          <w:sz w:val="20"/>
          <w:szCs w:val="20"/>
        </w:rPr>
        <w:t>of additional</w:t>
      </w:r>
      <w:r>
        <w:rPr>
          <w:rFonts w:eastAsia="Times New Roman"/>
          <w:b/>
          <w:bCs/>
          <w:i/>
          <w:iCs/>
          <w:color w:val="231F20"/>
        </w:rPr>
        <w:t xml:space="preserve"> </w:t>
      </w:r>
      <w:r>
        <w:rPr>
          <w:rFonts w:eastAsia="Times New Roman"/>
          <w:b/>
          <w:bCs/>
          <w:i/>
          <w:iCs/>
          <w:color w:val="231F20"/>
          <w:sz w:val="20"/>
          <w:szCs w:val="20"/>
        </w:rPr>
        <w:t>capital</w:t>
      </w:r>
      <w:r>
        <w:rPr>
          <w:rFonts w:eastAsia="Times New Roman"/>
          <w:b/>
          <w:bCs/>
          <w:i/>
          <w:iCs/>
          <w:color w:val="231F20"/>
        </w:rPr>
        <w:t xml:space="preserve"> </w:t>
      </w:r>
      <w:r>
        <w:rPr>
          <w:rFonts w:eastAsia="Times New Roman"/>
          <w:b/>
          <w:bCs/>
          <w:i/>
          <w:iCs/>
          <w:color w:val="231F20"/>
          <w:sz w:val="20"/>
          <w:szCs w:val="20"/>
        </w:rPr>
        <w:t>stock</w:t>
      </w:r>
      <w:r>
        <w:rPr>
          <w:rFonts w:eastAsia="Times New Roman"/>
          <w:b/>
          <w:bCs/>
          <w:i/>
          <w:iCs/>
          <w:color w:val="231F20"/>
        </w:rPr>
        <w:t xml:space="preserve"> </w:t>
      </w:r>
      <w:r>
        <w:rPr>
          <w:rFonts w:eastAsia="Times New Roman"/>
          <w:b/>
          <w:bCs/>
          <w:i/>
          <w:iCs/>
          <w:color w:val="231F20"/>
          <w:sz w:val="20"/>
          <w:szCs w:val="20"/>
        </w:rPr>
        <w:t>in connection</w:t>
      </w:r>
      <w:r>
        <w:rPr>
          <w:rFonts w:eastAsia="Times New Roman"/>
          <w:b/>
          <w:bCs/>
          <w:i/>
          <w:iCs/>
          <w:color w:val="231F20"/>
        </w:rPr>
        <w:t xml:space="preserve"> </w:t>
      </w:r>
      <w:r>
        <w:rPr>
          <w:rFonts w:eastAsia="Times New Roman"/>
          <w:b/>
          <w:bCs/>
          <w:i/>
          <w:iCs/>
          <w:color w:val="231F20"/>
          <w:sz w:val="20"/>
          <w:szCs w:val="20"/>
        </w:rPr>
        <w:t>with financings,</w:t>
      </w:r>
      <w:r>
        <w:rPr>
          <w:rFonts w:eastAsia="Times New Roman"/>
          <w:b/>
          <w:bCs/>
          <w:i/>
          <w:iCs/>
          <w:color w:val="231F20"/>
        </w:rPr>
        <w:t xml:space="preserve"> </w:t>
      </w:r>
      <w:r>
        <w:rPr>
          <w:rFonts w:eastAsia="Times New Roman"/>
          <w:b/>
          <w:bCs/>
          <w:i/>
          <w:iCs/>
          <w:color w:val="231F20"/>
          <w:sz w:val="20"/>
          <w:szCs w:val="20"/>
        </w:rPr>
        <w:t>acquisitions,</w:t>
      </w:r>
      <w:r>
        <w:rPr>
          <w:rFonts w:eastAsia="Times New Roman"/>
          <w:b/>
          <w:bCs/>
          <w:i/>
          <w:iCs/>
          <w:color w:val="231F20"/>
        </w:rPr>
        <w:t xml:space="preserve"> </w:t>
      </w:r>
      <w:r>
        <w:rPr>
          <w:rFonts w:eastAsia="Times New Roman"/>
          <w:b/>
          <w:bCs/>
          <w:i/>
          <w:iCs/>
          <w:color w:val="231F20"/>
          <w:sz w:val="20"/>
          <w:szCs w:val="20"/>
        </w:rPr>
        <w:t>investments,</w:t>
      </w:r>
      <w:r>
        <w:rPr>
          <w:rFonts w:eastAsia="Times New Roman"/>
          <w:b/>
          <w:bCs/>
          <w:i/>
          <w:iCs/>
          <w:color w:val="231F20"/>
        </w:rPr>
        <w:t xml:space="preserve"> </w:t>
      </w:r>
      <w:r>
        <w:rPr>
          <w:rFonts w:eastAsia="Times New Roman"/>
          <w:b/>
          <w:bCs/>
          <w:i/>
          <w:iCs/>
          <w:color w:val="231F20"/>
          <w:sz w:val="20"/>
          <w:szCs w:val="20"/>
        </w:rPr>
        <w:t>our stock incentive</w:t>
      </w:r>
      <w:r>
        <w:rPr>
          <w:rFonts w:eastAsia="Times New Roman"/>
          <w:b/>
          <w:bCs/>
          <w:i/>
          <w:iCs/>
          <w:color w:val="231F20"/>
        </w:rPr>
        <w:t xml:space="preserve"> </w:t>
      </w:r>
      <w:r>
        <w:rPr>
          <w:rFonts w:eastAsia="Times New Roman"/>
          <w:b/>
          <w:bCs/>
          <w:i/>
          <w:iCs/>
          <w:color w:val="231F20"/>
          <w:sz w:val="20"/>
          <w:szCs w:val="20"/>
        </w:rPr>
        <w:t>plans or otherwise</w:t>
      </w:r>
      <w:r>
        <w:rPr>
          <w:rFonts w:eastAsia="Times New Roman"/>
          <w:b/>
          <w:bCs/>
          <w:i/>
          <w:iCs/>
          <w:color w:val="231F20"/>
        </w:rPr>
        <w:t xml:space="preserve"> </w:t>
      </w:r>
      <w:r>
        <w:rPr>
          <w:rFonts w:eastAsia="Times New Roman"/>
          <w:b/>
          <w:bCs/>
          <w:i/>
          <w:iCs/>
          <w:color w:val="231F20"/>
          <w:sz w:val="20"/>
          <w:szCs w:val="20"/>
        </w:rPr>
        <w:t>will</w:t>
      </w:r>
      <w:r>
        <w:rPr>
          <w:rFonts w:eastAsia="Times New Roman"/>
          <w:b/>
          <w:bCs/>
          <w:i/>
          <w:iCs/>
          <w:color w:val="231F20"/>
        </w:rPr>
        <w:t xml:space="preserve"> </w:t>
      </w:r>
      <w:r>
        <w:rPr>
          <w:rFonts w:eastAsia="Times New Roman"/>
          <w:b/>
          <w:bCs/>
          <w:i/>
          <w:iCs/>
          <w:color w:val="231F20"/>
          <w:sz w:val="20"/>
          <w:szCs w:val="20"/>
        </w:rPr>
        <w:t>dilute</w:t>
      </w:r>
      <w:r>
        <w:rPr>
          <w:rFonts w:eastAsia="Times New Roman"/>
          <w:b/>
          <w:bCs/>
          <w:i/>
          <w:iCs/>
          <w:color w:val="231F20"/>
        </w:rPr>
        <w:t xml:space="preserve"> </w:t>
      </w:r>
      <w:r>
        <w:rPr>
          <w:rFonts w:eastAsia="Times New Roman"/>
          <w:b/>
          <w:bCs/>
          <w:i/>
          <w:iCs/>
          <w:color w:val="231F20"/>
          <w:sz w:val="20"/>
          <w:szCs w:val="20"/>
        </w:rPr>
        <w:t>all</w:t>
      </w:r>
      <w:r>
        <w:rPr>
          <w:rFonts w:eastAsia="Times New Roman"/>
          <w:b/>
          <w:bCs/>
          <w:i/>
          <w:iCs/>
          <w:color w:val="231F20"/>
        </w:rPr>
        <w:t xml:space="preserve"> </w:t>
      </w:r>
      <w:r>
        <w:rPr>
          <w:rFonts w:eastAsia="Times New Roman"/>
          <w:b/>
          <w:bCs/>
          <w:i/>
          <w:iCs/>
          <w:color w:val="231F20"/>
          <w:sz w:val="20"/>
          <w:szCs w:val="20"/>
        </w:rPr>
        <w:t>other</w:t>
      </w:r>
      <w:r>
        <w:rPr>
          <w:rFonts w:eastAsia="Times New Roman"/>
          <w:b/>
          <w:bCs/>
          <w:i/>
          <w:iCs/>
          <w:color w:val="231F20"/>
        </w:rPr>
        <w:t xml:space="preserve"> </w:t>
      </w:r>
      <w:r>
        <w:rPr>
          <w:rFonts w:eastAsia="Times New Roman"/>
          <w:b/>
          <w:bCs/>
          <w:i/>
          <w:iCs/>
          <w:color w:val="231F20"/>
          <w:sz w:val="20"/>
          <w:szCs w:val="20"/>
        </w:rPr>
        <w:t>stockholders.</w:t>
      </w:r>
    </w:p>
    <w:p w:rsidR="00000000" w:rsidRDefault="00FD7D3C">
      <w:pPr>
        <w:ind w:firstLine="1080"/>
        <w:divId w:val="909122279"/>
        <w:rPr>
          <w:rFonts w:eastAsia="Times New Roman"/>
        </w:rPr>
      </w:pPr>
      <w:r>
        <w:rPr>
          <w:rFonts w:eastAsia="Times New Roman"/>
          <w:color w:val="000000"/>
          <w:sz w:val="20"/>
          <w:szCs w:val="20"/>
        </w:rPr>
        <w:t>We expect to issue additional capital stock in the future that will result</w:t>
      </w:r>
      <w:r>
        <w:rPr>
          <w:rFonts w:eastAsia="Times New Roman"/>
          <w:color w:val="000000"/>
          <w:sz w:val="20"/>
          <w:szCs w:val="20"/>
        </w:rPr>
        <w:t xml:space="preserve"> in dilution to all other stockholders. We expect to continue to grant equity awards to employees, directors, and consultants under our stock incentive plans. We may also raise capital through equity financings in the future, including an "at-the-market" o</w:t>
      </w:r>
      <w:r>
        <w:rPr>
          <w:rFonts w:eastAsia="Times New Roman"/>
          <w:color w:val="000000"/>
          <w:sz w:val="20"/>
          <w:szCs w:val="20"/>
        </w:rPr>
        <w:t>ffering pursuant to our Controlled Equity Offerin</w:t>
      </w:r>
      <w:r>
        <w:rPr>
          <w:rFonts w:eastAsia="Times New Roman"/>
          <w:color w:val="000000"/>
          <w:sz w:val="20"/>
          <w:szCs w:val="20"/>
        </w:rPr>
        <w:t>g</w:t>
      </w:r>
      <w:r>
        <w:rPr>
          <w:rFonts w:eastAsia="Times New Roman"/>
          <w:color w:val="000000"/>
          <w:sz w:val="13"/>
          <w:szCs w:val="13"/>
        </w:rPr>
        <w:t>SM</w:t>
      </w:r>
      <w:r>
        <w:rPr>
          <w:rFonts w:eastAsia="Times New Roman"/>
          <w:color w:val="000000"/>
          <w:sz w:val="13"/>
          <w:szCs w:val="13"/>
        </w:rPr>
        <w:t xml:space="preserve"> </w:t>
      </w:r>
      <w:r>
        <w:rPr>
          <w:rFonts w:eastAsia="Times New Roman"/>
          <w:color w:val="000000"/>
          <w:sz w:val="20"/>
          <w:szCs w:val="20"/>
        </w:rPr>
        <w:t>Sales Agreement with Cantor Fitzgerald &amp; Co. As part of our business strategy, we may acquire or make investments in complementary companies, products or technologies and issue equity securities to pay f</w:t>
      </w:r>
      <w:r>
        <w:rPr>
          <w:rFonts w:eastAsia="Times New Roman"/>
          <w:color w:val="000000"/>
          <w:sz w:val="20"/>
          <w:szCs w:val="20"/>
        </w:rPr>
        <w:t>or any such acquisition or investment. Any such issuances of additional capital stock may cause stockholders to experience significant dilution of their ownership interests and the per share value of our common stock to decline.</w:t>
      </w:r>
    </w:p>
    <w:p w:rsidR="00000000" w:rsidRDefault="00FD7D3C">
      <w:pPr>
        <w:ind w:firstLine="1080"/>
        <w:divId w:val="238952151"/>
        <w:rPr>
          <w:rFonts w:eastAsia="Times New Roman"/>
        </w:rPr>
      </w:pPr>
      <w:r>
        <w:rPr>
          <w:rFonts w:eastAsia="Times New Roman"/>
          <w:b/>
          <w:bCs/>
          <w:i/>
          <w:iCs/>
          <w:color w:val="231F20"/>
          <w:sz w:val="20"/>
          <w:szCs w:val="20"/>
        </w:rPr>
        <w:t>If</w:t>
      </w:r>
      <w:r>
        <w:rPr>
          <w:rFonts w:eastAsia="Times New Roman"/>
          <w:b/>
          <w:bCs/>
          <w:i/>
          <w:iCs/>
          <w:color w:val="231F20"/>
        </w:rPr>
        <w:t xml:space="preserve"> </w:t>
      </w:r>
      <w:r>
        <w:rPr>
          <w:rFonts w:eastAsia="Times New Roman"/>
          <w:b/>
          <w:bCs/>
          <w:i/>
          <w:iCs/>
          <w:color w:val="231F20"/>
          <w:sz w:val="20"/>
          <w:szCs w:val="20"/>
        </w:rPr>
        <w:t>securities</w:t>
      </w:r>
      <w:r>
        <w:rPr>
          <w:rFonts w:eastAsia="Times New Roman"/>
          <w:b/>
          <w:bCs/>
          <w:i/>
          <w:iCs/>
          <w:color w:val="231F20"/>
        </w:rPr>
        <w:t xml:space="preserve"> </w:t>
      </w:r>
      <w:r>
        <w:rPr>
          <w:rFonts w:eastAsia="Times New Roman"/>
          <w:b/>
          <w:bCs/>
          <w:i/>
          <w:iCs/>
          <w:color w:val="231F20"/>
          <w:sz w:val="20"/>
          <w:szCs w:val="20"/>
        </w:rPr>
        <w:t>or industry</w:t>
      </w:r>
      <w:r>
        <w:rPr>
          <w:rFonts w:eastAsia="Times New Roman"/>
          <w:b/>
          <w:bCs/>
          <w:i/>
          <w:iCs/>
          <w:color w:val="231F20"/>
        </w:rPr>
        <w:t xml:space="preserve"> </w:t>
      </w:r>
      <w:r>
        <w:rPr>
          <w:rFonts w:eastAsia="Times New Roman"/>
          <w:b/>
          <w:bCs/>
          <w:i/>
          <w:iCs/>
          <w:color w:val="231F20"/>
          <w:sz w:val="20"/>
          <w:szCs w:val="20"/>
        </w:rPr>
        <w:t>analysts</w:t>
      </w:r>
      <w:r>
        <w:rPr>
          <w:rFonts w:eastAsia="Times New Roman"/>
          <w:b/>
          <w:bCs/>
          <w:i/>
          <w:iCs/>
          <w:color w:val="231F20"/>
        </w:rPr>
        <w:t xml:space="preserve"> </w:t>
      </w:r>
      <w:r>
        <w:rPr>
          <w:rFonts w:eastAsia="Times New Roman"/>
          <w:b/>
          <w:bCs/>
          <w:i/>
          <w:iCs/>
          <w:color w:val="231F20"/>
          <w:sz w:val="20"/>
          <w:szCs w:val="20"/>
        </w:rPr>
        <w:t>do not publish</w:t>
      </w:r>
      <w:r>
        <w:rPr>
          <w:rFonts w:eastAsia="Times New Roman"/>
          <w:b/>
          <w:bCs/>
          <w:i/>
          <w:iCs/>
          <w:color w:val="231F20"/>
        </w:rPr>
        <w:t xml:space="preserve"> </w:t>
      </w:r>
      <w:r>
        <w:rPr>
          <w:rFonts w:eastAsia="Times New Roman"/>
          <w:b/>
          <w:bCs/>
          <w:i/>
          <w:iCs/>
          <w:color w:val="231F20"/>
          <w:sz w:val="20"/>
          <w:szCs w:val="20"/>
        </w:rPr>
        <w:t>research</w:t>
      </w:r>
      <w:r>
        <w:rPr>
          <w:rFonts w:eastAsia="Times New Roman"/>
          <w:b/>
          <w:bCs/>
          <w:i/>
          <w:iCs/>
          <w:color w:val="231F20"/>
        </w:rPr>
        <w:t xml:space="preserve"> </w:t>
      </w:r>
      <w:r>
        <w:rPr>
          <w:rFonts w:eastAsia="Times New Roman"/>
          <w:b/>
          <w:bCs/>
          <w:i/>
          <w:iCs/>
          <w:color w:val="231F20"/>
          <w:sz w:val="20"/>
          <w:szCs w:val="20"/>
        </w:rPr>
        <w:t>or publish</w:t>
      </w:r>
      <w:r>
        <w:rPr>
          <w:rFonts w:eastAsia="Times New Roman"/>
          <w:b/>
          <w:bCs/>
          <w:i/>
          <w:iCs/>
          <w:color w:val="231F20"/>
        </w:rPr>
        <w:t xml:space="preserve"> </w:t>
      </w:r>
      <w:r>
        <w:rPr>
          <w:rFonts w:eastAsia="Times New Roman"/>
          <w:b/>
          <w:bCs/>
          <w:i/>
          <w:iCs/>
          <w:color w:val="231F20"/>
          <w:sz w:val="20"/>
          <w:szCs w:val="20"/>
        </w:rPr>
        <w:t>inaccurate</w:t>
      </w:r>
      <w:r>
        <w:rPr>
          <w:rFonts w:eastAsia="Times New Roman"/>
          <w:b/>
          <w:bCs/>
          <w:i/>
          <w:iCs/>
          <w:color w:val="231F20"/>
        </w:rPr>
        <w:t xml:space="preserve"> </w:t>
      </w:r>
      <w:r>
        <w:rPr>
          <w:rFonts w:eastAsia="Times New Roman"/>
          <w:b/>
          <w:bCs/>
          <w:i/>
          <w:iCs/>
          <w:color w:val="231F20"/>
          <w:sz w:val="20"/>
          <w:szCs w:val="20"/>
        </w:rPr>
        <w:t>or unfavorable</w:t>
      </w:r>
      <w:r>
        <w:rPr>
          <w:rFonts w:eastAsia="Times New Roman"/>
          <w:b/>
          <w:bCs/>
          <w:i/>
          <w:iCs/>
          <w:color w:val="231F20"/>
        </w:rPr>
        <w:t xml:space="preserve"> </w:t>
      </w:r>
      <w:r>
        <w:rPr>
          <w:rFonts w:eastAsia="Times New Roman"/>
          <w:b/>
          <w:bCs/>
          <w:i/>
          <w:iCs/>
          <w:color w:val="231F20"/>
          <w:sz w:val="20"/>
          <w:szCs w:val="20"/>
        </w:rPr>
        <w:t>research about our business,</w:t>
      </w:r>
      <w:r>
        <w:rPr>
          <w:rFonts w:eastAsia="Times New Roman"/>
          <w:b/>
          <w:bCs/>
          <w:i/>
          <w:iCs/>
          <w:color w:val="231F20"/>
        </w:rPr>
        <w:t xml:space="preserve"> </w:t>
      </w:r>
      <w:r>
        <w:rPr>
          <w:rFonts w:eastAsia="Times New Roman"/>
          <w:b/>
          <w:bCs/>
          <w:i/>
          <w:iCs/>
          <w:color w:val="231F20"/>
          <w:sz w:val="20"/>
          <w:szCs w:val="20"/>
        </w:rPr>
        <w:t>our stock</w:t>
      </w:r>
      <w:r>
        <w:rPr>
          <w:rFonts w:eastAsia="Times New Roman"/>
          <w:b/>
          <w:bCs/>
          <w:i/>
          <w:iCs/>
          <w:color w:val="231F20"/>
        </w:rPr>
        <w:t xml:space="preserve"> </w:t>
      </w:r>
      <w:r>
        <w:rPr>
          <w:rFonts w:eastAsia="Times New Roman"/>
          <w:b/>
          <w:bCs/>
          <w:i/>
          <w:iCs/>
          <w:color w:val="231F20"/>
          <w:sz w:val="20"/>
          <w:szCs w:val="20"/>
        </w:rPr>
        <w:t>price</w:t>
      </w:r>
      <w:r>
        <w:rPr>
          <w:rFonts w:eastAsia="Times New Roman"/>
          <w:b/>
          <w:bCs/>
          <w:i/>
          <w:iCs/>
          <w:color w:val="231F20"/>
        </w:rPr>
        <w:t xml:space="preserve"> </w:t>
      </w:r>
      <w:r>
        <w:rPr>
          <w:rFonts w:eastAsia="Times New Roman"/>
          <w:b/>
          <w:bCs/>
          <w:i/>
          <w:iCs/>
          <w:color w:val="231F20"/>
          <w:sz w:val="20"/>
          <w:szCs w:val="20"/>
        </w:rPr>
        <w:t>and trading</w:t>
      </w:r>
      <w:r>
        <w:rPr>
          <w:rFonts w:eastAsia="Times New Roman"/>
          <w:b/>
          <w:bCs/>
          <w:i/>
          <w:iCs/>
          <w:color w:val="231F20"/>
        </w:rPr>
        <w:t xml:space="preserve"> </w:t>
      </w:r>
      <w:r>
        <w:rPr>
          <w:rFonts w:eastAsia="Times New Roman"/>
          <w:b/>
          <w:bCs/>
          <w:i/>
          <w:iCs/>
          <w:color w:val="231F20"/>
          <w:sz w:val="20"/>
          <w:szCs w:val="20"/>
        </w:rPr>
        <w:t>volume</w:t>
      </w:r>
      <w:r>
        <w:rPr>
          <w:rFonts w:eastAsia="Times New Roman"/>
          <w:b/>
          <w:bCs/>
          <w:i/>
          <w:iCs/>
          <w:color w:val="231F20"/>
        </w:rPr>
        <w:t xml:space="preserve"> </w:t>
      </w:r>
      <w:r>
        <w:rPr>
          <w:rFonts w:eastAsia="Times New Roman"/>
          <w:b/>
          <w:bCs/>
          <w:i/>
          <w:iCs/>
          <w:color w:val="231F20"/>
          <w:sz w:val="20"/>
          <w:szCs w:val="20"/>
        </w:rPr>
        <w:t>could decline.</w:t>
      </w:r>
    </w:p>
    <w:p w:rsidR="00000000" w:rsidRDefault="00FD7D3C">
      <w:pPr>
        <w:ind w:firstLine="1080"/>
        <w:divId w:val="714889673"/>
        <w:rPr>
          <w:rFonts w:eastAsia="Times New Roman"/>
        </w:rPr>
      </w:pPr>
      <w:r>
        <w:rPr>
          <w:rFonts w:eastAsia="Times New Roman"/>
          <w:color w:val="000000"/>
          <w:sz w:val="20"/>
          <w:szCs w:val="20"/>
        </w:rPr>
        <w:t>The trading market for our common stock depends in part on the research and reports that securi</w:t>
      </w:r>
      <w:r>
        <w:rPr>
          <w:rFonts w:eastAsia="Times New Roman"/>
          <w:color w:val="000000"/>
          <w:sz w:val="20"/>
          <w:szCs w:val="20"/>
        </w:rPr>
        <w:t xml:space="preserve">ties or industry analysts publish about us or our business. If one or more of the analysts who covers us downgrades our stock or publishes inaccurate or unfavorable research about our business, our stock price may decline. If one or more of these analysts </w:t>
      </w:r>
      <w:r>
        <w:rPr>
          <w:rFonts w:eastAsia="Times New Roman"/>
          <w:color w:val="000000"/>
          <w:sz w:val="20"/>
          <w:szCs w:val="20"/>
        </w:rPr>
        <w:t>ceases coverage of our company or fails to publish reports on us regularly, demand for our stock could decrease, which might cause our stock price and trading volume to decline.</w:t>
      </w:r>
    </w:p>
    <w:p w:rsidR="00000000" w:rsidRDefault="00FD7D3C">
      <w:pPr>
        <w:ind w:firstLine="1080"/>
        <w:divId w:val="466362914"/>
        <w:rPr>
          <w:rFonts w:eastAsia="Times New Roman"/>
        </w:rPr>
      </w:pPr>
      <w:r>
        <w:rPr>
          <w:rFonts w:eastAsia="Times New Roman"/>
          <w:b/>
          <w:bCs/>
          <w:i/>
          <w:iCs/>
          <w:color w:val="231F20"/>
          <w:sz w:val="20"/>
          <w:szCs w:val="20"/>
        </w:rPr>
        <w:t>We incur significant</w:t>
      </w:r>
      <w:r>
        <w:rPr>
          <w:rFonts w:eastAsia="Times New Roman"/>
          <w:b/>
          <w:bCs/>
          <w:i/>
          <w:iCs/>
          <w:color w:val="231F20"/>
        </w:rPr>
        <w:t xml:space="preserve"> </w:t>
      </w:r>
      <w:r>
        <w:rPr>
          <w:rFonts w:eastAsia="Times New Roman"/>
          <w:b/>
          <w:bCs/>
          <w:i/>
          <w:iCs/>
          <w:color w:val="231F20"/>
          <w:sz w:val="20"/>
          <w:szCs w:val="20"/>
        </w:rPr>
        <w:t>increased</w:t>
      </w:r>
      <w:r>
        <w:rPr>
          <w:rFonts w:eastAsia="Times New Roman"/>
          <w:b/>
          <w:bCs/>
          <w:i/>
          <w:iCs/>
          <w:color w:val="231F20"/>
        </w:rPr>
        <w:t xml:space="preserve"> </w:t>
      </w:r>
      <w:r>
        <w:rPr>
          <w:rFonts w:eastAsia="Times New Roman"/>
          <w:b/>
          <w:bCs/>
          <w:i/>
          <w:iCs/>
          <w:color w:val="231F20"/>
          <w:sz w:val="20"/>
          <w:szCs w:val="20"/>
        </w:rPr>
        <w:t>costs</w:t>
      </w:r>
      <w:r>
        <w:rPr>
          <w:rFonts w:eastAsia="Times New Roman"/>
          <w:b/>
          <w:bCs/>
          <w:i/>
          <w:iCs/>
          <w:color w:val="231F20"/>
        </w:rPr>
        <w:t xml:space="preserve"> </w:t>
      </w:r>
      <w:r>
        <w:rPr>
          <w:rFonts w:eastAsia="Times New Roman"/>
          <w:b/>
          <w:bCs/>
          <w:i/>
          <w:iCs/>
          <w:color w:val="231F20"/>
          <w:sz w:val="20"/>
          <w:szCs w:val="20"/>
        </w:rPr>
        <w:t>as a result</w:t>
      </w:r>
      <w:r>
        <w:rPr>
          <w:rFonts w:eastAsia="Times New Roman"/>
          <w:b/>
          <w:bCs/>
          <w:i/>
          <w:iCs/>
          <w:color w:val="231F20"/>
        </w:rPr>
        <w:t xml:space="preserve"> </w:t>
      </w:r>
      <w:r>
        <w:rPr>
          <w:rFonts w:eastAsia="Times New Roman"/>
          <w:b/>
          <w:bCs/>
          <w:i/>
          <w:iCs/>
          <w:color w:val="231F20"/>
          <w:sz w:val="20"/>
          <w:szCs w:val="20"/>
        </w:rPr>
        <w:t>of operating</w:t>
      </w:r>
      <w:r>
        <w:rPr>
          <w:rFonts w:eastAsia="Times New Roman"/>
          <w:b/>
          <w:bCs/>
          <w:i/>
          <w:iCs/>
          <w:color w:val="231F20"/>
        </w:rPr>
        <w:t xml:space="preserve"> </w:t>
      </w:r>
      <w:r>
        <w:rPr>
          <w:rFonts w:eastAsia="Times New Roman"/>
          <w:b/>
          <w:bCs/>
          <w:i/>
          <w:iCs/>
          <w:color w:val="231F20"/>
          <w:sz w:val="20"/>
          <w:szCs w:val="20"/>
        </w:rPr>
        <w:t>as a public</w:t>
      </w:r>
      <w:r>
        <w:rPr>
          <w:rFonts w:eastAsia="Times New Roman"/>
          <w:b/>
          <w:bCs/>
          <w:i/>
          <w:iCs/>
          <w:color w:val="231F20"/>
        </w:rPr>
        <w:t xml:space="preserve"> </w:t>
      </w:r>
      <w:r>
        <w:rPr>
          <w:rFonts w:eastAsia="Times New Roman"/>
          <w:b/>
          <w:bCs/>
          <w:i/>
          <w:iCs/>
          <w:color w:val="231F20"/>
          <w:sz w:val="20"/>
          <w:szCs w:val="20"/>
        </w:rPr>
        <w:t>comp</w:t>
      </w:r>
      <w:r>
        <w:rPr>
          <w:rFonts w:eastAsia="Times New Roman"/>
          <w:b/>
          <w:bCs/>
          <w:i/>
          <w:iCs/>
          <w:color w:val="231F20"/>
          <w:sz w:val="20"/>
          <w:szCs w:val="20"/>
        </w:rPr>
        <w:t>any,</w:t>
      </w:r>
      <w:r>
        <w:rPr>
          <w:rFonts w:eastAsia="Times New Roman"/>
          <w:b/>
          <w:bCs/>
          <w:i/>
          <w:iCs/>
          <w:color w:val="231F20"/>
        </w:rPr>
        <w:t xml:space="preserve"> </w:t>
      </w:r>
      <w:r>
        <w:rPr>
          <w:rFonts w:eastAsia="Times New Roman"/>
          <w:b/>
          <w:bCs/>
          <w:i/>
          <w:iCs/>
          <w:color w:val="231F20"/>
          <w:sz w:val="20"/>
          <w:szCs w:val="20"/>
        </w:rPr>
        <w:t>and our management</w:t>
      </w:r>
      <w:r>
        <w:rPr>
          <w:rFonts w:eastAsia="Times New Roman"/>
          <w:b/>
          <w:bCs/>
          <w:i/>
          <w:iCs/>
          <w:color w:val="231F20"/>
        </w:rPr>
        <w:t xml:space="preserve"> </w:t>
      </w:r>
      <w:r>
        <w:rPr>
          <w:rFonts w:eastAsia="Times New Roman"/>
          <w:b/>
          <w:bCs/>
          <w:i/>
          <w:iCs/>
          <w:color w:val="231F20"/>
          <w:sz w:val="20"/>
          <w:szCs w:val="20"/>
        </w:rPr>
        <w:t>is required</w:t>
      </w:r>
      <w:r>
        <w:rPr>
          <w:rFonts w:eastAsia="Times New Roman"/>
          <w:b/>
          <w:bCs/>
          <w:i/>
          <w:iCs/>
          <w:color w:val="231F20"/>
        </w:rPr>
        <w:t xml:space="preserve"> </w:t>
      </w:r>
      <w:r>
        <w:rPr>
          <w:rFonts w:eastAsia="Times New Roman"/>
          <w:b/>
          <w:bCs/>
          <w:i/>
          <w:iCs/>
          <w:color w:val="231F20"/>
          <w:sz w:val="20"/>
          <w:szCs w:val="20"/>
        </w:rPr>
        <w:t>to devote</w:t>
      </w:r>
      <w:r>
        <w:rPr>
          <w:rFonts w:eastAsia="Times New Roman"/>
          <w:b/>
          <w:bCs/>
          <w:i/>
          <w:iCs/>
          <w:color w:val="231F20"/>
        </w:rPr>
        <w:t xml:space="preserve"> </w:t>
      </w:r>
      <w:r>
        <w:rPr>
          <w:rFonts w:eastAsia="Times New Roman"/>
          <w:b/>
          <w:bCs/>
          <w:i/>
          <w:iCs/>
          <w:color w:val="231F20"/>
          <w:sz w:val="20"/>
          <w:szCs w:val="20"/>
        </w:rPr>
        <w:t>substantial</w:t>
      </w:r>
      <w:r>
        <w:rPr>
          <w:rFonts w:eastAsia="Times New Roman"/>
          <w:b/>
          <w:bCs/>
          <w:i/>
          <w:iCs/>
          <w:color w:val="231F20"/>
        </w:rPr>
        <w:t xml:space="preserve"> </w:t>
      </w:r>
      <w:r>
        <w:rPr>
          <w:rFonts w:eastAsia="Times New Roman"/>
          <w:b/>
          <w:bCs/>
          <w:i/>
          <w:iCs/>
          <w:color w:val="231F20"/>
          <w:sz w:val="20"/>
          <w:szCs w:val="20"/>
        </w:rPr>
        <w:t>time</w:t>
      </w:r>
      <w:r>
        <w:rPr>
          <w:rFonts w:eastAsia="Times New Roman"/>
          <w:b/>
          <w:bCs/>
          <w:i/>
          <w:iCs/>
          <w:color w:val="231F20"/>
        </w:rPr>
        <w:t xml:space="preserve"> </w:t>
      </w:r>
      <w:r>
        <w:rPr>
          <w:rFonts w:eastAsia="Times New Roman"/>
          <w:b/>
          <w:bCs/>
          <w:i/>
          <w:iCs/>
          <w:color w:val="231F20"/>
          <w:sz w:val="20"/>
          <w:szCs w:val="20"/>
        </w:rPr>
        <w:t>to new compliance</w:t>
      </w:r>
      <w:r>
        <w:rPr>
          <w:rFonts w:eastAsia="Times New Roman"/>
          <w:b/>
          <w:bCs/>
          <w:i/>
          <w:iCs/>
          <w:color w:val="231F20"/>
        </w:rPr>
        <w:t xml:space="preserve"> </w:t>
      </w:r>
      <w:r>
        <w:rPr>
          <w:rFonts w:eastAsia="Times New Roman"/>
          <w:b/>
          <w:bCs/>
          <w:i/>
          <w:iCs/>
          <w:color w:val="231F20"/>
          <w:sz w:val="20"/>
          <w:szCs w:val="20"/>
        </w:rPr>
        <w:t>initiatives.</w:t>
      </w:r>
    </w:p>
    <w:p w:rsidR="00000000" w:rsidRDefault="00FD7D3C">
      <w:pPr>
        <w:ind w:firstLine="1080"/>
        <w:divId w:val="55402289"/>
        <w:rPr>
          <w:rFonts w:eastAsia="Times New Roman"/>
        </w:rPr>
      </w:pPr>
      <w:r>
        <w:rPr>
          <w:rFonts w:eastAsia="Times New Roman"/>
          <w:color w:val="000000"/>
          <w:sz w:val="20"/>
          <w:szCs w:val="20"/>
        </w:rPr>
        <w:t xml:space="preserve">As a public company, we incur significant legal, accounting and other expenses. We are subject to the reporting requirements of the Exchange Act, which requires, </w:t>
      </w:r>
      <w:r>
        <w:rPr>
          <w:rFonts w:eastAsia="Times New Roman"/>
          <w:color w:val="000000"/>
          <w:sz w:val="20"/>
          <w:szCs w:val="20"/>
        </w:rPr>
        <w:t xml:space="preserve">among other things, that we file with the SEC annual, quarterly and current reports with respect to our business and financial condition. In addition, the Sarbanes-Oxley Act, as well as rules subsequently adopted by the SEC and the Nasdaq Stock Market, or </w:t>
      </w:r>
      <w:r>
        <w:rPr>
          <w:rFonts w:eastAsia="Times New Roman"/>
          <w:color w:val="000000"/>
          <w:sz w:val="20"/>
          <w:szCs w:val="20"/>
        </w:rPr>
        <w:t>Nasdaq, to implement provisions of the Sarbanes-Oxley Act, impose significant requirements on public companies, including requiring establishment and maintenance of effective disclosure and financial reporting controls and changes in corporate governance p</w:t>
      </w:r>
      <w:r>
        <w:rPr>
          <w:rFonts w:eastAsia="Times New Roman"/>
          <w:color w:val="000000"/>
          <w:sz w:val="20"/>
          <w:szCs w:val="20"/>
        </w:rPr>
        <w:t>ractices. Further, there are significant corporate governance and executive compensation related provisions in the Dodd-Frank Act that require the SEC to adopt additional rules and regulations in these areas such as “say on pay” and proxy access. Stockhold</w:t>
      </w:r>
      <w:r>
        <w:rPr>
          <w:rFonts w:eastAsia="Times New Roman"/>
          <w:color w:val="000000"/>
          <w:sz w:val="20"/>
          <w:szCs w:val="20"/>
        </w:rPr>
        <w:t>er activism, the current political environment and the current high level of government intervention and regulatory reform may lead to substantial new regulations and disclosure obligations, which may lead to additional compliance costs and impact the mann</w:t>
      </w:r>
      <w:r>
        <w:rPr>
          <w:rFonts w:eastAsia="Times New Roman"/>
          <w:color w:val="000000"/>
          <w:sz w:val="20"/>
          <w:szCs w:val="20"/>
        </w:rPr>
        <w:t>er in which we operate our business in ways we cannot currently anticipate.</w:t>
      </w:r>
    </w:p>
    <w:p w:rsidR="00000000" w:rsidRDefault="00FD7D3C">
      <w:pPr>
        <w:ind w:firstLine="1080"/>
        <w:divId w:val="41759567"/>
        <w:rPr>
          <w:rFonts w:eastAsia="Times New Roman"/>
        </w:rPr>
      </w:pPr>
      <w:r>
        <w:rPr>
          <w:rFonts w:eastAsia="Times New Roman"/>
          <w:color w:val="000000"/>
          <w:sz w:val="20"/>
          <w:szCs w:val="20"/>
        </w:rPr>
        <w:t>We expect the rules and regulations applicable to public companies to substantially increase our legal and financial compliance costs and to make some activities more time-consumin</w:t>
      </w:r>
      <w:r>
        <w:rPr>
          <w:rFonts w:eastAsia="Times New Roman"/>
          <w:color w:val="000000"/>
          <w:sz w:val="20"/>
          <w:szCs w:val="20"/>
        </w:rPr>
        <w:t>g and costly, particularly as we ceased to be an emerging growth company on December 31, 2021. If these requirements divert the attention of our management and personnel from other business concerns, they could have an adverse effect on our business. The i</w:t>
      </w:r>
      <w:r>
        <w:rPr>
          <w:rFonts w:eastAsia="Times New Roman"/>
          <w:color w:val="000000"/>
          <w:sz w:val="20"/>
          <w:szCs w:val="20"/>
        </w:rPr>
        <w:t>ncreased costs will decrease our net income or increase our net loss, and may require us to reduce costs in other areas of our business or increase the prices of our products or services. For example, we expect these rules and regulations to make it more d</w:t>
      </w:r>
      <w:r>
        <w:rPr>
          <w:rFonts w:eastAsia="Times New Roman"/>
          <w:color w:val="000000"/>
          <w:sz w:val="20"/>
          <w:szCs w:val="20"/>
        </w:rPr>
        <w:t xml:space="preserve">ifficult and more expensive for us to obtain director and officer liability insurance and we may be required to incur substantial costs to maintain the same or similar coverage. We cannot predict or estimate the amount or timing of additional costs we may </w:t>
      </w:r>
      <w:r>
        <w:rPr>
          <w:rFonts w:eastAsia="Times New Roman"/>
          <w:color w:val="000000"/>
          <w:sz w:val="20"/>
          <w:szCs w:val="20"/>
        </w:rPr>
        <w:t>incur to respond to these requirements. The impact of these requirements could also make it more difficult for us to attract and retain qualified persons to serve on our board of directors, our board committees or as executive officers.</w:t>
      </w:r>
    </w:p>
    <w:p w:rsidR="00000000" w:rsidRDefault="00FD7D3C">
      <w:pPr>
        <w:ind w:firstLine="1080"/>
        <w:divId w:val="2132043640"/>
        <w:rPr>
          <w:rFonts w:eastAsia="Times New Roman"/>
        </w:rPr>
      </w:pPr>
      <w:r>
        <w:rPr>
          <w:rFonts w:eastAsia="Times New Roman"/>
          <w:b/>
          <w:bCs/>
          <w:i/>
          <w:iCs/>
          <w:color w:val="231F20"/>
          <w:sz w:val="20"/>
          <w:szCs w:val="20"/>
        </w:rPr>
        <w:t>We may</w:t>
      </w:r>
      <w:r>
        <w:rPr>
          <w:rFonts w:eastAsia="Times New Roman"/>
          <w:b/>
          <w:bCs/>
          <w:i/>
          <w:iCs/>
          <w:color w:val="231F20"/>
        </w:rPr>
        <w:t xml:space="preserve"> </w:t>
      </w:r>
      <w:r>
        <w:rPr>
          <w:rFonts w:eastAsia="Times New Roman"/>
          <w:b/>
          <w:bCs/>
          <w:i/>
          <w:iCs/>
          <w:color w:val="231F20"/>
          <w:sz w:val="20"/>
          <w:szCs w:val="20"/>
        </w:rPr>
        <w:t>incur substa</w:t>
      </w:r>
      <w:r>
        <w:rPr>
          <w:rFonts w:eastAsia="Times New Roman"/>
          <w:b/>
          <w:bCs/>
          <w:i/>
          <w:iCs/>
          <w:color w:val="231F20"/>
          <w:sz w:val="20"/>
          <w:szCs w:val="20"/>
        </w:rPr>
        <w:t>ntial</w:t>
      </w:r>
      <w:r>
        <w:rPr>
          <w:rFonts w:eastAsia="Times New Roman"/>
          <w:b/>
          <w:bCs/>
          <w:i/>
          <w:iCs/>
          <w:color w:val="231F20"/>
        </w:rPr>
        <w:t xml:space="preserve"> </w:t>
      </w:r>
      <w:r>
        <w:rPr>
          <w:rFonts w:eastAsia="Times New Roman"/>
          <w:b/>
          <w:bCs/>
          <w:i/>
          <w:iCs/>
          <w:color w:val="231F20"/>
          <w:sz w:val="20"/>
          <w:szCs w:val="20"/>
        </w:rPr>
        <w:t>costs</w:t>
      </w:r>
      <w:r>
        <w:rPr>
          <w:rFonts w:eastAsia="Times New Roman"/>
          <w:b/>
          <w:bCs/>
          <w:i/>
          <w:iCs/>
          <w:color w:val="231F20"/>
        </w:rPr>
        <w:t xml:space="preserve"> </w:t>
      </w:r>
      <w:r>
        <w:rPr>
          <w:rFonts w:eastAsia="Times New Roman"/>
          <w:b/>
          <w:bCs/>
          <w:i/>
          <w:iCs/>
          <w:color w:val="231F20"/>
          <w:sz w:val="20"/>
          <w:szCs w:val="20"/>
        </w:rPr>
        <w:t>in our efforts</w:t>
      </w:r>
      <w:r>
        <w:rPr>
          <w:rFonts w:eastAsia="Times New Roman"/>
          <w:b/>
          <w:bCs/>
          <w:i/>
          <w:iCs/>
          <w:color w:val="231F20"/>
        </w:rPr>
        <w:t xml:space="preserve"> </w:t>
      </w:r>
      <w:r>
        <w:rPr>
          <w:rFonts w:eastAsia="Times New Roman"/>
          <w:b/>
          <w:bCs/>
          <w:i/>
          <w:iCs/>
          <w:color w:val="231F20"/>
          <w:sz w:val="20"/>
          <w:szCs w:val="20"/>
        </w:rPr>
        <w:t>to comply</w:t>
      </w:r>
      <w:r>
        <w:rPr>
          <w:rFonts w:eastAsia="Times New Roman"/>
          <w:b/>
          <w:bCs/>
          <w:i/>
          <w:iCs/>
          <w:color w:val="231F20"/>
        </w:rPr>
        <w:t xml:space="preserve"> </w:t>
      </w:r>
      <w:r>
        <w:rPr>
          <w:rFonts w:eastAsia="Times New Roman"/>
          <w:b/>
          <w:bCs/>
          <w:i/>
          <w:iCs/>
          <w:color w:val="231F20"/>
          <w:sz w:val="20"/>
          <w:szCs w:val="20"/>
        </w:rPr>
        <w:t>with evolving</w:t>
      </w:r>
      <w:r>
        <w:rPr>
          <w:rFonts w:eastAsia="Times New Roman"/>
          <w:b/>
          <w:bCs/>
          <w:i/>
          <w:iCs/>
          <w:color w:val="231F20"/>
        </w:rPr>
        <w:t xml:space="preserve"> </w:t>
      </w:r>
      <w:r>
        <w:rPr>
          <w:rFonts w:eastAsia="Times New Roman"/>
          <w:b/>
          <w:bCs/>
          <w:i/>
          <w:iCs/>
          <w:color w:val="231F20"/>
          <w:sz w:val="20"/>
          <w:szCs w:val="20"/>
        </w:rPr>
        <w:t>global</w:t>
      </w:r>
      <w:r>
        <w:rPr>
          <w:rFonts w:eastAsia="Times New Roman"/>
          <w:b/>
          <w:bCs/>
          <w:i/>
          <w:iCs/>
          <w:color w:val="231F20"/>
        </w:rPr>
        <w:t xml:space="preserve"> </w:t>
      </w:r>
      <w:r>
        <w:rPr>
          <w:rFonts w:eastAsia="Times New Roman"/>
          <w:b/>
          <w:bCs/>
          <w:i/>
          <w:iCs/>
          <w:color w:val="231F20"/>
          <w:sz w:val="20"/>
          <w:szCs w:val="20"/>
        </w:rPr>
        <w:t>data protection</w:t>
      </w:r>
      <w:r>
        <w:rPr>
          <w:rFonts w:eastAsia="Times New Roman"/>
          <w:b/>
          <w:bCs/>
          <w:i/>
          <w:iCs/>
          <w:color w:val="231F20"/>
        </w:rPr>
        <w:t xml:space="preserve"> </w:t>
      </w:r>
      <w:r>
        <w:rPr>
          <w:rFonts w:eastAsia="Times New Roman"/>
          <w:b/>
          <w:bCs/>
          <w:i/>
          <w:iCs/>
          <w:color w:val="231F20"/>
          <w:sz w:val="20"/>
          <w:szCs w:val="20"/>
        </w:rPr>
        <w:t>laws and regulations,</w:t>
      </w:r>
      <w:r>
        <w:rPr>
          <w:rFonts w:eastAsia="Times New Roman"/>
          <w:b/>
          <w:bCs/>
          <w:i/>
          <w:iCs/>
          <w:color w:val="231F20"/>
        </w:rPr>
        <w:t xml:space="preserve"> </w:t>
      </w:r>
      <w:r>
        <w:rPr>
          <w:rFonts w:eastAsia="Times New Roman"/>
          <w:b/>
          <w:bCs/>
          <w:i/>
          <w:iCs/>
          <w:color w:val="231F20"/>
          <w:sz w:val="20"/>
          <w:szCs w:val="20"/>
        </w:rPr>
        <w:t>and any failure</w:t>
      </w:r>
      <w:r>
        <w:rPr>
          <w:rFonts w:eastAsia="Times New Roman"/>
          <w:b/>
          <w:bCs/>
          <w:i/>
          <w:iCs/>
          <w:color w:val="231F20"/>
        </w:rPr>
        <w:t xml:space="preserve"> </w:t>
      </w:r>
      <w:r>
        <w:rPr>
          <w:rFonts w:eastAsia="Times New Roman"/>
          <w:b/>
          <w:bCs/>
          <w:i/>
          <w:iCs/>
          <w:color w:val="231F20"/>
          <w:sz w:val="20"/>
          <w:szCs w:val="20"/>
        </w:rPr>
        <w:t>or perceived</w:t>
      </w:r>
      <w:r>
        <w:rPr>
          <w:rFonts w:eastAsia="Times New Roman"/>
          <w:b/>
          <w:bCs/>
          <w:i/>
          <w:iCs/>
          <w:color w:val="231F20"/>
        </w:rPr>
        <w:t xml:space="preserve"> </w:t>
      </w:r>
      <w:r>
        <w:rPr>
          <w:rFonts w:eastAsia="Times New Roman"/>
          <w:b/>
          <w:bCs/>
          <w:i/>
          <w:iCs/>
          <w:color w:val="231F20"/>
          <w:sz w:val="20"/>
          <w:szCs w:val="20"/>
        </w:rPr>
        <w:t>failure</w:t>
      </w:r>
      <w:r>
        <w:rPr>
          <w:rFonts w:eastAsia="Times New Roman"/>
          <w:b/>
          <w:bCs/>
          <w:i/>
          <w:iCs/>
          <w:color w:val="231F20"/>
        </w:rPr>
        <w:t xml:space="preserve"> </w:t>
      </w:r>
      <w:r>
        <w:rPr>
          <w:rFonts w:eastAsia="Times New Roman"/>
          <w:b/>
          <w:bCs/>
          <w:i/>
          <w:iCs/>
          <w:color w:val="231F20"/>
          <w:sz w:val="20"/>
          <w:szCs w:val="20"/>
        </w:rPr>
        <w:t>by us to comply</w:t>
      </w:r>
      <w:r>
        <w:rPr>
          <w:rFonts w:eastAsia="Times New Roman"/>
          <w:b/>
          <w:bCs/>
          <w:i/>
          <w:iCs/>
          <w:color w:val="231F20"/>
        </w:rPr>
        <w:t xml:space="preserve"> </w:t>
      </w:r>
      <w:r>
        <w:rPr>
          <w:rFonts w:eastAsia="Times New Roman"/>
          <w:b/>
          <w:bCs/>
          <w:i/>
          <w:iCs/>
          <w:color w:val="231F20"/>
          <w:sz w:val="20"/>
          <w:szCs w:val="20"/>
        </w:rPr>
        <w:t>with such laws and regulations</w:t>
      </w:r>
      <w:r>
        <w:rPr>
          <w:rFonts w:eastAsia="Times New Roman"/>
          <w:b/>
          <w:bCs/>
          <w:i/>
          <w:iCs/>
          <w:color w:val="231F20"/>
        </w:rPr>
        <w:t xml:space="preserve"> </w:t>
      </w:r>
      <w:r>
        <w:rPr>
          <w:rFonts w:eastAsia="Times New Roman"/>
          <w:b/>
          <w:bCs/>
          <w:i/>
          <w:iCs/>
          <w:color w:val="231F20"/>
          <w:sz w:val="20"/>
          <w:szCs w:val="20"/>
        </w:rPr>
        <w:t>may</w:t>
      </w:r>
      <w:r>
        <w:rPr>
          <w:rFonts w:eastAsia="Times New Roman"/>
          <w:b/>
          <w:bCs/>
          <w:i/>
          <w:iCs/>
          <w:color w:val="231F20"/>
        </w:rPr>
        <w:t xml:space="preserve"> </w:t>
      </w:r>
      <w:r>
        <w:rPr>
          <w:rFonts w:eastAsia="Times New Roman"/>
          <w:b/>
          <w:bCs/>
          <w:i/>
          <w:iCs/>
          <w:color w:val="231F20"/>
          <w:sz w:val="20"/>
          <w:szCs w:val="20"/>
        </w:rPr>
        <w:t>harm our business</w:t>
      </w:r>
      <w:r>
        <w:rPr>
          <w:rFonts w:eastAsia="Times New Roman"/>
          <w:b/>
          <w:bCs/>
          <w:i/>
          <w:iCs/>
          <w:color w:val="231F20"/>
        </w:rPr>
        <w:t xml:space="preserve"> </w:t>
      </w:r>
      <w:r>
        <w:rPr>
          <w:rFonts w:eastAsia="Times New Roman"/>
          <w:b/>
          <w:bCs/>
          <w:i/>
          <w:iCs/>
          <w:color w:val="231F20"/>
          <w:sz w:val="20"/>
          <w:szCs w:val="20"/>
        </w:rPr>
        <w:t>and operations.</w:t>
      </w:r>
    </w:p>
    <w:p w:rsidR="00000000" w:rsidRDefault="00FD7D3C">
      <w:pPr>
        <w:ind w:firstLine="1080"/>
        <w:divId w:val="152338050"/>
        <w:rPr>
          <w:rFonts w:eastAsia="Times New Roman"/>
        </w:rPr>
      </w:pPr>
      <w:r>
        <w:rPr>
          <w:rFonts w:eastAsia="Times New Roman"/>
          <w:color w:val="000000"/>
          <w:sz w:val="20"/>
          <w:szCs w:val="20"/>
        </w:rPr>
        <w:t>The global data protection landscape is rapidly evolving, and we may be or become subject to or affected by numerous federal, state and foreign laws and regulations, as well as regulatory guidance, governing the collection, use, disclosure, transfer, secur</w:t>
      </w:r>
      <w:r>
        <w:rPr>
          <w:rFonts w:eastAsia="Times New Roman"/>
          <w:color w:val="000000"/>
          <w:sz w:val="20"/>
          <w:szCs w:val="20"/>
        </w:rPr>
        <w:t>ity and processing of personal data, such as information that we collect about participants and healthcare providers in connection with clinical trials. Implementation standards and enforcement practices are likely to remain uncertain for the foreseeable f</w:t>
      </w:r>
      <w:r>
        <w:rPr>
          <w:rFonts w:eastAsia="Times New Roman"/>
          <w:color w:val="000000"/>
          <w:sz w:val="20"/>
          <w:szCs w:val="20"/>
        </w:rPr>
        <w:t>uture, which may create uncertainty in our business, affect our or our service providers’ ability to operate in certain jurisdictions or to collect, store, transfer use and share personal data, result in liability or impose additional compliance or other c</w:t>
      </w:r>
      <w:r>
        <w:rPr>
          <w:rFonts w:eastAsia="Times New Roman"/>
          <w:color w:val="000000"/>
          <w:sz w:val="20"/>
          <w:szCs w:val="20"/>
        </w:rPr>
        <w:t xml:space="preserve">osts on us. Any failure or perceived failure by us to comply with </w:t>
      </w:r>
    </w:p>
    <w:p w:rsidR="00000000" w:rsidRDefault="00FD7D3C">
      <w:pPr>
        <w:jc w:val="center"/>
        <w:divId w:val="2121105079"/>
        <w:rPr>
          <w:rFonts w:eastAsia="Times New Roman"/>
        </w:rPr>
      </w:pPr>
      <w:r>
        <w:rPr>
          <w:rFonts w:eastAsia="Times New Roman"/>
          <w:color w:val="000000"/>
          <w:sz w:val="20"/>
          <w:szCs w:val="20"/>
        </w:rPr>
        <w:t>87</w:t>
      </w:r>
    </w:p>
    <w:p w:rsidR="00000000" w:rsidRDefault="00FD7D3C">
      <w:pPr>
        <w:rPr>
          <w:rFonts w:eastAsia="Times New Roman"/>
        </w:rPr>
      </w:pPr>
      <w:r>
        <w:rPr>
          <w:rFonts w:eastAsia="Times New Roman"/>
        </w:rPr>
        <w:pict>
          <v:rect id="_x0000_i1140" style="width:0;height:1.5pt" o:hralign="center" o:hrstd="t" o:hr="t" fillcolor="#a0a0a0" stroked="f"/>
        </w:pict>
      </w:r>
    </w:p>
    <w:p w:rsidR="00000000" w:rsidRDefault="00FD7D3C">
      <w:pPr>
        <w:divId w:val="479736213"/>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divId w:val="1433553628"/>
        <w:rPr>
          <w:rFonts w:eastAsia="Times New Roman"/>
        </w:rPr>
      </w:pPr>
      <w:r>
        <w:rPr>
          <w:rFonts w:eastAsia="Times New Roman"/>
          <w:color w:val="000000"/>
          <w:sz w:val="20"/>
          <w:szCs w:val="20"/>
        </w:rPr>
        <w:t xml:space="preserve">federal, state, or foreign laws or self-regulatory standards could result </w:t>
      </w:r>
      <w:r>
        <w:rPr>
          <w:rFonts w:eastAsia="Times New Roman"/>
          <w:color w:val="000000"/>
          <w:sz w:val="20"/>
          <w:szCs w:val="20"/>
        </w:rPr>
        <w:t xml:space="preserve">in negative publicity, diversion of management time and effort and proceedings against us by governmental entities or others. </w:t>
      </w:r>
    </w:p>
    <w:p w:rsidR="00000000" w:rsidRDefault="00FD7D3C">
      <w:pPr>
        <w:ind w:firstLine="1080"/>
        <w:divId w:val="1914121925"/>
        <w:rPr>
          <w:rFonts w:eastAsia="Times New Roman"/>
        </w:rPr>
      </w:pPr>
      <w:r>
        <w:rPr>
          <w:rFonts w:eastAsia="Times New Roman"/>
          <w:color w:val="000000"/>
          <w:sz w:val="20"/>
          <w:szCs w:val="20"/>
        </w:rPr>
        <w:t xml:space="preserve">Numerous federal and state laws and regulations, including HIPAA and HITECH, govern the collection, dissemination, security, use </w:t>
      </w:r>
      <w:r>
        <w:rPr>
          <w:rFonts w:eastAsia="Times New Roman"/>
          <w:color w:val="000000"/>
          <w:sz w:val="20"/>
          <w:szCs w:val="20"/>
        </w:rPr>
        <w:t>and confidentiality of patient-identifiable health information or personal information. In the course of performing our business we obtain personally identifiable information (PII), including health-related information. Such laws and regulations relating t</w:t>
      </w:r>
      <w:r>
        <w:rPr>
          <w:rFonts w:eastAsia="Times New Roman"/>
          <w:color w:val="000000"/>
          <w:sz w:val="20"/>
          <w:szCs w:val="20"/>
        </w:rPr>
        <w:t>o privacy, data protection, and consumer protection are evolving and subject to potentially differing interpretations. These requirements may be interpreted and applied in a manner that varies from one jurisdiction to another and/or may conflict with other</w:t>
      </w:r>
      <w:r>
        <w:rPr>
          <w:rFonts w:eastAsia="Times New Roman"/>
          <w:color w:val="000000"/>
          <w:sz w:val="20"/>
          <w:szCs w:val="20"/>
        </w:rPr>
        <w:t xml:space="preserve"> laws or regulations. HIPAA establishes national privacy and security standards for the protection of individually identifiable health information, including protected health information (PHI) for certain covered entities, including healthcare providers th</w:t>
      </w:r>
      <w:r>
        <w:rPr>
          <w:rFonts w:eastAsia="Times New Roman"/>
          <w:color w:val="000000"/>
          <w:sz w:val="20"/>
          <w:szCs w:val="20"/>
        </w:rPr>
        <w:t xml:space="preserve">at submit certain covered transactions electronically, as well as their ‘‘business associates.” Penalties for failure to comply with a requirement of HIPAA and HITECH vary significantly depending on the failure and could include civil monetary or criminal </w:t>
      </w:r>
      <w:r>
        <w:rPr>
          <w:rFonts w:eastAsia="Times New Roman"/>
          <w:color w:val="000000"/>
          <w:sz w:val="20"/>
          <w:szCs w:val="20"/>
        </w:rPr>
        <w:t>penalties. HIPAA also authorizes state attorneys general to file suit under HIPAA on behalf of state residents. Courts can award damages, costs and attorneys’ fees related to violations of HIPAA in such cases. While HIPAA does not create a private right of</w:t>
      </w:r>
      <w:r>
        <w:rPr>
          <w:rFonts w:eastAsia="Times New Roman"/>
          <w:color w:val="000000"/>
          <w:sz w:val="20"/>
          <w:szCs w:val="20"/>
        </w:rPr>
        <w:t xml:space="preserve"> action allowing individuals to sue us in civil court for HIPAA violations, its standards have been used as the basis for a duty of care claim in state civil suits such as those for negligence or recklessness in the misuse or breach of PHI. The Department </w:t>
      </w:r>
      <w:r>
        <w:rPr>
          <w:rFonts w:eastAsia="Times New Roman"/>
          <w:color w:val="000000"/>
          <w:sz w:val="20"/>
          <w:szCs w:val="20"/>
        </w:rPr>
        <w:t>of Health and Human Services Office for Civil Rights (OCR) has recently increased its enforcement efforts on compliance with HIPAA, including the security regulations (Security Rule), bringing actions against entities which have failed to implement securit</w:t>
      </w:r>
      <w:r>
        <w:rPr>
          <w:rFonts w:eastAsia="Times New Roman"/>
          <w:color w:val="000000"/>
          <w:sz w:val="20"/>
          <w:szCs w:val="20"/>
        </w:rPr>
        <w:t>y measures sufficient to reduce risks to electronic protected health information or to conduct an accurate and thorough risk analysis, among other violations. HIPAA enforcement actions may lead to monetary penalties and costly and burdensome corrective act</w:t>
      </w:r>
      <w:r>
        <w:rPr>
          <w:rFonts w:eastAsia="Times New Roman"/>
          <w:color w:val="000000"/>
          <w:sz w:val="20"/>
          <w:szCs w:val="20"/>
        </w:rPr>
        <w:t>ion plans. Additionally, on December 10, 2020, OCR issued a proposed rule aimed at strengthening individuals’ rights to access their own health information, as well as reducing administrative burdens on HIPAA covered health care providers and health plans,</w:t>
      </w:r>
      <w:r>
        <w:rPr>
          <w:rFonts w:eastAsia="Times New Roman"/>
          <w:color w:val="000000"/>
          <w:sz w:val="20"/>
          <w:szCs w:val="20"/>
        </w:rPr>
        <w:t xml:space="preserve"> among other changes. While a final rule has not yet been issued, if adopted, these proposed changes may require us to update our HIPAA policies and procedures to comply with the new requirements.</w:t>
      </w:r>
    </w:p>
    <w:p w:rsidR="00000000" w:rsidRDefault="00FD7D3C">
      <w:pPr>
        <w:ind w:firstLine="1080"/>
        <w:divId w:val="1634362519"/>
        <w:rPr>
          <w:rFonts w:eastAsia="Times New Roman"/>
        </w:rPr>
      </w:pPr>
      <w:r>
        <w:rPr>
          <w:rFonts w:eastAsia="Times New Roman"/>
          <w:color w:val="000000"/>
          <w:sz w:val="20"/>
          <w:szCs w:val="20"/>
        </w:rPr>
        <w:t>California passed the California Consumer Protection Act of</w:t>
      </w:r>
      <w:r>
        <w:rPr>
          <w:rFonts w:eastAsia="Times New Roman"/>
          <w:color w:val="000000"/>
          <w:sz w:val="20"/>
          <w:szCs w:val="20"/>
        </w:rPr>
        <w:t xml:space="preserve"> 2018, or the CCPA, which went into effect in January 2020 and provides new data privacy rights for consumers and new operational requirements for companies, which may increase our compliance costs and potential liability. The CCPA gives California residen</w:t>
      </w:r>
      <w:r>
        <w:rPr>
          <w:rFonts w:eastAsia="Times New Roman"/>
          <w:color w:val="000000"/>
          <w:sz w:val="20"/>
          <w:szCs w:val="20"/>
        </w:rPr>
        <w:t xml:space="preserve">ts expanded rights to access and delete their personal information, opt out of certain personal information sharing, and receive detailed information about how their personal information is used. Failure to comply with the CCPA risks regulatory fines, and </w:t>
      </w:r>
      <w:r>
        <w:rPr>
          <w:rFonts w:eastAsia="Times New Roman"/>
          <w:color w:val="000000"/>
          <w:sz w:val="20"/>
          <w:szCs w:val="20"/>
        </w:rPr>
        <w:t>the CCPA grants a private right of action and statutory damages for an unauthorized access and exfiltration, theft, or disclosure of certain types of personal information resulting from the company’s violation of a duty to maintain reasonable security proc</w:t>
      </w:r>
      <w:r>
        <w:rPr>
          <w:rFonts w:eastAsia="Times New Roman"/>
          <w:color w:val="000000"/>
          <w:sz w:val="20"/>
          <w:szCs w:val="20"/>
        </w:rPr>
        <w:t>edures and practices. The CCPA also provides authority to the California Attorney General to seek civil penalties for intentional violations of the CCPA. While there is currently an exception for protected health information that is subject to HIPAA and cl</w:t>
      </w:r>
      <w:r>
        <w:rPr>
          <w:rFonts w:eastAsia="Times New Roman"/>
          <w:color w:val="000000"/>
          <w:sz w:val="20"/>
          <w:szCs w:val="20"/>
        </w:rPr>
        <w:t>inical trial regulations, as currently written, the CCPA may impact certain of our business activities. How this HIPAA exception is enforced and interpreted may also impact our business activities. Additionally, this exception does not apply to the private</w:t>
      </w:r>
      <w:r>
        <w:rPr>
          <w:rFonts w:eastAsia="Times New Roman"/>
          <w:color w:val="000000"/>
          <w:sz w:val="20"/>
          <w:szCs w:val="20"/>
        </w:rPr>
        <w:t xml:space="preserve"> cause of action afforded to individuals for information security incidents.</w:t>
      </w:r>
    </w:p>
    <w:p w:rsidR="00000000" w:rsidRDefault="00FD7D3C">
      <w:pPr>
        <w:ind w:firstLine="1080"/>
        <w:divId w:val="312412261"/>
        <w:rPr>
          <w:rFonts w:eastAsia="Times New Roman"/>
        </w:rPr>
      </w:pPr>
      <w:r>
        <w:rPr>
          <w:rFonts w:eastAsia="Times New Roman"/>
          <w:color w:val="000000"/>
          <w:sz w:val="20"/>
          <w:szCs w:val="20"/>
        </w:rPr>
        <w:t xml:space="preserve">In addition, the CCPA will be expanded on January 1, 2023, when the California Privacy Rights Act of 2020, or the CPRA, becomes operative. The CPRA will, among other things, give </w:t>
      </w:r>
      <w:r>
        <w:rPr>
          <w:rFonts w:eastAsia="Times New Roman"/>
          <w:color w:val="000000"/>
          <w:sz w:val="20"/>
          <w:szCs w:val="20"/>
        </w:rPr>
        <w:t>California residents the ability to limit use of certain sensitive personal information, further restrict the use of cross-contextual advertising, establish restrictions on the retention of personal information, expand the types of data breaches subject to</w:t>
      </w:r>
      <w:r>
        <w:rPr>
          <w:rFonts w:eastAsia="Times New Roman"/>
          <w:color w:val="000000"/>
          <w:sz w:val="20"/>
          <w:szCs w:val="20"/>
        </w:rPr>
        <w:t xml:space="preserve"> the CCPA’s private right of action, provide for increased penalties for CPRA violations concerning California residents under the age of 16, and establish a new California Privacy Protection Agency to implement and enforce the new law. Although there are </w:t>
      </w:r>
      <w:r>
        <w:rPr>
          <w:rFonts w:eastAsia="Times New Roman"/>
          <w:color w:val="000000"/>
          <w:sz w:val="20"/>
          <w:szCs w:val="20"/>
        </w:rPr>
        <w:t>limited exemptions for clinical trial data under the CCPA, the CCPA and other similar laws could impact our business activities depending on how it is interpreted. In the interim, the CPRA will require additional investment in compliance programs and poten</w:t>
      </w:r>
      <w:r>
        <w:rPr>
          <w:rFonts w:eastAsia="Times New Roman"/>
          <w:color w:val="000000"/>
          <w:sz w:val="20"/>
          <w:szCs w:val="20"/>
        </w:rPr>
        <w:t>tial modifications to business processes</w:t>
      </w:r>
    </w:p>
    <w:p w:rsidR="00000000" w:rsidRDefault="00FD7D3C">
      <w:pPr>
        <w:ind w:firstLine="1080"/>
        <w:divId w:val="50887223"/>
        <w:rPr>
          <w:rFonts w:eastAsia="Times New Roman"/>
        </w:rPr>
      </w:pPr>
      <w:r>
        <w:rPr>
          <w:rFonts w:eastAsia="Times New Roman"/>
          <w:color w:val="000000"/>
          <w:sz w:val="20"/>
          <w:szCs w:val="20"/>
        </w:rPr>
        <w:t>The CCPA and CPRA could mark the beginning of a trend toward more stringent privacy legislation in the United States, as other states or the federal government may follow California’s lead and increase protections f</w:t>
      </w:r>
      <w:r>
        <w:rPr>
          <w:rFonts w:eastAsia="Times New Roman"/>
          <w:color w:val="000000"/>
          <w:sz w:val="20"/>
          <w:szCs w:val="20"/>
        </w:rPr>
        <w:t>or U.S. residents. For example, on March 2, 2021, the Virginia Consumer Data Protection Act, which will take effect on January 1, 2023, was signed into law and on July 8, 2021, the Colorado Privacy Act, which will take effect on July 1, 2023, was signed in</w:t>
      </w:r>
      <w:r>
        <w:rPr>
          <w:rFonts w:eastAsia="Times New Roman"/>
          <w:color w:val="000000"/>
          <w:sz w:val="20"/>
          <w:szCs w:val="20"/>
        </w:rPr>
        <w:t>to law.</w:t>
      </w:r>
      <w:r>
        <w:rPr>
          <w:rFonts w:eastAsia="Times New Roman"/>
          <w:color w:val="000000"/>
        </w:rPr>
        <w:t xml:space="preserve"> </w:t>
      </w:r>
      <w:r>
        <w:rPr>
          <w:rFonts w:eastAsia="Times New Roman"/>
          <w:color w:val="000000"/>
          <w:sz w:val="20"/>
          <w:szCs w:val="20"/>
        </w:rPr>
        <w:t>On September 18, 2021, the Uniform Law Commission published the Uniform Personal Data Protection Act, which states may begin to adopt. The CCPA has already prompted a number of proposals for new federal and state privacy legislation that, if passed</w:t>
      </w:r>
      <w:r>
        <w:rPr>
          <w:rFonts w:eastAsia="Times New Roman"/>
          <w:color w:val="000000"/>
          <w:sz w:val="20"/>
          <w:szCs w:val="20"/>
        </w:rPr>
        <w:t>, could increase our potential liability, add layers of complexity to compliance in the U.S. market, increase our compliance costs and adversely affect our business.</w:t>
      </w:r>
    </w:p>
    <w:p w:rsidR="00000000" w:rsidRDefault="00FD7D3C">
      <w:pPr>
        <w:ind w:firstLine="1080"/>
        <w:divId w:val="947665065"/>
        <w:rPr>
          <w:rFonts w:eastAsia="Times New Roman"/>
        </w:rPr>
      </w:pPr>
      <w:r>
        <w:rPr>
          <w:rFonts w:eastAsia="Times New Roman"/>
          <w:color w:val="000000"/>
          <w:sz w:val="20"/>
          <w:szCs w:val="20"/>
        </w:rPr>
        <w:t>Additionally, the Federal Trade Commission (FTC) and many state attorneys general are inte</w:t>
      </w:r>
      <w:r>
        <w:rPr>
          <w:rFonts w:eastAsia="Times New Roman"/>
          <w:color w:val="000000"/>
          <w:sz w:val="20"/>
          <w:szCs w:val="20"/>
        </w:rPr>
        <w:t>rpreting existing federal and state consumer protection laws to impose evolving standards for the collection, use, dissemination and security of health-related and other personal information. Courts may also adopt the standards for fair information practic</w:t>
      </w:r>
      <w:r>
        <w:rPr>
          <w:rFonts w:eastAsia="Times New Roman"/>
          <w:color w:val="000000"/>
          <w:sz w:val="20"/>
          <w:szCs w:val="20"/>
        </w:rPr>
        <w:t xml:space="preserve">es </w:t>
      </w:r>
    </w:p>
    <w:p w:rsidR="00000000" w:rsidRDefault="00FD7D3C">
      <w:pPr>
        <w:jc w:val="center"/>
        <w:divId w:val="1464999361"/>
        <w:rPr>
          <w:rFonts w:eastAsia="Times New Roman"/>
        </w:rPr>
      </w:pPr>
      <w:r>
        <w:rPr>
          <w:rFonts w:eastAsia="Times New Roman"/>
          <w:color w:val="000000"/>
          <w:sz w:val="20"/>
          <w:szCs w:val="20"/>
        </w:rPr>
        <w:t>88</w:t>
      </w:r>
    </w:p>
    <w:p w:rsidR="00000000" w:rsidRDefault="00FD7D3C">
      <w:pPr>
        <w:rPr>
          <w:rFonts w:eastAsia="Times New Roman"/>
        </w:rPr>
      </w:pPr>
      <w:r>
        <w:rPr>
          <w:rFonts w:eastAsia="Times New Roman"/>
        </w:rPr>
        <w:pict>
          <v:rect id="_x0000_i1141" style="width:0;height:1.5pt" o:hralign="center" o:hrstd="t" o:hr="t" fillcolor="#a0a0a0" stroked="f"/>
        </w:pict>
      </w:r>
    </w:p>
    <w:p w:rsidR="00000000" w:rsidRDefault="00FD7D3C">
      <w:pPr>
        <w:divId w:val="562108226"/>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divId w:val="946699568"/>
        <w:rPr>
          <w:rFonts w:eastAsia="Times New Roman"/>
        </w:rPr>
      </w:pPr>
      <w:r>
        <w:rPr>
          <w:rFonts w:eastAsia="Times New Roman"/>
          <w:color w:val="000000"/>
          <w:sz w:val="20"/>
          <w:szCs w:val="20"/>
        </w:rPr>
        <w:t>promulgated by the FTC, which concern consumer notice, choice, security and access. Consumer protection laws require us to publish statements th</w:t>
      </w:r>
      <w:r>
        <w:rPr>
          <w:rFonts w:eastAsia="Times New Roman"/>
          <w:color w:val="000000"/>
          <w:sz w:val="20"/>
          <w:szCs w:val="20"/>
        </w:rPr>
        <w:t>at describe how we handle personal information and choices individuals may have about the way we handle their personal information. If such information that we publish is considered untrue, we may be subject to government claims of unfair or deceptive trad</w:t>
      </w:r>
      <w:r>
        <w:rPr>
          <w:rFonts w:eastAsia="Times New Roman"/>
          <w:color w:val="000000"/>
          <w:sz w:val="20"/>
          <w:szCs w:val="20"/>
        </w:rPr>
        <w:t>e practices, which could lead to significant liabilities and consequences. Furthermore, according to the FTC, violating consumers’ privacy rights or failing to take appropriate steps to keep consumers’ personal information secure may constitute unfair acts</w:t>
      </w:r>
      <w:r>
        <w:rPr>
          <w:rFonts w:eastAsia="Times New Roman"/>
          <w:color w:val="000000"/>
          <w:sz w:val="20"/>
          <w:szCs w:val="20"/>
        </w:rPr>
        <w:t xml:space="preserve"> or practices in or affecting commerce in violation of Section 5 of the FTC Act. </w:t>
      </w:r>
    </w:p>
    <w:p w:rsidR="00000000" w:rsidRDefault="00FD7D3C">
      <w:pPr>
        <w:ind w:firstLine="1080"/>
        <w:divId w:val="1129400679"/>
        <w:rPr>
          <w:rFonts w:eastAsia="Times New Roman"/>
        </w:rPr>
      </w:pPr>
      <w:r>
        <w:rPr>
          <w:rFonts w:eastAsia="Times New Roman"/>
          <w:color w:val="000000"/>
          <w:sz w:val="20"/>
          <w:szCs w:val="20"/>
        </w:rPr>
        <w:t xml:space="preserve">Our business relies on secure and continuous processing of information and the availability of our Information Technology (IT) networks and IT resources, as well as critical </w:t>
      </w:r>
      <w:r>
        <w:rPr>
          <w:rFonts w:eastAsia="Times New Roman"/>
          <w:color w:val="000000"/>
          <w:sz w:val="20"/>
          <w:szCs w:val="20"/>
        </w:rPr>
        <w:t>IT vendors that support our technology and data processing operations. Security breaches, computer malware and computer hacking attacks have become more prevalent across industries and may occur on our systems or those of our third-party service providers.</w:t>
      </w:r>
      <w:r>
        <w:rPr>
          <w:rFonts w:eastAsia="Times New Roman"/>
          <w:color w:val="000000"/>
          <w:sz w:val="20"/>
          <w:szCs w:val="20"/>
        </w:rPr>
        <w:t xml:space="preserve"> Attacks upon information technology systems are increasing in their frequency, levels of persistence, sophistication and intensity, and are being conducted by sophisticated and organized groups and individuals with a wide range of motives and expertise. O</w:t>
      </w:r>
      <w:r>
        <w:rPr>
          <w:rFonts w:eastAsia="Times New Roman"/>
          <w:color w:val="000000"/>
          <w:sz w:val="20"/>
          <w:szCs w:val="20"/>
        </w:rPr>
        <w:t>CR, in partnership with the Healthcare and Public Health Sector Coordinating Council, recently issued cybersecurity guidelines for healthcare organizations that reflect consensus-based, voluntary practices to cost-effectively reduce cybersecurity risks for</w:t>
      </w:r>
      <w:r>
        <w:rPr>
          <w:rFonts w:eastAsia="Times New Roman"/>
          <w:color w:val="000000"/>
          <w:sz w:val="20"/>
          <w:szCs w:val="20"/>
        </w:rPr>
        <w:t xml:space="preserve"> organizations of varying sizes. Although these HHS-backed guidelines, entitled “Health Industry Cybersecurity Practices: Managing Threats and Protecting Patients,” are voluntary, they are likely to serve as an important reference point for the healthcare </w:t>
      </w:r>
      <w:r>
        <w:rPr>
          <w:rFonts w:eastAsia="Times New Roman"/>
          <w:color w:val="000000"/>
          <w:sz w:val="20"/>
          <w:szCs w:val="20"/>
        </w:rPr>
        <w:t xml:space="preserve">industry, and may cause us to invest additional resources in technology, personnel and programmatic cybersecurity controls as the cybersecurity risks we face continue to evolve. </w:t>
      </w:r>
    </w:p>
    <w:p w:rsidR="00000000" w:rsidRDefault="00FD7D3C">
      <w:pPr>
        <w:ind w:firstLine="1080"/>
        <w:divId w:val="181554917"/>
        <w:rPr>
          <w:rFonts w:eastAsia="Times New Roman"/>
        </w:rPr>
      </w:pPr>
      <w:r>
        <w:rPr>
          <w:rFonts w:eastAsia="Times New Roman"/>
          <w:color w:val="000000"/>
          <w:sz w:val="20"/>
          <w:szCs w:val="20"/>
        </w:rPr>
        <w:t>We regularly monitor, defend against and respond to attacks to our networks a</w:t>
      </w:r>
      <w:r>
        <w:rPr>
          <w:rFonts w:eastAsia="Times New Roman"/>
          <w:color w:val="000000"/>
          <w:sz w:val="20"/>
          <w:szCs w:val="20"/>
        </w:rPr>
        <w:t>nd other information security incidents. Despite our information security efforts, our facilities, systems, and data, as well as those of our third party service providers, may be vulnerable to privacy and information security incidents such as data breach</w:t>
      </w:r>
      <w:r>
        <w:rPr>
          <w:rFonts w:eastAsia="Times New Roman"/>
          <w:color w:val="000000"/>
          <w:sz w:val="20"/>
          <w:szCs w:val="20"/>
        </w:rPr>
        <w:t>es, viruses or other malicious code, coordinated attacks, data loss, phishing attacks, ransomware, denial of service attacks, or other security or IT incidents caused by threat actors, technological vulnerabilities or human error. If we, or any of our IT s</w:t>
      </w:r>
      <w:r>
        <w:rPr>
          <w:rFonts w:eastAsia="Times New Roman"/>
          <w:color w:val="000000"/>
          <w:sz w:val="20"/>
          <w:szCs w:val="20"/>
        </w:rPr>
        <w:t xml:space="preserve">upport vendors, fail to comply with laws requiring the protection of sensitive personal information, or fail to safeguard and defend personal information or other critical data assets or IT systems, we may be subject to regulatory enforcement and fines as </w:t>
      </w:r>
      <w:r>
        <w:rPr>
          <w:rFonts w:eastAsia="Times New Roman"/>
          <w:color w:val="000000"/>
          <w:sz w:val="20"/>
          <w:szCs w:val="20"/>
        </w:rPr>
        <w:t xml:space="preserve">well as private civil actions. We may be required to expend significant resources in the response, containment, mitigation of cybersecurity incidents as well as in defense against claims that our information security was unreasonable or otherwise violated </w:t>
      </w:r>
      <w:r>
        <w:rPr>
          <w:rFonts w:eastAsia="Times New Roman"/>
          <w:color w:val="000000"/>
          <w:sz w:val="20"/>
          <w:szCs w:val="20"/>
        </w:rPr>
        <w:t>applicable laws or contractual obligations.</w:t>
      </w:r>
    </w:p>
    <w:p w:rsidR="00000000" w:rsidRDefault="00FD7D3C">
      <w:pPr>
        <w:ind w:firstLine="1080"/>
        <w:divId w:val="1447582909"/>
        <w:rPr>
          <w:rFonts w:eastAsia="Times New Roman"/>
        </w:rPr>
      </w:pPr>
      <w:r>
        <w:rPr>
          <w:rFonts w:eastAsia="Times New Roman"/>
          <w:color w:val="000000"/>
          <w:sz w:val="20"/>
          <w:szCs w:val="20"/>
        </w:rPr>
        <w:t>In addition to our operations in the United States, which may be subject to healthcare and other laws relating to the privacy and security of health information and other personal data, we may seek to conduct cli</w:t>
      </w:r>
      <w:r>
        <w:rPr>
          <w:rFonts w:eastAsia="Times New Roman"/>
          <w:color w:val="000000"/>
          <w:sz w:val="20"/>
          <w:szCs w:val="20"/>
        </w:rPr>
        <w:t>nical trials in the EEA and may become subject to additional EEA data privacy laws, regulations and guidelines. The General Data Protection Regulation, (EU) 2016/679, or EU GDPR, became effective on May 25, 2018, and deals with the collection, use, storage</w:t>
      </w:r>
      <w:r>
        <w:rPr>
          <w:rFonts w:eastAsia="Times New Roman"/>
          <w:color w:val="000000"/>
          <w:sz w:val="20"/>
          <w:szCs w:val="20"/>
        </w:rPr>
        <w:t xml:space="preserve">, disclosure, transfer or other processing of personal data, including personal health data, regarding individuals in the EEA. The EU GDPR imposes a broad range of strict requirements on companies subject to the EU GDPR, including requirements relating to </w:t>
      </w:r>
      <w:r>
        <w:rPr>
          <w:rFonts w:eastAsia="Times New Roman"/>
          <w:color w:val="000000"/>
          <w:sz w:val="20"/>
          <w:szCs w:val="20"/>
        </w:rPr>
        <w:t>having legal bases for processing personal data (i.e., data relating to identifiable individuals) and transferring such personal data outside the EEA, including to the United States, and providing details to those individuals regarding the processing of th</w:t>
      </w:r>
      <w:r>
        <w:rPr>
          <w:rFonts w:eastAsia="Times New Roman"/>
          <w:color w:val="000000"/>
          <w:sz w:val="20"/>
          <w:szCs w:val="20"/>
        </w:rPr>
        <w:t>eir personal data, keeping personal data secure, having data processing agreements with third parties who process personal data on our behalf, responding to individuals’ requests to exercise their rights in respect of their personal data, reporting securit</w:t>
      </w:r>
      <w:r>
        <w:rPr>
          <w:rFonts w:eastAsia="Times New Roman"/>
          <w:color w:val="000000"/>
          <w:sz w:val="20"/>
          <w:szCs w:val="20"/>
        </w:rPr>
        <w:t xml:space="preserve">y breaches involving personal data to the competent national data protection authority and affected individuals, appointing data protection officers, conducting data protection impact assessments and record-keeping. Further, national laws of member states </w:t>
      </w:r>
      <w:r>
        <w:rPr>
          <w:rFonts w:eastAsia="Times New Roman"/>
          <w:color w:val="000000"/>
          <w:sz w:val="20"/>
          <w:szCs w:val="20"/>
        </w:rPr>
        <w:t xml:space="preserve">of the EU may partially deviate from the EU GDPR and impose different obligations from country to country, so that we do not expect to operate in a uniform legal landscape in the EEA. In particular, as it relates to processing and transfer of genetic data </w:t>
      </w:r>
      <w:r>
        <w:rPr>
          <w:rFonts w:eastAsia="Times New Roman"/>
          <w:color w:val="000000"/>
          <w:sz w:val="20"/>
          <w:szCs w:val="20"/>
        </w:rPr>
        <w:t xml:space="preserve">and health data, the EU GDPR specifically allows national laws to impose additional and more specific requirements or restrictions, and European laws have historically differed quite substantially in this field, leading to additional uncertainty. </w:t>
      </w:r>
    </w:p>
    <w:p w:rsidR="00000000" w:rsidRDefault="00FD7D3C">
      <w:pPr>
        <w:ind w:firstLine="1080"/>
        <w:divId w:val="1854801737"/>
        <w:rPr>
          <w:rFonts w:eastAsia="Times New Roman"/>
        </w:rPr>
      </w:pPr>
      <w:r>
        <w:rPr>
          <w:rFonts w:eastAsia="Times New Roman"/>
          <w:color w:val="000000"/>
          <w:sz w:val="20"/>
          <w:szCs w:val="20"/>
        </w:rPr>
        <w:t>The EU G</w:t>
      </w:r>
      <w:r>
        <w:rPr>
          <w:rFonts w:eastAsia="Times New Roman"/>
          <w:color w:val="000000"/>
          <w:sz w:val="20"/>
          <w:szCs w:val="20"/>
        </w:rPr>
        <w:t>DPR increases substantially the penalties to which we could be subject in the event of any non-compliance, including fines of up to €10,000,000 or up to 2% of our total worldwide annual turnover for certain comparatively minor offenses, or up to €20,000,00</w:t>
      </w:r>
      <w:r>
        <w:rPr>
          <w:rFonts w:eastAsia="Times New Roman"/>
          <w:color w:val="000000"/>
          <w:sz w:val="20"/>
          <w:szCs w:val="20"/>
        </w:rPr>
        <w:t>0 or up to 4% of our total worldwide annual turnover, whichever is greater, for more serious offenses. The EU GDPR also confers a private right of action on data subjects and consumer associations to lodge complaints with supervisory authorities, seek judi</w:t>
      </w:r>
      <w:r>
        <w:rPr>
          <w:rFonts w:eastAsia="Times New Roman"/>
          <w:color w:val="000000"/>
          <w:sz w:val="20"/>
          <w:szCs w:val="20"/>
        </w:rPr>
        <w:t>cial remedies, and obtain compensation for damages resulting from violations of the EU GDPR. If our efforts to comply with EU GDPR or other applicable EU laws and regulations are not successful, or are perceived to be unsuccessful, it could adversely affec</w:t>
      </w:r>
      <w:r>
        <w:rPr>
          <w:rFonts w:eastAsia="Times New Roman"/>
          <w:color w:val="000000"/>
          <w:sz w:val="20"/>
          <w:szCs w:val="20"/>
        </w:rPr>
        <w:t xml:space="preserve">t our business in the EU. </w:t>
      </w:r>
    </w:p>
    <w:p w:rsidR="00000000" w:rsidRDefault="00FD7D3C">
      <w:pPr>
        <w:ind w:firstLine="1080"/>
        <w:divId w:val="2029334881"/>
        <w:rPr>
          <w:rFonts w:eastAsia="Times New Roman"/>
        </w:rPr>
      </w:pPr>
      <w:r>
        <w:rPr>
          <w:rFonts w:eastAsia="Times New Roman"/>
          <w:color w:val="000000"/>
          <w:sz w:val="20"/>
          <w:szCs w:val="20"/>
        </w:rPr>
        <w:t xml:space="preserve">The EU GDPR also prohibits the transfer of personal data from the EEA to the United States and most other countries that are not recognized as having “adequate” </w:t>
      </w:r>
      <w:r>
        <w:rPr>
          <w:rFonts w:eastAsia="Times New Roman"/>
          <w:color w:val="000000"/>
          <w:sz w:val="20"/>
          <w:szCs w:val="20"/>
        </w:rPr>
        <w:t xml:space="preserve">data protection laws by the European Commission unless the parties to the transfer have implemented specific safeguards to protect the transferred personal data. One of the primary safeguards </w:t>
      </w:r>
    </w:p>
    <w:p w:rsidR="00000000" w:rsidRDefault="00FD7D3C">
      <w:pPr>
        <w:jc w:val="center"/>
        <w:divId w:val="1530222106"/>
        <w:rPr>
          <w:rFonts w:eastAsia="Times New Roman"/>
        </w:rPr>
      </w:pPr>
      <w:r>
        <w:rPr>
          <w:rFonts w:eastAsia="Times New Roman"/>
          <w:color w:val="000000"/>
          <w:sz w:val="20"/>
          <w:szCs w:val="20"/>
        </w:rPr>
        <w:t>89</w:t>
      </w:r>
    </w:p>
    <w:p w:rsidR="00000000" w:rsidRDefault="00FD7D3C">
      <w:pPr>
        <w:rPr>
          <w:rFonts w:eastAsia="Times New Roman"/>
        </w:rPr>
      </w:pPr>
      <w:r>
        <w:rPr>
          <w:rFonts w:eastAsia="Times New Roman"/>
        </w:rPr>
        <w:pict>
          <v:rect id="_x0000_i1142" style="width:0;height:1.5pt" o:hralign="center" o:hrstd="t" o:hr="t" fillcolor="#a0a0a0" stroked="f"/>
        </w:pict>
      </w:r>
    </w:p>
    <w:p w:rsidR="00000000" w:rsidRDefault="00FD7D3C">
      <w:pPr>
        <w:divId w:val="828179608"/>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divId w:val="1675066975"/>
        <w:rPr>
          <w:rFonts w:eastAsia="Times New Roman"/>
        </w:rPr>
      </w:pPr>
      <w:r>
        <w:rPr>
          <w:rFonts w:eastAsia="Times New Roman"/>
          <w:color w:val="000000"/>
          <w:sz w:val="20"/>
          <w:szCs w:val="20"/>
        </w:rPr>
        <w:t>allowing U.S. companies to import personal data from the EEA has been certification to the EU-U.S. Privacy Shield framework administered by the U.S. Department of Commerce. However,</w:t>
      </w:r>
      <w:r>
        <w:rPr>
          <w:rFonts w:eastAsia="Times New Roman"/>
          <w:color w:val="000000"/>
        </w:rPr>
        <w:t xml:space="preserve"> </w:t>
      </w:r>
      <w:r>
        <w:rPr>
          <w:rFonts w:eastAsia="Times New Roman"/>
          <w:color w:val="000000"/>
          <w:sz w:val="20"/>
          <w:szCs w:val="20"/>
        </w:rPr>
        <w:t xml:space="preserve">the European Court of </w:t>
      </w:r>
      <w:r>
        <w:rPr>
          <w:rFonts w:eastAsia="Times New Roman"/>
          <w:color w:val="000000"/>
          <w:sz w:val="20"/>
          <w:szCs w:val="20"/>
        </w:rPr>
        <w:t xml:space="preserve">Justice, or the ECJ, issued a decision in July 2020 which invalidated the EU-U.S. Privacy Shield framework for international transfers (Schrems II) and imposed further restrictions on the use of standard contractual clauses (SCCs) including, a requirement </w:t>
      </w:r>
      <w:r>
        <w:rPr>
          <w:rFonts w:eastAsia="Times New Roman"/>
          <w:color w:val="000000"/>
          <w:sz w:val="20"/>
          <w:szCs w:val="20"/>
        </w:rPr>
        <w:t xml:space="preserve">for companies to carry out a transfer privacy impact assessment, which among other things, assesses laws governing access to personal data in the recipient country and considers whether supplementary measures that provide privacy protections additional to </w:t>
      </w:r>
      <w:r>
        <w:rPr>
          <w:rFonts w:eastAsia="Times New Roman"/>
          <w:color w:val="000000"/>
          <w:sz w:val="20"/>
          <w:szCs w:val="20"/>
        </w:rPr>
        <w:t>those provided under the SCCs will need to be implemented to ensure an essentially equivalent level of data protection to that afforded in the EU. Following that decision, the Swiss Federal Data Protection and Information Commissioner (FDPIC) took a simila</w:t>
      </w:r>
      <w:r>
        <w:rPr>
          <w:rFonts w:eastAsia="Times New Roman"/>
          <w:color w:val="000000"/>
          <w:sz w:val="20"/>
          <w:szCs w:val="20"/>
        </w:rPr>
        <w:t>r view and considered that data transfers based on the Swiss-U.S. Privacy Shield framework are no longer lawful (despite the fact that Schrems II is not directly applicable in Switzerland (unless the Swiss based company is subject to the EU GDPR) and the S</w:t>
      </w:r>
      <w:r>
        <w:rPr>
          <w:rFonts w:eastAsia="Times New Roman"/>
          <w:color w:val="000000"/>
          <w:sz w:val="20"/>
          <w:szCs w:val="20"/>
        </w:rPr>
        <w:t>wiss-U.S. Privacy Shield has not been officially invalidated).</w:t>
      </w:r>
    </w:p>
    <w:p w:rsidR="00000000" w:rsidRDefault="00FD7D3C">
      <w:pPr>
        <w:ind w:firstLine="1080"/>
        <w:divId w:val="548107966"/>
        <w:rPr>
          <w:rFonts w:eastAsia="Times New Roman"/>
        </w:rPr>
      </w:pPr>
      <w:r>
        <w:rPr>
          <w:rFonts w:eastAsia="Times New Roman"/>
          <w:color w:val="000000"/>
          <w:sz w:val="20"/>
          <w:szCs w:val="20"/>
        </w:rPr>
        <w:t xml:space="preserve">Further, the European Commission recently published new EU SCCs, which place onerous obligations on the contracting parties. At present, there are few, if any, viable alternatives to the SCCs. </w:t>
      </w:r>
      <w:r>
        <w:rPr>
          <w:rFonts w:eastAsia="Times New Roman"/>
          <w:color w:val="000000"/>
          <w:sz w:val="20"/>
          <w:szCs w:val="20"/>
        </w:rPr>
        <w:t>These developments could restrict our activities in the EEA/Switzerland, limit our ability to provide our products and services in the EEA/Switzerland, and/or increase our costs and obligations and impose limitations upon our ability to efficiently transfe</w:t>
      </w:r>
      <w:r>
        <w:rPr>
          <w:rFonts w:eastAsia="Times New Roman"/>
          <w:color w:val="000000"/>
          <w:sz w:val="20"/>
          <w:szCs w:val="20"/>
        </w:rPr>
        <w:t>r personal data from the EEA/Switzerland to the United States.</w:t>
      </w:r>
    </w:p>
    <w:p w:rsidR="00000000" w:rsidRDefault="00FD7D3C">
      <w:pPr>
        <w:ind w:firstLine="1080"/>
        <w:divId w:val="1885756308"/>
        <w:rPr>
          <w:rFonts w:eastAsia="Times New Roman"/>
        </w:rPr>
      </w:pPr>
      <w:r>
        <w:rPr>
          <w:rFonts w:eastAsia="Times New Roman"/>
          <w:color w:val="000000"/>
          <w:sz w:val="20"/>
          <w:szCs w:val="20"/>
        </w:rPr>
        <w:t>Following the U.K.’s departure from the EU (Brexit), the EU GDPR’s data protection obligations continue to apply to the UK in substantially unvaried form under the so-called “UK GDPR”. The UK G</w:t>
      </w:r>
      <w:r>
        <w:rPr>
          <w:rFonts w:eastAsia="Times New Roman"/>
          <w:color w:val="000000"/>
          <w:sz w:val="20"/>
          <w:szCs w:val="20"/>
        </w:rPr>
        <w:t>DPR exists alongside the UK Data Protection Act 2018 which implements certain derogations in the UK GDPR into UK law.</w:t>
      </w:r>
      <w:r>
        <w:rPr>
          <w:rFonts w:eastAsia="Times New Roman"/>
          <w:color w:val="000000"/>
        </w:rPr>
        <w:t xml:space="preserve"> </w:t>
      </w:r>
      <w:r>
        <w:rPr>
          <w:rFonts w:eastAsia="Times New Roman"/>
          <w:color w:val="000000"/>
          <w:sz w:val="20"/>
          <w:szCs w:val="20"/>
        </w:rPr>
        <w:t>Under the UK GDPR, companies not established in the UK but who process personal data in relation to the offering of goods or services to i</w:t>
      </w:r>
      <w:r>
        <w:rPr>
          <w:rFonts w:eastAsia="Times New Roman"/>
          <w:color w:val="000000"/>
          <w:sz w:val="20"/>
          <w:szCs w:val="20"/>
        </w:rPr>
        <w:t>ndividuals in the UK, or to monitor their behavior will be subject to the UK GDPR – the requirements of which are (at this time) largely aligned with those under the EU GDPR and as such, may lead to similar compliance and operational costs with potential f</w:t>
      </w:r>
      <w:r>
        <w:rPr>
          <w:rFonts w:eastAsia="Times New Roman"/>
          <w:color w:val="000000"/>
          <w:sz w:val="20"/>
          <w:szCs w:val="20"/>
        </w:rPr>
        <w:t xml:space="preserve">ines of up to £17.5 million or 4% of global turnover. As a result, we are potentially exposed to two parallel data protection regimes, each of which authorizes fines and the potential for divergent enforcement actions. </w:t>
      </w:r>
    </w:p>
    <w:p w:rsidR="00000000" w:rsidRDefault="00FD7D3C">
      <w:pPr>
        <w:ind w:firstLine="1080"/>
        <w:divId w:val="1295797610"/>
        <w:rPr>
          <w:rFonts w:eastAsia="Times New Roman"/>
        </w:rPr>
      </w:pPr>
      <w:r>
        <w:rPr>
          <w:rFonts w:eastAsia="Times New Roman"/>
          <w:color w:val="000000"/>
          <w:sz w:val="20"/>
          <w:szCs w:val="20"/>
        </w:rPr>
        <w:t>In the event we commence clinical tr</w:t>
      </w:r>
      <w:r>
        <w:rPr>
          <w:rFonts w:eastAsia="Times New Roman"/>
          <w:color w:val="000000"/>
          <w:sz w:val="20"/>
          <w:szCs w:val="20"/>
        </w:rPr>
        <w:t>ials in the EEA, the UK or Switzerland, applicable data protection laws may increase our responsibility and liability in relation to personal data that we process, and we may be required to put in place additional mechanisms and safeguards to ensure compli</w:t>
      </w:r>
      <w:r>
        <w:rPr>
          <w:rFonts w:eastAsia="Times New Roman"/>
          <w:color w:val="000000"/>
          <w:sz w:val="20"/>
          <w:szCs w:val="20"/>
        </w:rPr>
        <w:t xml:space="preserve">ance, including as implemented by individual countries. Compliance with data protection laws in the EEA, the UK and Switzerland will be a rigorous and time-intensive process that may increase our cost of doing business or require us to change our business </w:t>
      </w:r>
      <w:r>
        <w:rPr>
          <w:rFonts w:eastAsia="Times New Roman"/>
          <w:color w:val="000000"/>
          <w:sz w:val="20"/>
          <w:szCs w:val="20"/>
        </w:rPr>
        <w:t xml:space="preserve">practices, and despite those efforts, there is a risk that we may be subject to fines and penalties, litigation and reputational harm in connection with our European activities. We expect that we will continue to face uncertainty as to whether our efforts </w:t>
      </w:r>
      <w:r>
        <w:rPr>
          <w:rFonts w:eastAsia="Times New Roman"/>
          <w:color w:val="000000"/>
          <w:sz w:val="20"/>
          <w:szCs w:val="20"/>
        </w:rPr>
        <w:t xml:space="preserve">to comply with any obligations under European privacy laws will be sufficient. If we are investigated by a European data protection authority, we may face fines and other penalties. Any such investigation or charges by European data protection authorities </w:t>
      </w:r>
      <w:r>
        <w:rPr>
          <w:rFonts w:eastAsia="Times New Roman"/>
          <w:color w:val="000000"/>
          <w:sz w:val="20"/>
          <w:szCs w:val="20"/>
        </w:rPr>
        <w:t>could have a negative effect on our existing business and on our ability to attract and retain new clients or biopharmaceutical partners. We may also experience hesitancy, reluctance, or refusal by European or multi-national clients or biopharmaceutical pa</w:t>
      </w:r>
      <w:r>
        <w:rPr>
          <w:rFonts w:eastAsia="Times New Roman"/>
          <w:color w:val="000000"/>
          <w:sz w:val="20"/>
          <w:szCs w:val="20"/>
        </w:rPr>
        <w:t xml:space="preserve">rtners to continue to use our products and solutions due to the potential risk exposure as a result of the current (and, in particular, future) data protection obligations imposed on them by certain data protection authorities in interpretation of current </w:t>
      </w:r>
      <w:r>
        <w:rPr>
          <w:rFonts w:eastAsia="Times New Roman"/>
          <w:color w:val="000000"/>
          <w:sz w:val="20"/>
          <w:szCs w:val="20"/>
        </w:rPr>
        <w:t>law. Such clients or biopharmaceutical partners may also view any alternative approaches to compliance as being too costly, too burdensome, too legally uncertain, or otherwise objectionable and therefore decide not to do business with us. Any of the forgoi</w:t>
      </w:r>
      <w:r>
        <w:rPr>
          <w:rFonts w:eastAsia="Times New Roman"/>
          <w:color w:val="000000"/>
          <w:sz w:val="20"/>
          <w:szCs w:val="20"/>
        </w:rPr>
        <w:t>ng could materially harm our business, prospects, financial condition and results of operations.</w:t>
      </w:r>
    </w:p>
    <w:p w:rsidR="00000000" w:rsidRDefault="00FD7D3C">
      <w:pPr>
        <w:ind w:firstLine="1080"/>
        <w:divId w:val="2088265347"/>
        <w:rPr>
          <w:rFonts w:eastAsia="Times New Roman"/>
        </w:rPr>
      </w:pPr>
      <w:r>
        <w:rPr>
          <w:rFonts w:eastAsia="Times New Roman"/>
          <w:b/>
          <w:bCs/>
          <w:i/>
          <w:iCs/>
          <w:color w:val="231F20"/>
          <w:sz w:val="20"/>
          <w:szCs w:val="20"/>
        </w:rPr>
        <w:t>Following Brexit, legal, political</w:t>
      </w:r>
      <w:r>
        <w:rPr>
          <w:rFonts w:eastAsia="Times New Roman"/>
          <w:b/>
          <w:bCs/>
          <w:i/>
          <w:iCs/>
          <w:color w:val="231F20"/>
        </w:rPr>
        <w:t xml:space="preserve"> </w:t>
      </w:r>
      <w:r>
        <w:rPr>
          <w:rFonts w:eastAsia="Times New Roman"/>
          <w:b/>
          <w:bCs/>
          <w:i/>
          <w:iCs/>
          <w:color w:val="231F20"/>
          <w:sz w:val="20"/>
          <w:szCs w:val="20"/>
        </w:rPr>
        <w:t>and economic</w:t>
      </w:r>
      <w:r>
        <w:rPr>
          <w:rFonts w:eastAsia="Times New Roman"/>
          <w:b/>
          <w:bCs/>
          <w:i/>
          <w:iCs/>
          <w:color w:val="231F20"/>
        </w:rPr>
        <w:t xml:space="preserve"> </w:t>
      </w:r>
      <w:r>
        <w:rPr>
          <w:rFonts w:eastAsia="Times New Roman"/>
          <w:b/>
          <w:bCs/>
          <w:i/>
          <w:iCs/>
          <w:color w:val="231F20"/>
          <w:sz w:val="20"/>
          <w:szCs w:val="20"/>
        </w:rPr>
        <w:t>uncertainty</w:t>
      </w:r>
      <w:r>
        <w:rPr>
          <w:rFonts w:eastAsia="Times New Roman"/>
          <w:b/>
          <w:bCs/>
          <w:i/>
          <w:iCs/>
          <w:color w:val="231F20"/>
        </w:rPr>
        <w:t xml:space="preserve"> </w:t>
      </w:r>
      <w:r>
        <w:rPr>
          <w:rFonts w:eastAsia="Times New Roman"/>
          <w:b/>
          <w:bCs/>
          <w:i/>
          <w:iCs/>
          <w:color w:val="231F20"/>
          <w:sz w:val="20"/>
          <w:szCs w:val="20"/>
        </w:rPr>
        <w:t>surrounding the exit</w:t>
      </w:r>
      <w:r>
        <w:rPr>
          <w:rFonts w:eastAsia="Times New Roman"/>
          <w:b/>
          <w:bCs/>
          <w:i/>
          <w:iCs/>
          <w:color w:val="231F20"/>
        </w:rPr>
        <w:t xml:space="preserve"> </w:t>
      </w:r>
      <w:r>
        <w:rPr>
          <w:rFonts w:eastAsia="Times New Roman"/>
          <w:b/>
          <w:bCs/>
          <w:i/>
          <w:iCs/>
          <w:color w:val="231F20"/>
          <w:sz w:val="20"/>
          <w:szCs w:val="20"/>
        </w:rPr>
        <w:t>of the U.K.</w:t>
      </w:r>
      <w:r>
        <w:rPr>
          <w:rFonts w:eastAsia="Times New Roman"/>
          <w:b/>
          <w:bCs/>
          <w:i/>
          <w:iCs/>
          <w:color w:val="231F20"/>
        </w:rPr>
        <w:t xml:space="preserve"> </w:t>
      </w:r>
      <w:r>
        <w:rPr>
          <w:rFonts w:eastAsia="Times New Roman"/>
          <w:b/>
          <w:bCs/>
          <w:i/>
          <w:iCs/>
          <w:color w:val="231F20"/>
          <w:sz w:val="20"/>
          <w:szCs w:val="20"/>
        </w:rPr>
        <w:t>from</w:t>
      </w:r>
      <w:r>
        <w:rPr>
          <w:rFonts w:eastAsia="Times New Roman"/>
          <w:b/>
          <w:bCs/>
          <w:i/>
          <w:iCs/>
          <w:color w:val="231F20"/>
        </w:rPr>
        <w:t xml:space="preserve"> </w:t>
      </w:r>
      <w:r>
        <w:rPr>
          <w:rFonts w:eastAsia="Times New Roman"/>
          <w:b/>
          <w:bCs/>
          <w:i/>
          <w:iCs/>
          <w:color w:val="231F20"/>
          <w:sz w:val="20"/>
          <w:szCs w:val="20"/>
        </w:rPr>
        <w:t>the EU</w:t>
      </w:r>
      <w:r>
        <w:rPr>
          <w:rFonts w:eastAsia="Times New Roman"/>
          <w:b/>
          <w:bCs/>
          <w:i/>
          <w:iCs/>
          <w:color w:val="231F20"/>
        </w:rPr>
        <w:t xml:space="preserve"> </w:t>
      </w:r>
      <w:r>
        <w:rPr>
          <w:rFonts w:eastAsia="Times New Roman"/>
          <w:b/>
          <w:bCs/>
          <w:i/>
          <w:iCs/>
          <w:color w:val="231F20"/>
          <w:sz w:val="20"/>
          <w:szCs w:val="20"/>
        </w:rPr>
        <w:t>may</w:t>
      </w:r>
      <w:r>
        <w:rPr>
          <w:rFonts w:eastAsia="Times New Roman"/>
          <w:b/>
          <w:bCs/>
          <w:i/>
          <w:iCs/>
          <w:color w:val="231F20"/>
        </w:rPr>
        <w:t xml:space="preserve"> </w:t>
      </w:r>
      <w:r>
        <w:rPr>
          <w:rFonts w:eastAsia="Times New Roman"/>
          <w:b/>
          <w:bCs/>
          <w:i/>
          <w:iCs/>
          <w:color w:val="231F20"/>
          <w:sz w:val="20"/>
          <w:szCs w:val="20"/>
        </w:rPr>
        <w:t>be a source</w:t>
      </w:r>
      <w:r>
        <w:rPr>
          <w:rFonts w:eastAsia="Times New Roman"/>
          <w:b/>
          <w:bCs/>
          <w:i/>
          <w:iCs/>
          <w:color w:val="231F20"/>
        </w:rPr>
        <w:t xml:space="preserve"> </w:t>
      </w:r>
      <w:r>
        <w:rPr>
          <w:rFonts w:eastAsia="Times New Roman"/>
          <w:b/>
          <w:bCs/>
          <w:i/>
          <w:iCs/>
          <w:color w:val="231F20"/>
          <w:sz w:val="20"/>
          <w:szCs w:val="20"/>
        </w:rPr>
        <w:t>of instability</w:t>
      </w:r>
      <w:r>
        <w:rPr>
          <w:rFonts w:eastAsia="Times New Roman"/>
          <w:b/>
          <w:bCs/>
          <w:i/>
          <w:iCs/>
          <w:color w:val="231F20"/>
        </w:rPr>
        <w:t xml:space="preserve"> </w:t>
      </w:r>
      <w:r>
        <w:rPr>
          <w:rFonts w:eastAsia="Times New Roman"/>
          <w:b/>
          <w:bCs/>
          <w:i/>
          <w:iCs/>
          <w:color w:val="231F20"/>
          <w:sz w:val="20"/>
          <w:szCs w:val="20"/>
        </w:rPr>
        <w:t>in international</w:t>
      </w:r>
      <w:r>
        <w:rPr>
          <w:rFonts w:eastAsia="Times New Roman"/>
          <w:b/>
          <w:bCs/>
          <w:i/>
          <w:iCs/>
          <w:color w:val="231F20"/>
        </w:rPr>
        <w:t xml:space="preserve"> </w:t>
      </w:r>
      <w:r>
        <w:rPr>
          <w:rFonts w:eastAsia="Times New Roman"/>
          <w:b/>
          <w:bCs/>
          <w:i/>
          <w:iCs/>
          <w:color w:val="231F20"/>
          <w:sz w:val="20"/>
          <w:szCs w:val="20"/>
        </w:rPr>
        <w:t>market</w:t>
      </w:r>
      <w:r>
        <w:rPr>
          <w:rFonts w:eastAsia="Times New Roman"/>
          <w:b/>
          <w:bCs/>
          <w:i/>
          <w:iCs/>
          <w:color w:val="231F20"/>
          <w:sz w:val="20"/>
          <w:szCs w:val="20"/>
        </w:rPr>
        <w:t>s,</w:t>
      </w:r>
      <w:r>
        <w:rPr>
          <w:rFonts w:eastAsia="Times New Roman"/>
          <w:b/>
          <w:bCs/>
          <w:i/>
          <w:iCs/>
          <w:color w:val="231F20"/>
        </w:rPr>
        <w:t xml:space="preserve"> </w:t>
      </w:r>
      <w:r>
        <w:rPr>
          <w:rFonts w:eastAsia="Times New Roman"/>
          <w:b/>
          <w:bCs/>
          <w:i/>
          <w:iCs/>
          <w:color w:val="231F20"/>
          <w:sz w:val="20"/>
          <w:szCs w:val="20"/>
        </w:rPr>
        <w:t>create</w:t>
      </w:r>
      <w:r>
        <w:rPr>
          <w:rFonts w:eastAsia="Times New Roman"/>
          <w:b/>
          <w:bCs/>
          <w:i/>
          <w:iCs/>
          <w:color w:val="231F20"/>
        </w:rPr>
        <w:t xml:space="preserve"> </w:t>
      </w:r>
      <w:r>
        <w:rPr>
          <w:rFonts w:eastAsia="Times New Roman"/>
          <w:b/>
          <w:bCs/>
          <w:i/>
          <w:iCs/>
          <w:color w:val="231F20"/>
          <w:sz w:val="20"/>
          <w:szCs w:val="20"/>
        </w:rPr>
        <w:t>significant</w:t>
      </w:r>
      <w:r>
        <w:rPr>
          <w:rFonts w:eastAsia="Times New Roman"/>
          <w:b/>
          <w:bCs/>
          <w:i/>
          <w:iCs/>
          <w:color w:val="231F20"/>
        </w:rPr>
        <w:t xml:space="preserve"> </w:t>
      </w:r>
      <w:r>
        <w:rPr>
          <w:rFonts w:eastAsia="Times New Roman"/>
          <w:b/>
          <w:bCs/>
          <w:i/>
          <w:iCs/>
          <w:color w:val="231F20"/>
          <w:sz w:val="20"/>
          <w:szCs w:val="20"/>
        </w:rPr>
        <w:t>currency</w:t>
      </w:r>
      <w:r>
        <w:rPr>
          <w:rFonts w:eastAsia="Times New Roman"/>
          <w:b/>
          <w:bCs/>
          <w:i/>
          <w:iCs/>
          <w:color w:val="231F20"/>
        </w:rPr>
        <w:t xml:space="preserve"> </w:t>
      </w:r>
      <w:r>
        <w:rPr>
          <w:rFonts w:eastAsia="Times New Roman"/>
          <w:b/>
          <w:bCs/>
          <w:i/>
          <w:iCs/>
          <w:color w:val="231F20"/>
          <w:sz w:val="20"/>
          <w:szCs w:val="20"/>
        </w:rPr>
        <w:t>fluctuations,</w:t>
      </w:r>
      <w:r>
        <w:rPr>
          <w:rFonts w:eastAsia="Times New Roman"/>
          <w:b/>
          <w:bCs/>
          <w:i/>
          <w:iCs/>
          <w:color w:val="231F20"/>
        </w:rPr>
        <w:t xml:space="preserve"> </w:t>
      </w:r>
      <w:r>
        <w:rPr>
          <w:rFonts w:eastAsia="Times New Roman"/>
          <w:b/>
          <w:bCs/>
          <w:i/>
          <w:iCs/>
          <w:color w:val="231F20"/>
          <w:sz w:val="20"/>
          <w:szCs w:val="20"/>
        </w:rPr>
        <w:t>adversely</w:t>
      </w:r>
      <w:r>
        <w:rPr>
          <w:rFonts w:eastAsia="Times New Roman"/>
          <w:b/>
          <w:bCs/>
          <w:i/>
          <w:iCs/>
          <w:color w:val="231F20"/>
        </w:rPr>
        <w:t xml:space="preserve"> </w:t>
      </w:r>
      <w:r>
        <w:rPr>
          <w:rFonts w:eastAsia="Times New Roman"/>
          <w:b/>
          <w:bCs/>
          <w:i/>
          <w:iCs/>
          <w:color w:val="231F20"/>
          <w:sz w:val="20"/>
          <w:szCs w:val="20"/>
        </w:rPr>
        <w:t>affect</w:t>
      </w:r>
      <w:r>
        <w:rPr>
          <w:rFonts w:eastAsia="Times New Roman"/>
          <w:b/>
          <w:bCs/>
          <w:i/>
          <w:iCs/>
          <w:color w:val="231F20"/>
        </w:rPr>
        <w:t xml:space="preserve"> </w:t>
      </w:r>
      <w:r>
        <w:rPr>
          <w:rFonts w:eastAsia="Times New Roman"/>
          <w:b/>
          <w:bCs/>
          <w:i/>
          <w:iCs/>
          <w:color w:val="231F20"/>
          <w:sz w:val="20"/>
          <w:szCs w:val="20"/>
        </w:rPr>
        <w:t>our operations in the U.K.</w:t>
      </w:r>
      <w:r>
        <w:rPr>
          <w:rFonts w:eastAsia="Times New Roman"/>
          <w:b/>
          <w:bCs/>
          <w:i/>
          <w:iCs/>
          <w:color w:val="231F20"/>
        </w:rPr>
        <w:t xml:space="preserve"> </w:t>
      </w:r>
      <w:r>
        <w:rPr>
          <w:rFonts w:eastAsia="Times New Roman"/>
          <w:b/>
          <w:bCs/>
          <w:i/>
          <w:iCs/>
          <w:color w:val="231F20"/>
          <w:sz w:val="20"/>
          <w:szCs w:val="20"/>
        </w:rPr>
        <w:t>and pose additional</w:t>
      </w:r>
      <w:r>
        <w:rPr>
          <w:rFonts w:eastAsia="Times New Roman"/>
          <w:b/>
          <w:bCs/>
          <w:i/>
          <w:iCs/>
          <w:color w:val="231F20"/>
        </w:rPr>
        <w:t xml:space="preserve"> </w:t>
      </w:r>
      <w:r>
        <w:rPr>
          <w:rFonts w:eastAsia="Times New Roman"/>
          <w:b/>
          <w:bCs/>
          <w:i/>
          <w:iCs/>
          <w:color w:val="231F20"/>
          <w:sz w:val="20"/>
          <w:szCs w:val="20"/>
        </w:rPr>
        <w:t>risks</w:t>
      </w:r>
      <w:r>
        <w:rPr>
          <w:rFonts w:eastAsia="Times New Roman"/>
          <w:b/>
          <w:bCs/>
          <w:i/>
          <w:iCs/>
          <w:color w:val="231F20"/>
        </w:rPr>
        <w:t xml:space="preserve"> </w:t>
      </w:r>
      <w:r>
        <w:rPr>
          <w:rFonts w:eastAsia="Times New Roman"/>
          <w:b/>
          <w:bCs/>
          <w:i/>
          <w:iCs/>
          <w:color w:val="231F20"/>
          <w:sz w:val="20"/>
          <w:szCs w:val="20"/>
        </w:rPr>
        <w:t>to our business,</w:t>
      </w:r>
      <w:r>
        <w:rPr>
          <w:rFonts w:eastAsia="Times New Roman"/>
          <w:b/>
          <w:bCs/>
          <w:i/>
          <w:iCs/>
          <w:color w:val="231F20"/>
        </w:rPr>
        <w:t xml:space="preserve"> </w:t>
      </w:r>
      <w:r>
        <w:rPr>
          <w:rFonts w:eastAsia="Times New Roman"/>
          <w:b/>
          <w:bCs/>
          <w:i/>
          <w:iCs/>
          <w:color w:val="231F20"/>
          <w:sz w:val="20"/>
          <w:szCs w:val="20"/>
        </w:rPr>
        <w:t>revenue,</w:t>
      </w:r>
      <w:r>
        <w:rPr>
          <w:rFonts w:eastAsia="Times New Roman"/>
          <w:b/>
          <w:bCs/>
          <w:i/>
          <w:iCs/>
          <w:color w:val="231F20"/>
        </w:rPr>
        <w:t xml:space="preserve"> </w:t>
      </w:r>
      <w:r>
        <w:rPr>
          <w:rFonts w:eastAsia="Times New Roman"/>
          <w:b/>
          <w:bCs/>
          <w:i/>
          <w:iCs/>
          <w:color w:val="231F20"/>
          <w:sz w:val="20"/>
          <w:szCs w:val="20"/>
        </w:rPr>
        <w:t>financial</w:t>
      </w:r>
      <w:r>
        <w:rPr>
          <w:rFonts w:eastAsia="Times New Roman"/>
          <w:b/>
          <w:bCs/>
          <w:i/>
          <w:iCs/>
          <w:color w:val="231F20"/>
        </w:rPr>
        <w:t xml:space="preserve"> </w:t>
      </w:r>
      <w:r>
        <w:rPr>
          <w:rFonts w:eastAsia="Times New Roman"/>
          <w:b/>
          <w:bCs/>
          <w:i/>
          <w:iCs/>
          <w:color w:val="231F20"/>
          <w:sz w:val="20"/>
          <w:szCs w:val="20"/>
        </w:rPr>
        <w:t>condition</w:t>
      </w:r>
      <w:r>
        <w:rPr>
          <w:rFonts w:eastAsia="Times New Roman"/>
          <w:b/>
          <w:bCs/>
          <w:i/>
          <w:iCs/>
          <w:color w:val="231F20"/>
        </w:rPr>
        <w:t xml:space="preserve"> </w:t>
      </w:r>
      <w:r>
        <w:rPr>
          <w:rFonts w:eastAsia="Times New Roman"/>
          <w:b/>
          <w:bCs/>
          <w:i/>
          <w:iCs/>
          <w:color w:val="231F20"/>
          <w:sz w:val="20"/>
          <w:szCs w:val="20"/>
        </w:rPr>
        <w:t>and results</w:t>
      </w:r>
      <w:r>
        <w:rPr>
          <w:rFonts w:eastAsia="Times New Roman"/>
          <w:b/>
          <w:bCs/>
          <w:i/>
          <w:iCs/>
          <w:color w:val="231F20"/>
        </w:rPr>
        <w:t xml:space="preserve"> </w:t>
      </w:r>
      <w:r>
        <w:rPr>
          <w:rFonts w:eastAsia="Times New Roman"/>
          <w:b/>
          <w:bCs/>
          <w:i/>
          <w:iCs/>
          <w:color w:val="231F20"/>
          <w:sz w:val="20"/>
          <w:szCs w:val="20"/>
        </w:rPr>
        <w:t>of operations.</w:t>
      </w:r>
    </w:p>
    <w:p w:rsidR="00000000" w:rsidRDefault="00FD7D3C">
      <w:pPr>
        <w:ind w:firstLine="1080"/>
        <w:divId w:val="1495802876"/>
        <w:rPr>
          <w:rFonts w:eastAsia="Times New Roman"/>
        </w:rPr>
      </w:pPr>
      <w:r>
        <w:rPr>
          <w:rFonts w:eastAsia="Times New Roman"/>
          <w:color w:val="000000"/>
          <w:sz w:val="20"/>
          <w:szCs w:val="20"/>
        </w:rPr>
        <w:t>On January 31, 2020, the U.K. ceased being a Member State of the EU. The U.K. and the EU signed a EU-UK Trade and Cooperation Agreement, or TCA, which became effective on May 1, 2021. Such a withdrawal from the EU is unprecedented, and it is unclear how th</w:t>
      </w:r>
      <w:r>
        <w:rPr>
          <w:rFonts w:eastAsia="Times New Roman"/>
          <w:color w:val="000000"/>
          <w:sz w:val="20"/>
          <w:szCs w:val="20"/>
        </w:rPr>
        <w:t>e restrictions on the U.K.’s access to the European single market for goods, capital, services and labor within the EU, or single market, and the wider commercial, legal and regulatory environment, will impact our current and future operations (including b</w:t>
      </w:r>
      <w:r>
        <w:rPr>
          <w:rFonts w:eastAsia="Times New Roman"/>
          <w:color w:val="000000"/>
          <w:sz w:val="20"/>
          <w:szCs w:val="20"/>
        </w:rPr>
        <w:t>usiness activities conducted by third parties and contract manufacturers on our behalf) and clinical activities in the U.K.</w:t>
      </w:r>
    </w:p>
    <w:p w:rsidR="00000000" w:rsidRDefault="00FD7D3C">
      <w:pPr>
        <w:ind w:firstLine="1080"/>
        <w:divId w:val="2131195782"/>
        <w:rPr>
          <w:rFonts w:eastAsia="Times New Roman"/>
        </w:rPr>
      </w:pPr>
      <w:r>
        <w:rPr>
          <w:rFonts w:eastAsia="Times New Roman"/>
          <w:color w:val="000000"/>
          <w:sz w:val="20"/>
          <w:szCs w:val="20"/>
        </w:rPr>
        <w:t>We may also face new regulatory costs and challenges that could have an adverse effect on our operations. Since the regulatory frame</w:t>
      </w:r>
      <w:r>
        <w:rPr>
          <w:rFonts w:eastAsia="Times New Roman"/>
          <w:color w:val="000000"/>
          <w:sz w:val="20"/>
          <w:szCs w:val="20"/>
        </w:rPr>
        <w:t>work in the U.K. covering quality, safety and efficacy of pharmaceutical products, clinical trials, marketing authorization, commercial sales and distribution of pharmaceutical products is derived from EU Directives and Regulations, Brexit could materially</w:t>
      </w:r>
      <w:r>
        <w:rPr>
          <w:rFonts w:eastAsia="Times New Roman"/>
          <w:color w:val="000000"/>
          <w:sz w:val="20"/>
          <w:szCs w:val="20"/>
        </w:rPr>
        <w:t xml:space="preserve"> impact the future regulatory regime with respect to the approval of our product candidates in the U.K., now that U.K. legislation may depart from EU legislation. For instance, now the transition period </w:t>
      </w:r>
    </w:p>
    <w:p w:rsidR="00000000" w:rsidRDefault="00FD7D3C">
      <w:pPr>
        <w:jc w:val="center"/>
        <w:divId w:val="1882206221"/>
        <w:rPr>
          <w:rFonts w:eastAsia="Times New Roman"/>
        </w:rPr>
      </w:pPr>
      <w:r>
        <w:rPr>
          <w:rFonts w:eastAsia="Times New Roman"/>
          <w:color w:val="000000"/>
          <w:sz w:val="20"/>
          <w:szCs w:val="20"/>
        </w:rPr>
        <w:t>90</w:t>
      </w:r>
    </w:p>
    <w:p w:rsidR="00000000" w:rsidRDefault="00FD7D3C">
      <w:pPr>
        <w:rPr>
          <w:rFonts w:eastAsia="Times New Roman"/>
        </w:rPr>
      </w:pPr>
      <w:r>
        <w:rPr>
          <w:rFonts w:eastAsia="Times New Roman"/>
        </w:rPr>
        <w:pict>
          <v:rect id="_x0000_i1143" style="width:0;height:1.5pt" o:hralign="center" o:hrstd="t" o:hr="t" fillcolor="#a0a0a0" stroked="f"/>
        </w:pict>
      </w:r>
    </w:p>
    <w:p w:rsidR="00000000" w:rsidRDefault="00FD7D3C">
      <w:pPr>
        <w:divId w:val="1376853617"/>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divId w:val="1717772716"/>
        <w:rPr>
          <w:rFonts w:eastAsia="Times New Roman"/>
        </w:rPr>
      </w:pPr>
      <w:r>
        <w:rPr>
          <w:rFonts w:eastAsia="Times New Roman"/>
          <w:color w:val="000000"/>
          <w:sz w:val="20"/>
          <w:szCs w:val="20"/>
        </w:rPr>
        <w:t>has expired, Great Britain will no longer be covered by the centralized procedure for obtaining an EEA-wide marketing authorization from the European Medicines Agency, or EMA, and a separate p</w:t>
      </w:r>
      <w:r>
        <w:rPr>
          <w:rFonts w:eastAsia="Times New Roman"/>
          <w:color w:val="000000"/>
          <w:sz w:val="20"/>
          <w:szCs w:val="20"/>
        </w:rPr>
        <w:t xml:space="preserve">rocess for authorization of drug products, including our product candidates and products in the U.K., will be required in Great Britain resulting in an authorization covering the UK or Great Britain only. Any delay in obtaining, or an inability to obtain, </w:t>
      </w:r>
      <w:r>
        <w:rPr>
          <w:rFonts w:eastAsia="Times New Roman"/>
          <w:color w:val="000000"/>
          <w:sz w:val="20"/>
          <w:szCs w:val="20"/>
        </w:rPr>
        <w:t>any regulatory approvals, as a result of Brexit or otherwise, would prevent us from commercializing our product candidates in the U.K. and/or the EU and restrict our ability to generate revenue and achieve and sustain profitability. If any of these outcome</w:t>
      </w:r>
      <w:r>
        <w:rPr>
          <w:rFonts w:eastAsia="Times New Roman"/>
          <w:color w:val="000000"/>
          <w:sz w:val="20"/>
          <w:szCs w:val="20"/>
        </w:rPr>
        <w:t xml:space="preserve">s occur, we may be forced to restrict or delay efforts to seek regulatory approval in the U.K. and/or EU for our product candidates, which could significantly and materially harm our business. </w:t>
      </w:r>
    </w:p>
    <w:p w:rsidR="00000000" w:rsidRDefault="00FD7D3C">
      <w:pPr>
        <w:ind w:firstLine="1080"/>
        <w:divId w:val="1440638463"/>
        <w:rPr>
          <w:rFonts w:eastAsia="Times New Roman"/>
        </w:rPr>
      </w:pPr>
      <w:r>
        <w:rPr>
          <w:rFonts w:eastAsia="Times New Roman"/>
          <w:color w:val="000000"/>
          <w:sz w:val="20"/>
          <w:szCs w:val="20"/>
        </w:rPr>
        <w:t>The UK government is currently trying to renegotiate fundament</w:t>
      </w:r>
      <w:r>
        <w:rPr>
          <w:rFonts w:eastAsia="Times New Roman"/>
          <w:color w:val="000000"/>
          <w:sz w:val="20"/>
          <w:szCs w:val="20"/>
        </w:rPr>
        <w:t xml:space="preserve">al aspects of the Northern Ireland Protocol so this is an unpredictable area for companies in the near future. The TCA allows for future deviation from the current regulatory framework and it is not known if and/or when any deviations may occur, which may </w:t>
      </w:r>
      <w:r>
        <w:rPr>
          <w:rFonts w:eastAsia="Times New Roman"/>
          <w:color w:val="000000"/>
          <w:sz w:val="20"/>
          <w:szCs w:val="20"/>
        </w:rPr>
        <w:t>have an impact on development, manufacture, marketing authorization, commercial sales and distribution of pharmaceutical products.</w:t>
      </w:r>
    </w:p>
    <w:p w:rsidR="00000000" w:rsidRDefault="00FD7D3C">
      <w:pPr>
        <w:ind w:firstLine="1320"/>
        <w:divId w:val="394817359"/>
        <w:rPr>
          <w:rFonts w:eastAsia="Times New Roman"/>
        </w:rPr>
      </w:pPr>
      <w:r>
        <w:rPr>
          <w:rFonts w:eastAsia="Times New Roman"/>
          <w:b/>
          <w:bCs/>
          <w:i/>
          <w:iCs/>
          <w:color w:val="231F20"/>
          <w:sz w:val="20"/>
          <w:szCs w:val="20"/>
        </w:rPr>
        <w:t>Changes in U.S.</w:t>
      </w:r>
      <w:r>
        <w:rPr>
          <w:rFonts w:eastAsia="Times New Roman"/>
          <w:b/>
          <w:bCs/>
          <w:i/>
          <w:iCs/>
          <w:color w:val="231F20"/>
        </w:rPr>
        <w:t xml:space="preserve"> </w:t>
      </w:r>
      <w:r>
        <w:rPr>
          <w:rFonts w:eastAsia="Times New Roman"/>
          <w:b/>
          <w:bCs/>
          <w:i/>
          <w:iCs/>
          <w:color w:val="231F20"/>
          <w:sz w:val="20"/>
          <w:szCs w:val="20"/>
        </w:rPr>
        <w:t>tax law could adversely</w:t>
      </w:r>
      <w:r>
        <w:rPr>
          <w:rFonts w:eastAsia="Times New Roman"/>
          <w:b/>
          <w:bCs/>
          <w:i/>
          <w:iCs/>
          <w:color w:val="231F20"/>
        </w:rPr>
        <w:t xml:space="preserve"> </w:t>
      </w:r>
      <w:r>
        <w:rPr>
          <w:rFonts w:eastAsia="Times New Roman"/>
          <w:b/>
          <w:bCs/>
          <w:i/>
          <w:iCs/>
          <w:color w:val="231F20"/>
          <w:sz w:val="20"/>
          <w:szCs w:val="20"/>
        </w:rPr>
        <w:t>affect</w:t>
      </w:r>
      <w:r>
        <w:rPr>
          <w:rFonts w:eastAsia="Times New Roman"/>
          <w:b/>
          <w:bCs/>
          <w:i/>
          <w:iCs/>
          <w:color w:val="231F20"/>
        </w:rPr>
        <w:t xml:space="preserve"> </w:t>
      </w:r>
      <w:r>
        <w:rPr>
          <w:rFonts w:eastAsia="Times New Roman"/>
          <w:b/>
          <w:bCs/>
          <w:i/>
          <w:iCs/>
          <w:color w:val="231F20"/>
          <w:sz w:val="20"/>
          <w:szCs w:val="20"/>
        </w:rPr>
        <w:t>our financial</w:t>
      </w:r>
      <w:r>
        <w:rPr>
          <w:rFonts w:eastAsia="Times New Roman"/>
          <w:b/>
          <w:bCs/>
          <w:i/>
          <w:iCs/>
          <w:color w:val="231F20"/>
        </w:rPr>
        <w:t xml:space="preserve"> </w:t>
      </w:r>
      <w:r>
        <w:rPr>
          <w:rFonts w:eastAsia="Times New Roman"/>
          <w:b/>
          <w:bCs/>
          <w:i/>
          <w:iCs/>
          <w:color w:val="231F20"/>
          <w:sz w:val="20"/>
          <w:szCs w:val="20"/>
        </w:rPr>
        <w:t>condition</w:t>
      </w:r>
      <w:r>
        <w:rPr>
          <w:rFonts w:eastAsia="Times New Roman"/>
          <w:b/>
          <w:bCs/>
          <w:i/>
          <w:iCs/>
          <w:color w:val="231F20"/>
        </w:rPr>
        <w:t xml:space="preserve"> </w:t>
      </w:r>
      <w:r>
        <w:rPr>
          <w:rFonts w:eastAsia="Times New Roman"/>
          <w:b/>
          <w:bCs/>
          <w:i/>
          <w:iCs/>
          <w:color w:val="231F20"/>
          <w:sz w:val="20"/>
          <w:szCs w:val="20"/>
        </w:rPr>
        <w:t>and results</w:t>
      </w:r>
      <w:r>
        <w:rPr>
          <w:rFonts w:eastAsia="Times New Roman"/>
          <w:b/>
          <w:bCs/>
          <w:i/>
          <w:iCs/>
          <w:color w:val="231F20"/>
        </w:rPr>
        <w:t xml:space="preserve"> </w:t>
      </w:r>
      <w:r>
        <w:rPr>
          <w:rFonts w:eastAsia="Times New Roman"/>
          <w:b/>
          <w:bCs/>
          <w:i/>
          <w:iCs/>
          <w:color w:val="231F20"/>
          <w:sz w:val="20"/>
          <w:szCs w:val="20"/>
        </w:rPr>
        <w:t>of operations.</w:t>
      </w:r>
    </w:p>
    <w:p w:rsidR="00000000" w:rsidRDefault="00FD7D3C">
      <w:pPr>
        <w:ind w:firstLine="1080"/>
        <w:divId w:val="1155802908"/>
        <w:rPr>
          <w:rFonts w:eastAsia="Times New Roman"/>
        </w:rPr>
      </w:pPr>
      <w:r>
        <w:rPr>
          <w:rFonts w:eastAsia="Times New Roman"/>
          <w:color w:val="000000"/>
          <w:sz w:val="20"/>
          <w:szCs w:val="20"/>
        </w:rPr>
        <w:t>The rules dealing with U.S.</w:t>
      </w:r>
      <w:r>
        <w:rPr>
          <w:rFonts w:eastAsia="Times New Roman"/>
          <w:color w:val="000000"/>
          <w:sz w:val="20"/>
          <w:szCs w:val="20"/>
        </w:rPr>
        <w:t xml:space="preserve"> federal, state and local income taxation are constantly under review by persons involved in the legislative process and by the U.S. Internal Revenue Service and the U.S. Treasury Department. Changes to tax laws (which changes may have retroactive applicat</w:t>
      </w:r>
      <w:r>
        <w:rPr>
          <w:rFonts w:eastAsia="Times New Roman"/>
          <w:color w:val="000000"/>
          <w:sz w:val="20"/>
          <w:szCs w:val="20"/>
        </w:rPr>
        <w:t>ion) could adversely affect us or holders of our common stock. In recent years, many such changes have been made and changes are likely to continue to occur in the future. Future changes in U.S. tax laws could have a material adverse effect on our business</w:t>
      </w:r>
      <w:r>
        <w:rPr>
          <w:rFonts w:eastAsia="Times New Roman"/>
          <w:color w:val="000000"/>
          <w:sz w:val="20"/>
          <w:szCs w:val="20"/>
        </w:rPr>
        <w:t>, cash flow, financial condition or results of operations. We urge investors to consult with their legal and tax advisors regarding the implications of potential changes in U.S. tax laws on an investment in our common stock.</w:t>
      </w:r>
    </w:p>
    <w:p w:rsidR="00000000" w:rsidRDefault="00FD7D3C">
      <w:pPr>
        <w:ind w:firstLine="1080"/>
        <w:divId w:val="1738742758"/>
        <w:rPr>
          <w:rFonts w:eastAsia="Times New Roman"/>
        </w:rPr>
      </w:pPr>
      <w:r>
        <w:rPr>
          <w:rFonts w:eastAsia="Times New Roman"/>
          <w:b/>
          <w:bCs/>
          <w:i/>
          <w:iCs/>
          <w:color w:val="231F20"/>
          <w:sz w:val="20"/>
          <w:szCs w:val="20"/>
        </w:rPr>
        <w:t>Our internal</w:t>
      </w:r>
      <w:r>
        <w:rPr>
          <w:rFonts w:eastAsia="Times New Roman"/>
          <w:b/>
          <w:bCs/>
          <w:i/>
          <w:iCs/>
          <w:color w:val="231F20"/>
        </w:rPr>
        <w:t xml:space="preserve"> </w:t>
      </w:r>
      <w:r>
        <w:rPr>
          <w:rFonts w:eastAsia="Times New Roman"/>
          <w:b/>
          <w:bCs/>
          <w:i/>
          <w:iCs/>
          <w:color w:val="231F20"/>
          <w:sz w:val="20"/>
          <w:szCs w:val="20"/>
        </w:rPr>
        <w:t>computer</w:t>
      </w:r>
      <w:r>
        <w:rPr>
          <w:rFonts w:eastAsia="Times New Roman"/>
          <w:b/>
          <w:bCs/>
          <w:i/>
          <w:iCs/>
          <w:color w:val="231F20"/>
        </w:rPr>
        <w:t xml:space="preserve"> </w:t>
      </w:r>
      <w:r>
        <w:rPr>
          <w:rFonts w:eastAsia="Times New Roman"/>
          <w:b/>
          <w:bCs/>
          <w:i/>
          <w:iCs/>
          <w:color w:val="231F20"/>
          <w:sz w:val="20"/>
          <w:szCs w:val="20"/>
        </w:rPr>
        <w:t>systems,</w:t>
      </w:r>
      <w:r>
        <w:rPr>
          <w:rFonts w:eastAsia="Times New Roman"/>
          <w:b/>
          <w:bCs/>
          <w:i/>
          <w:iCs/>
          <w:color w:val="231F20"/>
        </w:rPr>
        <w:t xml:space="preserve"> </w:t>
      </w:r>
      <w:r>
        <w:rPr>
          <w:rFonts w:eastAsia="Times New Roman"/>
          <w:b/>
          <w:bCs/>
          <w:i/>
          <w:iCs/>
          <w:color w:val="231F20"/>
          <w:sz w:val="20"/>
          <w:szCs w:val="20"/>
        </w:rPr>
        <w:t>or those</w:t>
      </w:r>
      <w:r>
        <w:rPr>
          <w:rFonts w:eastAsia="Times New Roman"/>
          <w:b/>
          <w:bCs/>
          <w:i/>
          <w:iCs/>
          <w:color w:val="231F20"/>
        </w:rPr>
        <w:t xml:space="preserve"> </w:t>
      </w:r>
      <w:r>
        <w:rPr>
          <w:rFonts w:eastAsia="Times New Roman"/>
          <w:b/>
          <w:bCs/>
          <w:i/>
          <w:iCs/>
          <w:color w:val="231F20"/>
          <w:sz w:val="20"/>
          <w:szCs w:val="20"/>
        </w:rPr>
        <w:t>of our collaborators</w:t>
      </w:r>
      <w:r>
        <w:rPr>
          <w:rFonts w:eastAsia="Times New Roman"/>
          <w:b/>
          <w:bCs/>
          <w:i/>
          <w:iCs/>
          <w:color w:val="231F20"/>
        </w:rPr>
        <w:t xml:space="preserve"> </w:t>
      </w:r>
      <w:r>
        <w:rPr>
          <w:rFonts w:eastAsia="Times New Roman"/>
          <w:b/>
          <w:bCs/>
          <w:i/>
          <w:iCs/>
          <w:color w:val="231F20"/>
          <w:sz w:val="20"/>
          <w:szCs w:val="20"/>
        </w:rPr>
        <w:t>or other</w:t>
      </w:r>
      <w:r>
        <w:rPr>
          <w:rFonts w:eastAsia="Times New Roman"/>
          <w:b/>
          <w:bCs/>
          <w:i/>
          <w:iCs/>
          <w:color w:val="231F20"/>
        </w:rPr>
        <w:t xml:space="preserve"> </w:t>
      </w:r>
      <w:r>
        <w:rPr>
          <w:rFonts w:eastAsia="Times New Roman"/>
          <w:b/>
          <w:bCs/>
          <w:i/>
          <w:iCs/>
          <w:color w:val="231F20"/>
          <w:sz w:val="20"/>
          <w:szCs w:val="20"/>
        </w:rPr>
        <w:t>contractors</w:t>
      </w:r>
      <w:r>
        <w:rPr>
          <w:rFonts w:eastAsia="Times New Roman"/>
          <w:b/>
          <w:bCs/>
          <w:i/>
          <w:iCs/>
          <w:color w:val="231F20"/>
        </w:rPr>
        <w:t xml:space="preserve"> </w:t>
      </w:r>
      <w:r>
        <w:rPr>
          <w:rFonts w:eastAsia="Times New Roman"/>
          <w:b/>
          <w:bCs/>
          <w:i/>
          <w:iCs/>
          <w:color w:val="231F20"/>
          <w:sz w:val="20"/>
          <w:szCs w:val="20"/>
        </w:rPr>
        <w:t>or consultants,</w:t>
      </w:r>
      <w:r>
        <w:rPr>
          <w:rFonts w:eastAsia="Times New Roman"/>
          <w:b/>
          <w:bCs/>
          <w:i/>
          <w:iCs/>
          <w:color w:val="231F20"/>
        </w:rPr>
        <w:t xml:space="preserve"> </w:t>
      </w:r>
      <w:r>
        <w:rPr>
          <w:rFonts w:eastAsia="Times New Roman"/>
          <w:b/>
          <w:bCs/>
          <w:i/>
          <w:iCs/>
          <w:color w:val="231F20"/>
          <w:sz w:val="20"/>
          <w:szCs w:val="20"/>
        </w:rPr>
        <w:t>may</w:t>
      </w:r>
      <w:r>
        <w:rPr>
          <w:rFonts w:eastAsia="Times New Roman"/>
          <w:b/>
          <w:bCs/>
          <w:i/>
          <w:iCs/>
          <w:color w:val="231F20"/>
        </w:rPr>
        <w:t xml:space="preserve"> </w:t>
      </w:r>
      <w:r>
        <w:rPr>
          <w:rFonts w:eastAsia="Times New Roman"/>
          <w:b/>
          <w:bCs/>
          <w:i/>
          <w:iCs/>
          <w:color w:val="231F20"/>
          <w:sz w:val="20"/>
          <w:szCs w:val="20"/>
        </w:rPr>
        <w:t>fail or suffer</w:t>
      </w:r>
      <w:r>
        <w:rPr>
          <w:rFonts w:eastAsia="Times New Roman"/>
          <w:b/>
          <w:bCs/>
          <w:i/>
          <w:iCs/>
          <w:color w:val="231F20"/>
        </w:rPr>
        <w:t xml:space="preserve"> </w:t>
      </w:r>
      <w:r>
        <w:rPr>
          <w:rFonts w:eastAsia="Times New Roman"/>
          <w:b/>
          <w:bCs/>
          <w:i/>
          <w:iCs/>
          <w:color w:val="231F20"/>
          <w:sz w:val="20"/>
          <w:szCs w:val="20"/>
        </w:rPr>
        <w:t>security</w:t>
      </w:r>
      <w:r>
        <w:rPr>
          <w:rFonts w:eastAsia="Times New Roman"/>
          <w:b/>
          <w:bCs/>
          <w:i/>
          <w:iCs/>
          <w:color w:val="231F20"/>
        </w:rPr>
        <w:t xml:space="preserve"> </w:t>
      </w:r>
      <w:r>
        <w:rPr>
          <w:rFonts w:eastAsia="Times New Roman"/>
          <w:b/>
          <w:bCs/>
          <w:i/>
          <w:iCs/>
          <w:color w:val="231F20"/>
          <w:sz w:val="20"/>
          <w:szCs w:val="20"/>
        </w:rPr>
        <w:t>breaches,</w:t>
      </w:r>
      <w:r>
        <w:rPr>
          <w:rFonts w:eastAsia="Times New Roman"/>
          <w:b/>
          <w:bCs/>
          <w:i/>
          <w:iCs/>
          <w:color w:val="231F20"/>
        </w:rPr>
        <w:t xml:space="preserve"> </w:t>
      </w:r>
      <w:r>
        <w:rPr>
          <w:rFonts w:eastAsia="Times New Roman"/>
          <w:b/>
          <w:bCs/>
          <w:i/>
          <w:iCs/>
          <w:color w:val="231F20"/>
          <w:sz w:val="20"/>
          <w:szCs w:val="20"/>
        </w:rPr>
        <w:t>which could result</w:t>
      </w:r>
      <w:r>
        <w:rPr>
          <w:rFonts w:eastAsia="Times New Roman"/>
          <w:b/>
          <w:bCs/>
          <w:i/>
          <w:iCs/>
          <w:color w:val="231F20"/>
        </w:rPr>
        <w:t xml:space="preserve"> </w:t>
      </w:r>
      <w:r>
        <w:rPr>
          <w:rFonts w:eastAsia="Times New Roman"/>
          <w:b/>
          <w:bCs/>
          <w:i/>
          <w:iCs/>
          <w:color w:val="231F20"/>
          <w:sz w:val="20"/>
          <w:szCs w:val="20"/>
        </w:rPr>
        <w:t>in a material</w:t>
      </w:r>
      <w:r>
        <w:rPr>
          <w:rFonts w:eastAsia="Times New Roman"/>
          <w:b/>
          <w:bCs/>
          <w:i/>
          <w:iCs/>
          <w:color w:val="231F20"/>
        </w:rPr>
        <w:t xml:space="preserve"> </w:t>
      </w:r>
      <w:r>
        <w:rPr>
          <w:rFonts w:eastAsia="Times New Roman"/>
          <w:b/>
          <w:bCs/>
          <w:i/>
          <w:iCs/>
          <w:color w:val="231F20"/>
          <w:sz w:val="20"/>
          <w:szCs w:val="20"/>
        </w:rPr>
        <w:t>disruption</w:t>
      </w:r>
      <w:r>
        <w:rPr>
          <w:rFonts w:eastAsia="Times New Roman"/>
          <w:b/>
          <w:bCs/>
          <w:i/>
          <w:iCs/>
          <w:color w:val="231F20"/>
        </w:rPr>
        <w:t xml:space="preserve"> </w:t>
      </w:r>
      <w:r>
        <w:rPr>
          <w:rFonts w:eastAsia="Times New Roman"/>
          <w:b/>
          <w:bCs/>
          <w:i/>
          <w:iCs/>
          <w:color w:val="231F20"/>
          <w:sz w:val="20"/>
          <w:szCs w:val="20"/>
        </w:rPr>
        <w:t>of our product</w:t>
      </w:r>
      <w:r>
        <w:rPr>
          <w:rFonts w:eastAsia="Times New Roman"/>
          <w:b/>
          <w:bCs/>
          <w:i/>
          <w:iCs/>
          <w:color w:val="231F20"/>
        </w:rPr>
        <w:t xml:space="preserve"> </w:t>
      </w:r>
      <w:r>
        <w:rPr>
          <w:rFonts w:eastAsia="Times New Roman"/>
          <w:b/>
          <w:bCs/>
          <w:i/>
          <w:iCs/>
          <w:color w:val="231F20"/>
          <w:sz w:val="20"/>
          <w:szCs w:val="20"/>
        </w:rPr>
        <w:t>development programs.</w:t>
      </w:r>
    </w:p>
    <w:p w:rsidR="00000000" w:rsidRDefault="00FD7D3C">
      <w:pPr>
        <w:ind w:firstLine="1080"/>
        <w:divId w:val="1628394564"/>
        <w:rPr>
          <w:rFonts w:eastAsia="Times New Roman"/>
        </w:rPr>
      </w:pPr>
      <w:r>
        <w:rPr>
          <w:rFonts w:eastAsia="Times New Roman"/>
          <w:color w:val="000000"/>
          <w:sz w:val="20"/>
          <w:szCs w:val="20"/>
        </w:rPr>
        <w:t>Our internal computer systems and those of our current and any future collaborators, other contractors or consultants, and third-party suppliers (i.e. our supply chain) are vulnerable to damage from computer viruses, unauthorized access, natural disasters,</w:t>
      </w:r>
      <w:r>
        <w:rPr>
          <w:rFonts w:eastAsia="Times New Roman"/>
          <w:color w:val="000000"/>
          <w:sz w:val="20"/>
          <w:szCs w:val="20"/>
        </w:rPr>
        <w:t xml:space="preserve"> terrorism, war and telecommunication and electrical failures. We exercise little or no direct control over how these third parties operate their networks, which increases our vulnerability to problems with their systems. While we have not experienced any </w:t>
      </w:r>
      <w:r>
        <w:rPr>
          <w:rFonts w:eastAsia="Times New Roman"/>
          <w:color w:val="000000"/>
          <w:sz w:val="20"/>
          <w:szCs w:val="20"/>
        </w:rPr>
        <w:t>such material system failure, accident or security breach to date, if such an event were to occur and cause interruptions in our operations, it could result in a disruption of our development programs and our business operations, whether due to a loss of o</w:t>
      </w:r>
      <w:r>
        <w:rPr>
          <w:rFonts w:eastAsia="Times New Roman"/>
          <w:color w:val="000000"/>
          <w:sz w:val="20"/>
          <w:szCs w:val="20"/>
        </w:rPr>
        <w:t>ur trade secrets or other proprietary information or other similar disruptions. For example, the loss of clinical trial data from future clinical trials could result in delays in our regulatory approval efforts and significantly increase our costs to recov</w:t>
      </w:r>
      <w:r>
        <w:rPr>
          <w:rFonts w:eastAsia="Times New Roman"/>
          <w:color w:val="000000"/>
          <w:sz w:val="20"/>
          <w:szCs w:val="20"/>
        </w:rPr>
        <w:t>er or reproduce the data. To the extent that any disruption or security breach were to result in a loss of, or damage to, our data or applications, or inappropriate disclosure of confidential or proprietary information, we could incur liability, our compet</w:t>
      </w:r>
      <w:r>
        <w:rPr>
          <w:rFonts w:eastAsia="Times New Roman"/>
          <w:color w:val="000000"/>
          <w:sz w:val="20"/>
          <w:szCs w:val="20"/>
        </w:rPr>
        <w:t>itive position could be harmed and the further development and commercialization of our product candidates could be delayed.</w:t>
      </w:r>
    </w:p>
    <w:p w:rsidR="00000000" w:rsidRDefault="00FD7D3C">
      <w:pPr>
        <w:ind w:firstLine="1080"/>
        <w:divId w:val="1269385428"/>
        <w:rPr>
          <w:rFonts w:eastAsia="Times New Roman"/>
        </w:rPr>
      </w:pPr>
      <w:r>
        <w:rPr>
          <w:rFonts w:eastAsia="Times New Roman"/>
          <w:color w:val="000000"/>
          <w:sz w:val="20"/>
          <w:szCs w:val="20"/>
        </w:rPr>
        <w:t>We could be subject to risks caused by misappropriation, misuse, leakage, falsification or intentional or accidental release, expos</w:t>
      </w:r>
      <w:r>
        <w:rPr>
          <w:rFonts w:eastAsia="Times New Roman"/>
          <w:color w:val="000000"/>
          <w:sz w:val="20"/>
          <w:szCs w:val="20"/>
        </w:rPr>
        <w:t>ure or loss of information maintained in the information systems and networks of our company and our vendors, including personal information of our employees and study subjects, and company and vendor confidential data. In addition, outside parties may att</w:t>
      </w:r>
      <w:r>
        <w:rPr>
          <w:rFonts w:eastAsia="Times New Roman"/>
          <w:color w:val="000000"/>
          <w:sz w:val="20"/>
          <w:szCs w:val="20"/>
        </w:rPr>
        <w:t>empt to penetrate our systems or those of our vendors or fraudulently induce our personnel or the personnel of our vendors to disclose sensitive information in order to gain access to our data and/or systems. We may experience threats to our data and syste</w:t>
      </w:r>
      <w:r>
        <w:rPr>
          <w:rFonts w:eastAsia="Times New Roman"/>
          <w:color w:val="000000"/>
          <w:sz w:val="20"/>
          <w:szCs w:val="20"/>
        </w:rPr>
        <w:t>ms, including malicious code and viruses, supply chain attacks, phishing and other cyberattacks. The number and complexity of these threats continue to increase over time. If a material breach of, or accidental or intentional loss of data from, our informa</w:t>
      </w:r>
      <w:r>
        <w:rPr>
          <w:rFonts w:eastAsia="Times New Roman"/>
          <w:color w:val="000000"/>
          <w:sz w:val="20"/>
          <w:szCs w:val="20"/>
        </w:rPr>
        <w:t>tion technology systems or those of our vendors occurs, the market perception of the effectiveness of our security measures could be harmed and our reputation and credibility could be damaged. We could be required to expend significant amounts of money and</w:t>
      </w:r>
      <w:r>
        <w:rPr>
          <w:rFonts w:eastAsia="Times New Roman"/>
          <w:color w:val="000000"/>
          <w:sz w:val="20"/>
          <w:szCs w:val="20"/>
        </w:rPr>
        <w:t xml:space="preserve"> other resources to repair or replace information systems or networks.</w:t>
      </w:r>
    </w:p>
    <w:p w:rsidR="00000000" w:rsidRDefault="00FD7D3C">
      <w:pPr>
        <w:ind w:firstLine="1080"/>
        <w:divId w:val="359866234"/>
        <w:rPr>
          <w:rFonts w:eastAsia="Times New Roman"/>
        </w:rPr>
      </w:pPr>
      <w:r>
        <w:rPr>
          <w:rFonts w:eastAsia="Times New Roman"/>
          <w:color w:val="000000"/>
          <w:sz w:val="20"/>
          <w:szCs w:val="20"/>
        </w:rPr>
        <w:t>In addition, we could be subject to regulatory actions and/or claims made by individuals and groups in private litigation involving privacy issues related to data collection and use pra</w:t>
      </w:r>
      <w:r>
        <w:rPr>
          <w:rFonts w:eastAsia="Times New Roman"/>
          <w:color w:val="000000"/>
          <w:sz w:val="20"/>
          <w:szCs w:val="20"/>
        </w:rPr>
        <w:t>ctices and other data privacy laws and regulations, including claims for misuse or inappropriate disclosure of data, as well as unfair or deceptive practices. Although we develop and maintain systems and controls designed to prevent these events from occur</w:t>
      </w:r>
      <w:r>
        <w:rPr>
          <w:rFonts w:eastAsia="Times New Roman"/>
          <w:color w:val="000000"/>
          <w:sz w:val="20"/>
          <w:szCs w:val="20"/>
        </w:rPr>
        <w:t>ring, and we have a process to identify and mitigate threats, the development and maintenance of these systems, controls and processes is costly and requires ongoing monitoring and updating as technologies change and efforts to overcome security measures b</w:t>
      </w:r>
      <w:r>
        <w:rPr>
          <w:rFonts w:eastAsia="Times New Roman"/>
          <w:color w:val="000000"/>
          <w:sz w:val="20"/>
          <w:szCs w:val="20"/>
        </w:rPr>
        <w:t xml:space="preserve">ecome increasingly sophisticated. Moreover, despite our efforts, the possibility of these events occurring cannot be eliminated entirely. As we outsource more of our information systems to vendors, engage in more electronic transactions with payors </w:t>
      </w:r>
    </w:p>
    <w:p w:rsidR="00000000" w:rsidRDefault="00FD7D3C">
      <w:pPr>
        <w:jc w:val="center"/>
        <w:divId w:val="286011397"/>
        <w:rPr>
          <w:rFonts w:eastAsia="Times New Roman"/>
        </w:rPr>
      </w:pPr>
      <w:r>
        <w:rPr>
          <w:rFonts w:eastAsia="Times New Roman"/>
          <w:color w:val="000000"/>
          <w:sz w:val="20"/>
          <w:szCs w:val="20"/>
        </w:rPr>
        <w:t>91</w:t>
      </w:r>
    </w:p>
    <w:p w:rsidR="00000000" w:rsidRDefault="00FD7D3C">
      <w:pPr>
        <w:rPr>
          <w:rFonts w:eastAsia="Times New Roman"/>
        </w:rPr>
      </w:pPr>
      <w:r>
        <w:rPr>
          <w:rFonts w:eastAsia="Times New Roman"/>
        </w:rPr>
        <w:pict>
          <v:rect id="_x0000_i1144" style="width:0;height:1.5pt" o:hralign="center" o:hrstd="t" o:hr="t" fillcolor="#a0a0a0" stroked="f"/>
        </w:pict>
      </w:r>
    </w:p>
    <w:p w:rsidR="00000000" w:rsidRDefault="00FD7D3C">
      <w:pPr>
        <w:divId w:val="611784900"/>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divId w:val="593974310"/>
        <w:rPr>
          <w:rFonts w:eastAsia="Times New Roman"/>
        </w:rPr>
      </w:pPr>
      <w:r>
        <w:rPr>
          <w:rFonts w:eastAsia="Times New Roman"/>
          <w:color w:val="000000"/>
          <w:sz w:val="20"/>
          <w:szCs w:val="20"/>
        </w:rPr>
        <w:t>and patients, and rely more on cloud- based information systems, the related security risks will increase and we will need to expend additional re</w:t>
      </w:r>
      <w:r>
        <w:rPr>
          <w:rFonts w:eastAsia="Times New Roman"/>
          <w:color w:val="000000"/>
          <w:sz w:val="20"/>
          <w:szCs w:val="20"/>
        </w:rPr>
        <w:t>sources to protect our technology and information systems.</w:t>
      </w:r>
    </w:p>
    <w:p w:rsidR="00000000" w:rsidRDefault="00FD7D3C">
      <w:pPr>
        <w:ind w:firstLine="1080"/>
        <w:divId w:val="1738823700"/>
        <w:rPr>
          <w:rFonts w:eastAsia="Times New Roman"/>
        </w:rPr>
      </w:pPr>
      <w:r>
        <w:rPr>
          <w:rFonts w:eastAsia="Times New Roman"/>
          <w:color w:val="000000"/>
          <w:sz w:val="20"/>
          <w:szCs w:val="20"/>
        </w:rPr>
        <w:t>In addition, there can be no assurance that our internal information technology systems or those of our third- party contractors, or our consultants’ efforts to implement adequate security and cont</w:t>
      </w:r>
      <w:r>
        <w:rPr>
          <w:rFonts w:eastAsia="Times New Roman"/>
          <w:color w:val="000000"/>
          <w:sz w:val="20"/>
          <w:szCs w:val="20"/>
        </w:rPr>
        <w:t>rol measures, will be sufficient to protect us against breakdowns, service disruption, data deterioration or loss in the event of a system malfunction, or prevent data from being stolen or corrupted in the event of a cyberattack, security breach, industria</w:t>
      </w:r>
      <w:r>
        <w:rPr>
          <w:rFonts w:eastAsia="Times New Roman"/>
          <w:color w:val="000000"/>
          <w:sz w:val="20"/>
          <w:szCs w:val="20"/>
        </w:rPr>
        <w:t>l espionage attacks or insider threat attacks which could result in financial, legal, business or reputational harm.</w:t>
      </w:r>
    </w:p>
    <w:p w:rsidR="00000000" w:rsidRDefault="00FD7D3C">
      <w:pPr>
        <w:ind w:firstLine="1080"/>
        <w:divId w:val="595288441"/>
        <w:rPr>
          <w:rFonts w:eastAsia="Times New Roman"/>
        </w:rPr>
      </w:pPr>
      <w:r>
        <w:rPr>
          <w:rFonts w:eastAsia="Times New Roman"/>
          <w:color w:val="000000"/>
          <w:sz w:val="20"/>
          <w:szCs w:val="20"/>
        </w:rPr>
        <w:t>In addition, while we maintain, insurance policies that may cover certain liabilities in connection with a cybersecurity incident, we canno</w:t>
      </w:r>
      <w:r>
        <w:rPr>
          <w:rFonts w:eastAsia="Times New Roman"/>
          <w:color w:val="000000"/>
          <w:sz w:val="20"/>
          <w:szCs w:val="20"/>
        </w:rPr>
        <w:t xml:space="preserve">t be certain that the insurance coverage will be adequate for liabilities actually incurred, that insurance will continue to be available to us on commercially reasonable terms, or at all, or that any insurer will not deny coverage as to any future claim. </w:t>
      </w:r>
      <w:r>
        <w:rPr>
          <w:rFonts w:eastAsia="Times New Roman"/>
          <w:color w:val="000000"/>
          <w:sz w:val="20"/>
          <w:szCs w:val="20"/>
        </w:rPr>
        <w:t xml:space="preserve">The successful assertion of one or more large claims that exceed available insurance coverage, or the occurrence of changes in insurance policies, including premium increases or the imposition of large deductible or co-insurance requirements, could have a </w:t>
      </w:r>
      <w:r>
        <w:rPr>
          <w:rFonts w:eastAsia="Times New Roman"/>
          <w:color w:val="000000"/>
          <w:sz w:val="20"/>
          <w:szCs w:val="20"/>
        </w:rPr>
        <w:t>material adverse effect on our business, including its financial condition, results of operations and reputation.</w:t>
      </w:r>
    </w:p>
    <w:p w:rsidR="00000000" w:rsidRDefault="00FD7D3C">
      <w:pPr>
        <w:ind w:firstLine="1080"/>
        <w:divId w:val="54864602"/>
        <w:rPr>
          <w:rFonts w:eastAsia="Times New Roman"/>
        </w:rPr>
      </w:pPr>
      <w:r>
        <w:rPr>
          <w:rFonts w:eastAsia="Times New Roman"/>
          <w:b/>
          <w:bCs/>
          <w:i/>
          <w:iCs/>
          <w:color w:val="231F20"/>
          <w:sz w:val="20"/>
          <w:szCs w:val="20"/>
        </w:rPr>
        <w:t>Unfavorable global economic conditions could adversely affect our business, financial condition or results of operations.</w:t>
      </w:r>
    </w:p>
    <w:p w:rsidR="00000000" w:rsidRDefault="00FD7D3C">
      <w:pPr>
        <w:ind w:firstLine="1080"/>
        <w:divId w:val="2051030948"/>
        <w:rPr>
          <w:rFonts w:eastAsia="Times New Roman"/>
        </w:rPr>
      </w:pPr>
      <w:r>
        <w:rPr>
          <w:rFonts w:eastAsia="Times New Roman"/>
          <w:color w:val="000000"/>
          <w:sz w:val="20"/>
          <w:szCs w:val="20"/>
        </w:rPr>
        <w:t>Our results of opera</w:t>
      </w:r>
      <w:r>
        <w:rPr>
          <w:rFonts w:eastAsia="Times New Roman"/>
          <w:color w:val="000000"/>
          <w:sz w:val="20"/>
          <w:szCs w:val="20"/>
        </w:rPr>
        <w:t>tions could be adversely affected by general conditions in the global economy and in the global financial markets. Portions of our future clinical trials may be conducted outside of the United States and unfavorable economic conditions resulting in the wea</w:t>
      </w:r>
      <w:r>
        <w:rPr>
          <w:rFonts w:eastAsia="Times New Roman"/>
          <w:color w:val="000000"/>
          <w:sz w:val="20"/>
          <w:szCs w:val="20"/>
        </w:rPr>
        <w:t>kening of the U.S. dollar would make those clinical trials costlier to operate. Furthermore, the most recent global financial crisis caused extreme volatility and disruptions in the capital and credit markets. A severe or prolonged economic downturn, inclu</w:t>
      </w:r>
      <w:r>
        <w:rPr>
          <w:rFonts w:eastAsia="Times New Roman"/>
          <w:color w:val="000000"/>
          <w:sz w:val="20"/>
          <w:szCs w:val="20"/>
        </w:rPr>
        <w:t>ding due to the impact of the COVID-19 pandemic, and rising interest rates could result in a variety of risks to our business, including a reduced ability to raise additional capital when needed on acceptable terms, if at all. A weak or declining economy o</w:t>
      </w:r>
      <w:r>
        <w:rPr>
          <w:rFonts w:eastAsia="Times New Roman"/>
          <w:color w:val="000000"/>
          <w:sz w:val="20"/>
          <w:szCs w:val="20"/>
        </w:rPr>
        <w:t xml:space="preserve">r international trade disputes could also strain our suppliers, some of which are located outside of the United States, possibly resulting in supply disruption. Any of the foregoing could harm our business and we cannot anticipate all of the ways in which </w:t>
      </w:r>
      <w:r>
        <w:rPr>
          <w:rFonts w:eastAsia="Times New Roman"/>
          <w:color w:val="000000"/>
          <w:sz w:val="20"/>
          <w:szCs w:val="20"/>
        </w:rPr>
        <w:t>the current economic climate and financial market conditions could adversely impact our business.</w:t>
      </w:r>
    </w:p>
    <w:p w:rsidR="00000000" w:rsidRDefault="00FD7D3C">
      <w:pPr>
        <w:ind w:firstLine="1080"/>
        <w:divId w:val="230892196"/>
        <w:rPr>
          <w:rFonts w:eastAsia="Times New Roman"/>
        </w:rPr>
      </w:pPr>
      <w:r>
        <w:rPr>
          <w:rFonts w:eastAsia="Times New Roman"/>
          <w:b/>
          <w:bCs/>
          <w:i/>
          <w:iCs/>
          <w:color w:val="231F20"/>
          <w:sz w:val="20"/>
          <w:szCs w:val="20"/>
        </w:rPr>
        <w:t>The increasing use of social media platforms presents new risks and challenges.</w:t>
      </w:r>
    </w:p>
    <w:p w:rsidR="00000000" w:rsidRDefault="00FD7D3C">
      <w:pPr>
        <w:ind w:firstLine="1080"/>
        <w:divId w:val="60910171"/>
        <w:rPr>
          <w:rFonts w:eastAsia="Times New Roman"/>
        </w:rPr>
      </w:pPr>
      <w:r>
        <w:rPr>
          <w:rFonts w:eastAsia="Times New Roman"/>
          <w:color w:val="000000"/>
          <w:sz w:val="20"/>
          <w:szCs w:val="20"/>
        </w:rPr>
        <w:t>Social media is increasingly being used to communicate about our clinical deve</w:t>
      </w:r>
      <w:r>
        <w:rPr>
          <w:rFonts w:eastAsia="Times New Roman"/>
          <w:color w:val="000000"/>
          <w:sz w:val="20"/>
          <w:szCs w:val="20"/>
        </w:rPr>
        <w:t>lopment programs and the diseases our therapeutics are being developed to treat, and we intend to utilize appropriate social media in connection with our commercialization efforts following approval of our product candidates, if any. Social media practices</w:t>
      </w:r>
      <w:r>
        <w:rPr>
          <w:rFonts w:eastAsia="Times New Roman"/>
          <w:color w:val="000000"/>
          <w:sz w:val="20"/>
          <w:szCs w:val="20"/>
        </w:rPr>
        <w:t xml:space="preserve"> in the biopharmaceutical industry continue to evolve and regulations and regulatory guidance relating to such use are evolving and not always clear. This evolution creates uncertainty and risk of noncompliance with regulations applicable to our business, </w:t>
      </w:r>
      <w:r>
        <w:rPr>
          <w:rFonts w:eastAsia="Times New Roman"/>
          <w:color w:val="000000"/>
          <w:sz w:val="20"/>
          <w:szCs w:val="20"/>
        </w:rPr>
        <w:t>resulting in potential regulatory actions against us, along with the potential for litigation related to off-label marketing or other prohibited activities. For example, patients may use social media channels to comment on their experience in an ongoing bl</w:t>
      </w:r>
      <w:r>
        <w:rPr>
          <w:rFonts w:eastAsia="Times New Roman"/>
          <w:color w:val="000000"/>
          <w:sz w:val="20"/>
          <w:szCs w:val="20"/>
        </w:rPr>
        <w:t xml:space="preserve">inded clinical trial or to report an alleged adverse event. When such disclosures occur, there is a risk that trial enrollment may be adversely impacted, that we may fail to monitor and comply with applicable adverse event reporting obligations or that we </w:t>
      </w:r>
      <w:r>
        <w:rPr>
          <w:rFonts w:eastAsia="Times New Roman"/>
          <w:color w:val="000000"/>
          <w:sz w:val="20"/>
          <w:szCs w:val="20"/>
        </w:rPr>
        <w:t>may not be able to defend our business or the public’s legitimate interests in the face of the political and market pressures generated by social media due to restrictions on what we may say about our product candidates. There is also a risk of inappropria</w:t>
      </w:r>
      <w:r>
        <w:rPr>
          <w:rFonts w:eastAsia="Times New Roman"/>
          <w:color w:val="000000"/>
          <w:sz w:val="20"/>
          <w:szCs w:val="20"/>
        </w:rPr>
        <w:t>te disclosure of sensitive information or negative or inaccurate posts or comments about us on any social networking website. If any of these events were to occur or we otherwise fail to comply with applicable regulations, we could incur liability, face re</w:t>
      </w:r>
      <w:r>
        <w:rPr>
          <w:rFonts w:eastAsia="Times New Roman"/>
          <w:color w:val="000000"/>
          <w:sz w:val="20"/>
          <w:szCs w:val="20"/>
        </w:rPr>
        <w:t>gulatory actions or incur other harm to our business.</w:t>
      </w:r>
    </w:p>
    <w:p w:rsidR="00000000" w:rsidRDefault="00FD7D3C">
      <w:pPr>
        <w:ind w:firstLine="1280"/>
        <w:jc w:val="both"/>
        <w:rPr>
          <w:rFonts w:eastAsia="Times New Roman"/>
        </w:rPr>
      </w:pPr>
      <w:r>
        <w:rPr>
          <w:rFonts w:eastAsia="Times New Roman"/>
          <w:b/>
          <w:bCs/>
          <w:i/>
          <w:iCs/>
          <w:color w:val="231F20"/>
          <w:sz w:val="20"/>
          <w:szCs w:val="20"/>
        </w:rPr>
        <w:t>Our estimates</w:t>
      </w:r>
      <w:r>
        <w:rPr>
          <w:rFonts w:eastAsia="Times New Roman"/>
          <w:b/>
          <w:bCs/>
          <w:i/>
          <w:iCs/>
          <w:color w:val="231F20"/>
        </w:rPr>
        <w:t xml:space="preserve"> </w:t>
      </w:r>
      <w:r>
        <w:rPr>
          <w:rFonts w:eastAsia="Times New Roman"/>
          <w:b/>
          <w:bCs/>
          <w:i/>
          <w:iCs/>
          <w:color w:val="231F20"/>
          <w:sz w:val="20"/>
          <w:szCs w:val="20"/>
        </w:rPr>
        <w:t>of market</w:t>
      </w:r>
      <w:r>
        <w:rPr>
          <w:rFonts w:eastAsia="Times New Roman"/>
          <w:b/>
          <w:bCs/>
          <w:i/>
          <w:iCs/>
          <w:color w:val="231F20"/>
        </w:rPr>
        <w:t xml:space="preserve"> </w:t>
      </w:r>
      <w:r>
        <w:rPr>
          <w:rFonts w:eastAsia="Times New Roman"/>
          <w:b/>
          <w:bCs/>
          <w:i/>
          <w:iCs/>
          <w:color w:val="231F20"/>
          <w:sz w:val="20"/>
          <w:szCs w:val="20"/>
        </w:rPr>
        <w:t>opportunity</w:t>
      </w:r>
      <w:r>
        <w:rPr>
          <w:rFonts w:eastAsia="Times New Roman"/>
          <w:b/>
          <w:bCs/>
          <w:i/>
          <w:iCs/>
          <w:color w:val="231F20"/>
        </w:rPr>
        <w:t xml:space="preserve"> </w:t>
      </w:r>
      <w:r>
        <w:rPr>
          <w:rFonts w:eastAsia="Times New Roman"/>
          <w:b/>
          <w:bCs/>
          <w:i/>
          <w:iCs/>
          <w:color w:val="231F20"/>
          <w:sz w:val="20"/>
          <w:szCs w:val="20"/>
        </w:rPr>
        <w:t>and forecasts</w:t>
      </w:r>
      <w:r>
        <w:rPr>
          <w:rFonts w:eastAsia="Times New Roman"/>
          <w:b/>
          <w:bCs/>
          <w:i/>
          <w:iCs/>
          <w:color w:val="231F20"/>
        </w:rPr>
        <w:t xml:space="preserve"> </w:t>
      </w:r>
      <w:r>
        <w:rPr>
          <w:rFonts w:eastAsia="Times New Roman"/>
          <w:b/>
          <w:bCs/>
          <w:i/>
          <w:iCs/>
          <w:color w:val="231F20"/>
          <w:sz w:val="20"/>
          <w:szCs w:val="20"/>
        </w:rPr>
        <w:t>of market</w:t>
      </w:r>
      <w:r>
        <w:rPr>
          <w:rFonts w:eastAsia="Times New Roman"/>
          <w:b/>
          <w:bCs/>
          <w:i/>
          <w:iCs/>
          <w:color w:val="231F20"/>
        </w:rPr>
        <w:t xml:space="preserve"> </w:t>
      </w:r>
      <w:r>
        <w:rPr>
          <w:rFonts w:eastAsia="Times New Roman"/>
          <w:b/>
          <w:bCs/>
          <w:i/>
          <w:iCs/>
          <w:color w:val="231F20"/>
          <w:sz w:val="20"/>
          <w:szCs w:val="20"/>
        </w:rPr>
        <w:t>growth may</w:t>
      </w:r>
      <w:r>
        <w:rPr>
          <w:rFonts w:eastAsia="Times New Roman"/>
          <w:b/>
          <w:bCs/>
          <w:i/>
          <w:iCs/>
          <w:color w:val="231F20"/>
        </w:rPr>
        <w:t xml:space="preserve"> </w:t>
      </w:r>
      <w:r>
        <w:rPr>
          <w:rFonts w:eastAsia="Times New Roman"/>
          <w:b/>
          <w:bCs/>
          <w:i/>
          <w:iCs/>
          <w:color w:val="231F20"/>
          <w:sz w:val="20"/>
          <w:szCs w:val="20"/>
        </w:rPr>
        <w:t>prove</w:t>
      </w:r>
      <w:r>
        <w:rPr>
          <w:rFonts w:eastAsia="Times New Roman"/>
          <w:b/>
          <w:bCs/>
          <w:i/>
          <w:iCs/>
          <w:color w:val="231F20"/>
        </w:rPr>
        <w:t xml:space="preserve"> </w:t>
      </w:r>
      <w:r>
        <w:rPr>
          <w:rFonts w:eastAsia="Times New Roman"/>
          <w:b/>
          <w:bCs/>
          <w:i/>
          <w:iCs/>
          <w:color w:val="231F20"/>
          <w:sz w:val="20"/>
          <w:szCs w:val="20"/>
        </w:rPr>
        <w:t>to be inaccurate,</w:t>
      </w:r>
      <w:r>
        <w:rPr>
          <w:rFonts w:eastAsia="Times New Roman"/>
          <w:b/>
          <w:bCs/>
          <w:i/>
          <w:iCs/>
          <w:color w:val="231F20"/>
        </w:rPr>
        <w:t xml:space="preserve"> </w:t>
      </w:r>
      <w:r>
        <w:rPr>
          <w:rFonts w:eastAsia="Times New Roman"/>
          <w:b/>
          <w:bCs/>
          <w:i/>
          <w:iCs/>
          <w:color w:val="231F20"/>
          <w:sz w:val="20"/>
          <w:szCs w:val="20"/>
        </w:rPr>
        <w:t>and even if the markets</w:t>
      </w:r>
      <w:r>
        <w:rPr>
          <w:rFonts w:eastAsia="Times New Roman"/>
          <w:b/>
          <w:bCs/>
          <w:i/>
          <w:iCs/>
          <w:color w:val="231F20"/>
        </w:rPr>
        <w:t xml:space="preserve"> </w:t>
      </w:r>
      <w:r>
        <w:rPr>
          <w:rFonts w:eastAsia="Times New Roman"/>
          <w:b/>
          <w:bCs/>
          <w:i/>
          <w:iCs/>
          <w:color w:val="231F20"/>
          <w:sz w:val="20"/>
          <w:szCs w:val="20"/>
        </w:rPr>
        <w:t>in which we compete</w:t>
      </w:r>
      <w:r>
        <w:rPr>
          <w:rFonts w:eastAsia="Times New Roman"/>
          <w:b/>
          <w:bCs/>
          <w:i/>
          <w:iCs/>
          <w:color w:val="231F20"/>
        </w:rPr>
        <w:t xml:space="preserve"> </w:t>
      </w:r>
      <w:r>
        <w:rPr>
          <w:rFonts w:eastAsia="Times New Roman"/>
          <w:b/>
          <w:bCs/>
          <w:i/>
          <w:iCs/>
          <w:color w:val="231F20"/>
          <w:sz w:val="20"/>
          <w:szCs w:val="20"/>
        </w:rPr>
        <w:t>achieve</w:t>
      </w:r>
      <w:r>
        <w:rPr>
          <w:rFonts w:eastAsia="Times New Roman"/>
          <w:b/>
          <w:bCs/>
          <w:i/>
          <w:iCs/>
          <w:color w:val="231F20"/>
        </w:rPr>
        <w:t xml:space="preserve"> </w:t>
      </w:r>
      <w:r>
        <w:rPr>
          <w:rFonts w:eastAsia="Times New Roman"/>
          <w:b/>
          <w:bCs/>
          <w:i/>
          <w:iCs/>
          <w:color w:val="231F20"/>
          <w:sz w:val="20"/>
          <w:szCs w:val="20"/>
        </w:rPr>
        <w:t>the forecasted</w:t>
      </w:r>
      <w:r>
        <w:rPr>
          <w:rFonts w:eastAsia="Times New Roman"/>
          <w:b/>
          <w:bCs/>
          <w:i/>
          <w:iCs/>
          <w:color w:val="231F20"/>
        </w:rPr>
        <w:t xml:space="preserve"> </w:t>
      </w:r>
      <w:r>
        <w:rPr>
          <w:rFonts w:eastAsia="Times New Roman"/>
          <w:b/>
          <w:bCs/>
          <w:i/>
          <w:iCs/>
          <w:color w:val="231F20"/>
          <w:sz w:val="20"/>
          <w:szCs w:val="20"/>
        </w:rPr>
        <w:t>growth, our business</w:t>
      </w:r>
      <w:r>
        <w:rPr>
          <w:rFonts w:eastAsia="Times New Roman"/>
          <w:b/>
          <w:bCs/>
          <w:i/>
          <w:iCs/>
          <w:color w:val="231F20"/>
        </w:rPr>
        <w:t xml:space="preserve"> </w:t>
      </w:r>
      <w:r>
        <w:rPr>
          <w:rFonts w:eastAsia="Times New Roman"/>
          <w:b/>
          <w:bCs/>
          <w:i/>
          <w:iCs/>
          <w:color w:val="231F20"/>
          <w:sz w:val="20"/>
          <w:szCs w:val="20"/>
        </w:rPr>
        <w:t>may</w:t>
      </w:r>
      <w:r>
        <w:rPr>
          <w:rFonts w:eastAsia="Times New Roman"/>
          <w:b/>
          <w:bCs/>
          <w:i/>
          <w:iCs/>
          <w:color w:val="231F20"/>
        </w:rPr>
        <w:t xml:space="preserve"> </w:t>
      </w:r>
      <w:r>
        <w:rPr>
          <w:rFonts w:eastAsia="Times New Roman"/>
          <w:b/>
          <w:bCs/>
          <w:i/>
          <w:iCs/>
          <w:color w:val="231F20"/>
          <w:sz w:val="20"/>
          <w:szCs w:val="20"/>
        </w:rPr>
        <w:t>not grow at similar</w:t>
      </w:r>
      <w:r>
        <w:rPr>
          <w:rFonts w:eastAsia="Times New Roman"/>
          <w:b/>
          <w:bCs/>
          <w:i/>
          <w:iCs/>
          <w:color w:val="231F20"/>
        </w:rPr>
        <w:t xml:space="preserve"> </w:t>
      </w:r>
      <w:r>
        <w:rPr>
          <w:rFonts w:eastAsia="Times New Roman"/>
          <w:b/>
          <w:bCs/>
          <w:i/>
          <w:iCs/>
          <w:color w:val="231F20"/>
          <w:sz w:val="20"/>
          <w:szCs w:val="20"/>
        </w:rPr>
        <w:t>rates, or at all.</w:t>
      </w:r>
    </w:p>
    <w:p w:rsidR="00000000" w:rsidRDefault="00FD7D3C">
      <w:pPr>
        <w:ind w:firstLine="482"/>
        <w:divId w:val="1117602239"/>
        <w:rPr>
          <w:rFonts w:eastAsia="Times New Roman"/>
        </w:rPr>
      </w:pPr>
      <w:r>
        <w:rPr>
          <w:rFonts w:eastAsia="Times New Roman"/>
          <w:color w:val="000000"/>
          <w:sz w:val="20"/>
          <w:szCs w:val="20"/>
        </w:rPr>
        <w:t>Our market opportunity estimates and growth forecasts are subject to significant uncertainty and are based on assumptions and estimates which may not prove to be accurate. Our estimates and forecasts relating to size a</w:t>
      </w:r>
      <w:r>
        <w:rPr>
          <w:rFonts w:eastAsia="Times New Roman"/>
          <w:color w:val="000000"/>
          <w:sz w:val="20"/>
          <w:szCs w:val="20"/>
        </w:rPr>
        <w:t>nd expected growth of our target market may prove to be inaccurate. Even if the markets in which we compete meet our size estimates and growth forecasts, our business may not grow at similar rates, or at all. Our growth is subject to many factors, includin</w:t>
      </w:r>
      <w:r>
        <w:rPr>
          <w:rFonts w:eastAsia="Times New Roman"/>
          <w:color w:val="000000"/>
          <w:sz w:val="20"/>
          <w:szCs w:val="20"/>
        </w:rPr>
        <w:t>g our success in implementing our business strategy, which is subject to many risks and uncertainties.</w:t>
      </w:r>
    </w:p>
    <w:p w:rsidR="00000000" w:rsidRDefault="00FD7D3C">
      <w:pPr>
        <w:divId w:val="1180924226"/>
        <w:rPr>
          <w:rFonts w:eastAsia="Times New Roman"/>
        </w:rPr>
      </w:pPr>
    </w:p>
    <w:p w:rsidR="00000000" w:rsidRDefault="00FD7D3C">
      <w:pPr>
        <w:divId w:val="2044209065"/>
        <w:rPr>
          <w:rFonts w:eastAsia="Times New Roman"/>
        </w:rPr>
      </w:pPr>
    </w:p>
    <w:p w:rsidR="00000000" w:rsidRDefault="00FD7D3C">
      <w:pPr>
        <w:divId w:val="127864608"/>
        <w:rPr>
          <w:rFonts w:eastAsia="Times New Roman"/>
        </w:rPr>
      </w:pPr>
      <w:r>
        <w:rPr>
          <w:rFonts w:eastAsia="Times New Roman"/>
          <w:b/>
          <w:bCs/>
          <w:color w:val="000000"/>
          <w:sz w:val="20"/>
          <w:szCs w:val="20"/>
        </w:rPr>
        <w:t>Item 1B. Unresolved Staff Comments</w:t>
      </w:r>
    </w:p>
    <w:p w:rsidR="00000000" w:rsidRDefault="00FD7D3C">
      <w:pPr>
        <w:ind w:firstLine="720"/>
        <w:divId w:val="1421215967"/>
        <w:rPr>
          <w:rFonts w:eastAsia="Times New Roman"/>
        </w:rPr>
      </w:pPr>
      <w:r>
        <w:rPr>
          <w:rFonts w:eastAsia="Times New Roman"/>
          <w:color w:val="000000"/>
          <w:sz w:val="20"/>
          <w:szCs w:val="20"/>
        </w:rPr>
        <w:t>None.</w:t>
      </w:r>
    </w:p>
    <w:p w:rsidR="00000000" w:rsidRDefault="00FD7D3C">
      <w:pPr>
        <w:jc w:val="center"/>
        <w:divId w:val="1844314344"/>
        <w:rPr>
          <w:rFonts w:eastAsia="Times New Roman"/>
        </w:rPr>
      </w:pPr>
      <w:r>
        <w:rPr>
          <w:rFonts w:eastAsia="Times New Roman"/>
          <w:color w:val="000000"/>
          <w:sz w:val="20"/>
          <w:szCs w:val="20"/>
        </w:rPr>
        <w:t>92</w:t>
      </w:r>
    </w:p>
    <w:p w:rsidR="00000000" w:rsidRDefault="00FD7D3C">
      <w:pPr>
        <w:rPr>
          <w:rFonts w:eastAsia="Times New Roman"/>
        </w:rPr>
      </w:pPr>
      <w:r>
        <w:rPr>
          <w:rFonts w:eastAsia="Times New Roman"/>
        </w:rPr>
        <w:pict>
          <v:rect id="_x0000_i1145" style="width:0;height:1.5pt" o:hralign="center" o:hrstd="t" o:hr="t" fillcolor="#a0a0a0" stroked="f"/>
        </w:pict>
      </w:r>
    </w:p>
    <w:p w:rsidR="00000000" w:rsidRDefault="00FD7D3C">
      <w:pPr>
        <w:divId w:val="1389651362"/>
        <w:rPr>
          <w:rFonts w:eastAsia="Times New Roman"/>
        </w:rPr>
      </w:pPr>
      <w:hyperlink w:anchor="i988625df783e4cc0a27bd76df388da57_7" w:history="1">
        <w:r>
          <w:rPr>
            <w:rStyle w:val="a3"/>
            <w:rFonts w:eastAsia="Times New Roman"/>
            <w:sz w:val="20"/>
            <w:szCs w:val="20"/>
          </w:rPr>
          <w:t>Table of C</w:t>
        </w:r>
        <w:r>
          <w:rPr>
            <w:rStyle w:val="a3"/>
            <w:rFonts w:eastAsia="Times New Roman"/>
            <w:sz w:val="20"/>
            <w:szCs w:val="20"/>
          </w:rPr>
          <w:t>ontents</w:t>
        </w:r>
      </w:hyperlink>
    </w:p>
    <w:p w:rsidR="00000000" w:rsidRDefault="00FD7D3C">
      <w:pPr>
        <w:divId w:val="602229748"/>
        <w:rPr>
          <w:rFonts w:eastAsia="Times New Roman"/>
        </w:rPr>
      </w:pPr>
      <w:r>
        <w:rPr>
          <w:rFonts w:eastAsia="Times New Roman"/>
          <w:b/>
          <w:bCs/>
          <w:color w:val="000000"/>
          <w:sz w:val="20"/>
          <w:szCs w:val="20"/>
        </w:rPr>
        <w:t>Item 2. Properties</w:t>
      </w:r>
    </w:p>
    <w:p w:rsidR="00000000" w:rsidRDefault="00FD7D3C">
      <w:pPr>
        <w:ind w:firstLine="720"/>
        <w:divId w:val="2133093080"/>
        <w:rPr>
          <w:rFonts w:eastAsia="Times New Roman"/>
        </w:rPr>
      </w:pPr>
      <w:r>
        <w:rPr>
          <w:rFonts w:eastAsia="Times New Roman"/>
          <w:color w:val="000000"/>
          <w:sz w:val="20"/>
          <w:szCs w:val="20"/>
        </w:rPr>
        <w:t>We lease a facility containing 32,974 square feet of laboratory and office space, which is located at 260 Littlefield Avenue, South San Francisco, California 94080. The lease expires on February 28, 2025. We believe that our curr</w:t>
      </w:r>
      <w:r>
        <w:rPr>
          <w:rFonts w:eastAsia="Times New Roman"/>
          <w:color w:val="000000"/>
          <w:sz w:val="20"/>
          <w:szCs w:val="20"/>
        </w:rPr>
        <w:t>ent facilities are sufficient to meet our current and near-term needs and that, should it be needed, suitable additional space will be available.</w:t>
      </w:r>
    </w:p>
    <w:p w:rsidR="00000000" w:rsidRDefault="00FD7D3C">
      <w:pPr>
        <w:divId w:val="2024550629"/>
        <w:rPr>
          <w:rFonts w:eastAsia="Times New Roman"/>
        </w:rPr>
      </w:pPr>
      <w:r>
        <w:rPr>
          <w:rFonts w:eastAsia="Times New Roman"/>
          <w:b/>
          <w:bCs/>
          <w:color w:val="000000"/>
          <w:sz w:val="20"/>
          <w:szCs w:val="20"/>
        </w:rPr>
        <w:t>Item 3. Legal Proceedings</w:t>
      </w:r>
    </w:p>
    <w:p w:rsidR="00000000" w:rsidRDefault="00FD7D3C">
      <w:pPr>
        <w:ind w:firstLine="720"/>
        <w:divId w:val="1626765526"/>
        <w:rPr>
          <w:rFonts w:eastAsia="Times New Roman"/>
        </w:rPr>
      </w:pPr>
      <w:r>
        <w:rPr>
          <w:rFonts w:eastAsia="Times New Roman"/>
          <w:color w:val="000000"/>
          <w:sz w:val="20"/>
          <w:szCs w:val="20"/>
        </w:rPr>
        <w:t>As of the date of this Annual Report, we are not party to any material legal matters or claims. We may become party to legal matters and claims arising in the ordinary course of business. We cannot predict the outcome of any such legal matters or claims, a</w:t>
      </w:r>
      <w:r>
        <w:rPr>
          <w:rFonts w:eastAsia="Times New Roman"/>
          <w:color w:val="000000"/>
          <w:sz w:val="20"/>
          <w:szCs w:val="20"/>
        </w:rPr>
        <w:t>nd despite the potential outcomes, the existence thereof may have an adverse impact on us because of defense and settlement costs, diversion of management resources and other factors.</w:t>
      </w:r>
    </w:p>
    <w:p w:rsidR="00000000" w:rsidRDefault="00FD7D3C">
      <w:pPr>
        <w:divId w:val="1734545812"/>
        <w:rPr>
          <w:rFonts w:eastAsia="Times New Roman"/>
        </w:rPr>
      </w:pPr>
      <w:r>
        <w:rPr>
          <w:rFonts w:eastAsia="Times New Roman"/>
          <w:b/>
          <w:bCs/>
          <w:color w:val="000000"/>
          <w:sz w:val="20"/>
          <w:szCs w:val="20"/>
        </w:rPr>
        <w:t>Item 4. Mine Safety Disclosures</w:t>
      </w:r>
    </w:p>
    <w:p w:rsidR="00000000" w:rsidRDefault="00FD7D3C">
      <w:pPr>
        <w:ind w:firstLine="720"/>
        <w:divId w:val="1518959331"/>
        <w:rPr>
          <w:rFonts w:eastAsia="Times New Roman"/>
        </w:rPr>
      </w:pPr>
      <w:r>
        <w:rPr>
          <w:rFonts w:eastAsia="Times New Roman"/>
          <w:color w:val="000000"/>
          <w:sz w:val="20"/>
          <w:szCs w:val="20"/>
        </w:rPr>
        <w:t>Not Applicable.</w:t>
      </w:r>
    </w:p>
    <w:p w:rsidR="00000000" w:rsidRDefault="00FD7D3C">
      <w:pPr>
        <w:jc w:val="center"/>
        <w:divId w:val="321012162"/>
        <w:rPr>
          <w:rFonts w:eastAsia="Times New Roman"/>
        </w:rPr>
      </w:pPr>
      <w:r>
        <w:rPr>
          <w:rFonts w:eastAsia="Times New Roman"/>
          <w:color w:val="000000"/>
          <w:sz w:val="20"/>
          <w:szCs w:val="20"/>
        </w:rPr>
        <w:t>93</w:t>
      </w:r>
    </w:p>
    <w:p w:rsidR="00000000" w:rsidRDefault="00FD7D3C">
      <w:pPr>
        <w:rPr>
          <w:rFonts w:eastAsia="Times New Roman"/>
        </w:rPr>
      </w:pPr>
      <w:r>
        <w:rPr>
          <w:rFonts w:eastAsia="Times New Roman"/>
        </w:rPr>
        <w:pict>
          <v:rect id="_x0000_i1146" style="width:0;height:1.5pt" o:hralign="center" o:hrstd="t" o:hr="t" fillcolor="#a0a0a0" stroked="f"/>
        </w:pict>
      </w:r>
    </w:p>
    <w:p w:rsidR="00000000" w:rsidRDefault="00FD7D3C">
      <w:pPr>
        <w:divId w:val="1381973935"/>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jc w:val="center"/>
        <w:divId w:val="158277355"/>
        <w:rPr>
          <w:rFonts w:eastAsia="Times New Roman"/>
        </w:rPr>
      </w:pPr>
      <w:r>
        <w:rPr>
          <w:rFonts w:eastAsia="Times New Roman"/>
          <w:b/>
          <w:bCs/>
          <w:color w:val="000000"/>
          <w:sz w:val="20"/>
          <w:szCs w:val="20"/>
        </w:rPr>
        <w:t>PART II</w:t>
      </w:r>
    </w:p>
    <w:p w:rsidR="00000000" w:rsidRDefault="00FD7D3C">
      <w:pPr>
        <w:divId w:val="719746588"/>
        <w:rPr>
          <w:rFonts w:eastAsia="Times New Roman"/>
        </w:rPr>
      </w:pPr>
      <w:r>
        <w:rPr>
          <w:rFonts w:eastAsia="Times New Roman"/>
          <w:b/>
          <w:bCs/>
          <w:color w:val="000000"/>
          <w:sz w:val="20"/>
          <w:szCs w:val="20"/>
        </w:rPr>
        <w:t>Item 5. Market for Registrant’</w:t>
      </w:r>
      <w:r>
        <w:rPr>
          <w:rFonts w:eastAsia="Times New Roman"/>
          <w:b/>
          <w:bCs/>
          <w:color w:val="000000"/>
          <w:sz w:val="20"/>
          <w:szCs w:val="20"/>
        </w:rPr>
        <w:t>s Common Equity, Related Stockholder Matters and Issuer Purchases of Equity Securities.</w:t>
      </w:r>
    </w:p>
    <w:p w:rsidR="00000000" w:rsidRDefault="00FD7D3C">
      <w:pPr>
        <w:ind w:firstLine="720"/>
        <w:divId w:val="1128161249"/>
        <w:rPr>
          <w:rFonts w:eastAsia="Times New Roman"/>
        </w:rPr>
      </w:pPr>
      <w:r>
        <w:rPr>
          <w:rFonts w:eastAsia="Times New Roman"/>
          <w:b/>
          <w:bCs/>
          <w:color w:val="000000"/>
          <w:sz w:val="20"/>
          <w:szCs w:val="20"/>
        </w:rPr>
        <w:t>Market Information</w:t>
      </w:r>
    </w:p>
    <w:p w:rsidR="00000000" w:rsidRDefault="00FD7D3C">
      <w:pPr>
        <w:ind w:firstLine="720"/>
        <w:divId w:val="1281112494"/>
        <w:rPr>
          <w:rFonts w:eastAsia="Times New Roman"/>
        </w:rPr>
      </w:pPr>
      <w:r>
        <w:rPr>
          <w:rFonts w:eastAsia="Times New Roman"/>
          <w:color w:val="000000"/>
          <w:sz w:val="20"/>
          <w:szCs w:val="20"/>
        </w:rPr>
        <w:t>Our common stock has been listed on the Nasdaq Global Select Market under the symbol “PLRX” since June 3, 2020. Prior to that date, there was no publ</w:t>
      </w:r>
      <w:r>
        <w:rPr>
          <w:rFonts w:eastAsia="Times New Roman"/>
          <w:color w:val="000000"/>
          <w:sz w:val="20"/>
          <w:szCs w:val="20"/>
        </w:rPr>
        <w:t>ic trading market for our common stock.</w:t>
      </w:r>
    </w:p>
    <w:p w:rsidR="00000000" w:rsidRDefault="00FD7D3C">
      <w:pPr>
        <w:ind w:firstLine="720"/>
        <w:divId w:val="1804738473"/>
        <w:rPr>
          <w:rFonts w:eastAsia="Times New Roman"/>
        </w:rPr>
      </w:pPr>
      <w:r>
        <w:rPr>
          <w:rFonts w:eastAsia="Times New Roman"/>
          <w:b/>
          <w:bCs/>
          <w:color w:val="000000"/>
          <w:sz w:val="20"/>
          <w:szCs w:val="20"/>
        </w:rPr>
        <w:t>Holders of Record</w:t>
      </w:r>
    </w:p>
    <w:p w:rsidR="00000000" w:rsidRDefault="00FD7D3C">
      <w:pPr>
        <w:ind w:firstLine="720"/>
        <w:divId w:val="643463311"/>
        <w:rPr>
          <w:rFonts w:eastAsia="Times New Roman"/>
        </w:rPr>
      </w:pPr>
      <w:r>
        <w:rPr>
          <w:rFonts w:eastAsia="Times New Roman"/>
          <w:color w:val="000000"/>
          <w:sz w:val="20"/>
          <w:szCs w:val="20"/>
        </w:rPr>
        <w:t>As of the close of business on February 25, 2022, there were 55 stockholders of record of our common stock. The actual number of stockholders is greater than this number of record holders, and inclu</w:t>
      </w:r>
      <w:r>
        <w:rPr>
          <w:rFonts w:eastAsia="Times New Roman"/>
          <w:color w:val="000000"/>
          <w:sz w:val="20"/>
          <w:szCs w:val="20"/>
        </w:rPr>
        <w:t>des stockholders who are beneficial owners, but whose shares are held in street name by brokers and other nominees. This number of holders of record also does not include stockholders whose shares may be held in trust by other entities.</w:t>
      </w:r>
    </w:p>
    <w:p w:rsidR="00000000" w:rsidRDefault="00FD7D3C">
      <w:pPr>
        <w:ind w:firstLine="720"/>
        <w:divId w:val="935361353"/>
        <w:rPr>
          <w:rFonts w:eastAsia="Times New Roman"/>
        </w:rPr>
      </w:pPr>
      <w:r>
        <w:rPr>
          <w:rFonts w:eastAsia="Times New Roman"/>
          <w:b/>
          <w:bCs/>
          <w:color w:val="000000"/>
          <w:sz w:val="20"/>
          <w:szCs w:val="20"/>
        </w:rPr>
        <w:t>Dividends</w:t>
      </w:r>
    </w:p>
    <w:p w:rsidR="00000000" w:rsidRDefault="00FD7D3C">
      <w:pPr>
        <w:ind w:firstLine="720"/>
        <w:divId w:val="1465195283"/>
        <w:rPr>
          <w:rFonts w:eastAsia="Times New Roman"/>
        </w:rPr>
      </w:pPr>
      <w:r>
        <w:rPr>
          <w:rFonts w:eastAsia="Times New Roman"/>
          <w:color w:val="000000"/>
          <w:sz w:val="20"/>
          <w:szCs w:val="20"/>
        </w:rPr>
        <w:t>We have n</w:t>
      </w:r>
      <w:r>
        <w:rPr>
          <w:rFonts w:eastAsia="Times New Roman"/>
          <w:color w:val="000000"/>
          <w:sz w:val="20"/>
          <w:szCs w:val="20"/>
        </w:rPr>
        <w:t>ever declared or paid cash dividends on our common stock. We currently intend to retain all available funds and future earnings, if any, for the development, operation and expansion of our business and do not anticipate declaring or paying any cash dividen</w:t>
      </w:r>
      <w:r>
        <w:rPr>
          <w:rFonts w:eastAsia="Times New Roman"/>
          <w:color w:val="000000"/>
          <w:sz w:val="20"/>
          <w:szCs w:val="20"/>
        </w:rPr>
        <w:t>ds for the foreseeable future. Any future determination regarding the declaration and payment of dividends, if any, will be at the discretion of our board of directors and will depend on then-existing conditions, including our financial condition, operatin</w:t>
      </w:r>
      <w:r>
        <w:rPr>
          <w:rFonts w:eastAsia="Times New Roman"/>
          <w:color w:val="000000"/>
          <w:sz w:val="20"/>
          <w:szCs w:val="20"/>
        </w:rPr>
        <w:t>g results, contractual restrictions, capital requirements, business prospects and other factors our board of directors may deem relevant.</w:t>
      </w:r>
    </w:p>
    <w:p w:rsidR="00000000" w:rsidRDefault="00FD7D3C">
      <w:pPr>
        <w:ind w:firstLine="720"/>
        <w:divId w:val="1237937940"/>
        <w:rPr>
          <w:rFonts w:eastAsia="Times New Roman"/>
        </w:rPr>
      </w:pPr>
      <w:r>
        <w:rPr>
          <w:rFonts w:eastAsia="Times New Roman"/>
          <w:b/>
          <w:bCs/>
          <w:color w:val="000000"/>
          <w:sz w:val="20"/>
          <w:szCs w:val="20"/>
        </w:rPr>
        <w:t>Securities Authorized for Issuance under Equity Compensation Plans</w:t>
      </w:r>
    </w:p>
    <w:p w:rsidR="00000000" w:rsidRDefault="00FD7D3C">
      <w:pPr>
        <w:ind w:firstLine="720"/>
        <w:divId w:val="2034840587"/>
        <w:rPr>
          <w:rFonts w:eastAsia="Times New Roman"/>
        </w:rPr>
      </w:pPr>
      <w:r>
        <w:rPr>
          <w:rFonts w:eastAsia="Times New Roman"/>
          <w:color w:val="000000"/>
          <w:sz w:val="20"/>
          <w:szCs w:val="20"/>
        </w:rPr>
        <w:t xml:space="preserve">Information about our equity compensation plans is </w:t>
      </w:r>
      <w:r>
        <w:rPr>
          <w:rFonts w:eastAsia="Times New Roman"/>
          <w:color w:val="000000"/>
          <w:sz w:val="20"/>
          <w:szCs w:val="20"/>
        </w:rPr>
        <w:t>incorporated herein by reference to Item 12 of Part III of this Annual Report on Form 10-K.</w:t>
      </w:r>
    </w:p>
    <w:p w:rsidR="00000000" w:rsidRDefault="00FD7D3C">
      <w:pPr>
        <w:ind w:firstLine="720"/>
        <w:divId w:val="764620008"/>
        <w:rPr>
          <w:rFonts w:eastAsia="Times New Roman"/>
        </w:rPr>
      </w:pPr>
      <w:r>
        <w:rPr>
          <w:rFonts w:eastAsia="Times New Roman"/>
          <w:b/>
          <w:bCs/>
          <w:color w:val="000000"/>
          <w:sz w:val="20"/>
          <w:szCs w:val="20"/>
        </w:rPr>
        <w:t>Use of Proceeds from Registered Securities</w:t>
      </w:r>
    </w:p>
    <w:p w:rsidR="00000000" w:rsidRDefault="00FD7D3C">
      <w:pPr>
        <w:ind w:firstLine="720"/>
        <w:divId w:val="1236355598"/>
        <w:rPr>
          <w:rFonts w:eastAsia="Times New Roman"/>
        </w:rPr>
      </w:pPr>
      <w:r>
        <w:rPr>
          <w:rFonts w:eastAsia="Times New Roman"/>
          <w:color w:val="000000"/>
          <w:sz w:val="20"/>
          <w:szCs w:val="20"/>
        </w:rPr>
        <w:t>Our initial public offering of common stock was effected under a Registration Statement on Form S-1 (File No. 333-238146)</w:t>
      </w:r>
      <w:r>
        <w:rPr>
          <w:rFonts w:eastAsia="Times New Roman"/>
          <w:color w:val="000000"/>
          <w:sz w:val="20"/>
          <w:szCs w:val="20"/>
        </w:rPr>
        <w:t xml:space="preserve">, which was declared effective by the SEC on May 11, 2020. There has been no material change in the use of proceeds from our initial public offering as described in our final prospectus filed with the SEC pursuant to Rule 424(b) and other periodic reports </w:t>
      </w:r>
      <w:r>
        <w:rPr>
          <w:rFonts w:eastAsia="Times New Roman"/>
          <w:color w:val="000000"/>
          <w:sz w:val="20"/>
          <w:szCs w:val="20"/>
        </w:rPr>
        <w:t>previously filed with the SEC</w:t>
      </w:r>
    </w:p>
    <w:p w:rsidR="00000000" w:rsidRDefault="00FD7D3C">
      <w:pPr>
        <w:ind w:firstLine="720"/>
        <w:divId w:val="597522220"/>
        <w:rPr>
          <w:rFonts w:eastAsia="Times New Roman"/>
        </w:rPr>
      </w:pPr>
      <w:r>
        <w:rPr>
          <w:rFonts w:eastAsia="Times New Roman"/>
          <w:b/>
          <w:bCs/>
          <w:color w:val="000000"/>
          <w:sz w:val="20"/>
          <w:szCs w:val="20"/>
        </w:rPr>
        <w:t>Recent Sales of Unregistered Securities</w:t>
      </w:r>
    </w:p>
    <w:p w:rsidR="00000000" w:rsidRDefault="00FD7D3C">
      <w:pPr>
        <w:ind w:firstLine="720"/>
        <w:divId w:val="1894610225"/>
        <w:rPr>
          <w:rFonts w:eastAsia="Times New Roman"/>
        </w:rPr>
      </w:pPr>
      <w:r>
        <w:rPr>
          <w:rFonts w:eastAsia="Times New Roman"/>
          <w:color w:val="000000"/>
          <w:sz w:val="20"/>
          <w:szCs w:val="20"/>
        </w:rPr>
        <w:t xml:space="preserve">On June 5, 2020, we consummated a concurrent private placement for shares of our common stock in connection with the consummation of our initial public offering. Novartis Institutes for </w:t>
      </w:r>
      <w:r>
        <w:rPr>
          <w:rFonts w:eastAsia="Times New Roman"/>
          <w:color w:val="000000"/>
          <w:sz w:val="20"/>
          <w:szCs w:val="20"/>
        </w:rPr>
        <w:t>Biomedical Research, Inc., our strategic partner and one of our existing stockholders has purchased $10.0 million in shares of our common stock at $16.00 per share.</w:t>
      </w:r>
    </w:p>
    <w:p w:rsidR="00000000" w:rsidRDefault="00FD7D3C">
      <w:pPr>
        <w:ind w:firstLine="720"/>
        <w:divId w:val="385027953"/>
        <w:rPr>
          <w:rFonts w:eastAsia="Times New Roman"/>
        </w:rPr>
      </w:pPr>
      <w:r>
        <w:rPr>
          <w:rFonts w:eastAsia="Times New Roman"/>
          <w:b/>
          <w:bCs/>
          <w:color w:val="000000"/>
          <w:sz w:val="20"/>
          <w:szCs w:val="20"/>
        </w:rPr>
        <w:t>Issuer Purchases of Equity Securities</w:t>
      </w:r>
    </w:p>
    <w:p w:rsidR="00000000" w:rsidRDefault="00FD7D3C">
      <w:pPr>
        <w:ind w:firstLine="720"/>
        <w:divId w:val="1616328771"/>
        <w:rPr>
          <w:rFonts w:eastAsia="Times New Roman"/>
        </w:rPr>
      </w:pPr>
      <w:r>
        <w:rPr>
          <w:rFonts w:eastAsia="Times New Roman"/>
          <w:color w:val="000000"/>
          <w:sz w:val="20"/>
          <w:szCs w:val="20"/>
        </w:rPr>
        <w:t>None.</w:t>
      </w:r>
    </w:p>
    <w:p w:rsidR="00000000" w:rsidRDefault="00FD7D3C">
      <w:pPr>
        <w:ind w:firstLine="720"/>
        <w:divId w:val="65347058"/>
        <w:rPr>
          <w:rFonts w:eastAsia="Times New Roman"/>
        </w:rPr>
      </w:pPr>
      <w:r>
        <w:rPr>
          <w:rFonts w:eastAsia="Times New Roman"/>
          <w:b/>
          <w:bCs/>
          <w:color w:val="000000"/>
          <w:sz w:val="20"/>
          <w:szCs w:val="20"/>
        </w:rPr>
        <w:t>Use of Proceeds from our Public Offering of Com</w:t>
      </w:r>
      <w:r>
        <w:rPr>
          <w:rFonts w:eastAsia="Times New Roman"/>
          <w:b/>
          <w:bCs/>
          <w:color w:val="000000"/>
          <w:sz w:val="20"/>
          <w:szCs w:val="20"/>
        </w:rPr>
        <w:t>mon Stock</w:t>
      </w:r>
    </w:p>
    <w:p w:rsidR="00000000" w:rsidRDefault="00FD7D3C">
      <w:pPr>
        <w:ind w:firstLine="720"/>
        <w:divId w:val="1586068959"/>
        <w:rPr>
          <w:rFonts w:eastAsia="Times New Roman"/>
        </w:rPr>
      </w:pPr>
      <w:r>
        <w:rPr>
          <w:rFonts w:eastAsia="Times New Roman"/>
          <w:color w:val="000000"/>
          <w:sz w:val="20"/>
          <w:szCs w:val="20"/>
        </w:rPr>
        <w:t>In June 2020, our Registration Statement on Form S-1 (No. 333-2381146) was declared effective by the SEC pursuant to which we issued and sold an aggregate of 10,350,000 shares of common stock (inclusive of 9,000,000 shares of common stock and 1,3</w:t>
      </w:r>
      <w:r>
        <w:rPr>
          <w:rFonts w:eastAsia="Times New Roman"/>
          <w:color w:val="000000"/>
          <w:sz w:val="20"/>
          <w:szCs w:val="20"/>
        </w:rPr>
        <w:t>50,000 shares of common stock pursuant to the underwriters’ exercise of their over-allotment option) at a public offering price of $16.00 per share for aggregate net cash proceeds of $148.3 million, after deducting underwriting discounts, commissions and o</w:t>
      </w:r>
      <w:r>
        <w:rPr>
          <w:rFonts w:eastAsia="Times New Roman"/>
          <w:color w:val="000000"/>
          <w:sz w:val="20"/>
          <w:szCs w:val="20"/>
        </w:rPr>
        <w:t>ffering costs. No payments for such expenses were made directly or indirectly to (i) any of our officers or directors or their associates, (ii) any persons owning 10% or more of any class of our equity securities or (iii) any of our affiliates.</w:t>
      </w:r>
    </w:p>
    <w:p w:rsidR="00000000" w:rsidRDefault="00FD7D3C">
      <w:pPr>
        <w:ind w:firstLine="720"/>
        <w:divId w:val="136535614"/>
        <w:rPr>
          <w:rFonts w:eastAsia="Times New Roman"/>
        </w:rPr>
      </w:pPr>
      <w:r>
        <w:rPr>
          <w:rFonts w:eastAsia="Times New Roman"/>
          <w:color w:val="000000"/>
          <w:sz w:val="20"/>
          <w:szCs w:val="20"/>
        </w:rPr>
        <w:t>The sale an</w:t>
      </w:r>
      <w:r>
        <w:rPr>
          <w:rFonts w:eastAsia="Times New Roman"/>
          <w:color w:val="000000"/>
          <w:sz w:val="20"/>
          <w:szCs w:val="20"/>
        </w:rPr>
        <w:t>d issuance of 10,350,000 shares closed on June 5, 2020. Citigroup Global Markets Inc., Cowen and Company, LLC and Piper Sandler &amp; Co. acted as joint book-running managers for the offering.</w:t>
      </w:r>
    </w:p>
    <w:p w:rsidR="00000000" w:rsidRDefault="00FD7D3C">
      <w:pPr>
        <w:jc w:val="center"/>
        <w:divId w:val="61149430"/>
        <w:rPr>
          <w:rFonts w:eastAsia="Times New Roman"/>
        </w:rPr>
      </w:pPr>
      <w:r>
        <w:rPr>
          <w:rFonts w:eastAsia="Times New Roman"/>
          <w:color w:val="000000"/>
          <w:sz w:val="20"/>
          <w:szCs w:val="20"/>
        </w:rPr>
        <w:t>94</w:t>
      </w:r>
    </w:p>
    <w:p w:rsidR="00000000" w:rsidRDefault="00FD7D3C">
      <w:pPr>
        <w:rPr>
          <w:rFonts w:eastAsia="Times New Roman"/>
        </w:rPr>
      </w:pPr>
      <w:r>
        <w:rPr>
          <w:rFonts w:eastAsia="Times New Roman"/>
        </w:rPr>
        <w:pict>
          <v:rect id="_x0000_i1147" style="width:0;height:1.5pt" o:hralign="center" o:hrstd="t" o:hr="t" fillcolor="#a0a0a0" stroked="f"/>
        </w:pict>
      </w:r>
    </w:p>
    <w:p w:rsidR="00000000" w:rsidRDefault="00FD7D3C">
      <w:pPr>
        <w:divId w:val="294067932"/>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ind w:firstLine="720"/>
        <w:divId w:val="154416780"/>
        <w:rPr>
          <w:rFonts w:eastAsia="Times New Roman"/>
        </w:rPr>
      </w:pPr>
      <w:r>
        <w:rPr>
          <w:rFonts w:eastAsia="Times New Roman"/>
          <w:color w:val="000000"/>
          <w:sz w:val="20"/>
          <w:szCs w:val="20"/>
        </w:rPr>
        <w:t>There has been no material change in the planned use of proceeds from our initial public offering from that described in the Prospectus.</w:t>
      </w:r>
    </w:p>
    <w:p w:rsidR="00000000" w:rsidRDefault="00FD7D3C">
      <w:pPr>
        <w:divId w:val="806243966"/>
        <w:rPr>
          <w:rFonts w:eastAsia="Times New Roman"/>
        </w:rPr>
      </w:pPr>
      <w:r>
        <w:rPr>
          <w:rFonts w:eastAsia="Times New Roman"/>
          <w:b/>
          <w:bCs/>
          <w:color w:val="000000"/>
          <w:sz w:val="20"/>
          <w:szCs w:val="20"/>
        </w:rPr>
        <w:t>Item 6. [Reserved]</w:t>
      </w:r>
    </w:p>
    <w:p w:rsidR="00000000" w:rsidRDefault="00FD7D3C">
      <w:pPr>
        <w:ind w:firstLine="720"/>
        <w:divId w:val="1479345994"/>
        <w:rPr>
          <w:rFonts w:eastAsia="Times New Roman"/>
        </w:rPr>
      </w:pPr>
    </w:p>
    <w:p w:rsidR="00000000" w:rsidRDefault="00FD7D3C">
      <w:pPr>
        <w:divId w:val="507257307"/>
        <w:rPr>
          <w:rFonts w:eastAsia="Times New Roman"/>
        </w:rPr>
      </w:pPr>
      <w:r>
        <w:rPr>
          <w:rFonts w:eastAsia="Times New Roman"/>
          <w:b/>
          <w:bCs/>
          <w:color w:val="000000"/>
          <w:sz w:val="20"/>
          <w:szCs w:val="20"/>
        </w:rPr>
        <w:t>Item 7. Management’s Discussion and Analysis of Financial Condition and Results of Operations.</w:t>
      </w:r>
    </w:p>
    <w:p w:rsidR="00000000" w:rsidRDefault="00FD7D3C">
      <w:pPr>
        <w:ind w:firstLine="720"/>
        <w:divId w:val="1778215976"/>
        <w:rPr>
          <w:rFonts w:eastAsia="Times New Roman"/>
        </w:rPr>
      </w:pPr>
      <w:r>
        <w:rPr>
          <w:rFonts w:eastAsia="Times New Roman"/>
          <w:i/>
          <w:iCs/>
          <w:color w:val="000000"/>
          <w:sz w:val="20"/>
          <w:szCs w:val="20"/>
        </w:rPr>
        <w:t>The</w:t>
      </w:r>
      <w:r>
        <w:rPr>
          <w:rFonts w:eastAsia="Times New Roman"/>
          <w:i/>
          <w:iCs/>
          <w:color w:val="000000"/>
          <w:sz w:val="20"/>
          <w:szCs w:val="20"/>
        </w:rPr>
        <w:t xml:space="preserve"> following discussion and analysis of our financial condition and results of operations should be read in conjunction with our financial statements and related notes appearing elsewhere in this Annual Report. This discussion and analysis contains forward-l</w:t>
      </w:r>
      <w:r>
        <w:rPr>
          <w:rFonts w:eastAsia="Times New Roman"/>
          <w:i/>
          <w:iCs/>
          <w:color w:val="000000"/>
          <w:sz w:val="20"/>
          <w:szCs w:val="20"/>
        </w:rPr>
        <w:t xml:space="preserve">ooking statements based upon current beliefs, plans and expectations that involve risks, uncertainties and assumptions, such as statements regarding our plans, objectives, expectations, intention, beliefs and projections. Our actual results and the timing </w:t>
      </w:r>
      <w:r>
        <w:rPr>
          <w:rFonts w:eastAsia="Times New Roman"/>
          <w:i/>
          <w:iCs/>
          <w:color w:val="000000"/>
          <w:sz w:val="20"/>
          <w:szCs w:val="20"/>
        </w:rPr>
        <w:t>of events could differ materially from those anticipated in these forward-looking statements as a result of several factors, including those set forth in the section titled “Risk Factors” under Part I, Item 1A and elsewhere in this Annual Report. See “Spec</w:t>
      </w:r>
      <w:r>
        <w:rPr>
          <w:rFonts w:eastAsia="Times New Roman"/>
          <w:i/>
          <w:iCs/>
          <w:color w:val="000000"/>
          <w:sz w:val="20"/>
          <w:szCs w:val="20"/>
        </w:rPr>
        <w:t>ial Note Regarding Forward-Looking Statements” in this Annual Report. In some cases, you can identify forward-looking statements by terminology such as “anticipate,” “believe,” “continue,” “could,” “estimate,” “expect,” “intend,” “may,” “plan,” “potentiall</w:t>
      </w:r>
      <w:r>
        <w:rPr>
          <w:rFonts w:eastAsia="Times New Roman"/>
          <w:i/>
          <w:iCs/>
          <w:color w:val="000000"/>
          <w:sz w:val="20"/>
          <w:szCs w:val="20"/>
        </w:rPr>
        <w:t>y,” “predict,” “should,” “will” or the negative of these terms or other similar expressions.</w:t>
      </w:r>
    </w:p>
    <w:p w:rsidR="00000000" w:rsidRDefault="00FD7D3C">
      <w:pPr>
        <w:ind w:firstLine="720"/>
        <w:divId w:val="1653369820"/>
        <w:rPr>
          <w:rFonts w:eastAsia="Times New Roman"/>
        </w:rPr>
      </w:pPr>
      <w:r>
        <w:rPr>
          <w:rFonts w:eastAsia="Times New Roman"/>
          <w:i/>
          <w:iCs/>
          <w:color w:val="000000"/>
          <w:sz w:val="20"/>
          <w:szCs w:val="20"/>
        </w:rPr>
        <w:t>In addition, statements that “we believe” and similar statements reflect our beliefs and opinions on the relevant subject. These statements are based upon informat</w:t>
      </w:r>
      <w:r>
        <w:rPr>
          <w:rFonts w:eastAsia="Times New Roman"/>
          <w:i/>
          <w:iCs/>
          <w:color w:val="000000"/>
          <w:sz w:val="20"/>
          <w:szCs w:val="20"/>
        </w:rPr>
        <w:t>ion available to us as of the date of this Annual Report on Form 10-K, and while we believe such information forms a reasonable basis for such statements, such information may be limited or incomplete, and our statements should not be read to indicate we h</w:t>
      </w:r>
      <w:r>
        <w:rPr>
          <w:rFonts w:eastAsia="Times New Roman"/>
          <w:i/>
          <w:iCs/>
          <w:color w:val="000000"/>
          <w:sz w:val="20"/>
          <w:szCs w:val="20"/>
        </w:rPr>
        <w:t>ave conducted exhaustive inquiry into, or review of, all potentially available relevant information. These statements are inherently uncertain and investors are cautioned not to unduly rely upon these statements.</w:t>
      </w:r>
    </w:p>
    <w:p w:rsidR="00000000" w:rsidRDefault="00FD7D3C">
      <w:pPr>
        <w:jc w:val="center"/>
        <w:divId w:val="2048677067"/>
        <w:rPr>
          <w:rFonts w:eastAsia="Times New Roman"/>
        </w:rPr>
      </w:pPr>
      <w:r>
        <w:rPr>
          <w:rFonts w:eastAsia="Times New Roman"/>
          <w:b/>
          <w:bCs/>
          <w:color w:val="000000"/>
          <w:sz w:val="20"/>
          <w:szCs w:val="20"/>
        </w:rPr>
        <w:t>Overview</w:t>
      </w:r>
    </w:p>
    <w:p w:rsidR="00000000" w:rsidRDefault="00FD7D3C">
      <w:pPr>
        <w:ind w:firstLine="720"/>
        <w:divId w:val="554392886"/>
        <w:rPr>
          <w:rFonts w:eastAsia="Times New Roman"/>
        </w:rPr>
      </w:pPr>
      <w:r>
        <w:rPr>
          <w:rFonts w:eastAsia="Times New Roman"/>
          <w:color w:val="000000"/>
          <w:sz w:val="20"/>
          <w:szCs w:val="20"/>
        </w:rPr>
        <w:t>We are a clinical stage biopharmac</w:t>
      </w:r>
      <w:r>
        <w:rPr>
          <w:rFonts w:eastAsia="Times New Roman"/>
          <w:color w:val="000000"/>
          <w:sz w:val="20"/>
          <w:szCs w:val="20"/>
        </w:rPr>
        <w:t xml:space="preserve">eutical company focused on discovering and developing novel therapies for the treatment of fibrosis and related diseases. Our initial focus is on treating fibrosis by inhibiting integrin-mediated activation of TGF-β. We have applied our deep understanding </w:t>
      </w:r>
      <w:r>
        <w:rPr>
          <w:rFonts w:eastAsia="Times New Roman"/>
          <w:color w:val="000000"/>
          <w:sz w:val="20"/>
          <w:szCs w:val="20"/>
        </w:rPr>
        <w:t>of fibrosis biology, along with our medicinal chemistry and translational medicine expertise to develop a set of proprietary tools designed to discover and de-risk product candidates quickly and efficiently. Our wholly owned lead product candidate, PLN-748</w:t>
      </w:r>
      <w:r>
        <w:rPr>
          <w:rFonts w:eastAsia="Times New Roman"/>
          <w:color w:val="000000"/>
          <w:sz w:val="20"/>
          <w:szCs w:val="20"/>
        </w:rPr>
        <w:t>09, is an oral, small-molecule, dual selective inhibitor of αvß6 and αvß1 integrins that we are developing for the treatment of idiopathic pulmonary fibrosis, or IPF, and primary sclerosing cholangitis, or PSC. We have completed a Phase 1a SAD/MAD trial an</w:t>
      </w:r>
      <w:r>
        <w:rPr>
          <w:rFonts w:eastAsia="Times New Roman"/>
          <w:color w:val="000000"/>
          <w:sz w:val="20"/>
          <w:szCs w:val="20"/>
        </w:rPr>
        <w:t xml:space="preserve">d a Phase 1b proof-of-mechanism trial of PLN-74809 in IPF and are currently recruiting three Phase 2a trials in our lead indications: two in IPF and one in PSC. </w:t>
      </w:r>
    </w:p>
    <w:p w:rsidR="00000000" w:rsidRDefault="00FD7D3C">
      <w:pPr>
        <w:ind w:firstLine="1260"/>
        <w:divId w:val="356783815"/>
        <w:rPr>
          <w:rFonts w:eastAsia="Times New Roman"/>
        </w:rPr>
      </w:pPr>
      <w:r>
        <w:rPr>
          <w:rFonts w:eastAsia="Times New Roman"/>
          <w:color w:val="000000"/>
          <w:sz w:val="20"/>
          <w:szCs w:val="20"/>
        </w:rPr>
        <w:t>Our second product candidate, PLN-1474, is a small-molecule selective inhibitor of αvß1 for th</w:t>
      </w:r>
      <w:r>
        <w:rPr>
          <w:rFonts w:eastAsia="Times New Roman"/>
          <w:color w:val="000000"/>
          <w:sz w:val="20"/>
          <w:szCs w:val="20"/>
        </w:rPr>
        <w:t>e treatment of liver fibrosis associated with nonalcoholic steatohepatitis, or NASH, which we have partnered with Novartis. PLN-1474 successfully completed a Phase 1 SAD/MAD trial in March 2021, and the Investigational New Drug, or IND, application was tra</w:t>
      </w:r>
      <w:r>
        <w:rPr>
          <w:rFonts w:eastAsia="Times New Roman"/>
          <w:color w:val="000000"/>
          <w:sz w:val="20"/>
          <w:szCs w:val="20"/>
        </w:rPr>
        <w:t>nsferred to Novartis in the first quarter of 2021. Novartis is responsible for all PLN-1474 development, manufacturing and commercialization activities and we earn research and development services revenue in supporting certain aspects of the development p</w:t>
      </w:r>
      <w:r>
        <w:rPr>
          <w:rFonts w:eastAsia="Times New Roman"/>
          <w:color w:val="000000"/>
          <w:sz w:val="20"/>
          <w:szCs w:val="20"/>
        </w:rPr>
        <w:t xml:space="preserve">lan. </w:t>
      </w:r>
    </w:p>
    <w:p w:rsidR="00000000" w:rsidRDefault="00FD7D3C">
      <w:pPr>
        <w:ind w:firstLine="1260"/>
        <w:divId w:val="1816876295"/>
        <w:rPr>
          <w:rFonts w:eastAsia="Times New Roman"/>
        </w:rPr>
      </w:pPr>
      <w:r>
        <w:rPr>
          <w:rFonts w:eastAsia="Times New Roman"/>
          <w:color w:val="000000"/>
          <w:sz w:val="20"/>
          <w:szCs w:val="20"/>
        </w:rPr>
        <w:t>In addition to our clinical programs, we currently have preclinical integrin-based programs targeting oncology and muscular dystrophies.</w:t>
      </w:r>
    </w:p>
    <w:p w:rsidR="00000000" w:rsidRDefault="00FD7D3C">
      <w:pPr>
        <w:divId w:val="4986711"/>
        <w:rPr>
          <w:rFonts w:eastAsia="Times New Roman"/>
        </w:rPr>
      </w:pPr>
      <w:r>
        <w:rPr>
          <w:rFonts w:eastAsia="Times New Roman"/>
          <w:b/>
          <w:bCs/>
          <w:color w:val="000000"/>
          <w:sz w:val="20"/>
          <w:szCs w:val="20"/>
        </w:rPr>
        <w:t>Recent Highlights</w:t>
      </w:r>
    </w:p>
    <w:p w:rsidR="00000000" w:rsidRDefault="00FD7D3C">
      <w:pPr>
        <w:ind w:hanging="1260"/>
        <w:divId w:val="1830557070"/>
        <w:rPr>
          <w:rFonts w:eastAsia="Times New Roman"/>
        </w:rPr>
      </w:pPr>
      <w:r>
        <w:rPr>
          <w:rFonts w:eastAsia="Times New Roman"/>
          <w:color w:val="000000"/>
          <w:sz w:val="20"/>
          <w:szCs w:val="20"/>
        </w:rPr>
        <w:t>•</w:t>
      </w:r>
      <w:r>
        <w:rPr>
          <w:rFonts w:eastAsia="Times New Roman"/>
          <w:b/>
          <w:bCs/>
          <w:color w:val="000000"/>
          <w:sz w:val="20"/>
          <w:szCs w:val="20"/>
        </w:rPr>
        <w:t xml:space="preserve">Results from expanded PLN-74809 Phase 1b proof-of-mechanism trial demonstrated clear evidence of on-target biological activity in the lungs of healthy participants. </w:t>
      </w:r>
      <w:r>
        <w:rPr>
          <w:rFonts w:eastAsia="Times New Roman"/>
          <w:color w:val="000000"/>
          <w:sz w:val="20"/>
          <w:szCs w:val="20"/>
        </w:rPr>
        <w:t>Earlier today, the Company announced that positive data from an expanded PLN-74809 Phase 1b</w:t>
      </w:r>
      <w:r>
        <w:rPr>
          <w:rFonts w:eastAsia="Times New Roman"/>
          <w:color w:val="000000"/>
          <w:sz w:val="20"/>
          <w:szCs w:val="20"/>
        </w:rPr>
        <w:t xml:space="preserve"> proof-of-mechanism trial demonstrated clear evidence of on-target biological activity in the lungs of 36 healthy participants. Results demonstrated that PLN-74809 inhibited TGF-β activation by up to 92% and 76% at 6- and 24-hours, respectively, following </w:t>
      </w:r>
      <w:r>
        <w:rPr>
          <w:rFonts w:eastAsia="Times New Roman"/>
          <w:color w:val="000000"/>
          <w:sz w:val="20"/>
          <w:szCs w:val="20"/>
        </w:rPr>
        <w:t xml:space="preserve">seven days of once-daily dosing. At all dose levels, PLN-74809 demonstrated </w:t>
      </w:r>
    </w:p>
    <w:p w:rsidR="00000000" w:rsidRDefault="00FD7D3C">
      <w:pPr>
        <w:jc w:val="center"/>
        <w:divId w:val="1767772742"/>
        <w:rPr>
          <w:rFonts w:eastAsia="Times New Roman"/>
        </w:rPr>
      </w:pPr>
      <w:r>
        <w:rPr>
          <w:rFonts w:eastAsia="Times New Roman"/>
          <w:color w:val="000000"/>
          <w:sz w:val="20"/>
          <w:szCs w:val="20"/>
        </w:rPr>
        <w:t>95</w:t>
      </w:r>
    </w:p>
    <w:p w:rsidR="00000000" w:rsidRDefault="00FD7D3C">
      <w:pPr>
        <w:rPr>
          <w:rFonts w:eastAsia="Times New Roman"/>
        </w:rPr>
      </w:pPr>
      <w:r>
        <w:rPr>
          <w:rFonts w:eastAsia="Times New Roman"/>
        </w:rPr>
        <w:pict>
          <v:rect id="_x0000_i1148" style="width:0;height:1.5pt" o:hralign="center" o:hrstd="t" o:hr="t" fillcolor="#a0a0a0" stroked="f"/>
        </w:pict>
      </w:r>
    </w:p>
    <w:p w:rsidR="00000000" w:rsidRDefault="00FD7D3C">
      <w:pPr>
        <w:divId w:val="1876847551"/>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divId w:val="1058557463"/>
        <w:rPr>
          <w:rFonts w:eastAsia="Times New Roman"/>
        </w:rPr>
      </w:pPr>
      <w:r>
        <w:rPr>
          <w:rFonts w:eastAsia="Times New Roman"/>
          <w:color w:val="000000"/>
          <w:sz w:val="20"/>
          <w:szCs w:val="20"/>
        </w:rPr>
        <w:t xml:space="preserve">durable pSmad suppression relative to placebo at 6 hours and 24 </w:t>
      </w:r>
      <w:r>
        <w:rPr>
          <w:rFonts w:eastAsia="Times New Roman"/>
          <w:color w:val="000000"/>
          <w:sz w:val="20"/>
          <w:szCs w:val="20"/>
        </w:rPr>
        <w:t xml:space="preserve">hours. PLN-74809 was well tolerated with mostly mild adverse events, and no severe adverse events. </w:t>
      </w:r>
    </w:p>
    <w:p w:rsidR="00000000" w:rsidRDefault="00FD7D3C">
      <w:pPr>
        <w:ind w:hanging="1260"/>
        <w:divId w:val="1447388706"/>
        <w:rPr>
          <w:rFonts w:eastAsia="Times New Roman"/>
        </w:rPr>
      </w:pPr>
      <w:r>
        <w:rPr>
          <w:rFonts w:eastAsia="Times New Roman"/>
          <w:color w:val="000000"/>
          <w:sz w:val="20"/>
          <w:szCs w:val="20"/>
        </w:rPr>
        <w:t>•</w:t>
      </w:r>
      <w:r>
        <w:rPr>
          <w:rFonts w:eastAsia="Times New Roman"/>
          <w:b/>
          <w:bCs/>
          <w:color w:val="000000"/>
          <w:sz w:val="20"/>
          <w:szCs w:val="20"/>
        </w:rPr>
        <w:t>Enrollment was completed in the PLN-74809 Phase 2a INTEGRIS-IPF trial in idiopathic pulmonary fibrosis.</w:t>
      </w:r>
      <w:r>
        <w:rPr>
          <w:rFonts w:eastAsia="Times New Roman"/>
          <w:color w:val="000000"/>
          <w:sz w:val="20"/>
          <w:szCs w:val="20"/>
        </w:rPr>
        <w:t xml:space="preserve"> INTEGRIS-IPF is a 12-week randomized, dose-ranging,</w:t>
      </w:r>
      <w:r>
        <w:rPr>
          <w:rFonts w:eastAsia="Times New Roman"/>
          <w:color w:val="000000"/>
          <w:sz w:val="20"/>
          <w:szCs w:val="20"/>
        </w:rPr>
        <w:t xml:space="preserve"> double-blind, placebo-controlled trial evaluating the safety, tolerability and pharmacokinetics of PLN-74809 at doses of 40, 80 or 160 mg in approximately 84 IPF patients. Exploratory endpoints include quantitative lung fibrosis (QLF) imaging, pulmonary f</w:t>
      </w:r>
      <w:r>
        <w:rPr>
          <w:rFonts w:eastAsia="Times New Roman"/>
          <w:color w:val="000000"/>
          <w:sz w:val="20"/>
          <w:szCs w:val="20"/>
        </w:rPr>
        <w:t>unction tests as well as select biomarkers. Topline data is anticipated mid-2022.</w:t>
      </w:r>
    </w:p>
    <w:p w:rsidR="00000000" w:rsidRDefault="00FD7D3C">
      <w:pPr>
        <w:ind w:hanging="1260"/>
        <w:divId w:val="1148667714"/>
        <w:rPr>
          <w:rFonts w:eastAsia="Times New Roman"/>
        </w:rPr>
      </w:pPr>
      <w:r>
        <w:rPr>
          <w:rFonts w:eastAsia="Times New Roman"/>
          <w:color w:val="000000"/>
          <w:sz w:val="20"/>
          <w:szCs w:val="20"/>
        </w:rPr>
        <w:t>•</w:t>
      </w:r>
      <w:r>
        <w:rPr>
          <w:rFonts w:eastAsia="Times New Roman"/>
          <w:b/>
          <w:bCs/>
          <w:color w:val="000000"/>
          <w:sz w:val="20"/>
          <w:szCs w:val="20"/>
        </w:rPr>
        <w:t>The U.S. Food and Drug Administration (FDA) authorized the evaluation of long-term treatment with PLN-74809 in patients with IPF.</w:t>
      </w:r>
      <w:r>
        <w:rPr>
          <w:rFonts w:eastAsia="Times New Roman"/>
          <w:color w:val="000000"/>
          <w:sz w:val="20"/>
          <w:szCs w:val="20"/>
        </w:rPr>
        <w:t xml:space="preserve"> The FDA has authorized evaluation of long-t</w:t>
      </w:r>
      <w:r>
        <w:rPr>
          <w:rFonts w:eastAsia="Times New Roman"/>
          <w:color w:val="000000"/>
          <w:sz w:val="20"/>
          <w:szCs w:val="20"/>
        </w:rPr>
        <w:t>erm dosing of PLN-74809 up to 320 mg daily in patients with IPF. This authorization will facilitate longer-term pivotal trials in IPF. PLN-74809 has been administered to over 450 study participants, including healthy volunteers and patients, with no drug-r</w:t>
      </w:r>
      <w:r>
        <w:rPr>
          <w:rFonts w:eastAsia="Times New Roman"/>
          <w:color w:val="000000"/>
          <w:sz w:val="20"/>
          <w:szCs w:val="20"/>
        </w:rPr>
        <w:t xml:space="preserve">elated serious adverse events or severe adverse advents reported to date. </w:t>
      </w:r>
    </w:p>
    <w:p w:rsidR="00000000" w:rsidRDefault="00FD7D3C">
      <w:pPr>
        <w:ind w:hanging="1260"/>
        <w:divId w:val="1231579340"/>
        <w:rPr>
          <w:rFonts w:eastAsia="Times New Roman"/>
        </w:rPr>
      </w:pPr>
      <w:r>
        <w:rPr>
          <w:rFonts w:eastAsia="Times New Roman"/>
          <w:color w:val="000000"/>
          <w:sz w:val="20"/>
          <w:szCs w:val="20"/>
        </w:rPr>
        <w:t>•</w:t>
      </w:r>
      <w:r>
        <w:rPr>
          <w:rFonts w:eastAsia="Times New Roman"/>
          <w:b/>
          <w:bCs/>
          <w:color w:val="000000"/>
          <w:sz w:val="20"/>
          <w:szCs w:val="20"/>
        </w:rPr>
        <w:t xml:space="preserve">Independent Data Safety Monitoring Board (DSMB) recommended INTEGRIS-IPF Phase 2a Trial continue without modifications. </w:t>
      </w:r>
      <w:r>
        <w:rPr>
          <w:rFonts w:eastAsia="Times New Roman"/>
          <w:color w:val="000000"/>
          <w:sz w:val="20"/>
          <w:szCs w:val="20"/>
        </w:rPr>
        <w:t>Following the full enrollment of the INTEGRIS-IPF Phase 2a t</w:t>
      </w:r>
      <w:r>
        <w:rPr>
          <w:rFonts w:eastAsia="Times New Roman"/>
          <w:color w:val="000000"/>
          <w:sz w:val="20"/>
          <w:szCs w:val="20"/>
        </w:rPr>
        <w:t>rial, on February 17, 2022, the DSMB recommended the INTEGRIS-IPF trial continue without modification. This review included all patients enrolled in all dose cohorts of the trial. To date, no safety concerns have been identified by the DSMB.</w:t>
      </w:r>
    </w:p>
    <w:p w:rsidR="00000000" w:rsidRDefault="00FD7D3C">
      <w:pPr>
        <w:ind w:hanging="1260"/>
        <w:divId w:val="222372766"/>
        <w:rPr>
          <w:rFonts w:eastAsia="Times New Roman"/>
        </w:rPr>
      </w:pPr>
      <w:r>
        <w:rPr>
          <w:rFonts w:eastAsia="Times New Roman"/>
          <w:color w:val="000000"/>
          <w:sz w:val="20"/>
          <w:szCs w:val="20"/>
        </w:rPr>
        <w:t>•</w:t>
      </w:r>
      <w:r>
        <w:rPr>
          <w:rFonts w:eastAsia="Times New Roman"/>
          <w:b/>
          <w:bCs/>
          <w:color w:val="000000"/>
          <w:sz w:val="20"/>
          <w:szCs w:val="20"/>
        </w:rPr>
        <w:t>Commenced enr</w:t>
      </w:r>
      <w:r>
        <w:rPr>
          <w:rFonts w:eastAsia="Times New Roman"/>
          <w:b/>
          <w:bCs/>
          <w:color w:val="000000"/>
          <w:sz w:val="20"/>
          <w:szCs w:val="20"/>
        </w:rPr>
        <w:t xml:space="preserve">ollment of a Phase 2a trial of PLN-74809 at a dose of 320 mg in patients with IPF. </w:t>
      </w:r>
      <w:r>
        <w:rPr>
          <w:rFonts w:eastAsia="Times New Roman"/>
          <w:color w:val="000000"/>
          <w:sz w:val="20"/>
          <w:szCs w:val="20"/>
        </w:rPr>
        <w:t>The Company began enrollment in a randomized, double-blind, placebo-controlled trial evaluating PLN-74809 at doses of 320 mg administered daily over at least six months, and</w:t>
      </w:r>
      <w:r>
        <w:rPr>
          <w:rFonts w:eastAsia="Times New Roman"/>
          <w:color w:val="000000"/>
          <w:sz w:val="20"/>
          <w:szCs w:val="20"/>
        </w:rPr>
        <w:t xml:space="preserve"> up to 48 weeks, in approximately 28 patients with IPF. The primary endpoint is the evaluation of PLN-74809 safety and tolerability and the secondary endpoint is the assessment of pharmacokinetics. Exploratory endpoints will measure QLF imaging and pulmona</w:t>
      </w:r>
      <w:r>
        <w:rPr>
          <w:rFonts w:eastAsia="Times New Roman"/>
          <w:color w:val="000000"/>
          <w:sz w:val="20"/>
          <w:szCs w:val="20"/>
        </w:rPr>
        <w:t xml:space="preserve">ry function tests as well as select biomarkers over 6 months of treatment. </w:t>
      </w:r>
    </w:p>
    <w:p w:rsidR="00000000" w:rsidRDefault="00FD7D3C">
      <w:pPr>
        <w:ind w:hanging="1260"/>
        <w:divId w:val="1810633700"/>
        <w:rPr>
          <w:rFonts w:eastAsia="Times New Roman"/>
        </w:rPr>
      </w:pPr>
      <w:r>
        <w:rPr>
          <w:rFonts w:eastAsia="Times New Roman"/>
          <w:color w:val="000000"/>
          <w:sz w:val="20"/>
          <w:szCs w:val="20"/>
        </w:rPr>
        <w:t>•</w:t>
      </w:r>
      <w:r>
        <w:rPr>
          <w:rFonts w:eastAsia="Times New Roman"/>
          <w:b/>
          <w:bCs/>
          <w:color w:val="000000"/>
          <w:sz w:val="20"/>
          <w:szCs w:val="20"/>
        </w:rPr>
        <w:t>PLN-74809 Phase 2a trial in primary sclerosing cholangitis (PSC) enrollment on track to be completed mid-2022.</w:t>
      </w:r>
      <w:r>
        <w:rPr>
          <w:rFonts w:eastAsia="Times New Roman"/>
          <w:color w:val="000000"/>
          <w:sz w:val="20"/>
          <w:szCs w:val="20"/>
        </w:rPr>
        <w:t xml:space="preserve"> INTEGRIS-PSC is a 12-week randomized, dose-ranging, double-blind, pl</w:t>
      </w:r>
      <w:r>
        <w:rPr>
          <w:rFonts w:eastAsia="Times New Roman"/>
          <w:color w:val="000000"/>
          <w:sz w:val="20"/>
          <w:szCs w:val="20"/>
        </w:rPr>
        <w:t xml:space="preserve">acebo-controlled trial evaluating the safety, tolerability, and pharmacokinetics of PLN-74809 at doses of 40, 80 or 160 mg in approximately 84 PSC patients. Exploratory endpoints include fibrosis biomarkers such as Pro-C3 and ELF, changes in ALP and liver </w:t>
      </w:r>
      <w:r>
        <w:rPr>
          <w:rFonts w:eastAsia="Times New Roman"/>
          <w:color w:val="000000"/>
          <w:sz w:val="20"/>
          <w:szCs w:val="20"/>
        </w:rPr>
        <w:t>imaging. Topline data is expected in late 2022 or early 2023.</w:t>
      </w:r>
    </w:p>
    <w:p w:rsidR="00000000" w:rsidRDefault="00FD7D3C">
      <w:pPr>
        <w:ind w:hanging="1260"/>
        <w:divId w:val="453182602"/>
        <w:rPr>
          <w:rFonts w:eastAsia="Times New Roman"/>
        </w:rPr>
      </w:pPr>
      <w:r>
        <w:rPr>
          <w:rFonts w:eastAsia="Times New Roman"/>
          <w:color w:val="000000"/>
          <w:sz w:val="20"/>
          <w:szCs w:val="20"/>
        </w:rPr>
        <w:t>•</w:t>
      </w:r>
      <w:r>
        <w:rPr>
          <w:rFonts w:eastAsia="Times New Roman"/>
          <w:b/>
          <w:bCs/>
          <w:color w:val="000000"/>
          <w:sz w:val="20"/>
          <w:szCs w:val="20"/>
        </w:rPr>
        <w:t xml:space="preserve">Oncology and muscular dystrophy programs progressing through Investigational New Drug (IND) enabling studies. </w:t>
      </w:r>
      <w:r>
        <w:rPr>
          <w:rFonts w:eastAsia="Times New Roman"/>
          <w:color w:val="000000"/>
          <w:sz w:val="20"/>
          <w:szCs w:val="20"/>
        </w:rPr>
        <w:t>Both programs on track with IND application submissions planned by the end of 2022.</w:t>
      </w:r>
      <w:r>
        <w:rPr>
          <w:rFonts w:eastAsia="Times New Roman"/>
          <w:color w:val="000000"/>
          <w:sz w:val="20"/>
          <w:szCs w:val="20"/>
        </w:rPr>
        <w:t xml:space="preserve"> </w:t>
      </w:r>
    </w:p>
    <w:p w:rsidR="00000000" w:rsidRDefault="00FD7D3C">
      <w:pPr>
        <w:ind w:firstLine="720"/>
        <w:divId w:val="732312276"/>
        <w:rPr>
          <w:rFonts w:eastAsia="Times New Roman"/>
        </w:rPr>
      </w:pPr>
      <w:r>
        <w:rPr>
          <w:rFonts w:eastAsia="Times New Roman"/>
          <w:b/>
          <w:bCs/>
          <w:color w:val="000000"/>
          <w:sz w:val="20"/>
          <w:szCs w:val="20"/>
        </w:rPr>
        <w:t>COVID-19 Pandemic</w:t>
      </w:r>
    </w:p>
    <w:p w:rsidR="00000000" w:rsidRDefault="00FD7D3C">
      <w:pPr>
        <w:ind w:firstLine="1260"/>
        <w:divId w:val="332874073"/>
        <w:rPr>
          <w:rFonts w:eastAsia="Times New Roman"/>
        </w:rPr>
      </w:pPr>
      <w:r>
        <w:rPr>
          <w:rFonts w:eastAsia="Times New Roman"/>
          <w:color w:val="000000"/>
          <w:sz w:val="20"/>
          <w:szCs w:val="20"/>
        </w:rPr>
        <w:t>In March 2020, the World Health Organization declared the outbreak of a coronavirus, or COVID-19, as a pandemic, which, to date, continues to spread throughout the United States and worldwide. We have been, and in the future could be, m</w:t>
      </w:r>
      <w:r>
        <w:rPr>
          <w:rFonts w:eastAsia="Times New Roman"/>
          <w:color w:val="000000"/>
          <w:sz w:val="20"/>
          <w:szCs w:val="20"/>
        </w:rPr>
        <w:t xml:space="preserve">aterially and adversely affected by the risks, or the public perception of the risks, related to an epidemic, pandemic, outbreak, or other public health crisis, such as the outbreak of COVID-19. While difficult to predict or quantify the overall impact to </w:t>
      </w:r>
      <w:r>
        <w:rPr>
          <w:rFonts w:eastAsia="Times New Roman"/>
          <w:color w:val="000000"/>
          <w:sz w:val="20"/>
          <w:szCs w:val="20"/>
        </w:rPr>
        <w:t>our operations, among other things, our clinical trials have experienced delays, and may experience additional delays in the future, extending the timelines and increasing the overall costs to finish the clinical trials, as our fixed costs are not substant</w:t>
      </w:r>
      <w:r>
        <w:rPr>
          <w:rFonts w:eastAsia="Times New Roman"/>
          <w:color w:val="000000"/>
          <w:sz w:val="20"/>
          <w:szCs w:val="20"/>
        </w:rPr>
        <w:t>ially reduced while the clinical trials are delayed. For example, the clinical site conducting our Phase 2a PET trial of PLN-74809 in IPF was closed to clinical research in March 2020, but resumed enrollment and trial activities in the third quarter of 202</w:t>
      </w:r>
      <w:r>
        <w:rPr>
          <w:rFonts w:eastAsia="Times New Roman"/>
          <w:color w:val="000000"/>
          <w:sz w:val="20"/>
          <w:szCs w:val="20"/>
        </w:rPr>
        <w:t>0. The ultimate extent of the impact of any epidemic, pandemic, outbreak, or other public health crisis on our business, financial condition and results of operations will depend on future developments, which are highly uncertain and cannot be predicted, i</w:t>
      </w:r>
      <w:r>
        <w:rPr>
          <w:rFonts w:eastAsia="Times New Roman"/>
          <w:color w:val="000000"/>
          <w:sz w:val="20"/>
          <w:szCs w:val="20"/>
        </w:rPr>
        <w:t>ncluding new information that may emerge concerning the severity of such epidemic, pandemic, outbreak, or other public health crisis and actions taken to contain or prevent the further spread, among others. Accordingly, we cannot predict the extent to whic</w:t>
      </w:r>
      <w:r>
        <w:rPr>
          <w:rFonts w:eastAsia="Times New Roman"/>
          <w:color w:val="000000"/>
          <w:sz w:val="20"/>
          <w:szCs w:val="20"/>
        </w:rPr>
        <w:t xml:space="preserve">h our business, financial condition and results of operations have been and will be affected. We remain focused on maintaining a strong balance sheet, liquidity and financial flexibility and continue to monitor developments as we deal with the disruptions </w:t>
      </w:r>
      <w:r>
        <w:rPr>
          <w:rFonts w:eastAsia="Times New Roman"/>
          <w:color w:val="000000"/>
          <w:sz w:val="20"/>
          <w:szCs w:val="20"/>
        </w:rPr>
        <w:t>and uncertainties from a business and financial perspective relating to COVID-19.</w:t>
      </w:r>
    </w:p>
    <w:p w:rsidR="00000000" w:rsidRDefault="00FD7D3C">
      <w:pPr>
        <w:jc w:val="center"/>
        <w:divId w:val="465896908"/>
        <w:rPr>
          <w:rFonts w:eastAsia="Times New Roman"/>
        </w:rPr>
      </w:pPr>
      <w:r>
        <w:rPr>
          <w:rFonts w:eastAsia="Times New Roman"/>
          <w:color w:val="000000"/>
          <w:sz w:val="20"/>
          <w:szCs w:val="20"/>
        </w:rPr>
        <w:t>96</w:t>
      </w:r>
    </w:p>
    <w:p w:rsidR="00000000" w:rsidRDefault="00FD7D3C">
      <w:pPr>
        <w:rPr>
          <w:rFonts w:eastAsia="Times New Roman"/>
        </w:rPr>
      </w:pPr>
      <w:r>
        <w:rPr>
          <w:rFonts w:eastAsia="Times New Roman"/>
        </w:rPr>
        <w:pict>
          <v:rect id="_x0000_i1149" style="width:0;height:1.5pt" o:hralign="center" o:hrstd="t" o:hr="t" fillcolor="#a0a0a0" stroked="f"/>
        </w:pict>
      </w:r>
    </w:p>
    <w:p w:rsidR="00000000" w:rsidRDefault="00FD7D3C">
      <w:pPr>
        <w:divId w:val="1091588106"/>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jc w:val="center"/>
        <w:divId w:val="319240019"/>
        <w:rPr>
          <w:rFonts w:eastAsia="Times New Roman"/>
        </w:rPr>
      </w:pPr>
      <w:r>
        <w:rPr>
          <w:rFonts w:eastAsia="Times New Roman"/>
          <w:b/>
          <w:bCs/>
          <w:color w:val="000000"/>
          <w:sz w:val="20"/>
          <w:szCs w:val="20"/>
        </w:rPr>
        <w:t xml:space="preserve">Financial Operations Overview </w:t>
      </w:r>
    </w:p>
    <w:p w:rsidR="00000000" w:rsidRDefault="00FD7D3C">
      <w:pPr>
        <w:divId w:val="202333612"/>
        <w:rPr>
          <w:rFonts w:eastAsia="Times New Roman"/>
        </w:rPr>
      </w:pPr>
      <w:r>
        <w:rPr>
          <w:rFonts w:eastAsia="Times New Roman"/>
          <w:b/>
          <w:bCs/>
          <w:i/>
          <w:iCs/>
          <w:color w:val="000000"/>
          <w:sz w:val="20"/>
          <w:szCs w:val="20"/>
        </w:rPr>
        <w:t>Revenue</w:t>
      </w:r>
    </w:p>
    <w:p w:rsidR="00000000" w:rsidRDefault="00FD7D3C">
      <w:pPr>
        <w:ind w:firstLine="720"/>
        <w:divId w:val="928199066"/>
        <w:rPr>
          <w:rFonts w:eastAsia="Times New Roman"/>
        </w:rPr>
      </w:pPr>
      <w:r>
        <w:rPr>
          <w:rFonts w:eastAsia="Times New Roman"/>
          <w:color w:val="000000"/>
          <w:sz w:val="20"/>
          <w:szCs w:val="20"/>
        </w:rPr>
        <w:t xml:space="preserve">We have not generated any revenue from product sales and do not expect to do so in the near future. Our revenue to date is derived from a Collaboration and License Agreement with Novartis, or the "Novartis Agreement," that was executed in 2019. </w:t>
      </w:r>
    </w:p>
    <w:p w:rsidR="00000000" w:rsidRDefault="00FD7D3C">
      <w:pPr>
        <w:ind w:firstLine="720"/>
        <w:divId w:val="94789470"/>
        <w:rPr>
          <w:rFonts w:eastAsia="Times New Roman"/>
        </w:rPr>
      </w:pPr>
      <w:r>
        <w:rPr>
          <w:rFonts w:eastAsia="Times New Roman"/>
          <w:color w:val="000000"/>
          <w:sz w:val="20"/>
          <w:szCs w:val="20"/>
        </w:rPr>
        <w:t>The Novart</w:t>
      </w:r>
      <w:r>
        <w:rPr>
          <w:rFonts w:eastAsia="Times New Roman"/>
          <w:color w:val="000000"/>
          <w:sz w:val="20"/>
          <w:szCs w:val="20"/>
        </w:rPr>
        <w:t xml:space="preserve">is Agreement is for the development and commercialization of PLN-1474 and up to three additional integrin research targets. Under the terms of the Novartis Agreement, we received an upfront license fee payment of $50.0 million for the worldwide, exclusive </w:t>
      </w:r>
      <w:r>
        <w:rPr>
          <w:rFonts w:eastAsia="Times New Roman"/>
          <w:color w:val="000000"/>
          <w:sz w:val="20"/>
          <w:szCs w:val="20"/>
        </w:rPr>
        <w:t>license to PLN-1474 and an additional $25.0 million upon first patient dosed in our Phase 1 trial of PLN-1474 in the first quarter of 2020. We are eligible to receive additional milestone payments of up to $391.0 million in total, if defined developmental,</w:t>
      </w:r>
      <w:r>
        <w:rPr>
          <w:rFonts w:eastAsia="Times New Roman"/>
          <w:color w:val="000000"/>
          <w:sz w:val="20"/>
          <w:szCs w:val="20"/>
        </w:rPr>
        <w:t xml:space="preserve"> regulatory and commercialization milestones are achieved, and tiered royalties on a product-by-product basis based on annual nets sales of products. Additionally, Novartis agreed to provide up to $19.6 million and up to $13.4 million in funding for the re</w:t>
      </w:r>
      <w:r>
        <w:rPr>
          <w:rFonts w:eastAsia="Times New Roman"/>
          <w:color w:val="000000"/>
          <w:sz w:val="20"/>
          <w:szCs w:val="20"/>
        </w:rPr>
        <w:t xml:space="preserve">search and development activities associated with PLN-1474 and integrin research targets, respectively. As of December 31, 2021 approximately $2.0 million of aggregate research and development funding remains available for use under the arrangement. </w:t>
      </w:r>
    </w:p>
    <w:p w:rsidR="00000000" w:rsidRDefault="00FD7D3C">
      <w:pPr>
        <w:ind w:firstLine="720"/>
        <w:divId w:val="922761781"/>
        <w:rPr>
          <w:rFonts w:eastAsia="Times New Roman"/>
        </w:rPr>
      </w:pPr>
      <w:r>
        <w:rPr>
          <w:rFonts w:eastAsia="Times New Roman"/>
          <w:color w:val="000000"/>
          <w:sz w:val="20"/>
          <w:szCs w:val="20"/>
        </w:rPr>
        <w:t xml:space="preserve">Revenues for the years ended December 31, 2021, 2020 and 2019 were $7.6 million, $41.8 million and $57.1 million, respectively. </w:t>
      </w:r>
    </w:p>
    <w:p w:rsidR="00000000" w:rsidRDefault="00FD7D3C">
      <w:pPr>
        <w:divId w:val="796410545"/>
        <w:rPr>
          <w:rFonts w:eastAsia="Times New Roman"/>
        </w:rPr>
      </w:pPr>
    </w:p>
    <w:p w:rsidR="00000000" w:rsidRDefault="00FD7D3C">
      <w:pPr>
        <w:divId w:val="595671960"/>
        <w:rPr>
          <w:rFonts w:eastAsia="Times New Roman"/>
        </w:rPr>
      </w:pPr>
      <w:r>
        <w:rPr>
          <w:rFonts w:eastAsia="Times New Roman"/>
          <w:b/>
          <w:bCs/>
          <w:i/>
          <w:iCs/>
          <w:color w:val="000000"/>
          <w:sz w:val="20"/>
          <w:szCs w:val="20"/>
        </w:rPr>
        <w:t>Operating Expenses</w:t>
      </w:r>
    </w:p>
    <w:p w:rsidR="00000000" w:rsidRDefault="00FD7D3C">
      <w:pPr>
        <w:ind w:firstLine="360"/>
        <w:divId w:val="1382902587"/>
        <w:rPr>
          <w:rFonts w:eastAsia="Times New Roman"/>
        </w:rPr>
      </w:pPr>
      <w:r>
        <w:rPr>
          <w:rFonts w:eastAsia="Times New Roman"/>
          <w:i/>
          <w:iCs/>
          <w:color w:val="000000"/>
          <w:sz w:val="20"/>
          <w:szCs w:val="20"/>
        </w:rPr>
        <w:t>Research and Development</w:t>
      </w:r>
    </w:p>
    <w:p w:rsidR="00000000" w:rsidRDefault="00FD7D3C">
      <w:pPr>
        <w:ind w:firstLine="720"/>
        <w:divId w:val="1870600706"/>
        <w:rPr>
          <w:rFonts w:eastAsia="Times New Roman"/>
        </w:rPr>
      </w:pPr>
      <w:r>
        <w:rPr>
          <w:rFonts w:eastAsia="Times New Roman"/>
          <w:color w:val="000000"/>
          <w:sz w:val="20"/>
          <w:szCs w:val="20"/>
        </w:rPr>
        <w:t xml:space="preserve">Our research and development expenses consist of expenses incurred in connection </w:t>
      </w:r>
      <w:r>
        <w:rPr>
          <w:rFonts w:eastAsia="Times New Roman"/>
          <w:color w:val="000000"/>
          <w:sz w:val="20"/>
          <w:szCs w:val="20"/>
        </w:rPr>
        <w:t>with the development of our product candidates. Research and development expenses include:</w:t>
      </w:r>
    </w:p>
    <w:p w:rsidR="00000000" w:rsidRDefault="00FD7D3C">
      <w:pPr>
        <w:ind w:hanging="720"/>
        <w:divId w:val="1621689641"/>
        <w:rPr>
          <w:rFonts w:eastAsia="Times New Roman"/>
        </w:rPr>
      </w:pPr>
      <w:r>
        <w:rPr>
          <w:rFonts w:ascii="Arial" w:eastAsia="Times New Roman" w:hAnsi="Arial" w:cs="Arial"/>
          <w:color w:val="000000"/>
        </w:rPr>
        <w:t>•</w:t>
      </w:r>
      <w:r>
        <w:rPr>
          <w:rFonts w:eastAsia="Times New Roman"/>
          <w:color w:val="000000"/>
          <w:sz w:val="20"/>
          <w:szCs w:val="20"/>
        </w:rPr>
        <w:t>employee-related expenses, which include salaries, benefits and stock-based compensation for our research and development personnel;</w:t>
      </w:r>
    </w:p>
    <w:p w:rsidR="00000000" w:rsidRDefault="00FD7D3C">
      <w:pPr>
        <w:ind w:hanging="720"/>
        <w:divId w:val="250505084"/>
        <w:rPr>
          <w:rFonts w:eastAsia="Times New Roman"/>
        </w:rPr>
      </w:pPr>
      <w:r>
        <w:rPr>
          <w:rFonts w:ascii="Arial" w:eastAsia="Times New Roman" w:hAnsi="Arial" w:cs="Arial"/>
          <w:color w:val="000000"/>
        </w:rPr>
        <w:t>•</w:t>
      </w:r>
      <w:r>
        <w:rPr>
          <w:rFonts w:eastAsia="Times New Roman"/>
          <w:color w:val="000000"/>
          <w:sz w:val="20"/>
          <w:szCs w:val="20"/>
        </w:rPr>
        <w:t>expenses incurred under agreem</w:t>
      </w:r>
      <w:r>
        <w:rPr>
          <w:rFonts w:eastAsia="Times New Roman"/>
          <w:color w:val="000000"/>
          <w:sz w:val="20"/>
          <w:szCs w:val="20"/>
        </w:rPr>
        <w:t>ents with third-party contract organizations for pre-clinical studies, clinical trials and consultants that conduct research and development activities on our behalf;</w:t>
      </w:r>
    </w:p>
    <w:p w:rsidR="00000000" w:rsidRDefault="00FD7D3C">
      <w:pPr>
        <w:ind w:hanging="720"/>
        <w:divId w:val="736323342"/>
        <w:rPr>
          <w:rFonts w:eastAsia="Times New Roman"/>
        </w:rPr>
      </w:pPr>
      <w:r>
        <w:rPr>
          <w:rFonts w:ascii="Arial" w:eastAsia="Times New Roman" w:hAnsi="Arial" w:cs="Arial"/>
          <w:color w:val="000000"/>
        </w:rPr>
        <w:t>•</w:t>
      </w:r>
      <w:r>
        <w:rPr>
          <w:rFonts w:eastAsia="Times New Roman"/>
          <w:color w:val="000000"/>
          <w:sz w:val="20"/>
          <w:szCs w:val="20"/>
        </w:rPr>
        <w:t>costs associated with the manufacture of supplies to support research and development, p</w:t>
      </w:r>
      <w:r>
        <w:rPr>
          <w:rFonts w:eastAsia="Times New Roman"/>
          <w:color w:val="000000"/>
          <w:sz w:val="20"/>
          <w:szCs w:val="20"/>
        </w:rPr>
        <w:t>reclinical studies and clinical trials;</w:t>
      </w:r>
    </w:p>
    <w:p w:rsidR="00000000" w:rsidRDefault="00FD7D3C">
      <w:pPr>
        <w:ind w:hanging="720"/>
        <w:divId w:val="497380945"/>
        <w:rPr>
          <w:rFonts w:eastAsia="Times New Roman"/>
        </w:rPr>
      </w:pPr>
      <w:r>
        <w:rPr>
          <w:rFonts w:ascii="Arial" w:eastAsia="Times New Roman" w:hAnsi="Arial" w:cs="Arial"/>
          <w:color w:val="000000"/>
        </w:rPr>
        <w:t>•</w:t>
      </w:r>
      <w:r>
        <w:rPr>
          <w:rFonts w:eastAsia="Times New Roman"/>
          <w:color w:val="000000"/>
          <w:sz w:val="20"/>
          <w:szCs w:val="20"/>
        </w:rPr>
        <w:t>depreciation of laboratory equipment and costs of equipment and supplies;</w:t>
      </w:r>
    </w:p>
    <w:p w:rsidR="00000000" w:rsidRDefault="00FD7D3C">
      <w:pPr>
        <w:ind w:hanging="720"/>
        <w:divId w:val="1175532149"/>
        <w:rPr>
          <w:rFonts w:eastAsia="Times New Roman"/>
        </w:rPr>
      </w:pPr>
      <w:r>
        <w:rPr>
          <w:rFonts w:ascii="Arial" w:eastAsia="Times New Roman" w:hAnsi="Arial" w:cs="Arial"/>
          <w:color w:val="000000"/>
        </w:rPr>
        <w:t>•</w:t>
      </w:r>
      <w:r>
        <w:rPr>
          <w:rFonts w:eastAsia="Times New Roman"/>
          <w:color w:val="000000"/>
          <w:sz w:val="20"/>
          <w:szCs w:val="20"/>
        </w:rPr>
        <w:t>costs associated with technology and intellectual property licenses; and</w:t>
      </w:r>
    </w:p>
    <w:p w:rsidR="00000000" w:rsidRDefault="00FD7D3C">
      <w:pPr>
        <w:ind w:hanging="720"/>
        <w:divId w:val="1391925400"/>
        <w:rPr>
          <w:rFonts w:eastAsia="Times New Roman"/>
        </w:rPr>
      </w:pPr>
      <w:r>
        <w:rPr>
          <w:rFonts w:ascii="Arial" w:eastAsia="Times New Roman" w:hAnsi="Arial" w:cs="Arial"/>
          <w:color w:val="000000"/>
        </w:rPr>
        <w:t>•</w:t>
      </w:r>
      <w:r>
        <w:rPr>
          <w:rFonts w:eastAsia="Times New Roman"/>
          <w:color w:val="000000"/>
          <w:sz w:val="20"/>
          <w:szCs w:val="20"/>
        </w:rPr>
        <w:t>facilities and other allocated expenses, which include expenses fo</w:t>
      </w:r>
      <w:r>
        <w:rPr>
          <w:rFonts w:eastAsia="Times New Roman"/>
          <w:color w:val="000000"/>
          <w:sz w:val="20"/>
          <w:szCs w:val="20"/>
        </w:rPr>
        <w:t>r rent and other facility related costs and other supplies.</w:t>
      </w:r>
    </w:p>
    <w:p w:rsidR="00000000" w:rsidRDefault="00FD7D3C">
      <w:pPr>
        <w:ind w:firstLine="720"/>
        <w:divId w:val="494299008"/>
        <w:rPr>
          <w:rFonts w:eastAsia="Times New Roman"/>
        </w:rPr>
      </w:pPr>
      <w:r>
        <w:rPr>
          <w:rFonts w:eastAsia="Times New Roman"/>
          <w:color w:val="000000"/>
          <w:sz w:val="20"/>
          <w:szCs w:val="20"/>
        </w:rPr>
        <w:t>The following table summarizes our research and development expenses for the years ended December 31, 2021, 2020 and 2019 (in thousands):</w:t>
      </w:r>
    </w:p>
    <w:tbl>
      <w:tblPr>
        <w:tblW w:w="5000" w:type="pct"/>
        <w:tblCellMar>
          <w:top w:w="15" w:type="dxa"/>
          <w:left w:w="15" w:type="dxa"/>
          <w:bottom w:w="15" w:type="dxa"/>
          <w:right w:w="15" w:type="dxa"/>
        </w:tblCellMar>
        <w:tblLook w:val="04A0" w:firstRow="1" w:lastRow="0" w:firstColumn="1" w:lastColumn="0" w:noHBand="0" w:noVBand="1"/>
      </w:tblPr>
      <w:tblGrid>
        <w:gridCol w:w="39"/>
        <w:gridCol w:w="4749"/>
        <w:gridCol w:w="38"/>
        <w:gridCol w:w="120"/>
        <w:gridCol w:w="947"/>
        <w:gridCol w:w="36"/>
        <w:gridCol w:w="36"/>
        <w:gridCol w:w="36"/>
        <w:gridCol w:w="36"/>
        <w:gridCol w:w="120"/>
        <w:gridCol w:w="947"/>
        <w:gridCol w:w="36"/>
        <w:gridCol w:w="36"/>
        <w:gridCol w:w="36"/>
        <w:gridCol w:w="36"/>
        <w:gridCol w:w="120"/>
        <w:gridCol w:w="902"/>
        <w:gridCol w:w="36"/>
      </w:tblGrid>
      <w:tr w:rsidR="00000000">
        <w:trPr>
          <w:divId w:val="1445031506"/>
        </w:trPr>
        <w:tc>
          <w:tcPr>
            <w:tcW w:w="50" w:type="pct"/>
            <w:vAlign w:val="center"/>
            <w:hideMark/>
          </w:tcPr>
          <w:p w:rsidR="00000000" w:rsidRDefault="00FD7D3C">
            <w:pPr>
              <w:ind w:firstLine="720"/>
              <w:rPr>
                <w:rFonts w:eastAsia="Times New Roman"/>
              </w:rPr>
            </w:pPr>
          </w:p>
        </w:tc>
        <w:tc>
          <w:tcPr>
            <w:tcW w:w="2899"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604"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20"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604"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27"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604"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r>
      <w:tr w:rsidR="00000000">
        <w:trPr>
          <w:divId w:val="1445031506"/>
        </w:trPr>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Year Ended December 31,</w:t>
            </w:r>
          </w:p>
        </w:tc>
      </w:tr>
      <w:tr w:rsidR="00000000">
        <w:trPr>
          <w:divId w:val="1445031506"/>
        </w:trPr>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2019</w:t>
            </w:r>
          </w:p>
        </w:tc>
      </w:tr>
      <w:tr w:rsidR="00000000">
        <w:trPr>
          <w:divId w:val="1445031506"/>
        </w:trPr>
        <w:tc>
          <w:tcPr>
            <w:tcW w:w="0" w:type="auto"/>
            <w:gridSpan w:val="3"/>
            <w:shd w:val="clear" w:color="auto" w:fill="CFF0FC"/>
            <w:tcMar>
              <w:top w:w="30" w:type="dxa"/>
              <w:left w:w="20" w:type="dxa"/>
              <w:bottom w:w="30" w:type="dxa"/>
              <w:right w:w="20" w:type="dxa"/>
            </w:tcMar>
            <w:vAlign w:val="bottom"/>
            <w:hideMark/>
          </w:tcPr>
          <w:p w:rsidR="00000000" w:rsidRDefault="00FD7D3C">
            <w:pPr>
              <w:spacing w:after="100"/>
              <w:rPr>
                <w:rFonts w:eastAsia="Times New Roman"/>
              </w:rPr>
            </w:pPr>
            <w:r>
              <w:rPr>
                <w:rFonts w:eastAsia="Times New Roman"/>
                <w:color w:val="000000"/>
                <w:sz w:val="20"/>
                <w:szCs w:val="20"/>
              </w:rPr>
              <w:t>Employee-related expenses</w:t>
            </w: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20,730 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15,301 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10,385 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1445031506"/>
        </w:trPr>
        <w:tc>
          <w:tcPr>
            <w:tcW w:w="0" w:type="auto"/>
            <w:gridSpan w:val="3"/>
            <w:tcMar>
              <w:top w:w="30" w:type="dxa"/>
              <w:left w:w="20" w:type="dxa"/>
              <w:bottom w:w="30" w:type="dxa"/>
              <w:right w:w="20" w:type="dxa"/>
            </w:tcMar>
            <w:vAlign w:val="bottom"/>
            <w:hideMark/>
          </w:tcPr>
          <w:p w:rsidR="00000000" w:rsidRDefault="00FD7D3C">
            <w:pPr>
              <w:spacing w:after="100"/>
              <w:ind w:hanging="180"/>
              <w:divId w:val="1154293508"/>
              <w:rPr>
                <w:rFonts w:eastAsia="Times New Roman"/>
              </w:rPr>
            </w:pPr>
            <w:r>
              <w:rPr>
                <w:rFonts w:eastAsia="Times New Roman"/>
                <w:color w:val="000000"/>
                <w:sz w:val="20"/>
                <w:szCs w:val="20"/>
              </w:rPr>
              <w:t>Outside and consulting services for preclinical studies and research and development activities by third party contract organizations</w:t>
            </w:r>
          </w:p>
        </w:tc>
        <w:tc>
          <w:tcPr>
            <w:tcW w:w="0" w:type="auto"/>
            <w:gridSpan w:val="2"/>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15,674 </w:t>
            </w:r>
          </w:p>
        </w:tc>
        <w:tc>
          <w:tcPr>
            <w:tcW w:w="0" w:type="auto"/>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14,677 </w:t>
            </w:r>
          </w:p>
        </w:tc>
        <w:tc>
          <w:tcPr>
            <w:tcW w:w="0" w:type="auto"/>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22,043 </w:t>
            </w:r>
          </w:p>
        </w:tc>
        <w:tc>
          <w:tcPr>
            <w:tcW w:w="0" w:type="auto"/>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1445031506"/>
        </w:trPr>
        <w:tc>
          <w:tcPr>
            <w:tcW w:w="0" w:type="auto"/>
            <w:gridSpan w:val="3"/>
            <w:shd w:val="clear" w:color="auto" w:fill="CFF0FC"/>
            <w:tcMar>
              <w:top w:w="30" w:type="dxa"/>
              <w:left w:w="20" w:type="dxa"/>
              <w:bottom w:w="30" w:type="dxa"/>
              <w:right w:w="20" w:type="dxa"/>
            </w:tcMar>
            <w:vAlign w:val="bottom"/>
            <w:hideMark/>
          </w:tcPr>
          <w:p w:rsidR="00000000" w:rsidRDefault="00FD7D3C">
            <w:pPr>
              <w:spacing w:after="100"/>
              <w:rPr>
                <w:rFonts w:eastAsia="Times New Roman"/>
              </w:rPr>
            </w:pPr>
            <w:r>
              <w:rPr>
                <w:rFonts w:eastAsia="Times New Roman"/>
                <w:color w:val="000000"/>
                <w:sz w:val="20"/>
                <w:szCs w:val="20"/>
              </w:rPr>
              <w:t>Clinical trials expenses</w:t>
            </w:r>
          </w:p>
        </w:tc>
        <w:tc>
          <w:tcPr>
            <w:tcW w:w="0" w:type="auto"/>
            <w:gridSpan w:val="2"/>
            <w:shd w:val="clear" w:color="auto" w:fill="CFF0FC"/>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29,263 </w:t>
            </w:r>
          </w:p>
        </w:tc>
        <w:tc>
          <w:tcPr>
            <w:tcW w:w="0" w:type="auto"/>
            <w:shd w:val="clear" w:color="auto" w:fill="CFF0FC"/>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FF0FC"/>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23,907 </w:t>
            </w:r>
          </w:p>
        </w:tc>
        <w:tc>
          <w:tcPr>
            <w:tcW w:w="0" w:type="auto"/>
            <w:shd w:val="clear" w:color="auto" w:fill="CFF0FC"/>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FF0FC"/>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6,667 </w:t>
            </w:r>
          </w:p>
        </w:tc>
        <w:tc>
          <w:tcPr>
            <w:tcW w:w="0" w:type="auto"/>
            <w:shd w:val="clear" w:color="auto" w:fill="CFF0FC"/>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1445031506"/>
        </w:trPr>
        <w:tc>
          <w:tcPr>
            <w:tcW w:w="0" w:type="auto"/>
            <w:gridSpan w:val="3"/>
            <w:tcMar>
              <w:top w:w="30" w:type="dxa"/>
              <w:left w:w="20" w:type="dxa"/>
              <w:bottom w:w="30" w:type="dxa"/>
              <w:right w:w="20" w:type="dxa"/>
            </w:tcMar>
            <w:vAlign w:val="bottom"/>
            <w:hideMark/>
          </w:tcPr>
          <w:p w:rsidR="00000000" w:rsidRDefault="00FD7D3C">
            <w:pPr>
              <w:spacing w:after="100"/>
              <w:rPr>
                <w:rFonts w:eastAsia="Times New Roman"/>
              </w:rPr>
            </w:pPr>
            <w:r>
              <w:rPr>
                <w:rFonts w:eastAsia="Times New Roman"/>
                <w:color w:val="000000"/>
                <w:sz w:val="20"/>
                <w:szCs w:val="20"/>
              </w:rPr>
              <w:t>Depreciation of lab equipment and costs of equipment and supplies</w:t>
            </w:r>
          </w:p>
        </w:tc>
        <w:tc>
          <w:tcPr>
            <w:tcW w:w="0" w:type="auto"/>
            <w:gridSpan w:val="2"/>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5,968 </w:t>
            </w:r>
          </w:p>
        </w:tc>
        <w:tc>
          <w:tcPr>
            <w:tcW w:w="0" w:type="auto"/>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4,801 </w:t>
            </w:r>
          </w:p>
        </w:tc>
        <w:tc>
          <w:tcPr>
            <w:tcW w:w="0" w:type="auto"/>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4,829 </w:t>
            </w:r>
          </w:p>
        </w:tc>
        <w:tc>
          <w:tcPr>
            <w:tcW w:w="0" w:type="auto"/>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1445031506"/>
        </w:trPr>
        <w:tc>
          <w:tcPr>
            <w:tcW w:w="0" w:type="auto"/>
            <w:gridSpan w:val="3"/>
            <w:shd w:val="clear" w:color="auto" w:fill="CFF0FC"/>
            <w:tcMar>
              <w:top w:w="30" w:type="dxa"/>
              <w:left w:w="20" w:type="dxa"/>
              <w:bottom w:w="30" w:type="dxa"/>
              <w:right w:w="20" w:type="dxa"/>
            </w:tcMar>
            <w:vAlign w:val="bottom"/>
            <w:hideMark/>
          </w:tcPr>
          <w:p w:rsidR="00000000" w:rsidRDefault="00FD7D3C">
            <w:pPr>
              <w:spacing w:after="100"/>
              <w:rPr>
                <w:rFonts w:eastAsia="Times New Roman"/>
              </w:rPr>
            </w:pPr>
            <w:r>
              <w:rPr>
                <w:rFonts w:eastAsia="Times New Roman"/>
                <w:color w:val="000000"/>
                <w:sz w:val="20"/>
                <w:szCs w:val="20"/>
              </w:rPr>
              <w:t>Technology and intellectual property licenses</w:t>
            </w:r>
          </w:p>
        </w:tc>
        <w:tc>
          <w:tcPr>
            <w:tcW w:w="0" w:type="auto"/>
            <w:gridSpan w:val="2"/>
            <w:shd w:val="clear" w:color="auto" w:fill="CFF0FC"/>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33 </w:t>
            </w:r>
          </w:p>
        </w:tc>
        <w:tc>
          <w:tcPr>
            <w:tcW w:w="0" w:type="auto"/>
            <w:shd w:val="clear" w:color="auto" w:fill="CFF0FC"/>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FF0FC"/>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2,442 </w:t>
            </w:r>
          </w:p>
        </w:tc>
        <w:tc>
          <w:tcPr>
            <w:tcW w:w="0" w:type="auto"/>
            <w:shd w:val="clear" w:color="auto" w:fill="CFF0FC"/>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FF0FC"/>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288 </w:t>
            </w:r>
          </w:p>
        </w:tc>
        <w:tc>
          <w:tcPr>
            <w:tcW w:w="0" w:type="auto"/>
            <w:shd w:val="clear" w:color="auto" w:fill="CFF0FC"/>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1445031506"/>
        </w:trPr>
        <w:tc>
          <w:tcPr>
            <w:tcW w:w="0" w:type="auto"/>
            <w:gridSpan w:val="3"/>
            <w:tcMar>
              <w:top w:w="30" w:type="dxa"/>
              <w:left w:w="20" w:type="dxa"/>
              <w:bottom w:w="30" w:type="dxa"/>
              <w:right w:w="20" w:type="dxa"/>
            </w:tcMar>
            <w:vAlign w:val="bottom"/>
            <w:hideMark/>
          </w:tcPr>
          <w:p w:rsidR="00000000" w:rsidRDefault="00FD7D3C">
            <w:pPr>
              <w:spacing w:after="100"/>
              <w:rPr>
                <w:rFonts w:eastAsia="Times New Roman"/>
              </w:rPr>
            </w:pPr>
            <w:r>
              <w:rPr>
                <w:rFonts w:eastAsia="Times New Roman"/>
                <w:color w:val="000000"/>
                <w:sz w:val="20"/>
                <w:szCs w:val="20"/>
              </w:rPr>
              <w:t>Facilities and other allocated expenses</w:t>
            </w:r>
          </w:p>
        </w:tc>
        <w:tc>
          <w:tcPr>
            <w:tcW w:w="0" w:type="auto"/>
            <w:gridSpan w:val="2"/>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5,880 </w:t>
            </w:r>
          </w:p>
        </w:tc>
        <w:tc>
          <w:tcPr>
            <w:tcW w:w="0" w:type="auto"/>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5,065 </w:t>
            </w:r>
          </w:p>
        </w:tc>
        <w:tc>
          <w:tcPr>
            <w:tcW w:w="0" w:type="auto"/>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3,141 </w:t>
            </w:r>
          </w:p>
        </w:tc>
        <w:tc>
          <w:tcPr>
            <w:tcW w:w="0" w:type="auto"/>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1445031506"/>
        </w:trPr>
        <w:tc>
          <w:tcPr>
            <w:tcW w:w="0" w:type="auto"/>
            <w:gridSpan w:val="3"/>
            <w:shd w:val="clear" w:color="auto" w:fill="CFF0FC"/>
            <w:tcMar>
              <w:top w:w="30" w:type="dxa"/>
              <w:left w:w="245" w:type="dxa"/>
              <w:bottom w:w="30" w:type="dxa"/>
              <w:right w:w="20" w:type="dxa"/>
            </w:tcMar>
            <w:vAlign w:val="bottom"/>
            <w:hideMark/>
          </w:tcPr>
          <w:p w:rsidR="00000000" w:rsidRDefault="00FD7D3C">
            <w:pPr>
              <w:spacing w:after="100"/>
              <w:rPr>
                <w:rFonts w:eastAsia="Times New Roman"/>
              </w:rPr>
            </w:pPr>
            <w:r>
              <w:rPr>
                <w:rFonts w:eastAsia="Times New Roman"/>
                <w:color w:val="000000"/>
                <w:sz w:val="20"/>
                <w:szCs w:val="20"/>
              </w:rPr>
              <w:t>Total research and development expenses</w:t>
            </w:r>
          </w:p>
        </w:tc>
        <w:tc>
          <w:tcPr>
            <w:tcW w:w="0" w:type="auto"/>
            <w:tcBorders>
              <w:top w:val="single" w:sz="8" w:space="0" w:color="000000"/>
              <w:bottom w:val="double" w:sz="6" w:space="0" w:color="000000"/>
            </w:tcBorders>
            <w:shd w:val="clear" w:color="auto" w:fill="CFF0FC"/>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FF0FC"/>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77,548 </w:t>
            </w:r>
          </w:p>
        </w:tc>
        <w:tc>
          <w:tcPr>
            <w:tcW w:w="0" w:type="auto"/>
            <w:tcBorders>
              <w:top w:val="single" w:sz="8" w:space="0" w:color="000000"/>
              <w:bottom w:val="double" w:sz="6" w:space="0" w:color="000000"/>
            </w:tcBorders>
            <w:shd w:val="clear" w:color="auto" w:fill="CFF0FC"/>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FF0FC"/>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FF0FC"/>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66,193 </w:t>
            </w:r>
          </w:p>
        </w:tc>
        <w:tc>
          <w:tcPr>
            <w:tcW w:w="0" w:type="auto"/>
            <w:tcBorders>
              <w:top w:val="single" w:sz="8" w:space="0" w:color="000000"/>
              <w:bottom w:val="double" w:sz="6" w:space="0" w:color="000000"/>
            </w:tcBorders>
            <w:shd w:val="clear" w:color="auto" w:fill="CFF0FC"/>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FF0FC"/>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FF0FC"/>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47,353 </w:t>
            </w:r>
          </w:p>
        </w:tc>
        <w:tc>
          <w:tcPr>
            <w:tcW w:w="0" w:type="auto"/>
            <w:tcBorders>
              <w:top w:val="single" w:sz="8" w:space="0" w:color="000000"/>
              <w:bottom w:val="double" w:sz="6" w:space="0" w:color="000000"/>
            </w:tcBorders>
            <w:shd w:val="clear" w:color="auto" w:fill="CFF0FC"/>
            <w:tcMar>
              <w:top w:w="30" w:type="dxa"/>
              <w:left w:w="0" w:type="dxa"/>
              <w:bottom w:w="30" w:type="dxa"/>
              <w:right w:w="20" w:type="dxa"/>
            </w:tcMar>
            <w:vAlign w:val="bottom"/>
            <w:hideMark/>
          </w:tcPr>
          <w:p w:rsidR="00000000" w:rsidRDefault="00FD7D3C">
            <w:pPr>
              <w:spacing w:after="100"/>
              <w:jc w:val="right"/>
              <w:rPr>
                <w:rFonts w:eastAsia="Times New Roman"/>
              </w:rPr>
            </w:pPr>
          </w:p>
        </w:tc>
      </w:tr>
    </w:tbl>
    <w:p w:rsidR="00000000" w:rsidRDefault="00FD7D3C">
      <w:pPr>
        <w:ind w:firstLine="720"/>
        <w:divId w:val="1895697728"/>
        <w:rPr>
          <w:rFonts w:eastAsia="Times New Roman"/>
        </w:rPr>
      </w:pPr>
      <w:r>
        <w:rPr>
          <w:rFonts w:eastAsia="Times New Roman"/>
          <w:color w:val="000000"/>
          <w:sz w:val="20"/>
          <w:szCs w:val="20"/>
        </w:rPr>
        <w:t>We expense all research and development costs in the periods in which they are incurred. We do not allocate our internal costs by product candidates or by preclinical programs as th</w:t>
      </w:r>
      <w:r>
        <w:rPr>
          <w:rFonts w:eastAsia="Times New Roman"/>
          <w:color w:val="000000"/>
          <w:sz w:val="20"/>
          <w:szCs w:val="20"/>
        </w:rPr>
        <w:t xml:space="preserve">ese are in early stages of development. Additionally, </w:t>
      </w:r>
    </w:p>
    <w:p w:rsidR="00000000" w:rsidRDefault="00FD7D3C">
      <w:pPr>
        <w:jc w:val="center"/>
        <w:divId w:val="1315916697"/>
        <w:rPr>
          <w:rFonts w:eastAsia="Times New Roman"/>
        </w:rPr>
      </w:pPr>
      <w:r>
        <w:rPr>
          <w:rFonts w:eastAsia="Times New Roman"/>
          <w:color w:val="000000"/>
          <w:sz w:val="20"/>
          <w:szCs w:val="20"/>
        </w:rPr>
        <w:t>97</w:t>
      </w:r>
    </w:p>
    <w:p w:rsidR="00000000" w:rsidRDefault="00FD7D3C">
      <w:pPr>
        <w:rPr>
          <w:rFonts w:eastAsia="Times New Roman"/>
        </w:rPr>
      </w:pPr>
      <w:r>
        <w:rPr>
          <w:rFonts w:eastAsia="Times New Roman"/>
        </w:rPr>
        <w:pict>
          <v:rect id="_x0000_i1150" style="width:0;height:1.5pt" o:hralign="center" o:hrstd="t" o:hr="t" fillcolor="#a0a0a0" stroked="f"/>
        </w:pict>
      </w:r>
    </w:p>
    <w:p w:rsidR="00000000" w:rsidRDefault="00FD7D3C">
      <w:pPr>
        <w:divId w:val="155189767"/>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divId w:val="1997372459"/>
        <w:rPr>
          <w:rFonts w:eastAsia="Times New Roman"/>
        </w:rPr>
      </w:pPr>
      <w:r>
        <w:rPr>
          <w:rFonts w:eastAsia="Times New Roman"/>
          <w:color w:val="000000"/>
          <w:sz w:val="20"/>
          <w:szCs w:val="20"/>
        </w:rPr>
        <w:t>although external third-party costs are allocable between product candidates and programs, we do not perform this allocation.</w:t>
      </w:r>
    </w:p>
    <w:p w:rsidR="00000000" w:rsidRDefault="00FD7D3C">
      <w:pPr>
        <w:ind w:firstLine="720"/>
        <w:divId w:val="524446008"/>
        <w:rPr>
          <w:rFonts w:eastAsia="Times New Roman"/>
        </w:rPr>
      </w:pPr>
      <w:r>
        <w:rPr>
          <w:rFonts w:eastAsia="Times New Roman"/>
          <w:color w:val="000000"/>
          <w:sz w:val="20"/>
          <w:szCs w:val="20"/>
        </w:rPr>
        <w:t>We expect our research and development expenses to increase substantially for the foreseeable future as we continue to invest in r</w:t>
      </w:r>
      <w:r>
        <w:rPr>
          <w:rFonts w:eastAsia="Times New Roman"/>
          <w:color w:val="000000"/>
          <w:sz w:val="20"/>
          <w:szCs w:val="20"/>
        </w:rPr>
        <w:t>esearch and development activities related to developing our product candidates and our preclinical programs and as they advance into later stages of development. The process of conducting the necessary clinical research to obtain regulatory approval is co</w:t>
      </w:r>
      <w:r>
        <w:rPr>
          <w:rFonts w:eastAsia="Times New Roman"/>
          <w:color w:val="000000"/>
          <w:sz w:val="20"/>
          <w:szCs w:val="20"/>
        </w:rPr>
        <w:t>stly and time-consuming, and the successful development of our product candidates is highly uncertain. As a result, we are unable to determine the duration and completion costs of our research and development projects or when and to what extent we will gen</w:t>
      </w:r>
      <w:r>
        <w:rPr>
          <w:rFonts w:eastAsia="Times New Roman"/>
          <w:color w:val="000000"/>
          <w:sz w:val="20"/>
          <w:szCs w:val="20"/>
        </w:rPr>
        <w:t>erate revenue from the commercialization and sale of any of our product candidates.</w:t>
      </w:r>
    </w:p>
    <w:p w:rsidR="00000000" w:rsidRDefault="00FD7D3C">
      <w:pPr>
        <w:ind w:firstLine="360"/>
        <w:divId w:val="817652565"/>
        <w:rPr>
          <w:rFonts w:eastAsia="Times New Roman"/>
        </w:rPr>
      </w:pPr>
      <w:r>
        <w:rPr>
          <w:rFonts w:eastAsia="Times New Roman"/>
          <w:i/>
          <w:iCs/>
          <w:color w:val="000000"/>
          <w:sz w:val="20"/>
          <w:szCs w:val="20"/>
        </w:rPr>
        <w:t>General and Administrative</w:t>
      </w:r>
    </w:p>
    <w:p w:rsidR="00000000" w:rsidRDefault="00FD7D3C">
      <w:pPr>
        <w:ind w:firstLine="1260"/>
        <w:divId w:val="1221091191"/>
        <w:rPr>
          <w:rFonts w:eastAsia="Times New Roman"/>
        </w:rPr>
      </w:pPr>
      <w:r>
        <w:rPr>
          <w:rFonts w:eastAsia="Times New Roman"/>
          <w:color w:val="000000"/>
          <w:sz w:val="20"/>
          <w:szCs w:val="20"/>
        </w:rPr>
        <w:t>Our general and administrative expenses consist primarily of salaries, benefits and stock-based compensation for our general and administrative p</w:t>
      </w:r>
      <w:r>
        <w:rPr>
          <w:rFonts w:eastAsia="Times New Roman"/>
          <w:color w:val="000000"/>
          <w:sz w:val="20"/>
          <w:szCs w:val="20"/>
        </w:rPr>
        <w:t xml:space="preserve">ersonnel, allocated facilities costs, insurance and other expenses for outside professional services, including legal, marketing, investor relations, human resource and accounting services. We expect general and administrative expenses to increase for the </w:t>
      </w:r>
      <w:r>
        <w:rPr>
          <w:rFonts w:eastAsia="Times New Roman"/>
          <w:color w:val="000000"/>
          <w:sz w:val="20"/>
          <w:szCs w:val="20"/>
        </w:rPr>
        <w:t>foreseeable future as does the size of our administrative function to support the growth of our business. In addition, if we obtain regulatory approval for any of our product candidates and do not enter into a third-party commercialization collaboration, w</w:t>
      </w:r>
      <w:r>
        <w:rPr>
          <w:rFonts w:eastAsia="Times New Roman"/>
          <w:color w:val="000000"/>
          <w:sz w:val="20"/>
          <w:szCs w:val="20"/>
        </w:rPr>
        <w:t>e expect to incur significant expenses related to building a sales and marketing team to support product sales, marketing and distribution activities.</w:t>
      </w:r>
    </w:p>
    <w:p w:rsidR="00000000" w:rsidRDefault="00FD7D3C">
      <w:pPr>
        <w:ind w:firstLine="360"/>
        <w:divId w:val="1995641049"/>
        <w:rPr>
          <w:rFonts w:eastAsia="Times New Roman"/>
        </w:rPr>
      </w:pPr>
      <w:r>
        <w:rPr>
          <w:rFonts w:eastAsia="Times New Roman"/>
          <w:i/>
          <w:iCs/>
          <w:color w:val="000000"/>
          <w:sz w:val="20"/>
          <w:szCs w:val="20"/>
        </w:rPr>
        <w:t>Interest and Other Income (Expense), net</w:t>
      </w:r>
    </w:p>
    <w:p w:rsidR="00000000" w:rsidRDefault="00FD7D3C">
      <w:pPr>
        <w:ind w:firstLine="1260"/>
        <w:divId w:val="1864391473"/>
        <w:rPr>
          <w:rFonts w:eastAsia="Times New Roman"/>
        </w:rPr>
      </w:pPr>
      <w:r>
        <w:rPr>
          <w:rFonts w:eastAsia="Times New Roman"/>
          <w:color w:val="000000"/>
          <w:sz w:val="20"/>
          <w:szCs w:val="20"/>
        </w:rPr>
        <w:t>Our interest and other income (expense), net consists of interes</w:t>
      </w:r>
      <w:r>
        <w:rPr>
          <w:rFonts w:eastAsia="Times New Roman"/>
          <w:color w:val="000000"/>
          <w:sz w:val="20"/>
          <w:szCs w:val="20"/>
        </w:rPr>
        <w:t>t income earned on cash and cash equivalents, money market funds and short-term investments, realized gains and losses on investments.</w:t>
      </w:r>
    </w:p>
    <w:p w:rsidR="00000000" w:rsidRDefault="00FD7D3C">
      <w:pPr>
        <w:ind w:firstLine="720"/>
        <w:divId w:val="480271794"/>
        <w:rPr>
          <w:rFonts w:eastAsia="Times New Roman"/>
        </w:rPr>
      </w:pPr>
    </w:p>
    <w:p w:rsidR="00000000" w:rsidRDefault="00FD7D3C">
      <w:pPr>
        <w:divId w:val="188954430"/>
        <w:rPr>
          <w:rFonts w:eastAsia="Times New Roman"/>
        </w:rPr>
      </w:pPr>
      <w:r>
        <w:rPr>
          <w:rFonts w:eastAsia="Times New Roman"/>
          <w:b/>
          <w:bCs/>
          <w:color w:val="000000"/>
          <w:sz w:val="20"/>
          <w:szCs w:val="20"/>
        </w:rPr>
        <w:t>Results of Operations</w:t>
      </w:r>
    </w:p>
    <w:p w:rsidR="00000000" w:rsidRDefault="00FD7D3C">
      <w:pPr>
        <w:ind w:firstLine="720"/>
        <w:divId w:val="1301181980"/>
        <w:rPr>
          <w:rFonts w:eastAsia="Times New Roman"/>
        </w:rPr>
      </w:pPr>
      <w:r>
        <w:rPr>
          <w:rFonts w:eastAsia="Times New Roman"/>
          <w:b/>
          <w:bCs/>
          <w:i/>
          <w:iCs/>
          <w:color w:val="000000"/>
          <w:sz w:val="20"/>
          <w:szCs w:val="20"/>
        </w:rPr>
        <w:t>Comparison of the Years Ended December 31, 2021 and 2020</w:t>
      </w:r>
    </w:p>
    <w:tbl>
      <w:tblPr>
        <w:tblW w:w="5000" w:type="pct"/>
        <w:tblCellMar>
          <w:top w:w="15" w:type="dxa"/>
          <w:left w:w="15" w:type="dxa"/>
          <w:bottom w:w="15" w:type="dxa"/>
          <w:right w:w="15" w:type="dxa"/>
        </w:tblCellMar>
        <w:tblLook w:val="04A0" w:firstRow="1" w:lastRow="0" w:firstColumn="1" w:lastColumn="0" w:noHBand="0" w:noVBand="1"/>
      </w:tblPr>
      <w:tblGrid>
        <w:gridCol w:w="39"/>
        <w:gridCol w:w="3565"/>
        <w:gridCol w:w="38"/>
        <w:gridCol w:w="120"/>
        <w:gridCol w:w="940"/>
        <w:gridCol w:w="36"/>
        <w:gridCol w:w="36"/>
        <w:gridCol w:w="36"/>
        <w:gridCol w:w="36"/>
        <w:gridCol w:w="120"/>
        <w:gridCol w:w="886"/>
        <w:gridCol w:w="36"/>
        <w:gridCol w:w="36"/>
        <w:gridCol w:w="36"/>
        <w:gridCol w:w="36"/>
        <w:gridCol w:w="120"/>
        <w:gridCol w:w="886"/>
        <w:gridCol w:w="36"/>
        <w:gridCol w:w="36"/>
        <w:gridCol w:w="36"/>
        <w:gridCol w:w="36"/>
        <w:gridCol w:w="43"/>
        <w:gridCol w:w="863"/>
        <w:gridCol w:w="254"/>
      </w:tblGrid>
      <w:tr w:rsidR="00000000">
        <w:trPr>
          <w:divId w:val="637540853"/>
        </w:trPr>
        <w:tc>
          <w:tcPr>
            <w:tcW w:w="50" w:type="pct"/>
            <w:vAlign w:val="center"/>
            <w:hideMark/>
          </w:tcPr>
          <w:p w:rsidR="00000000" w:rsidRDefault="00FD7D3C">
            <w:pPr>
              <w:ind w:firstLine="720"/>
              <w:rPr>
                <w:rFonts w:eastAsia="Times New Roman"/>
              </w:rPr>
            </w:pPr>
          </w:p>
        </w:tc>
        <w:tc>
          <w:tcPr>
            <w:tcW w:w="219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604"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27"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604"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27"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604"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27"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604"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r>
      <w:tr w:rsidR="00000000">
        <w:trPr>
          <w:divId w:val="637540853"/>
        </w:trPr>
        <w:tc>
          <w:tcPr>
            <w:tcW w:w="0" w:type="auto"/>
            <w:gridSpan w:val="3"/>
            <w:tcMar>
              <w:top w:w="30" w:type="dxa"/>
              <w:left w:w="20" w:type="dxa"/>
              <w:bottom w:w="30" w:type="dxa"/>
              <w:right w:w="20" w:type="dxa"/>
            </w:tcMar>
            <w:vAlign w:val="bottom"/>
            <w:hideMark/>
          </w:tcPr>
          <w:p w:rsidR="00000000" w:rsidRDefault="00FD7D3C">
            <w:pPr>
              <w:spacing w:after="100"/>
              <w:rPr>
                <w:rFonts w:eastAsia="Times New Roman"/>
              </w:rPr>
            </w:pPr>
            <w:r>
              <w:rPr>
                <w:rFonts w:eastAsia="Times New Roman"/>
                <w:b/>
                <w:bCs/>
                <w:color w:val="000000"/>
                <w:sz w:val="16"/>
                <w:szCs w:val="16"/>
              </w:rPr>
              <w:t>(In thousands, except percentages)</w:t>
            </w:r>
          </w:p>
        </w:tc>
        <w:tc>
          <w:tcPr>
            <w:tcW w:w="0" w:type="auto"/>
            <w:gridSpan w:val="9"/>
            <w:tcMar>
              <w:top w:w="30" w:type="dxa"/>
              <w:left w:w="20" w:type="dxa"/>
              <w:bottom w:w="30" w:type="dxa"/>
              <w:right w:w="20" w:type="dxa"/>
            </w:tcMar>
            <w:vAlign w:val="center"/>
            <w:hideMark/>
          </w:tcPr>
          <w:p w:rsidR="00000000" w:rsidRDefault="00FD7D3C">
            <w:pPr>
              <w:spacing w:after="100"/>
              <w:jc w:val="center"/>
              <w:rPr>
                <w:rFonts w:eastAsia="Times New Roman"/>
              </w:rPr>
            </w:pPr>
            <w:r>
              <w:rPr>
                <w:rFonts w:eastAsia="Times New Roman"/>
                <w:b/>
                <w:bCs/>
                <w:color w:val="000000"/>
                <w:sz w:val="16"/>
                <w:szCs w:val="16"/>
              </w:rPr>
              <w:t>Year Ended December 31,</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000000">
        <w:trPr>
          <w:divId w:val="637540853"/>
        </w:trPr>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 Change</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 Change</w:t>
            </w:r>
          </w:p>
        </w:tc>
      </w:tr>
      <w:tr w:rsidR="00000000">
        <w:trPr>
          <w:divId w:val="637540853"/>
        </w:trPr>
        <w:tc>
          <w:tcPr>
            <w:tcW w:w="0" w:type="auto"/>
            <w:gridSpan w:val="3"/>
            <w:shd w:val="clear" w:color="auto" w:fill="CFF0FC"/>
            <w:tcMar>
              <w:top w:w="30" w:type="dxa"/>
              <w:left w:w="20" w:type="dxa"/>
              <w:bottom w:w="30" w:type="dxa"/>
              <w:right w:w="20" w:type="dxa"/>
            </w:tcMar>
            <w:vAlign w:val="bottom"/>
            <w:hideMark/>
          </w:tcPr>
          <w:p w:rsidR="00000000" w:rsidRDefault="00FD7D3C">
            <w:pPr>
              <w:spacing w:after="100"/>
              <w:rPr>
                <w:rFonts w:eastAsia="Times New Roman"/>
              </w:rPr>
            </w:pPr>
            <w:r>
              <w:rPr>
                <w:rFonts w:eastAsia="Times New Roman"/>
                <w:color w:val="000000"/>
                <w:sz w:val="20"/>
                <w:szCs w:val="20"/>
              </w:rPr>
              <w:t>Revenue</w:t>
            </w: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7,572 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41,817 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(34,245)</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Borders>
              <w:top w:val="single" w:sz="8" w:space="0" w:color="000000"/>
            </w:tcBorders>
            <w:shd w:val="clear" w:color="auto" w:fill="CFF0FC"/>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(81.9 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FD7D3C">
            <w:pPr>
              <w:spacing w:after="100"/>
              <w:rPr>
                <w:rFonts w:eastAsia="Times New Roman"/>
              </w:rPr>
            </w:pPr>
            <w:r>
              <w:rPr>
                <w:rFonts w:eastAsia="Times New Roman"/>
                <w:color w:val="000000"/>
                <w:sz w:val="20"/>
                <w:szCs w:val="20"/>
              </w:rPr>
              <w:t>%)</w:t>
            </w:r>
          </w:p>
        </w:tc>
      </w:tr>
      <w:tr w:rsidR="00000000">
        <w:trPr>
          <w:divId w:val="637540853"/>
        </w:trPr>
        <w:tc>
          <w:tcPr>
            <w:tcW w:w="0" w:type="auto"/>
            <w:gridSpan w:val="3"/>
            <w:tcMar>
              <w:top w:w="30" w:type="dxa"/>
              <w:left w:w="20" w:type="dxa"/>
              <w:bottom w:w="30" w:type="dxa"/>
              <w:right w:w="20" w:type="dxa"/>
            </w:tcMar>
            <w:vAlign w:val="bottom"/>
            <w:hideMark/>
          </w:tcPr>
          <w:p w:rsidR="00000000" w:rsidRDefault="00FD7D3C">
            <w:pPr>
              <w:spacing w:after="100"/>
              <w:rPr>
                <w:rFonts w:eastAsia="Times New Roman"/>
              </w:rPr>
            </w:pPr>
            <w:r>
              <w:rPr>
                <w:rFonts w:eastAsia="Times New Roman"/>
                <w:color w:val="000000"/>
                <w:sz w:val="20"/>
                <w:szCs w:val="20"/>
              </w:rPr>
              <w:t>Operating expenses:</w:t>
            </w: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000000">
        <w:trPr>
          <w:divId w:val="637540853"/>
        </w:trPr>
        <w:tc>
          <w:tcPr>
            <w:tcW w:w="0" w:type="auto"/>
            <w:gridSpan w:val="3"/>
            <w:shd w:val="clear" w:color="auto" w:fill="CFF0FC"/>
            <w:tcMar>
              <w:top w:w="30" w:type="dxa"/>
              <w:left w:w="380" w:type="dxa"/>
              <w:bottom w:w="30" w:type="dxa"/>
              <w:right w:w="20" w:type="dxa"/>
            </w:tcMar>
            <w:vAlign w:val="bottom"/>
            <w:hideMark/>
          </w:tcPr>
          <w:p w:rsidR="00000000" w:rsidRDefault="00FD7D3C">
            <w:pPr>
              <w:spacing w:after="100"/>
              <w:rPr>
                <w:rFonts w:eastAsia="Times New Roman"/>
              </w:rPr>
            </w:pPr>
            <w:r>
              <w:rPr>
                <w:rFonts w:eastAsia="Times New Roman"/>
                <w:color w:val="000000"/>
                <w:sz w:val="20"/>
                <w:szCs w:val="20"/>
              </w:rPr>
              <w:t>Research and development</w:t>
            </w:r>
          </w:p>
        </w:tc>
        <w:tc>
          <w:tcPr>
            <w:tcW w:w="0" w:type="auto"/>
            <w:gridSpan w:val="2"/>
            <w:shd w:val="clear" w:color="auto" w:fill="CFF0FC"/>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(77,549)</w:t>
            </w:r>
          </w:p>
        </w:tc>
        <w:tc>
          <w:tcPr>
            <w:tcW w:w="0" w:type="auto"/>
            <w:shd w:val="clear" w:color="auto" w:fill="CFF0FC"/>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FF0FC"/>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(66,193)</w:t>
            </w:r>
          </w:p>
        </w:tc>
        <w:tc>
          <w:tcPr>
            <w:tcW w:w="0" w:type="auto"/>
            <w:shd w:val="clear" w:color="auto" w:fill="CFF0FC"/>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FF0FC"/>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(11,356)</w:t>
            </w:r>
          </w:p>
        </w:tc>
        <w:tc>
          <w:tcPr>
            <w:tcW w:w="0" w:type="auto"/>
            <w:shd w:val="clear" w:color="auto" w:fill="CFF0FC"/>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FF0FC"/>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17.2 </w:t>
            </w:r>
          </w:p>
        </w:tc>
        <w:tc>
          <w:tcPr>
            <w:tcW w:w="0" w:type="auto"/>
            <w:shd w:val="clear" w:color="auto" w:fill="CFF0FC"/>
            <w:tcMar>
              <w:top w:w="30" w:type="dxa"/>
              <w:left w:w="0" w:type="dxa"/>
              <w:bottom w:w="30" w:type="dxa"/>
              <w:right w:w="20" w:type="dxa"/>
            </w:tcMar>
            <w:vAlign w:val="bottom"/>
            <w:hideMark/>
          </w:tcPr>
          <w:p w:rsidR="00000000" w:rsidRDefault="00FD7D3C">
            <w:pPr>
              <w:spacing w:after="100"/>
              <w:jc w:val="right"/>
              <w:rPr>
                <w:rFonts w:eastAsia="Times New Roman"/>
              </w:rPr>
            </w:pPr>
            <w:r>
              <w:rPr>
                <w:rFonts w:eastAsia="Times New Roman"/>
                <w:color w:val="000000"/>
                <w:sz w:val="20"/>
                <w:szCs w:val="20"/>
              </w:rPr>
              <w:t>%</w:t>
            </w:r>
          </w:p>
        </w:tc>
      </w:tr>
      <w:tr w:rsidR="00000000">
        <w:trPr>
          <w:divId w:val="637540853"/>
        </w:trPr>
        <w:tc>
          <w:tcPr>
            <w:tcW w:w="0" w:type="auto"/>
            <w:gridSpan w:val="3"/>
            <w:tcMar>
              <w:top w:w="30" w:type="dxa"/>
              <w:left w:w="380" w:type="dxa"/>
              <w:bottom w:w="30" w:type="dxa"/>
              <w:right w:w="20" w:type="dxa"/>
            </w:tcMar>
            <w:vAlign w:val="bottom"/>
            <w:hideMark/>
          </w:tcPr>
          <w:p w:rsidR="00000000" w:rsidRDefault="00FD7D3C">
            <w:pPr>
              <w:spacing w:after="100"/>
              <w:rPr>
                <w:rFonts w:eastAsia="Times New Roman"/>
              </w:rPr>
            </w:pPr>
            <w:r>
              <w:rPr>
                <w:rFonts w:eastAsia="Times New Roman"/>
                <w:color w:val="000000"/>
                <w:sz w:val="20"/>
                <w:szCs w:val="20"/>
              </w:rPr>
              <w:t>General and administrative</w:t>
            </w:r>
          </w:p>
        </w:tc>
        <w:tc>
          <w:tcPr>
            <w:tcW w:w="0" w:type="auto"/>
            <w:gridSpan w:val="2"/>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(27,558)</w:t>
            </w:r>
          </w:p>
        </w:tc>
        <w:tc>
          <w:tcPr>
            <w:tcW w:w="0" w:type="auto"/>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(17,269)</w:t>
            </w:r>
          </w:p>
        </w:tc>
        <w:tc>
          <w:tcPr>
            <w:tcW w:w="0" w:type="auto"/>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(10,289)</w:t>
            </w:r>
          </w:p>
        </w:tc>
        <w:tc>
          <w:tcPr>
            <w:tcW w:w="0" w:type="auto"/>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59.6 </w:t>
            </w:r>
          </w:p>
        </w:tc>
        <w:tc>
          <w:tcPr>
            <w:tcW w:w="0" w:type="auto"/>
            <w:tcMar>
              <w:top w:w="30" w:type="dxa"/>
              <w:left w:w="0" w:type="dxa"/>
              <w:bottom w:w="30" w:type="dxa"/>
              <w:right w:w="20" w:type="dxa"/>
            </w:tcMar>
            <w:vAlign w:val="bottom"/>
            <w:hideMark/>
          </w:tcPr>
          <w:p w:rsidR="00000000" w:rsidRDefault="00FD7D3C">
            <w:pPr>
              <w:spacing w:after="100"/>
              <w:jc w:val="right"/>
              <w:rPr>
                <w:rFonts w:eastAsia="Times New Roman"/>
              </w:rPr>
            </w:pPr>
            <w:r>
              <w:rPr>
                <w:rFonts w:eastAsia="Times New Roman"/>
                <w:color w:val="000000"/>
                <w:sz w:val="20"/>
                <w:szCs w:val="20"/>
              </w:rPr>
              <w:t>%</w:t>
            </w:r>
          </w:p>
        </w:tc>
      </w:tr>
      <w:tr w:rsidR="00000000">
        <w:trPr>
          <w:divId w:val="637540853"/>
        </w:trPr>
        <w:tc>
          <w:tcPr>
            <w:tcW w:w="0" w:type="auto"/>
            <w:gridSpan w:val="3"/>
            <w:shd w:val="clear" w:color="auto" w:fill="CFF0FC"/>
            <w:tcMar>
              <w:top w:w="30" w:type="dxa"/>
              <w:left w:w="380" w:type="dxa"/>
              <w:bottom w:w="30" w:type="dxa"/>
              <w:right w:w="20" w:type="dxa"/>
            </w:tcMar>
            <w:vAlign w:val="bottom"/>
            <w:hideMark/>
          </w:tcPr>
          <w:p w:rsidR="00000000" w:rsidRDefault="00FD7D3C">
            <w:pPr>
              <w:spacing w:after="100"/>
              <w:rPr>
                <w:rFonts w:eastAsia="Times New Roman"/>
              </w:rPr>
            </w:pPr>
            <w:r>
              <w:rPr>
                <w:rFonts w:eastAsia="Times New Roman"/>
                <w:color w:val="000000"/>
                <w:sz w:val="20"/>
                <w:szCs w:val="20"/>
              </w:rPr>
              <w:t>Total operating expenses</w:t>
            </w:r>
          </w:p>
        </w:tc>
        <w:tc>
          <w:tcPr>
            <w:tcW w:w="0" w:type="auto"/>
            <w:gridSpan w:val="2"/>
            <w:tcBorders>
              <w:top w:val="single" w:sz="8" w:space="0" w:color="000000"/>
            </w:tcBorders>
            <w:shd w:val="clear" w:color="auto" w:fill="CFF0FC"/>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(105,107)</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Borders>
              <w:top w:val="single" w:sz="8" w:space="0" w:color="000000"/>
            </w:tcBorders>
            <w:shd w:val="clear" w:color="auto" w:fill="CFF0FC"/>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(83,462)</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Borders>
              <w:top w:val="single" w:sz="8" w:space="0" w:color="000000"/>
            </w:tcBorders>
            <w:shd w:val="clear" w:color="auto" w:fill="CFF0FC"/>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(21,645)</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FF0FC"/>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25.9 </w:t>
            </w:r>
          </w:p>
        </w:tc>
        <w:tc>
          <w:tcPr>
            <w:tcW w:w="0" w:type="auto"/>
            <w:shd w:val="clear" w:color="auto" w:fill="CFF0FC"/>
            <w:tcMar>
              <w:top w:w="30" w:type="dxa"/>
              <w:left w:w="0" w:type="dxa"/>
              <w:bottom w:w="30" w:type="dxa"/>
              <w:right w:w="20" w:type="dxa"/>
            </w:tcMar>
            <w:vAlign w:val="bottom"/>
            <w:hideMark/>
          </w:tcPr>
          <w:p w:rsidR="00000000" w:rsidRDefault="00FD7D3C">
            <w:pPr>
              <w:spacing w:after="100"/>
              <w:jc w:val="right"/>
              <w:rPr>
                <w:rFonts w:eastAsia="Times New Roman"/>
              </w:rPr>
            </w:pPr>
            <w:r>
              <w:rPr>
                <w:rFonts w:eastAsia="Times New Roman"/>
                <w:color w:val="000000"/>
                <w:sz w:val="20"/>
                <w:szCs w:val="20"/>
              </w:rPr>
              <w:t>%</w:t>
            </w:r>
          </w:p>
        </w:tc>
      </w:tr>
      <w:tr w:rsidR="00000000">
        <w:trPr>
          <w:divId w:val="637540853"/>
        </w:trPr>
        <w:tc>
          <w:tcPr>
            <w:tcW w:w="0" w:type="auto"/>
            <w:gridSpan w:val="3"/>
            <w:tcMar>
              <w:top w:w="30" w:type="dxa"/>
              <w:left w:w="380" w:type="dxa"/>
              <w:bottom w:w="30" w:type="dxa"/>
              <w:right w:w="20" w:type="dxa"/>
            </w:tcMar>
            <w:vAlign w:val="bottom"/>
            <w:hideMark/>
          </w:tcPr>
          <w:p w:rsidR="00000000" w:rsidRDefault="00FD7D3C">
            <w:pPr>
              <w:spacing w:after="100"/>
              <w:rPr>
                <w:rFonts w:eastAsia="Times New Roman"/>
              </w:rPr>
            </w:pPr>
            <w:r>
              <w:rPr>
                <w:rFonts w:eastAsia="Times New Roman"/>
                <w:color w:val="000000"/>
                <w:sz w:val="20"/>
                <w:szCs w:val="20"/>
              </w:rPr>
              <w:t>Loss from operations</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(97,535)</w:t>
            </w:r>
          </w:p>
        </w:tc>
        <w:tc>
          <w:tcPr>
            <w:tcW w:w="0" w:type="auto"/>
            <w:tcBorders>
              <w:top w:val="single" w:sz="8" w:space="0" w:color="000000"/>
            </w:tcBorders>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(41,645)</w:t>
            </w:r>
          </w:p>
        </w:tc>
        <w:tc>
          <w:tcPr>
            <w:tcW w:w="0" w:type="auto"/>
            <w:tcBorders>
              <w:top w:val="single" w:sz="8" w:space="0" w:color="000000"/>
            </w:tcBorders>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(55,890)</w:t>
            </w:r>
          </w:p>
        </w:tc>
        <w:tc>
          <w:tcPr>
            <w:tcW w:w="0" w:type="auto"/>
            <w:tcBorders>
              <w:top w:val="single" w:sz="8" w:space="0" w:color="000000"/>
            </w:tcBorders>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FD7D3C">
            <w:pPr>
              <w:spacing w:after="100"/>
              <w:jc w:val="right"/>
              <w:rPr>
                <w:rFonts w:eastAsia="Times New Roman"/>
              </w:rPr>
            </w:pPr>
            <w:r>
              <w:rPr>
                <w:rFonts w:eastAsia="Times New Roman"/>
                <w:color w:val="000000"/>
                <w:sz w:val="20"/>
                <w:szCs w:val="20"/>
              </w:rPr>
              <w:t>NM</w:t>
            </w:r>
          </w:p>
        </w:tc>
      </w:tr>
      <w:tr w:rsidR="00000000">
        <w:trPr>
          <w:divId w:val="637540853"/>
        </w:trPr>
        <w:tc>
          <w:tcPr>
            <w:tcW w:w="0" w:type="auto"/>
            <w:gridSpan w:val="3"/>
            <w:shd w:val="clear" w:color="auto" w:fill="CFF0FC"/>
            <w:tcMar>
              <w:top w:w="30" w:type="dxa"/>
              <w:left w:w="20" w:type="dxa"/>
              <w:bottom w:w="30" w:type="dxa"/>
              <w:right w:w="20" w:type="dxa"/>
            </w:tcMar>
            <w:vAlign w:val="bottom"/>
            <w:hideMark/>
          </w:tcPr>
          <w:p w:rsidR="00000000" w:rsidRDefault="00FD7D3C">
            <w:pPr>
              <w:spacing w:after="100"/>
              <w:rPr>
                <w:rFonts w:eastAsia="Times New Roman"/>
              </w:rPr>
            </w:pPr>
            <w:r>
              <w:rPr>
                <w:rFonts w:eastAsia="Times New Roman"/>
                <w:color w:val="000000"/>
                <w:sz w:val="20"/>
                <w:szCs w:val="20"/>
              </w:rPr>
              <w:t>Interest and other income (expense), net</w:t>
            </w:r>
          </w:p>
        </w:tc>
        <w:tc>
          <w:tcPr>
            <w:tcW w:w="0" w:type="auto"/>
            <w:gridSpan w:val="2"/>
            <w:shd w:val="clear" w:color="auto" w:fill="CFF0FC"/>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272 </w:t>
            </w:r>
          </w:p>
        </w:tc>
        <w:tc>
          <w:tcPr>
            <w:tcW w:w="0" w:type="auto"/>
            <w:shd w:val="clear" w:color="auto" w:fill="CFF0FC"/>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FF0FC"/>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112 </w:t>
            </w:r>
          </w:p>
        </w:tc>
        <w:tc>
          <w:tcPr>
            <w:tcW w:w="0" w:type="auto"/>
            <w:shd w:val="clear" w:color="auto" w:fill="CFF0FC"/>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FF0FC"/>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160 </w:t>
            </w:r>
          </w:p>
        </w:tc>
        <w:tc>
          <w:tcPr>
            <w:tcW w:w="0" w:type="auto"/>
            <w:shd w:val="clear" w:color="auto" w:fill="CFF0FC"/>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FF0FC"/>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142.9 </w:t>
            </w:r>
          </w:p>
        </w:tc>
        <w:tc>
          <w:tcPr>
            <w:tcW w:w="0" w:type="auto"/>
            <w:shd w:val="clear" w:color="auto" w:fill="CFF0FC"/>
            <w:tcMar>
              <w:top w:w="30" w:type="dxa"/>
              <w:left w:w="0" w:type="dxa"/>
              <w:bottom w:w="30" w:type="dxa"/>
              <w:right w:w="20" w:type="dxa"/>
            </w:tcMar>
            <w:vAlign w:val="bottom"/>
            <w:hideMark/>
          </w:tcPr>
          <w:p w:rsidR="00000000" w:rsidRDefault="00FD7D3C">
            <w:pPr>
              <w:spacing w:after="100"/>
              <w:rPr>
                <w:rFonts w:eastAsia="Times New Roman"/>
              </w:rPr>
            </w:pPr>
            <w:r>
              <w:rPr>
                <w:rFonts w:eastAsia="Times New Roman"/>
                <w:color w:val="000000"/>
                <w:sz w:val="20"/>
                <w:szCs w:val="20"/>
              </w:rPr>
              <w:t>%</w:t>
            </w:r>
          </w:p>
        </w:tc>
      </w:tr>
      <w:tr w:rsidR="00000000">
        <w:trPr>
          <w:divId w:val="637540853"/>
        </w:trPr>
        <w:tc>
          <w:tcPr>
            <w:tcW w:w="0" w:type="auto"/>
            <w:gridSpan w:val="3"/>
            <w:shd w:val="clear" w:color="auto" w:fill="FFFFFF"/>
            <w:tcMar>
              <w:top w:w="30" w:type="dxa"/>
              <w:left w:w="380" w:type="dxa"/>
              <w:bottom w:w="30" w:type="dxa"/>
              <w:right w:w="20" w:type="dxa"/>
            </w:tcMar>
            <w:vAlign w:val="bottom"/>
            <w:hideMark/>
          </w:tcPr>
          <w:p w:rsidR="00000000" w:rsidRDefault="00FD7D3C">
            <w:pPr>
              <w:spacing w:after="100"/>
              <w:rPr>
                <w:rFonts w:eastAsia="Times New Roman"/>
              </w:rPr>
            </w:pPr>
            <w:r>
              <w:rPr>
                <w:rFonts w:eastAsia="Times New Roman"/>
                <w:color w:val="000000"/>
                <w:sz w:val="20"/>
                <w:szCs w:val="20"/>
              </w:rPr>
              <w:t>Net loss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(97,263)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(41,533)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(55,730)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134.2 </w:t>
            </w:r>
          </w:p>
        </w:tc>
        <w:tc>
          <w:tcPr>
            <w:tcW w:w="0" w:type="auto"/>
            <w:tcMar>
              <w:top w:w="30" w:type="dxa"/>
              <w:left w:w="0" w:type="dxa"/>
              <w:bottom w:w="30" w:type="dxa"/>
              <w:right w:w="20" w:type="dxa"/>
            </w:tcMar>
            <w:vAlign w:val="bottom"/>
            <w:hideMark/>
          </w:tcPr>
          <w:p w:rsidR="00000000" w:rsidRDefault="00FD7D3C">
            <w:pPr>
              <w:spacing w:after="100"/>
              <w:jc w:val="right"/>
              <w:rPr>
                <w:rFonts w:eastAsia="Times New Roman"/>
              </w:rPr>
            </w:pPr>
            <w:r>
              <w:rPr>
                <w:rFonts w:eastAsia="Times New Roman"/>
                <w:color w:val="000000"/>
                <w:sz w:val="20"/>
                <w:szCs w:val="20"/>
              </w:rPr>
              <w:t>%</w:t>
            </w:r>
          </w:p>
        </w:tc>
      </w:tr>
    </w:tbl>
    <w:p w:rsidR="00000000" w:rsidRDefault="00FD7D3C">
      <w:pPr>
        <w:divId w:val="1827282252"/>
        <w:rPr>
          <w:rFonts w:eastAsia="Times New Roman"/>
        </w:rPr>
      </w:pPr>
      <w:r>
        <w:rPr>
          <w:rFonts w:eastAsia="Times New Roman"/>
          <w:color w:val="000000"/>
          <w:sz w:val="20"/>
          <w:szCs w:val="20"/>
        </w:rPr>
        <w:t>_________________________</w:t>
      </w:r>
    </w:p>
    <w:p w:rsidR="00000000" w:rsidRDefault="00FD7D3C">
      <w:pPr>
        <w:divId w:val="1857424562"/>
        <w:rPr>
          <w:rFonts w:eastAsia="Times New Roman"/>
        </w:rPr>
      </w:pPr>
      <w:r>
        <w:rPr>
          <w:rFonts w:eastAsia="Times New Roman"/>
          <w:color w:val="000000"/>
          <w:sz w:val="20"/>
          <w:szCs w:val="20"/>
        </w:rPr>
        <w:t>NM:  Results not meaningful</w:t>
      </w:r>
    </w:p>
    <w:p w:rsidR="00000000" w:rsidRDefault="00FD7D3C">
      <w:pPr>
        <w:divId w:val="526259599"/>
        <w:rPr>
          <w:rFonts w:eastAsia="Times New Roman"/>
        </w:rPr>
      </w:pPr>
      <w:r>
        <w:rPr>
          <w:rFonts w:eastAsia="Times New Roman"/>
          <w:i/>
          <w:iCs/>
          <w:color w:val="000000"/>
          <w:sz w:val="20"/>
          <w:szCs w:val="20"/>
        </w:rPr>
        <w:t xml:space="preserve">Revenue </w:t>
      </w:r>
    </w:p>
    <w:p w:rsidR="00000000" w:rsidRDefault="00FD7D3C">
      <w:pPr>
        <w:ind w:firstLine="720"/>
        <w:divId w:val="476067683"/>
        <w:rPr>
          <w:rFonts w:eastAsia="Times New Roman"/>
        </w:rPr>
      </w:pPr>
      <w:r>
        <w:rPr>
          <w:rFonts w:eastAsia="Times New Roman"/>
          <w:color w:val="000000"/>
          <w:sz w:val="20"/>
          <w:szCs w:val="20"/>
        </w:rPr>
        <w:t>Revenue was $7.6 million and $41.8 million for the years ended</w:t>
      </w:r>
      <w:r>
        <w:rPr>
          <w:rFonts w:eastAsia="Times New Roman"/>
          <w:color w:val="000000"/>
          <w:sz w:val="20"/>
          <w:szCs w:val="20"/>
        </w:rPr>
        <w:t xml:space="preserve"> December 31, 2021 and 2020, respectively. The decrease of $34.2 million was primarily due to the recognition of a $25.0 million milestone payment in the first quarter of 2020 due to the achievement of first patient dosing in the Phase 1 trial of PLN-1474 </w:t>
      </w:r>
      <w:r>
        <w:rPr>
          <w:rFonts w:eastAsia="Times New Roman"/>
          <w:color w:val="000000"/>
          <w:sz w:val="20"/>
          <w:szCs w:val="20"/>
        </w:rPr>
        <w:t xml:space="preserve">as well as decreased research and development services revenues associated with PLN-1474, which were substantially complete in the first quarter of 2021. </w:t>
      </w:r>
    </w:p>
    <w:p w:rsidR="00000000" w:rsidRDefault="00FD7D3C">
      <w:pPr>
        <w:ind w:firstLine="720"/>
        <w:divId w:val="1508984819"/>
        <w:rPr>
          <w:rFonts w:eastAsia="Times New Roman"/>
        </w:rPr>
      </w:pPr>
      <w:r>
        <w:rPr>
          <w:rFonts w:eastAsia="Times New Roman"/>
          <w:color w:val="000000"/>
          <w:sz w:val="20"/>
          <w:szCs w:val="20"/>
        </w:rPr>
        <w:t>We expect our revenue to be derived from the Novartis Agreement for the foreseeable future and may fl</w:t>
      </w:r>
      <w:r>
        <w:rPr>
          <w:rFonts w:eastAsia="Times New Roman"/>
          <w:color w:val="000000"/>
          <w:sz w:val="20"/>
          <w:szCs w:val="20"/>
        </w:rPr>
        <w:t>uctuate significantly based on the amount of research and development services required to further the development of PLN-1474 and integrin research targets as well as the potential achievement of developmental, regulatory and commercial milestones identif</w:t>
      </w:r>
      <w:r>
        <w:rPr>
          <w:rFonts w:eastAsia="Times New Roman"/>
          <w:color w:val="000000"/>
          <w:sz w:val="20"/>
          <w:szCs w:val="20"/>
        </w:rPr>
        <w:t>ied in the Novartis Agreement.</w:t>
      </w:r>
    </w:p>
    <w:p w:rsidR="00000000" w:rsidRDefault="00FD7D3C">
      <w:pPr>
        <w:jc w:val="center"/>
        <w:divId w:val="1455825401"/>
        <w:rPr>
          <w:rFonts w:eastAsia="Times New Roman"/>
        </w:rPr>
      </w:pPr>
      <w:r>
        <w:rPr>
          <w:rFonts w:eastAsia="Times New Roman"/>
          <w:color w:val="000000"/>
          <w:sz w:val="20"/>
          <w:szCs w:val="20"/>
        </w:rPr>
        <w:t>98</w:t>
      </w:r>
    </w:p>
    <w:p w:rsidR="00000000" w:rsidRDefault="00FD7D3C">
      <w:pPr>
        <w:rPr>
          <w:rFonts w:eastAsia="Times New Roman"/>
        </w:rPr>
      </w:pPr>
      <w:r>
        <w:rPr>
          <w:rFonts w:eastAsia="Times New Roman"/>
        </w:rPr>
        <w:pict>
          <v:rect id="_x0000_i1151" style="width:0;height:1.5pt" o:hralign="center" o:hrstd="t" o:hr="t" fillcolor="#a0a0a0" stroked="f"/>
        </w:pict>
      </w:r>
    </w:p>
    <w:p w:rsidR="00000000" w:rsidRDefault="00FD7D3C">
      <w:pPr>
        <w:divId w:val="691296281"/>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divId w:val="571896057"/>
        <w:rPr>
          <w:rFonts w:eastAsia="Times New Roman"/>
        </w:rPr>
      </w:pPr>
      <w:r>
        <w:rPr>
          <w:rFonts w:eastAsia="Times New Roman"/>
          <w:i/>
          <w:iCs/>
          <w:color w:val="000000"/>
          <w:sz w:val="20"/>
          <w:szCs w:val="20"/>
        </w:rPr>
        <w:t>Research and Development Expenses</w:t>
      </w:r>
    </w:p>
    <w:p w:rsidR="00000000" w:rsidRDefault="00FD7D3C">
      <w:pPr>
        <w:ind w:firstLine="720"/>
        <w:divId w:val="843589430"/>
        <w:rPr>
          <w:rFonts w:eastAsia="Times New Roman"/>
        </w:rPr>
      </w:pPr>
      <w:r>
        <w:rPr>
          <w:rFonts w:eastAsia="Times New Roman"/>
          <w:color w:val="000000"/>
          <w:sz w:val="20"/>
          <w:szCs w:val="20"/>
        </w:rPr>
        <w:t>Research and development expenses was $77.5 million and $66.2 million for th</w:t>
      </w:r>
      <w:r>
        <w:rPr>
          <w:rFonts w:eastAsia="Times New Roman"/>
          <w:color w:val="000000"/>
          <w:sz w:val="20"/>
          <w:szCs w:val="20"/>
        </w:rPr>
        <w:t>e years ended December 31, 2021 and 2020, respectively. The increase of $11.4 million was primarily due to:</w:t>
      </w:r>
    </w:p>
    <w:p w:rsidR="00000000" w:rsidRDefault="00FD7D3C">
      <w:pPr>
        <w:ind w:hanging="1260"/>
        <w:divId w:val="1317732630"/>
        <w:rPr>
          <w:rFonts w:eastAsia="Times New Roman"/>
        </w:rPr>
      </w:pPr>
      <w:r>
        <w:rPr>
          <w:rFonts w:eastAsia="Times New Roman"/>
          <w:color w:val="000000"/>
          <w:sz w:val="20"/>
          <w:szCs w:val="20"/>
        </w:rPr>
        <w:t xml:space="preserve">•$5.4 million increase in employee-related costs owing to the increase in our research and development workforce and stock-based compensation; </w:t>
      </w:r>
    </w:p>
    <w:p w:rsidR="00000000" w:rsidRDefault="00FD7D3C">
      <w:pPr>
        <w:ind w:hanging="1260"/>
        <w:divId w:val="570774148"/>
        <w:rPr>
          <w:rFonts w:eastAsia="Times New Roman"/>
        </w:rPr>
      </w:pPr>
      <w:r>
        <w:rPr>
          <w:rFonts w:eastAsia="Times New Roman"/>
          <w:color w:val="000000"/>
          <w:sz w:val="20"/>
          <w:szCs w:val="20"/>
        </w:rPr>
        <w:t>•$1.</w:t>
      </w:r>
      <w:r>
        <w:rPr>
          <w:rFonts w:eastAsia="Times New Roman"/>
          <w:color w:val="000000"/>
          <w:sz w:val="20"/>
          <w:szCs w:val="20"/>
        </w:rPr>
        <w:t xml:space="preserve">0 million increase in outside and consulting services for preclinical studies and research and development activities by third party contract organizations; </w:t>
      </w:r>
    </w:p>
    <w:p w:rsidR="00000000" w:rsidRDefault="00FD7D3C">
      <w:pPr>
        <w:ind w:hanging="1260"/>
        <w:divId w:val="1123814639"/>
        <w:rPr>
          <w:rFonts w:eastAsia="Times New Roman"/>
        </w:rPr>
      </w:pPr>
      <w:r>
        <w:rPr>
          <w:rFonts w:eastAsia="Times New Roman"/>
          <w:color w:val="000000"/>
          <w:sz w:val="20"/>
          <w:szCs w:val="20"/>
        </w:rPr>
        <w:t>•$5.4 million increase in clinical trial expenses largely due to ramping costs in our Phase 2 tria</w:t>
      </w:r>
      <w:r>
        <w:rPr>
          <w:rFonts w:eastAsia="Times New Roman"/>
          <w:color w:val="000000"/>
          <w:sz w:val="20"/>
          <w:szCs w:val="20"/>
        </w:rPr>
        <w:t>ls of PLN-74809 and the commencement of several Phase 1 trials, which was partially offset by a decrease in the Phase 1 clinical trial costs for PLN-1474 which was substantially completed in the first quarter of 2021;</w:t>
      </w:r>
    </w:p>
    <w:p w:rsidR="00000000" w:rsidRDefault="00FD7D3C">
      <w:pPr>
        <w:ind w:hanging="1260"/>
        <w:divId w:val="1218664767"/>
        <w:rPr>
          <w:rFonts w:eastAsia="Times New Roman"/>
        </w:rPr>
      </w:pPr>
      <w:r>
        <w:rPr>
          <w:rFonts w:eastAsia="Times New Roman"/>
          <w:color w:val="000000"/>
          <w:sz w:val="20"/>
          <w:szCs w:val="20"/>
        </w:rPr>
        <w:t>•$1.2 million increase in depreciation</w:t>
      </w:r>
      <w:r>
        <w:rPr>
          <w:rFonts w:eastAsia="Times New Roman"/>
          <w:color w:val="000000"/>
          <w:sz w:val="20"/>
          <w:szCs w:val="20"/>
        </w:rPr>
        <w:t xml:space="preserve"> of lab equipment and costs of equipment and supplies; </w:t>
      </w:r>
    </w:p>
    <w:p w:rsidR="00000000" w:rsidRDefault="00FD7D3C">
      <w:pPr>
        <w:ind w:hanging="1260"/>
        <w:divId w:val="1433278512"/>
        <w:rPr>
          <w:rFonts w:eastAsia="Times New Roman"/>
        </w:rPr>
      </w:pPr>
      <w:r>
        <w:rPr>
          <w:rFonts w:eastAsia="Times New Roman"/>
          <w:color w:val="000000"/>
          <w:sz w:val="20"/>
          <w:szCs w:val="20"/>
        </w:rPr>
        <w:t>•$2.4 million decrease in technology and intellectual property licenses resulting from the payment to the Regents of the University of California in connection with our IPO in the second quarter of 20</w:t>
      </w:r>
      <w:r>
        <w:rPr>
          <w:rFonts w:eastAsia="Times New Roman"/>
          <w:color w:val="000000"/>
          <w:sz w:val="20"/>
          <w:szCs w:val="20"/>
        </w:rPr>
        <w:t xml:space="preserve">20; and </w:t>
      </w:r>
    </w:p>
    <w:p w:rsidR="00000000" w:rsidRDefault="00FD7D3C">
      <w:pPr>
        <w:ind w:hanging="1260"/>
        <w:divId w:val="1706321414"/>
        <w:rPr>
          <w:rFonts w:eastAsia="Times New Roman"/>
        </w:rPr>
      </w:pPr>
      <w:r>
        <w:rPr>
          <w:rFonts w:eastAsia="Times New Roman"/>
          <w:color w:val="000000"/>
          <w:sz w:val="20"/>
          <w:szCs w:val="20"/>
        </w:rPr>
        <w:t xml:space="preserve">•$0.8 million increase in facilities and other allocated expenses </w:t>
      </w:r>
    </w:p>
    <w:p w:rsidR="00000000" w:rsidRDefault="00FD7D3C">
      <w:pPr>
        <w:divId w:val="716315634"/>
        <w:rPr>
          <w:rFonts w:eastAsia="Times New Roman"/>
        </w:rPr>
      </w:pPr>
      <w:r>
        <w:rPr>
          <w:rFonts w:eastAsia="Times New Roman"/>
          <w:i/>
          <w:iCs/>
          <w:color w:val="000000"/>
          <w:sz w:val="20"/>
          <w:szCs w:val="20"/>
        </w:rPr>
        <w:t>General and Administrative Expenses</w:t>
      </w:r>
    </w:p>
    <w:p w:rsidR="00000000" w:rsidRDefault="00FD7D3C">
      <w:pPr>
        <w:ind w:firstLine="720"/>
        <w:divId w:val="815950527"/>
        <w:rPr>
          <w:rFonts w:eastAsia="Times New Roman"/>
        </w:rPr>
      </w:pPr>
      <w:r>
        <w:rPr>
          <w:rFonts w:eastAsia="Times New Roman"/>
          <w:color w:val="000000"/>
          <w:sz w:val="20"/>
          <w:szCs w:val="20"/>
        </w:rPr>
        <w:t>General and administrative expenses was $27.6 million and $17.3 million for the years ended December 31, 2021 and 2020, respectively. The increa</w:t>
      </w:r>
      <w:r>
        <w:rPr>
          <w:rFonts w:eastAsia="Times New Roman"/>
          <w:color w:val="000000"/>
          <w:sz w:val="20"/>
          <w:szCs w:val="20"/>
        </w:rPr>
        <w:t xml:space="preserve">se of $10.3 million was primarily due to a $7.3 million increase in employee-related costs, including stock-based compensation, and a $1.1 million increase in legal, accounting and other professional services largely due to operating as a public company. </w:t>
      </w:r>
    </w:p>
    <w:p w:rsidR="00000000" w:rsidRDefault="00FD7D3C">
      <w:pPr>
        <w:ind w:firstLine="720"/>
        <w:divId w:val="1104230064"/>
        <w:rPr>
          <w:rFonts w:eastAsia="Times New Roman"/>
        </w:rPr>
      </w:pPr>
      <w:r>
        <w:rPr>
          <w:rFonts w:eastAsia="Times New Roman"/>
          <w:i/>
          <w:iCs/>
          <w:color w:val="000000"/>
          <w:sz w:val="20"/>
          <w:szCs w:val="20"/>
        </w:rPr>
        <w:t>Interest and other income (expense), net</w:t>
      </w:r>
    </w:p>
    <w:p w:rsidR="00000000" w:rsidRDefault="00FD7D3C">
      <w:pPr>
        <w:ind w:firstLine="720"/>
        <w:divId w:val="519467188"/>
        <w:rPr>
          <w:rFonts w:eastAsia="Times New Roman"/>
        </w:rPr>
      </w:pPr>
      <w:r>
        <w:rPr>
          <w:rFonts w:eastAsia="Times New Roman"/>
          <w:color w:val="000000"/>
          <w:sz w:val="20"/>
          <w:szCs w:val="20"/>
        </w:rPr>
        <w:t>Interest and other income (expense), net was $272,000 and $112,000 for the years ended December 31, 2021 and 2020, respectively. The increase of $160,000 was due to higher average investment balances in 2021 compare</w:t>
      </w:r>
      <w:r>
        <w:rPr>
          <w:rFonts w:eastAsia="Times New Roman"/>
          <w:color w:val="000000"/>
          <w:sz w:val="20"/>
          <w:szCs w:val="20"/>
        </w:rPr>
        <w:t xml:space="preserve">d to 2020 resulting from significant financing activities occurring mid-year 2020. </w:t>
      </w:r>
    </w:p>
    <w:p w:rsidR="00000000" w:rsidRDefault="00FD7D3C">
      <w:pPr>
        <w:ind w:firstLine="720"/>
        <w:divId w:val="1626546585"/>
        <w:rPr>
          <w:rFonts w:eastAsia="Times New Roman"/>
        </w:rPr>
      </w:pPr>
      <w:r>
        <w:rPr>
          <w:rFonts w:eastAsia="Times New Roman"/>
          <w:b/>
          <w:bCs/>
          <w:i/>
          <w:iCs/>
          <w:color w:val="000000"/>
          <w:sz w:val="20"/>
          <w:szCs w:val="20"/>
        </w:rPr>
        <w:t>Comparison of the Years Ended December 31, 2020 and 2019</w:t>
      </w:r>
    </w:p>
    <w:tbl>
      <w:tblPr>
        <w:tblW w:w="4712" w:type="pct"/>
        <w:tblCellMar>
          <w:top w:w="15" w:type="dxa"/>
          <w:left w:w="15" w:type="dxa"/>
          <w:bottom w:w="15" w:type="dxa"/>
          <w:right w:w="15" w:type="dxa"/>
        </w:tblCellMar>
        <w:tblLook w:val="04A0" w:firstRow="1" w:lastRow="0" w:firstColumn="1" w:lastColumn="0" w:noHBand="0" w:noVBand="1"/>
      </w:tblPr>
      <w:tblGrid>
        <w:gridCol w:w="39"/>
        <w:gridCol w:w="3082"/>
        <w:gridCol w:w="38"/>
        <w:gridCol w:w="120"/>
        <w:gridCol w:w="943"/>
        <w:gridCol w:w="36"/>
        <w:gridCol w:w="36"/>
        <w:gridCol w:w="36"/>
        <w:gridCol w:w="36"/>
        <w:gridCol w:w="120"/>
        <w:gridCol w:w="889"/>
        <w:gridCol w:w="36"/>
        <w:gridCol w:w="36"/>
        <w:gridCol w:w="36"/>
        <w:gridCol w:w="36"/>
        <w:gridCol w:w="120"/>
        <w:gridCol w:w="889"/>
        <w:gridCol w:w="36"/>
        <w:gridCol w:w="36"/>
        <w:gridCol w:w="36"/>
        <w:gridCol w:w="36"/>
        <w:gridCol w:w="49"/>
        <w:gridCol w:w="853"/>
        <w:gridCol w:w="254"/>
      </w:tblGrid>
      <w:tr w:rsidR="00000000">
        <w:trPr>
          <w:divId w:val="1172178871"/>
        </w:trPr>
        <w:tc>
          <w:tcPr>
            <w:tcW w:w="50" w:type="pct"/>
            <w:vAlign w:val="center"/>
            <w:hideMark/>
          </w:tcPr>
          <w:p w:rsidR="00000000" w:rsidRDefault="00FD7D3C">
            <w:pPr>
              <w:ind w:firstLine="720"/>
              <w:rPr>
                <w:rFonts w:eastAsia="Times New Roman"/>
              </w:rPr>
            </w:pPr>
          </w:p>
        </w:tc>
        <w:tc>
          <w:tcPr>
            <w:tcW w:w="2026"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644"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30"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644"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30"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644"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30"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644"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r>
      <w:tr w:rsidR="00000000">
        <w:trPr>
          <w:divId w:val="1172178871"/>
        </w:trPr>
        <w:tc>
          <w:tcPr>
            <w:tcW w:w="0" w:type="auto"/>
            <w:gridSpan w:val="3"/>
            <w:tcMar>
              <w:top w:w="30" w:type="dxa"/>
              <w:left w:w="20" w:type="dxa"/>
              <w:bottom w:w="30" w:type="dxa"/>
              <w:right w:w="20" w:type="dxa"/>
            </w:tcMar>
            <w:vAlign w:val="bottom"/>
            <w:hideMark/>
          </w:tcPr>
          <w:p w:rsidR="00000000" w:rsidRDefault="00FD7D3C">
            <w:pPr>
              <w:spacing w:after="100"/>
              <w:rPr>
                <w:rFonts w:eastAsia="Times New Roman"/>
              </w:rPr>
            </w:pPr>
            <w:r>
              <w:rPr>
                <w:rFonts w:eastAsia="Times New Roman"/>
                <w:b/>
                <w:bCs/>
                <w:color w:val="000000"/>
                <w:sz w:val="16"/>
                <w:szCs w:val="16"/>
              </w:rPr>
              <w:t>(In thousands, except percentages)</w:t>
            </w:r>
          </w:p>
        </w:tc>
        <w:tc>
          <w:tcPr>
            <w:tcW w:w="0" w:type="auto"/>
            <w:gridSpan w:val="9"/>
            <w:tcMar>
              <w:top w:w="30" w:type="dxa"/>
              <w:left w:w="20" w:type="dxa"/>
              <w:bottom w:w="30" w:type="dxa"/>
              <w:right w:w="20" w:type="dxa"/>
            </w:tcMar>
            <w:vAlign w:val="center"/>
            <w:hideMark/>
          </w:tcPr>
          <w:p w:rsidR="00000000" w:rsidRDefault="00FD7D3C">
            <w:pPr>
              <w:spacing w:after="100"/>
              <w:jc w:val="center"/>
              <w:rPr>
                <w:rFonts w:eastAsia="Times New Roman"/>
              </w:rPr>
            </w:pPr>
            <w:r>
              <w:rPr>
                <w:rFonts w:eastAsia="Times New Roman"/>
                <w:b/>
                <w:bCs/>
                <w:color w:val="000000"/>
                <w:sz w:val="16"/>
                <w:szCs w:val="16"/>
              </w:rPr>
              <w:t>Year Ended December 31,</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000000">
        <w:trPr>
          <w:divId w:val="1172178871"/>
        </w:trPr>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 Change</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 Change</w:t>
            </w:r>
          </w:p>
        </w:tc>
      </w:tr>
      <w:tr w:rsidR="00000000">
        <w:trPr>
          <w:divId w:val="1172178871"/>
        </w:trPr>
        <w:tc>
          <w:tcPr>
            <w:tcW w:w="0" w:type="auto"/>
            <w:gridSpan w:val="3"/>
            <w:shd w:val="clear" w:color="auto" w:fill="CFF0FC"/>
            <w:tcMar>
              <w:top w:w="30" w:type="dxa"/>
              <w:left w:w="20" w:type="dxa"/>
              <w:bottom w:w="30" w:type="dxa"/>
              <w:right w:w="20" w:type="dxa"/>
            </w:tcMar>
            <w:vAlign w:val="bottom"/>
            <w:hideMark/>
          </w:tcPr>
          <w:p w:rsidR="00000000" w:rsidRDefault="00FD7D3C">
            <w:pPr>
              <w:spacing w:after="100"/>
              <w:rPr>
                <w:rFonts w:eastAsia="Times New Roman"/>
              </w:rPr>
            </w:pPr>
            <w:r>
              <w:rPr>
                <w:rFonts w:eastAsia="Times New Roman"/>
                <w:color w:val="000000"/>
                <w:sz w:val="20"/>
                <w:szCs w:val="20"/>
              </w:rPr>
              <w:t>Revenue</w:t>
            </w: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41,817 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tcBorders>
              <w:top w:val="single" w:sz="8" w:space="0" w:color="000000"/>
            </w:tcBorders>
            <w:shd w:val="clear" w:color="auto" w:fill="CFF0FC"/>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57,052 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(15,235)</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Borders>
              <w:top w:val="single" w:sz="8" w:space="0" w:color="000000"/>
            </w:tcBorders>
            <w:shd w:val="clear" w:color="auto" w:fill="CFF0FC"/>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(26.7 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FD7D3C">
            <w:pPr>
              <w:spacing w:after="100"/>
              <w:rPr>
                <w:rFonts w:eastAsia="Times New Roman"/>
              </w:rPr>
            </w:pPr>
            <w:r>
              <w:rPr>
                <w:rFonts w:eastAsia="Times New Roman"/>
                <w:color w:val="000000"/>
                <w:sz w:val="20"/>
                <w:szCs w:val="20"/>
              </w:rPr>
              <w:t>%)</w:t>
            </w:r>
          </w:p>
        </w:tc>
      </w:tr>
      <w:tr w:rsidR="00000000">
        <w:trPr>
          <w:divId w:val="1172178871"/>
        </w:trPr>
        <w:tc>
          <w:tcPr>
            <w:tcW w:w="0" w:type="auto"/>
            <w:gridSpan w:val="3"/>
            <w:tcMar>
              <w:top w:w="30" w:type="dxa"/>
              <w:left w:w="20" w:type="dxa"/>
              <w:bottom w:w="30" w:type="dxa"/>
              <w:right w:w="20" w:type="dxa"/>
            </w:tcMar>
            <w:vAlign w:val="bottom"/>
            <w:hideMark/>
          </w:tcPr>
          <w:p w:rsidR="00000000" w:rsidRDefault="00FD7D3C">
            <w:pPr>
              <w:spacing w:after="100"/>
              <w:rPr>
                <w:rFonts w:eastAsia="Times New Roman"/>
              </w:rPr>
            </w:pPr>
            <w:r>
              <w:rPr>
                <w:rFonts w:eastAsia="Times New Roman"/>
                <w:color w:val="000000"/>
                <w:sz w:val="20"/>
                <w:szCs w:val="20"/>
              </w:rPr>
              <w:t>Operating expenses:</w:t>
            </w: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000000">
        <w:trPr>
          <w:divId w:val="1172178871"/>
        </w:trPr>
        <w:tc>
          <w:tcPr>
            <w:tcW w:w="0" w:type="auto"/>
            <w:gridSpan w:val="3"/>
            <w:shd w:val="clear" w:color="auto" w:fill="CFF0FC"/>
            <w:tcMar>
              <w:top w:w="30" w:type="dxa"/>
              <w:left w:w="380" w:type="dxa"/>
              <w:bottom w:w="30" w:type="dxa"/>
              <w:right w:w="20" w:type="dxa"/>
            </w:tcMar>
            <w:vAlign w:val="bottom"/>
            <w:hideMark/>
          </w:tcPr>
          <w:p w:rsidR="00000000" w:rsidRDefault="00FD7D3C">
            <w:pPr>
              <w:spacing w:after="100"/>
              <w:rPr>
                <w:rFonts w:eastAsia="Times New Roman"/>
              </w:rPr>
            </w:pPr>
            <w:r>
              <w:rPr>
                <w:rFonts w:eastAsia="Times New Roman"/>
                <w:color w:val="000000"/>
                <w:sz w:val="20"/>
                <w:szCs w:val="20"/>
              </w:rPr>
              <w:t>Research and development</w:t>
            </w:r>
          </w:p>
        </w:tc>
        <w:tc>
          <w:tcPr>
            <w:tcW w:w="0" w:type="auto"/>
            <w:gridSpan w:val="2"/>
            <w:shd w:val="clear" w:color="auto" w:fill="CFF0FC"/>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(66,193)</w:t>
            </w:r>
          </w:p>
        </w:tc>
        <w:tc>
          <w:tcPr>
            <w:tcW w:w="0" w:type="auto"/>
            <w:shd w:val="clear" w:color="auto" w:fill="CFF0FC"/>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FF0FC"/>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(47,353)</w:t>
            </w:r>
          </w:p>
        </w:tc>
        <w:tc>
          <w:tcPr>
            <w:tcW w:w="0" w:type="auto"/>
            <w:shd w:val="clear" w:color="auto" w:fill="CFF0FC"/>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FF0FC"/>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(18,840)</w:t>
            </w:r>
          </w:p>
        </w:tc>
        <w:tc>
          <w:tcPr>
            <w:tcW w:w="0" w:type="auto"/>
            <w:shd w:val="clear" w:color="auto" w:fill="CFF0FC"/>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FF0FC"/>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39.8 </w:t>
            </w:r>
          </w:p>
        </w:tc>
        <w:tc>
          <w:tcPr>
            <w:tcW w:w="0" w:type="auto"/>
            <w:shd w:val="clear" w:color="auto" w:fill="CFF0FC"/>
            <w:tcMar>
              <w:top w:w="30" w:type="dxa"/>
              <w:left w:w="0" w:type="dxa"/>
              <w:bottom w:w="30" w:type="dxa"/>
              <w:right w:w="20" w:type="dxa"/>
            </w:tcMar>
            <w:vAlign w:val="bottom"/>
            <w:hideMark/>
          </w:tcPr>
          <w:p w:rsidR="00000000" w:rsidRDefault="00FD7D3C">
            <w:pPr>
              <w:spacing w:after="100"/>
              <w:jc w:val="right"/>
              <w:rPr>
                <w:rFonts w:eastAsia="Times New Roman"/>
              </w:rPr>
            </w:pPr>
            <w:r>
              <w:rPr>
                <w:rFonts w:eastAsia="Times New Roman"/>
                <w:color w:val="000000"/>
                <w:sz w:val="20"/>
                <w:szCs w:val="20"/>
              </w:rPr>
              <w:t>%</w:t>
            </w:r>
          </w:p>
        </w:tc>
      </w:tr>
      <w:tr w:rsidR="00000000">
        <w:trPr>
          <w:divId w:val="1172178871"/>
        </w:trPr>
        <w:tc>
          <w:tcPr>
            <w:tcW w:w="0" w:type="auto"/>
            <w:gridSpan w:val="3"/>
            <w:tcMar>
              <w:top w:w="30" w:type="dxa"/>
              <w:left w:w="380" w:type="dxa"/>
              <w:bottom w:w="30" w:type="dxa"/>
              <w:right w:w="20" w:type="dxa"/>
            </w:tcMar>
            <w:vAlign w:val="bottom"/>
            <w:hideMark/>
          </w:tcPr>
          <w:p w:rsidR="00000000" w:rsidRDefault="00FD7D3C">
            <w:pPr>
              <w:spacing w:after="100"/>
              <w:rPr>
                <w:rFonts w:eastAsia="Times New Roman"/>
              </w:rPr>
            </w:pPr>
            <w:r>
              <w:rPr>
                <w:rFonts w:eastAsia="Times New Roman"/>
                <w:color w:val="000000"/>
                <w:sz w:val="20"/>
                <w:szCs w:val="20"/>
              </w:rPr>
              <w:t>General and administrative</w:t>
            </w:r>
          </w:p>
        </w:tc>
        <w:tc>
          <w:tcPr>
            <w:tcW w:w="0" w:type="auto"/>
            <w:gridSpan w:val="2"/>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(17,269)</w:t>
            </w:r>
          </w:p>
        </w:tc>
        <w:tc>
          <w:tcPr>
            <w:tcW w:w="0" w:type="auto"/>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(10,930)</w:t>
            </w:r>
          </w:p>
        </w:tc>
        <w:tc>
          <w:tcPr>
            <w:tcW w:w="0" w:type="auto"/>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(6,339)</w:t>
            </w:r>
          </w:p>
        </w:tc>
        <w:tc>
          <w:tcPr>
            <w:tcW w:w="0" w:type="auto"/>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58.0 </w:t>
            </w:r>
          </w:p>
        </w:tc>
        <w:tc>
          <w:tcPr>
            <w:tcW w:w="0" w:type="auto"/>
            <w:tcMar>
              <w:top w:w="30" w:type="dxa"/>
              <w:left w:w="0" w:type="dxa"/>
              <w:bottom w:w="30" w:type="dxa"/>
              <w:right w:w="20" w:type="dxa"/>
            </w:tcMar>
            <w:vAlign w:val="bottom"/>
            <w:hideMark/>
          </w:tcPr>
          <w:p w:rsidR="00000000" w:rsidRDefault="00FD7D3C">
            <w:pPr>
              <w:spacing w:after="100"/>
              <w:jc w:val="right"/>
              <w:rPr>
                <w:rFonts w:eastAsia="Times New Roman"/>
              </w:rPr>
            </w:pPr>
            <w:r>
              <w:rPr>
                <w:rFonts w:eastAsia="Times New Roman"/>
                <w:color w:val="000000"/>
                <w:sz w:val="20"/>
                <w:szCs w:val="20"/>
              </w:rPr>
              <w:t>%</w:t>
            </w:r>
          </w:p>
        </w:tc>
      </w:tr>
      <w:tr w:rsidR="00000000">
        <w:trPr>
          <w:divId w:val="1172178871"/>
        </w:trPr>
        <w:tc>
          <w:tcPr>
            <w:tcW w:w="0" w:type="auto"/>
            <w:gridSpan w:val="3"/>
            <w:shd w:val="clear" w:color="auto" w:fill="CFF0FC"/>
            <w:tcMar>
              <w:top w:w="30" w:type="dxa"/>
              <w:left w:w="380" w:type="dxa"/>
              <w:bottom w:w="30" w:type="dxa"/>
              <w:right w:w="20" w:type="dxa"/>
            </w:tcMar>
            <w:vAlign w:val="bottom"/>
            <w:hideMark/>
          </w:tcPr>
          <w:p w:rsidR="00000000" w:rsidRDefault="00FD7D3C">
            <w:pPr>
              <w:spacing w:after="100"/>
              <w:rPr>
                <w:rFonts w:eastAsia="Times New Roman"/>
              </w:rPr>
            </w:pPr>
            <w:r>
              <w:rPr>
                <w:rFonts w:eastAsia="Times New Roman"/>
                <w:color w:val="000000"/>
                <w:sz w:val="20"/>
                <w:szCs w:val="20"/>
              </w:rPr>
              <w:t>Total operating expenses</w:t>
            </w:r>
          </w:p>
        </w:tc>
        <w:tc>
          <w:tcPr>
            <w:tcW w:w="0" w:type="auto"/>
            <w:gridSpan w:val="2"/>
            <w:tcBorders>
              <w:top w:val="single" w:sz="8" w:space="0" w:color="000000"/>
            </w:tcBorders>
            <w:shd w:val="clear" w:color="auto" w:fill="CFF0FC"/>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(83,462)</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tcBorders>
              <w:top w:val="single" w:sz="8" w:space="0" w:color="000000"/>
            </w:tcBorders>
            <w:shd w:val="clear" w:color="auto" w:fill="CFF0FC"/>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Borders>
              <w:top w:val="single" w:sz="8" w:space="0" w:color="000000"/>
            </w:tcBorders>
            <w:shd w:val="clear" w:color="auto" w:fill="CFF0FC"/>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(58,283)</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tcBorders>
              <w:top w:val="single" w:sz="8" w:space="0" w:color="000000"/>
            </w:tcBorders>
            <w:shd w:val="clear" w:color="auto" w:fill="CFF0FC"/>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Borders>
              <w:top w:val="single" w:sz="8" w:space="0" w:color="000000"/>
            </w:tcBorders>
            <w:shd w:val="clear" w:color="auto" w:fill="CFF0FC"/>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(25,179)</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FF0FC"/>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43.2 </w:t>
            </w:r>
          </w:p>
        </w:tc>
        <w:tc>
          <w:tcPr>
            <w:tcW w:w="0" w:type="auto"/>
            <w:shd w:val="clear" w:color="auto" w:fill="CFF0FC"/>
            <w:tcMar>
              <w:top w:w="30" w:type="dxa"/>
              <w:left w:w="0" w:type="dxa"/>
              <w:bottom w:w="30" w:type="dxa"/>
              <w:right w:w="20" w:type="dxa"/>
            </w:tcMar>
            <w:vAlign w:val="bottom"/>
            <w:hideMark/>
          </w:tcPr>
          <w:p w:rsidR="00000000" w:rsidRDefault="00FD7D3C">
            <w:pPr>
              <w:spacing w:after="100"/>
              <w:jc w:val="right"/>
              <w:rPr>
                <w:rFonts w:eastAsia="Times New Roman"/>
              </w:rPr>
            </w:pPr>
            <w:r>
              <w:rPr>
                <w:rFonts w:eastAsia="Times New Roman"/>
                <w:color w:val="000000"/>
                <w:sz w:val="20"/>
                <w:szCs w:val="20"/>
              </w:rPr>
              <w:t>%</w:t>
            </w:r>
          </w:p>
        </w:tc>
      </w:tr>
      <w:tr w:rsidR="00000000">
        <w:trPr>
          <w:divId w:val="1172178871"/>
        </w:trPr>
        <w:tc>
          <w:tcPr>
            <w:tcW w:w="0" w:type="auto"/>
            <w:gridSpan w:val="3"/>
            <w:tcMar>
              <w:top w:w="30" w:type="dxa"/>
              <w:left w:w="380" w:type="dxa"/>
              <w:bottom w:w="30" w:type="dxa"/>
              <w:right w:w="20" w:type="dxa"/>
            </w:tcMar>
            <w:vAlign w:val="bottom"/>
            <w:hideMark/>
          </w:tcPr>
          <w:p w:rsidR="00000000" w:rsidRDefault="00FD7D3C">
            <w:pPr>
              <w:spacing w:after="100"/>
              <w:rPr>
                <w:rFonts w:eastAsia="Times New Roman"/>
              </w:rPr>
            </w:pPr>
            <w:r>
              <w:rPr>
                <w:rFonts w:eastAsia="Times New Roman"/>
                <w:color w:val="000000"/>
                <w:sz w:val="20"/>
                <w:szCs w:val="20"/>
              </w:rPr>
              <w:t>Loss from operations</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(41,645)</w:t>
            </w:r>
          </w:p>
        </w:tc>
        <w:tc>
          <w:tcPr>
            <w:tcW w:w="0" w:type="auto"/>
            <w:tcBorders>
              <w:top w:val="single" w:sz="8" w:space="0" w:color="000000"/>
            </w:tcBorders>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(1,231)</w:t>
            </w:r>
          </w:p>
        </w:tc>
        <w:tc>
          <w:tcPr>
            <w:tcW w:w="0" w:type="auto"/>
            <w:tcBorders>
              <w:top w:val="single" w:sz="8" w:space="0" w:color="000000"/>
            </w:tcBorders>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(40,414)</w:t>
            </w:r>
          </w:p>
        </w:tc>
        <w:tc>
          <w:tcPr>
            <w:tcW w:w="0" w:type="auto"/>
            <w:tcBorders>
              <w:top w:val="single" w:sz="8" w:space="0" w:color="000000"/>
            </w:tcBorders>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FD7D3C">
            <w:pPr>
              <w:spacing w:after="100"/>
              <w:jc w:val="right"/>
              <w:rPr>
                <w:rFonts w:eastAsia="Times New Roman"/>
              </w:rPr>
            </w:pPr>
            <w:r>
              <w:rPr>
                <w:rFonts w:eastAsia="Times New Roman"/>
                <w:color w:val="000000"/>
                <w:sz w:val="20"/>
                <w:szCs w:val="20"/>
              </w:rPr>
              <w:t>NM</w:t>
            </w:r>
          </w:p>
        </w:tc>
      </w:tr>
      <w:tr w:rsidR="00000000">
        <w:trPr>
          <w:divId w:val="1172178871"/>
        </w:trPr>
        <w:tc>
          <w:tcPr>
            <w:tcW w:w="0" w:type="auto"/>
            <w:gridSpan w:val="3"/>
            <w:shd w:val="clear" w:color="auto" w:fill="CFF0FC"/>
            <w:tcMar>
              <w:top w:w="30" w:type="dxa"/>
              <w:left w:w="20" w:type="dxa"/>
              <w:bottom w:w="30" w:type="dxa"/>
              <w:right w:w="20" w:type="dxa"/>
            </w:tcMar>
            <w:vAlign w:val="bottom"/>
            <w:hideMark/>
          </w:tcPr>
          <w:p w:rsidR="00000000" w:rsidRDefault="00FD7D3C">
            <w:pPr>
              <w:spacing w:after="100"/>
              <w:rPr>
                <w:rFonts w:eastAsia="Times New Roman"/>
              </w:rPr>
            </w:pPr>
            <w:r>
              <w:rPr>
                <w:rFonts w:eastAsia="Times New Roman"/>
                <w:color w:val="000000"/>
                <w:sz w:val="20"/>
                <w:szCs w:val="20"/>
              </w:rPr>
              <w:t>Interest and other income (expense), net</w:t>
            </w:r>
          </w:p>
        </w:tc>
        <w:tc>
          <w:tcPr>
            <w:tcW w:w="0" w:type="auto"/>
            <w:gridSpan w:val="2"/>
            <w:shd w:val="clear" w:color="auto" w:fill="CFF0FC"/>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112 </w:t>
            </w:r>
          </w:p>
        </w:tc>
        <w:tc>
          <w:tcPr>
            <w:tcW w:w="0" w:type="auto"/>
            <w:shd w:val="clear" w:color="auto" w:fill="CFF0FC"/>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FF0FC"/>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600 </w:t>
            </w:r>
          </w:p>
        </w:tc>
        <w:tc>
          <w:tcPr>
            <w:tcW w:w="0" w:type="auto"/>
            <w:shd w:val="clear" w:color="auto" w:fill="CFF0FC"/>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FF0FC"/>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(488)</w:t>
            </w:r>
          </w:p>
        </w:tc>
        <w:tc>
          <w:tcPr>
            <w:tcW w:w="0" w:type="auto"/>
            <w:shd w:val="clear" w:color="auto" w:fill="CFF0FC"/>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FF0FC"/>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(81.3 </w:t>
            </w:r>
          </w:p>
        </w:tc>
        <w:tc>
          <w:tcPr>
            <w:tcW w:w="0" w:type="auto"/>
            <w:shd w:val="clear" w:color="auto" w:fill="CFF0FC"/>
            <w:tcMar>
              <w:top w:w="30" w:type="dxa"/>
              <w:left w:w="0" w:type="dxa"/>
              <w:bottom w:w="30" w:type="dxa"/>
              <w:right w:w="20" w:type="dxa"/>
            </w:tcMar>
            <w:vAlign w:val="bottom"/>
            <w:hideMark/>
          </w:tcPr>
          <w:p w:rsidR="00000000" w:rsidRDefault="00FD7D3C">
            <w:pPr>
              <w:spacing w:after="100"/>
              <w:rPr>
                <w:rFonts w:eastAsia="Times New Roman"/>
              </w:rPr>
            </w:pPr>
            <w:r>
              <w:rPr>
                <w:rFonts w:eastAsia="Times New Roman"/>
                <w:color w:val="000000"/>
                <w:sz w:val="20"/>
                <w:szCs w:val="20"/>
              </w:rPr>
              <w:t>%)</w:t>
            </w:r>
          </w:p>
        </w:tc>
      </w:tr>
      <w:tr w:rsidR="00000000">
        <w:trPr>
          <w:divId w:val="1172178871"/>
        </w:trPr>
        <w:tc>
          <w:tcPr>
            <w:tcW w:w="0" w:type="auto"/>
            <w:gridSpan w:val="3"/>
            <w:shd w:val="clear" w:color="auto" w:fill="FFFFFF"/>
            <w:tcMar>
              <w:top w:w="30" w:type="dxa"/>
              <w:left w:w="380" w:type="dxa"/>
              <w:bottom w:w="30" w:type="dxa"/>
              <w:right w:w="20" w:type="dxa"/>
            </w:tcMar>
            <w:vAlign w:val="bottom"/>
            <w:hideMark/>
          </w:tcPr>
          <w:p w:rsidR="00000000" w:rsidRDefault="00FD7D3C">
            <w:pPr>
              <w:spacing w:after="100"/>
              <w:rPr>
                <w:rFonts w:eastAsia="Times New Roman"/>
              </w:rPr>
            </w:pPr>
            <w:r>
              <w:rPr>
                <w:rFonts w:eastAsia="Times New Roman"/>
                <w:color w:val="000000"/>
                <w:sz w:val="20"/>
                <w:szCs w:val="20"/>
              </w:rPr>
              <w:t>Net loss</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(41,533)</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(631)</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(40,902)</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6,482.1 </w:t>
            </w:r>
          </w:p>
        </w:tc>
        <w:tc>
          <w:tcPr>
            <w:tcW w:w="0" w:type="auto"/>
            <w:tcMar>
              <w:top w:w="30" w:type="dxa"/>
              <w:left w:w="0" w:type="dxa"/>
              <w:bottom w:w="30" w:type="dxa"/>
              <w:right w:w="20" w:type="dxa"/>
            </w:tcMar>
            <w:vAlign w:val="bottom"/>
            <w:hideMark/>
          </w:tcPr>
          <w:p w:rsidR="00000000" w:rsidRDefault="00FD7D3C">
            <w:pPr>
              <w:spacing w:after="100"/>
              <w:jc w:val="right"/>
              <w:rPr>
                <w:rFonts w:eastAsia="Times New Roman"/>
              </w:rPr>
            </w:pPr>
            <w:r>
              <w:rPr>
                <w:rFonts w:eastAsia="Times New Roman"/>
                <w:color w:val="000000"/>
                <w:sz w:val="20"/>
                <w:szCs w:val="20"/>
              </w:rPr>
              <w:t>%</w:t>
            </w:r>
          </w:p>
        </w:tc>
      </w:tr>
    </w:tbl>
    <w:p w:rsidR="00000000" w:rsidRDefault="00FD7D3C">
      <w:pPr>
        <w:divId w:val="2120444421"/>
        <w:rPr>
          <w:rFonts w:eastAsia="Times New Roman"/>
        </w:rPr>
      </w:pPr>
      <w:r>
        <w:rPr>
          <w:rFonts w:eastAsia="Times New Roman"/>
          <w:color w:val="000000"/>
          <w:sz w:val="20"/>
          <w:szCs w:val="20"/>
        </w:rPr>
        <w:t>_________________________</w:t>
      </w:r>
    </w:p>
    <w:p w:rsidR="00000000" w:rsidRDefault="00FD7D3C">
      <w:pPr>
        <w:divId w:val="2057385705"/>
        <w:rPr>
          <w:rFonts w:eastAsia="Times New Roman"/>
        </w:rPr>
      </w:pPr>
      <w:r>
        <w:rPr>
          <w:rFonts w:eastAsia="Times New Roman"/>
          <w:color w:val="000000"/>
          <w:sz w:val="20"/>
          <w:szCs w:val="20"/>
        </w:rPr>
        <w:t>NM:  Results not meaningful</w:t>
      </w:r>
    </w:p>
    <w:p w:rsidR="00000000" w:rsidRDefault="00FD7D3C">
      <w:pPr>
        <w:divId w:val="851913777"/>
        <w:rPr>
          <w:rFonts w:eastAsia="Times New Roman"/>
        </w:rPr>
      </w:pPr>
      <w:r>
        <w:rPr>
          <w:rFonts w:eastAsia="Times New Roman"/>
          <w:i/>
          <w:iCs/>
          <w:color w:val="000000"/>
          <w:sz w:val="20"/>
          <w:szCs w:val="20"/>
        </w:rPr>
        <w:t xml:space="preserve">Revenue </w:t>
      </w:r>
    </w:p>
    <w:p w:rsidR="00000000" w:rsidRDefault="00FD7D3C">
      <w:pPr>
        <w:ind w:firstLine="720"/>
        <w:divId w:val="1928607959"/>
        <w:rPr>
          <w:rFonts w:eastAsia="Times New Roman"/>
        </w:rPr>
      </w:pPr>
      <w:r>
        <w:rPr>
          <w:rFonts w:eastAsia="Times New Roman"/>
          <w:color w:val="000000"/>
          <w:sz w:val="20"/>
          <w:szCs w:val="20"/>
        </w:rPr>
        <w:t>The decrease of 15.2 million, or 26.7%, in revenue-related party for the year ended December 31, 2020 compared to the year</w:t>
      </w:r>
      <w:r>
        <w:rPr>
          <w:rFonts w:eastAsia="Times New Roman"/>
          <w:color w:val="000000"/>
          <w:sz w:val="20"/>
          <w:szCs w:val="20"/>
        </w:rPr>
        <w:t xml:space="preserve"> ended December 31, 2019 was primarily due to the recognition of $50.0 million in upfront license fee revenue in 2019, offset by the recognition of $25.0 million milestone payment from the achievement with the first patient dosing under the Novartis agreem</w:t>
      </w:r>
      <w:r>
        <w:rPr>
          <w:rFonts w:eastAsia="Times New Roman"/>
          <w:color w:val="000000"/>
          <w:sz w:val="20"/>
          <w:szCs w:val="20"/>
        </w:rPr>
        <w:t>ent in the first quarter of 2020 and the $9.8 million increase in research and development services revenue in 2020.</w:t>
      </w:r>
    </w:p>
    <w:p w:rsidR="00000000" w:rsidRDefault="00FD7D3C">
      <w:pPr>
        <w:jc w:val="center"/>
        <w:divId w:val="715278969"/>
        <w:rPr>
          <w:rFonts w:eastAsia="Times New Roman"/>
        </w:rPr>
      </w:pPr>
      <w:r>
        <w:rPr>
          <w:rFonts w:eastAsia="Times New Roman"/>
          <w:color w:val="000000"/>
          <w:sz w:val="20"/>
          <w:szCs w:val="20"/>
        </w:rPr>
        <w:t>99</w:t>
      </w:r>
    </w:p>
    <w:p w:rsidR="00000000" w:rsidRDefault="00FD7D3C">
      <w:pPr>
        <w:rPr>
          <w:rFonts w:eastAsia="Times New Roman"/>
        </w:rPr>
      </w:pPr>
      <w:r>
        <w:rPr>
          <w:rFonts w:eastAsia="Times New Roman"/>
        </w:rPr>
        <w:pict>
          <v:rect id="_x0000_i1152" style="width:0;height:1.5pt" o:hralign="center" o:hrstd="t" o:hr="t" fillcolor="#a0a0a0" stroked="f"/>
        </w:pict>
      </w:r>
    </w:p>
    <w:p w:rsidR="00000000" w:rsidRDefault="00FD7D3C">
      <w:pPr>
        <w:divId w:val="1951351341"/>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divId w:val="46028272"/>
        <w:rPr>
          <w:rFonts w:eastAsia="Times New Roman"/>
        </w:rPr>
      </w:pPr>
      <w:r>
        <w:rPr>
          <w:rFonts w:eastAsia="Times New Roman"/>
          <w:i/>
          <w:iCs/>
          <w:color w:val="000000"/>
          <w:sz w:val="20"/>
          <w:szCs w:val="20"/>
        </w:rPr>
        <w:t>Research and Development Expenses</w:t>
      </w:r>
    </w:p>
    <w:p w:rsidR="00000000" w:rsidRDefault="00FD7D3C">
      <w:pPr>
        <w:ind w:firstLine="720"/>
        <w:divId w:val="1593294"/>
        <w:rPr>
          <w:rFonts w:eastAsia="Times New Roman"/>
        </w:rPr>
      </w:pPr>
      <w:r>
        <w:rPr>
          <w:rFonts w:eastAsia="Times New Roman"/>
          <w:color w:val="000000"/>
          <w:sz w:val="20"/>
          <w:szCs w:val="20"/>
        </w:rPr>
        <w:t>Research and development expenses was $66.2 million and $47.4 million for the years ended December 31, 2020 and 2019, respectively. The increase of $18.8 million was primarily due to:</w:t>
      </w:r>
    </w:p>
    <w:p w:rsidR="00000000" w:rsidRDefault="00FD7D3C">
      <w:pPr>
        <w:ind w:hanging="1260"/>
        <w:divId w:val="1036734899"/>
        <w:rPr>
          <w:rFonts w:eastAsia="Times New Roman"/>
        </w:rPr>
      </w:pPr>
      <w:r>
        <w:rPr>
          <w:rFonts w:eastAsia="Times New Roman"/>
          <w:color w:val="000000"/>
          <w:sz w:val="20"/>
          <w:szCs w:val="20"/>
        </w:rPr>
        <w:t>•$4.9 million increase in employee rel</w:t>
      </w:r>
      <w:r>
        <w:rPr>
          <w:rFonts w:eastAsia="Times New Roman"/>
          <w:color w:val="000000"/>
          <w:sz w:val="20"/>
          <w:szCs w:val="20"/>
        </w:rPr>
        <w:t xml:space="preserve">ated costs owing to the increase in our research and development workforce and stock based compensation, including the introduction of our employee stock purchase plan in the third quarter of 2020; </w:t>
      </w:r>
    </w:p>
    <w:p w:rsidR="00000000" w:rsidRDefault="00FD7D3C">
      <w:pPr>
        <w:ind w:hanging="1260"/>
        <w:divId w:val="1629773997"/>
        <w:rPr>
          <w:rFonts w:eastAsia="Times New Roman"/>
        </w:rPr>
      </w:pPr>
      <w:r>
        <w:rPr>
          <w:rFonts w:eastAsia="Times New Roman"/>
          <w:color w:val="000000"/>
          <w:sz w:val="20"/>
          <w:szCs w:val="20"/>
        </w:rPr>
        <w:t>•7 million decrease in outside and consulting services fo</w:t>
      </w:r>
      <w:r>
        <w:rPr>
          <w:rFonts w:eastAsia="Times New Roman"/>
          <w:color w:val="000000"/>
          <w:sz w:val="20"/>
          <w:szCs w:val="20"/>
        </w:rPr>
        <w:t>r preclinical studies and research and development activities by third party contract organizations as our lead programs moved into clinical development stage in 2020;</w:t>
      </w:r>
    </w:p>
    <w:p w:rsidR="00000000" w:rsidRDefault="00FD7D3C">
      <w:pPr>
        <w:ind w:hanging="1260"/>
        <w:divId w:val="1996493932"/>
        <w:rPr>
          <w:rFonts w:eastAsia="Times New Roman"/>
        </w:rPr>
      </w:pPr>
      <w:r>
        <w:rPr>
          <w:rFonts w:eastAsia="Times New Roman"/>
          <w:color w:val="000000"/>
          <w:sz w:val="20"/>
          <w:szCs w:val="20"/>
        </w:rPr>
        <w:t>•$17.2 million increase in clinical trial expenses primarily attributable to our Phase 1</w:t>
      </w:r>
      <w:r>
        <w:rPr>
          <w:rFonts w:eastAsia="Times New Roman"/>
          <w:color w:val="000000"/>
          <w:sz w:val="20"/>
          <w:szCs w:val="20"/>
        </w:rPr>
        <w:t xml:space="preserve"> and Phase 2 trials of PLN-74809 and the Phase 1 clinical trial for PLN-1474; </w:t>
      </w:r>
    </w:p>
    <w:p w:rsidR="00000000" w:rsidRDefault="00FD7D3C">
      <w:pPr>
        <w:ind w:hanging="1260"/>
        <w:divId w:val="229271464"/>
        <w:rPr>
          <w:rFonts w:eastAsia="Times New Roman"/>
        </w:rPr>
      </w:pPr>
      <w:r>
        <w:rPr>
          <w:rFonts w:eastAsia="Times New Roman"/>
          <w:color w:val="000000"/>
          <w:sz w:val="20"/>
          <w:szCs w:val="20"/>
        </w:rPr>
        <w:t>•$2.2 million increase in technology and intellectual property licenses resulting from the payment to the Regents of the University of California in connection with our IPO in t</w:t>
      </w:r>
      <w:r>
        <w:rPr>
          <w:rFonts w:eastAsia="Times New Roman"/>
          <w:color w:val="000000"/>
          <w:sz w:val="20"/>
          <w:szCs w:val="20"/>
        </w:rPr>
        <w:t xml:space="preserve">he second quarter of 2020; and </w:t>
      </w:r>
    </w:p>
    <w:p w:rsidR="00000000" w:rsidRDefault="00FD7D3C">
      <w:pPr>
        <w:ind w:hanging="1260"/>
        <w:divId w:val="1103574799"/>
        <w:rPr>
          <w:rFonts w:eastAsia="Times New Roman"/>
        </w:rPr>
      </w:pPr>
      <w:r>
        <w:rPr>
          <w:rFonts w:eastAsia="Times New Roman"/>
          <w:color w:val="000000"/>
          <w:sz w:val="20"/>
          <w:szCs w:val="20"/>
        </w:rPr>
        <w:t xml:space="preserve">•$1.9 million increase in facilities and other allocated expenses </w:t>
      </w:r>
    </w:p>
    <w:p w:rsidR="00000000" w:rsidRDefault="00FD7D3C">
      <w:pPr>
        <w:divId w:val="1213536103"/>
        <w:rPr>
          <w:rFonts w:eastAsia="Times New Roman"/>
        </w:rPr>
      </w:pPr>
      <w:r>
        <w:rPr>
          <w:rFonts w:eastAsia="Times New Roman"/>
          <w:i/>
          <w:iCs/>
          <w:color w:val="000000"/>
          <w:sz w:val="20"/>
          <w:szCs w:val="20"/>
        </w:rPr>
        <w:t>General and Administrative Expenses</w:t>
      </w:r>
    </w:p>
    <w:p w:rsidR="00000000" w:rsidRDefault="00FD7D3C">
      <w:pPr>
        <w:ind w:firstLine="720"/>
        <w:divId w:val="1629623287"/>
        <w:rPr>
          <w:rFonts w:eastAsia="Times New Roman"/>
        </w:rPr>
      </w:pPr>
      <w:r>
        <w:rPr>
          <w:rFonts w:eastAsia="Times New Roman"/>
          <w:color w:val="000000"/>
          <w:sz w:val="20"/>
          <w:szCs w:val="20"/>
        </w:rPr>
        <w:t>General and administrative expenses was $17.3 million and $10.9 million for the years ended December 31, 2020 and 2019, r</w:t>
      </w:r>
      <w:r>
        <w:rPr>
          <w:rFonts w:eastAsia="Times New Roman"/>
          <w:color w:val="000000"/>
          <w:sz w:val="20"/>
          <w:szCs w:val="20"/>
        </w:rPr>
        <w:t>espectively. The increase of $6.3 million was primarily due to $2.8 million of increased professional and consulting services costs, $1.6 million of increased compensation costs, $0.9 million of increased stock-based compensation expense, $0.5 million of i</w:t>
      </w:r>
      <w:r>
        <w:rPr>
          <w:rFonts w:eastAsia="Times New Roman"/>
          <w:color w:val="000000"/>
          <w:sz w:val="20"/>
          <w:szCs w:val="20"/>
        </w:rPr>
        <w:t>ncreased charitable contributions and $0.5 million of increased insurance expenses, partially offset by $0.5 million decrease in travel expenses.</w:t>
      </w:r>
    </w:p>
    <w:p w:rsidR="00000000" w:rsidRDefault="00FD7D3C">
      <w:pPr>
        <w:ind w:firstLine="720"/>
        <w:divId w:val="1998412824"/>
        <w:rPr>
          <w:rFonts w:eastAsia="Times New Roman"/>
        </w:rPr>
      </w:pPr>
      <w:r>
        <w:rPr>
          <w:rFonts w:eastAsia="Times New Roman"/>
          <w:color w:val="000000"/>
          <w:sz w:val="20"/>
          <w:szCs w:val="20"/>
        </w:rPr>
        <w:t>Professional and consulting costs increased primarily as a result of increased legal, marketing, investor rela</w:t>
      </w:r>
      <w:r>
        <w:rPr>
          <w:rFonts w:eastAsia="Times New Roman"/>
          <w:color w:val="000000"/>
          <w:sz w:val="20"/>
          <w:szCs w:val="20"/>
        </w:rPr>
        <w:t>tions and accounting fees. Compensation costs and stock-based compensation costs increased as a result of increased headcount and the implementation of the employee stock purchase plan in the third quarter of 2020. Insurance expenses increased due to addit</w:t>
      </w:r>
      <w:r>
        <w:rPr>
          <w:rFonts w:eastAsia="Times New Roman"/>
          <w:color w:val="000000"/>
          <w:sz w:val="20"/>
          <w:szCs w:val="20"/>
        </w:rPr>
        <w:t>ional cost for insurance as a public company. Travel expenses decreased primarily due to decreased executive travel as a result of the COVID-19 pandemic.</w:t>
      </w:r>
    </w:p>
    <w:p w:rsidR="00000000" w:rsidRDefault="00FD7D3C">
      <w:pPr>
        <w:divId w:val="647438436"/>
        <w:rPr>
          <w:rFonts w:eastAsia="Times New Roman"/>
        </w:rPr>
      </w:pPr>
      <w:r>
        <w:rPr>
          <w:rFonts w:eastAsia="Times New Roman"/>
          <w:i/>
          <w:iCs/>
          <w:color w:val="000000"/>
          <w:sz w:val="20"/>
          <w:szCs w:val="20"/>
        </w:rPr>
        <w:t>Interest and other income (expense), net</w:t>
      </w:r>
    </w:p>
    <w:p w:rsidR="00000000" w:rsidRDefault="00FD7D3C">
      <w:pPr>
        <w:ind w:firstLine="720"/>
        <w:divId w:val="937719304"/>
        <w:rPr>
          <w:rFonts w:eastAsia="Times New Roman"/>
        </w:rPr>
      </w:pPr>
      <w:r>
        <w:rPr>
          <w:rFonts w:eastAsia="Times New Roman"/>
          <w:color w:val="000000"/>
          <w:sz w:val="20"/>
          <w:szCs w:val="20"/>
        </w:rPr>
        <w:t>Interest and other income (expense), net was $112,000 and $60</w:t>
      </w:r>
      <w:r>
        <w:rPr>
          <w:rFonts w:eastAsia="Times New Roman"/>
          <w:color w:val="000000"/>
          <w:sz w:val="20"/>
          <w:szCs w:val="20"/>
        </w:rPr>
        <w:t>0,000 for the years ended December 31, 2020 and 2019, respectively. The decrease of $488,000 was primarily due to lower interest rates in 2020 when compared to 2019.</w:t>
      </w:r>
    </w:p>
    <w:p w:rsidR="00000000" w:rsidRDefault="00FD7D3C">
      <w:pPr>
        <w:divId w:val="1294824438"/>
        <w:rPr>
          <w:rFonts w:eastAsia="Times New Roman"/>
        </w:rPr>
      </w:pPr>
      <w:r>
        <w:rPr>
          <w:rFonts w:eastAsia="Times New Roman"/>
          <w:b/>
          <w:bCs/>
          <w:color w:val="000000"/>
          <w:sz w:val="20"/>
          <w:szCs w:val="20"/>
        </w:rPr>
        <w:t>Liquidity and Capital Resources</w:t>
      </w:r>
    </w:p>
    <w:p w:rsidR="00000000" w:rsidRDefault="00FD7D3C">
      <w:pPr>
        <w:divId w:val="1539471709"/>
        <w:rPr>
          <w:rFonts w:eastAsia="Times New Roman"/>
        </w:rPr>
      </w:pPr>
      <w:r>
        <w:rPr>
          <w:rFonts w:eastAsia="Times New Roman"/>
          <w:b/>
          <w:bCs/>
          <w:i/>
          <w:iCs/>
          <w:color w:val="000000"/>
          <w:sz w:val="20"/>
          <w:szCs w:val="20"/>
        </w:rPr>
        <w:t>Overview</w:t>
      </w:r>
    </w:p>
    <w:p w:rsidR="00000000" w:rsidRDefault="00FD7D3C">
      <w:pPr>
        <w:ind w:firstLine="720"/>
        <w:divId w:val="258104037"/>
        <w:rPr>
          <w:rFonts w:eastAsia="Times New Roman"/>
        </w:rPr>
      </w:pPr>
      <w:r>
        <w:rPr>
          <w:rFonts w:eastAsia="Times New Roman"/>
          <w:color w:val="000000"/>
          <w:sz w:val="20"/>
          <w:szCs w:val="20"/>
        </w:rPr>
        <w:t>As of December 31, 2021, we had cash, cash equiva</w:t>
      </w:r>
      <w:r>
        <w:rPr>
          <w:rFonts w:eastAsia="Times New Roman"/>
          <w:color w:val="000000"/>
          <w:sz w:val="20"/>
          <w:szCs w:val="20"/>
        </w:rPr>
        <w:t xml:space="preserve">lents and short-term investments of $200.6 million. Our cash, cash equivalents and short-term investments consist of U.S. Treasury securities, U.S. Government agency securities and highly rated, investment-grade corporate debt securities. </w:t>
      </w:r>
    </w:p>
    <w:p w:rsidR="00000000" w:rsidRDefault="00FD7D3C">
      <w:pPr>
        <w:ind w:firstLine="720"/>
        <w:divId w:val="482550167"/>
        <w:rPr>
          <w:rFonts w:eastAsia="Times New Roman"/>
        </w:rPr>
      </w:pPr>
      <w:r>
        <w:rPr>
          <w:rFonts w:eastAsia="Times New Roman"/>
          <w:color w:val="000000"/>
          <w:sz w:val="20"/>
          <w:szCs w:val="20"/>
        </w:rPr>
        <w:t>Our operations h</w:t>
      </w:r>
      <w:r>
        <w:rPr>
          <w:rFonts w:eastAsia="Times New Roman"/>
          <w:color w:val="000000"/>
          <w:sz w:val="20"/>
          <w:szCs w:val="20"/>
        </w:rPr>
        <w:t>ave been financed primarily through the issuance and sale of convertible preferred stock, our collaboration with Novartis and issuance of common stock via our IPO. We completed our IPO in June 2020 and received $148.3 million, net of underwriting discounts</w:t>
      </w:r>
      <w:r>
        <w:rPr>
          <w:rFonts w:eastAsia="Times New Roman"/>
          <w:color w:val="000000"/>
          <w:sz w:val="20"/>
          <w:szCs w:val="20"/>
        </w:rPr>
        <w:t>, commissions and offering expenses. Concurrent with the completion of the IPO, we also issued 625,000 shares of our common stock to Novartis for proceeds of $10.0 million. During the third quarter of 2021, we entered into a Controlled Equity Offerin</w:t>
      </w:r>
      <w:r>
        <w:rPr>
          <w:rFonts w:eastAsia="Times New Roman"/>
          <w:color w:val="000000"/>
          <w:sz w:val="20"/>
          <w:szCs w:val="20"/>
        </w:rPr>
        <w:t>g</w:t>
      </w:r>
      <w:r>
        <w:rPr>
          <w:rFonts w:eastAsia="Times New Roman"/>
          <w:color w:val="000000"/>
          <w:sz w:val="13"/>
          <w:szCs w:val="13"/>
        </w:rPr>
        <w:t>S</w:t>
      </w:r>
      <w:r>
        <w:rPr>
          <w:rFonts w:eastAsia="Times New Roman"/>
          <w:color w:val="000000"/>
          <w:sz w:val="13"/>
          <w:szCs w:val="13"/>
        </w:rPr>
        <w:t>M</w:t>
      </w:r>
      <w:r>
        <w:rPr>
          <w:rFonts w:eastAsia="Times New Roman"/>
          <w:color w:val="000000"/>
          <w:sz w:val="20"/>
          <w:szCs w:val="20"/>
        </w:rPr>
        <w:t xml:space="preserve"> Sa</w:t>
      </w:r>
      <w:r>
        <w:rPr>
          <w:rFonts w:eastAsia="Times New Roman"/>
          <w:color w:val="000000"/>
          <w:sz w:val="20"/>
          <w:szCs w:val="20"/>
        </w:rPr>
        <w:t>les Agreement (the “Sales Agreement”) with Cantor Fitzgerald &amp; Co., as sales agent, pursuant to which we may issue and sell up to $150.0 million of shares of common stock from time to time. The issuance and sale of these shares pursuant to the Sales Agreem</w:t>
      </w:r>
      <w:r>
        <w:rPr>
          <w:rFonts w:eastAsia="Times New Roman"/>
          <w:color w:val="000000"/>
          <w:sz w:val="20"/>
          <w:szCs w:val="20"/>
        </w:rPr>
        <w:t xml:space="preserve">ent are deemed an “at-the-market” offering and are registered under the Securities Act of 1933, as amended. We have not issued any shares pursuant to any at-the-market offerings but may do so at a future date. </w:t>
      </w:r>
    </w:p>
    <w:p w:rsidR="00000000" w:rsidRDefault="00FD7D3C">
      <w:pPr>
        <w:ind w:firstLine="720"/>
        <w:divId w:val="873611688"/>
        <w:rPr>
          <w:rFonts w:eastAsia="Times New Roman"/>
        </w:rPr>
      </w:pPr>
      <w:r>
        <w:rPr>
          <w:rFonts w:eastAsia="Times New Roman"/>
          <w:color w:val="000000"/>
          <w:sz w:val="20"/>
          <w:szCs w:val="20"/>
        </w:rPr>
        <w:t>We believe that our existing capital resource</w:t>
      </w:r>
      <w:r>
        <w:rPr>
          <w:rFonts w:eastAsia="Times New Roman"/>
          <w:color w:val="000000"/>
          <w:sz w:val="20"/>
          <w:szCs w:val="20"/>
        </w:rPr>
        <w:t>s, together with interest thereon, will be sufficient to meet our projected operating requirements for at least the next 12 months from the date of this filing and into the second half of 2023. We have based this estimate on assumptions that may prove to b</w:t>
      </w:r>
      <w:r>
        <w:rPr>
          <w:rFonts w:eastAsia="Times New Roman"/>
          <w:color w:val="000000"/>
          <w:sz w:val="20"/>
          <w:szCs w:val="20"/>
        </w:rPr>
        <w:t>e wrong, and we could utilize our available capital resources sooner than we currently expect. Further, our operating plan may change, and we may need additional funds to meet operational needs and capital requirements for product development and commercia</w:t>
      </w:r>
      <w:r>
        <w:rPr>
          <w:rFonts w:eastAsia="Times New Roman"/>
          <w:color w:val="000000"/>
          <w:sz w:val="20"/>
          <w:szCs w:val="20"/>
        </w:rPr>
        <w:t xml:space="preserve">lization sooner than planned. We currently have no credit facility or committed sources of capital other than potential milestones receivable under our current collaboration and license agreements. </w:t>
      </w:r>
    </w:p>
    <w:p w:rsidR="00000000" w:rsidRDefault="00FD7D3C">
      <w:pPr>
        <w:jc w:val="center"/>
        <w:divId w:val="1726249657"/>
        <w:rPr>
          <w:rFonts w:eastAsia="Times New Roman"/>
        </w:rPr>
      </w:pPr>
      <w:r>
        <w:rPr>
          <w:rFonts w:eastAsia="Times New Roman"/>
          <w:color w:val="000000"/>
          <w:sz w:val="20"/>
          <w:szCs w:val="20"/>
        </w:rPr>
        <w:t>100</w:t>
      </w:r>
    </w:p>
    <w:p w:rsidR="00000000" w:rsidRDefault="00FD7D3C">
      <w:pPr>
        <w:rPr>
          <w:rFonts w:eastAsia="Times New Roman"/>
        </w:rPr>
      </w:pPr>
      <w:r>
        <w:rPr>
          <w:rFonts w:eastAsia="Times New Roman"/>
        </w:rPr>
        <w:pict>
          <v:rect id="_x0000_i1153" style="width:0;height:1.5pt" o:hralign="center" o:hrstd="t" o:hr="t" fillcolor="#a0a0a0" stroked="f"/>
        </w:pict>
      </w:r>
    </w:p>
    <w:p w:rsidR="00000000" w:rsidRDefault="00FD7D3C">
      <w:pPr>
        <w:divId w:val="1699425252"/>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ind w:firstLine="720"/>
        <w:divId w:val="973758839"/>
        <w:rPr>
          <w:rFonts w:eastAsia="Times New Roman"/>
        </w:rPr>
      </w:pPr>
      <w:r>
        <w:rPr>
          <w:rFonts w:eastAsia="Times New Roman"/>
          <w:i/>
          <w:iCs/>
          <w:color w:val="000000"/>
          <w:sz w:val="20"/>
          <w:szCs w:val="20"/>
        </w:rPr>
        <w:t>Funding Requirements</w:t>
      </w:r>
    </w:p>
    <w:p w:rsidR="00000000" w:rsidRDefault="00FD7D3C">
      <w:pPr>
        <w:ind w:firstLine="720"/>
        <w:divId w:val="1148594905"/>
        <w:rPr>
          <w:rFonts w:eastAsia="Times New Roman"/>
        </w:rPr>
      </w:pPr>
      <w:r>
        <w:rPr>
          <w:rFonts w:eastAsia="Times New Roman"/>
          <w:color w:val="000000"/>
          <w:sz w:val="20"/>
          <w:szCs w:val="20"/>
        </w:rPr>
        <w:t>Our primary use of cash is to fund operating expenses, primarily research and development expenditures. Cash used to fund o</w:t>
      </w:r>
      <w:r>
        <w:rPr>
          <w:rFonts w:eastAsia="Times New Roman"/>
          <w:color w:val="000000"/>
          <w:sz w:val="20"/>
          <w:szCs w:val="20"/>
        </w:rPr>
        <w:t>perating expenses is impacted by the timing of when we pay these expenses, as reflected in the change in our outstanding accounts payable, accrued expenses and prepaid expenses.</w:t>
      </w:r>
    </w:p>
    <w:p w:rsidR="00000000" w:rsidRDefault="00FD7D3C">
      <w:pPr>
        <w:ind w:firstLine="720"/>
        <w:divId w:val="1262644559"/>
        <w:rPr>
          <w:rFonts w:eastAsia="Times New Roman"/>
        </w:rPr>
      </w:pPr>
      <w:r>
        <w:rPr>
          <w:rFonts w:eastAsia="Times New Roman"/>
          <w:color w:val="000000"/>
          <w:sz w:val="20"/>
          <w:szCs w:val="20"/>
        </w:rPr>
        <w:t>Our future funding requirements will depend on many factors, including the following:</w:t>
      </w:r>
    </w:p>
    <w:p w:rsidR="00000000" w:rsidRDefault="00FD7D3C">
      <w:pPr>
        <w:ind w:hanging="1260"/>
        <w:divId w:val="228928542"/>
        <w:rPr>
          <w:rFonts w:eastAsia="Times New Roman"/>
        </w:rPr>
      </w:pPr>
      <w:r>
        <w:rPr>
          <w:rFonts w:ascii="Arial" w:eastAsia="Times New Roman" w:hAnsi="Arial" w:cs="Arial"/>
          <w:color w:val="000000"/>
          <w:sz w:val="20"/>
          <w:szCs w:val="20"/>
        </w:rPr>
        <w:t>•</w:t>
      </w:r>
      <w:r>
        <w:rPr>
          <w:rFonts w:eastAsia="Times New Roman"/>
          <w:color w:val="000000"/>
          <w:sz w:val="20"/>
          <w:szCs w:val="20"/>
        </w:rPr>
        <w:t>the initiation, progress, timing, costs and results of preclinical studies and clinical trials for our product candidates;</w:t>
      </w:r>
    </w:p>
    <w:p w:rsidR="00000000" w:rsidRDefault="00FD7D3C">
      <w:pPr>
        <w:ind w:hanging="1260"/>
        <w:divId w:val="155850208"/>
        <w:rPr>
          <w:rFonts w:eastAsia="Times New Roman"/>
        </w:rPr>
      </w:pPr>
      <w:r>
        <w:rPr>
          <w:rFonts w:ascii="Arial" w:eastAsia="Times New Roman" w:hAnsi="Arial" w:cs="Arial"/>
          <w:color w:val="000000"/>
          <w:sz w:val="20"/>
          <w:szCs w:val="20"/>
        </w:rPr>
        <w:t>•</w:t>
      </w:r>
      <w:r>
        <w:rPr>
          <w:rFonts w:eastAsia="Times New Roman"/>
          <w:color w:val="000000"/>
          <w:sz w:val="20"/>
          <w:szCs w:val="20"/>
        </w:rPr>
        <w:t>the clinical development plans we establish f</w:t>
      </w:r>
      <w:r>
        <w:rPr>
          <w:rFonts w:eastAsia="Times New Roman"/>
          <w:color w:val="000000"/>
          <w:sz w:val="20"/>
          <w:szCs w:val="20"/>
        </w:rPr>
        <w:t>or these product candidates;</w:t>
      </w:r>
    </w:p>
    <w:p w:rsidR="00000000" w:rsidRDefault="00FD7D3C">
      <w:pPr>
        <w:ind w:hanging="1260"/>
        <w:divId w:val="846359657"/>
        <w:rPr>
          <w:rFonts w:eastAsia="Times New Roman"/>
        </w:rPr>
      </w:pPr>
      <w:r>
        <w:rPr>
          <w:rFonts w:ascii="Arial" w:eastAsia="Times New Roman" w:hAnsi="Arial" w:cs="Arial"/>
          <w:color w:val="000000"/>
          <w:sz w:val="20"/>
          <w:szCs w:val="20"/>
        </w:rPr>
        <w:t>•</w:t>
      </w:r>
      <w:r>
        <w:rPr>
          <w:rFonts w:eastAsia="Times New Roman"/>
          <w:color w:val="000000"/>
          <w:sz w:val="20"/>
          <w:szCs w:val="20"/>
        </w:rPr>
        <w:t>the timelines of our clinical trials and the overall costs to conduct and complete the clinical trials, which may be impacted by the COVID-19 pandemic;</w:t>
      </w:r>
    </w:p>
    <w:p w:rsidR="00000000" w:rsidRDefault="00FD7D3C">
      <w:pPr>
        <w:ind w:hanging="1260"/>
        <w:divId w:val="405736154"/>
        <w:rPr>
          <w:rFonts w:eastAsia="Times New Roman"/>
        </w:rPr>
      </w:pPr>
      <w:r>
        <w:rPr>
          <w:rFonts w:ascii="Arial" w:eastAsia="Times New Roman" w:hAnsi="Arial" w:cs="Arial"/>
          <w:color w:val="000000"/>
          <w:sz w:val="20"/>
          <w:szCs w:val="20"/>
        </w:rPr>
        <w:t>•</w:t>
      </w:r>
      <w:r>
        <w:rPr>
          <w:rFonts w:eastAsia="Times New Roman"/>
          <w:color w:val="000000"/>
          <w:sz w:val="20"/>
          <w:szCs w:val="20"/>
        </w:rPr>
        <w:t>the number and characteristics of product candidates that we develop;</w:t>
      </w:r>
    </w:p>
    <w:p w:rsidR="00000000" w:rsidRDefault="00FD7D3C">
      <w:pPr>
        <w:ind w:hanging="1260"/>
        <w:divId w:val="1189176808"/>
        <w:rPr>
          <w:rFonts w:eastAsia="Times New Roman"/>
        </w:rPr>
      </w:pPr>
      <w:r>
        <w:rPr>
          <w:rFonts w:ascii="Arial" w:eastAsia="Times New Roman" w:hAnsi="Arial" w:cs="Arial"/>
          <w:color w:val="000000"/>
          <w:sz w:val="20"/>
          <w:szCs w:val="20"/>
        </w:rPr>
        <w:t>•</w:t>
      </w:r>
      <w:r>
        <w:rPr>
          <w:rFonts w:eastAsia="Times New Roman"/>
          <w:color w:val="000000"/>
          <w:sz w:val="20"/>
          <w:szCs w:val="20"/>
        </w:rPr>
        <w:t>th</w:t>
      </w:r>
      <w:r>
        <w:rPr>
          <w:rFonts w:eastAsia="Times New Roman"/>
          <w:color w:val="000000"/>
          <w:sz w:val="20"/>
          <w:szCs w:val="20"/>
        </w:rPr>
        <w:t>e outcome, timing and cost of meeting regulatory requirements established by the U.S. Food and Drug Administration, or FDA, and other comparable foreign regulatory authorities;</w:t>
      </w:r>
    </w:p>
    <w:p w:rsidR="00000000" w:rsidRDefault="00FD7D3C">
      <w:pPr>
        <w:ind w:hanging="1260"/>
        <w:divId w:val="608584164"/>
        <w:rPr>
          <w:rFonts w:eastAsia="Times New Roman"/>
        </w:rPr>
      </w:pPr>
      <w:r>
        <w:rPr>
          <w:rFonts w:ascii="Arial" w:eastAsia="Times New Roman" w:hAnsi="Arial" w:cs="Arial"/>
          <w:color w:val="000000"/>
          <w:sz w:val="20"/>
          <w:szCs w:val="20"/>
        </w:rPr>
        <w:t>•</w:t>
      </w:r>
      <w:r>
        <w:rPr>
          <w:rFonts w:eastAsia="Times New Roman"/>
          <w:color w:val="000000"/>
          <w:sz w:val="20"/>
          <w:szCs w:val="20"/>
        </w:rPr>
        <w:t>whether we enter into any collaboration agreements and the terms of any such a</w:t>
      </w:r>
      <w:r>
        <w:rPr>
          <w:rFonts w:eastAsia="Times New Roman"/>
          <w:color w:val="000000"/>
          <w:sz w:val="20"/>
          <w:szCs w:val="20"/>
        </w:rPr>
        <w:t>greements;</w:t>
      </w:r>
    </w:p>
    <w:p w:rsidR="00000000" w:rsidRDefault="00FD7D3C">
      <w:pPr>
        <w:ind w:hanging="1260"/>
        <w:divId w:val="1863854244"/>
        <w:rPr>
          <w:rFonts w:eastAsia="Times New Roman"/>
        </w:rPr>
      </w:pPr>
      <w:r>
        <w:rPr>
          <w:rFonts w:ascii="Arial" w:eastAsia="Times New Roman" w:hAnsi="Arial" w:cs="Arial"/>
          <w:color w:val="000000"/>
          <w:sz w:val="20"/>
          <w:szCs w:val="20"/>
        </w:rPr>
        <w:t>•</w:t>
      </w:r>
      <w:r>
        <w:rPr>
          <w:rFonts w:eastAsia="Times New Roman"/>
          <w:color w:val="000000"/>
          <w:sz w:val="20"/>
          <w:szCs w:val="20"/>
        </w:rPr>
        <w:t>the cost of filing, prosecuting, defending and enforcing our patent claims and other intellectual property rights;</w:t>
      </w:r>
    </w:p>
    <w:p w:rsidR="00000000" w:rsidRDefault="00FD7D3C">
      <w:pPr>
        <w:ind w:hanging="1260"/>
        <w:divId w:val="611865567"/>
        <w:rPr>
          <w:rFonts w:eastAsia="Times New Roman"/>
        </w:rPr>
      </w:pPr>
      <w:r>
        <w:rPr>
          <w:rFonts w:ascii="Arial" w:eastAsia="Times New Roman" w:hAnsi="Arial" w:cs="Arial"/>
          <w:color w:val="000000"/>
          <w:sz w:val="20"/>
          <w:szCs w:val="20"/>
        </w:rPr>
        <w:t>•</w:t>
      </w:r>
      <w:r>
        <w:rPr>
          <w:rFonts w:eastAsia="Times New Roman"/>
          <w:color w:val="000000"/>
          <w:sz w:val="20"/>
          <w:szCs w:val="20"/>
        </w:rPr>
        <w:t xml:space="preserve">the cost of defending intellectual property disputes, including patent infringement actions brought by third parties against us </w:t>
      </w:r>
      <w:r>
        <w:rPr>
          <w:rFonts w:eastAsia="Times New Roman"/>
          <w:color w:val="000000"/>
          <w:sz w:val="20"/>
          <w:szCs w:val="20"/>
        </w:rPr>
        <w:t>or our product candidates;</w:t>
      </w:r>
    </w:p>
    <w:p w:rsidR="00000000" w:rsidRDefault="00FD7D3C">
      <w:pPr>
        <w:ind w:hanging="1260"/>
        <w:divId w:val="859126744"/>
        <w:rPr>
          <w:rFonts w:eastAsia="Times New Roman"/>
        </w:rPr>
      </w:pPr>
      <w:r>
        <w:rPr>
          <w:rFonts w:ascii="Arial" w:eastAsia="Times New Roman" w:hAnsi="Arial" w:cs="Arial"/>
          <w:color w:val="000000"/>
          <w:sz w:val="20"/>
          <w:szCs w:val="20"/>
        </w:rPr>
        <w:t>•</w:t>
      </w:r>
      <w:r>
        <w:rPr>
          <w:rFonts w:eastAsia="Times New Roman"/>
          <w:color w:val="000000"/>
          <w:sz w:val="20"/>
          <w:szCs w:val="20"/>
        </w:rPr>
        <w:t>the effect of competing technological and market developments;</w:t>
      </w:r>
    </w:p>
    <w:p w:rsidR="00000000" w:rsidRDefault="00FD7D3C">
      <w:pPr>
        <w:ind w:hanging="1260"/>
        <w:divId w:val="1623728638"/>
        <w:rPr>
          <w:rFonts w:eastAsia="Times New Roman"/>
        </w:rPr>
      </w:pPr>
      <w:r>
        <w:rPr>
          <w:rFonts w:ascii="Arial" w:eastAsia="Times New Roman" w:hAnsi="Arial" w:cs="Arial"/>
          <w:color w:val="000000"/>
          <w:sz w:val="20"/>
          <w:szCs w:val="20"/>
        </w:rPr>
        <w:t>•</w:t>
      </w:r>
      <w:r>
        <w:rPr>
          <w:rFonts w:eastAsia="Times New Roman"/>
          <w:color w:val="000000"/>
          <w:sz w:val="20"/>
          <w:szCs w:val="20"/>
        </w:rPr>
        <w:t xml:space="preserve">the cost and timing of completion of commercial-scale outsourced manufacturing activities; </w:t>
      </w:r>
    </w:p>
    <w:p w:rsidR="00000000" w:rsidRDefault="00FD7D3C">
      <w:pPr>
        <w:ind w:hanging="1260"/>
        <w:divId w:val="340085771"/>
        <w:rPr>
          <w:rFonts w:eastAsia="Times New Roman"/>
        </w:rPr>
      </w:pPr>
      <w:r>
        <w:rPr>
          <w:rFonts w:ascii="Arial" w:eastAsia="Times New Roman" w:hAnsi="Arial" w:cs="Arial"/>
          <w:color w:val="000000"/>
          <w:sz w:val="20"/>
          <w:szCs w:val="20"/>
        </w:rPr>
        <w:t>•</w:t>
      </w:r>
      <w:r>
        <w:rPr>
          <w:rFonts w:eastAsia="Times New Roman"/>
          <w:color w:val="000000"/>
          <w:sz w:val="20"/>
          <w:szCs w:val="20"/>
        </w:rPr>
        <w:t>the cost of establishing sales, marketing and distribution capabilities</w:t>
      </w:r>
      <w:r>
        <w:rPr>
          <w:rFonts w:eastAsia="Times New Roman"/>
          <w:color w:val="000000"/>
          <w:sz w:val="20"/>
          <w:szCs w:val="20"/>
        </w:rPr>
        <w:t xml:space="preserve"> for any product candidates for which we may receive regulatory approval in regions where we choose to commercialize our products on our own; and</w:t>
      </w:r>
    </w:p>
    <w:p w:rsidR="00000000" w:rsidRDefault="00FD7D3C">
      <w:pPr>
        <w:ind w:hanging="1260"/>
        <w:divId w:val="1809662202"/>
        <w:rPr>
          <w:rFonts w:eastAsia="Times New Roman"/>
        </w:rPr>
      </w:pPr>
      <w:r>
        <w:rPr>
          <w:rFonts w:ascii="Arial" w:eastAsia="Times New Roman" w:hAnsi="Arial" w:cs="Arial"/>
          <w:color w:val="000000"/>
          <w:sz w:val="20"/>
          <w:szCs w:val="20"/>
        </w:rPr>
        <w:t>•</w:t>
      </w:r>
      <w:r>
        <w:rPr>
          <w:rFonts w:eastAsia="Times New Roman"/>
          <w:color w:val="000000"/>
          <w:sz w:val="20"/>
          <w:szCs w:val="20"/>
        </w:rPr>
        <w:t>the cost of operating as a public company.</w:t>
      </w:r>
    </w:p>
    <w:p w:rsidR="00000000" w:rsidRDefault="00FD7D3C">
      <w:pPr>
        <w:ind w:firstLine="1260"/>
        <w:divId w:val="1588541991"/>
        <w:rPr>
          <w:rFonts w:eastAsia="Times New Roman"/>
        </w:rPr>
      </w:pPr>
      <w:r>
        <w:rPr>
          <w:rFonts w:eastAsia="Times New Roman"/>
          <w:color w:val="000000"/>
          <w:sz w:val="20"/>
          <w:szCs w:val="20"/>
        </w:rPr>
        <w:t>Further, our operating plan may change, and we may need additional</w:t>
      </w:r>
      <w:r>
        <w:rPr>
          <w:rFonts w:eastAsia="Times New Roman"/>
          <w:color w:val="000000"/>
          <w:sz w:val="20"/>
          <w:szCs w:val="20"/>
        </w:rPr>
        <w:t xml:space="preserve"> funds to meet operational needs and capital requirements for clinical trials and other research and development expenditures. If we need to raise additional capital to fund our operations, funding may not be available to us on acceptable terms, or at all.</w:t>
      </w:r>
      <w:r>
        <w:rPr>
          <w:rFonts w:eastAsia="Times New Roman"/>
          <w:color w:val="000000"/>
          <w:sz w:val="20"/>
          <w:szCs w:val="20"/>
        </w:rPr>
        <w:t xml:space="preserve"> If we are unable to obtain adequate financing when needed, we may have to delay, reduce the scope of or suspend one or more of our preclinical studies, clinical trials, research and development programs or commercialization efforts. We may seek to raise a</w:t>
      </w:r>
      <w:r>
        <w:rPr>
          <w:rFonts w:eastAsia="Times New Roman"/>
          <w:color w:val="000000"/>
          <w:sz w:val="20"/>
          <w:szCs w:val="20"/>
        </w:rPr>
        <w:t>ny necessary additional capital through a combination of public or private equity offerings, debt financings, collaborations and other licensing arrangements. If we raise additional capital through debt financing, we may be subject to covenants limiting or</w:t>
      </w:r>
      <w:r>
        <w:rPr>
          <w:rFonts w:eastAsia="Times New Roman"/>
          <w:color w:val="000000"/>
          <w:sz w:val="20"/>
          <w:szCs w:val="20"/>
        </w:rPr>
        <w:t xml:space="preserve"> restricting our ability to take specific actions, such as incurring additional debt, making capital expenditures or declaring dividends. If we raise additional capital through marketing and distribution arrangements or other collaborations, strategic alli</w:t>
      </w:r>
      <w:r>
        <w:rPr>
          <w:rFonts w:eastAsia="Times New Roman"/>
          <w:color w:val="000000"/>
          <w:sz w:val="20"/>
          <w:szCs w:val="20"/>
        </w:rPr>
        <w:t>ances or licensing arrangements with third parties, we may have to relinquish certain valuable rights to our product candidates, technologies, future revenue streams or research programs or grant licenses on terms that may not be favorable to us.</w:t>
      </w:r>
    </w:p>
    <w:p w:rsidR="00000000" w:rsidRDefault="00FD7D3C">
      <w:pPr>
        <w:divId w:val="1906836804"/>
        <w:rPr>
          <w:rFonts w:eastAsia="Times New Roman"/>
        </w:rPr>
      </w:pPr>
      <w:r>
        <w:rPr>
          <w:rFonts w:eastAsia="Times New Roman"/>
          <w:b/>
          <w:bCs/>
          <w:color w:val="000000"/>
          <w:sz w:val="20"/>
          <w:szCs w:val="20"/>
        </w:rPr>
        <w:t>Cash Flow</w:t>
      </w:r>
      <w:r>
        <w:rPr>
          <w:rFonts w:eastAsia="Times New Roman"/>
          <w:b/>
          <w:bCs/>
          <w:color w:val="000000"/>
          <w:sz w:val="20"/>
          <w:szCs w:val="20"/>
        </w:rPr>
        <w:t>s</w:t>
      </w:r>
    </w:p>
    <w:p w:rsidR="00000000" w:rsidRDefault="00FD7D3C">
      <w:pPr>
        <w:ind w:firstLine="720"/>
        <w:divId w:val="469251470"/>
        <w:rPr>
          <w:rFonts w:eastAsia="Times New Roman"/>
        </w:rPr>
      </w:pPr>
      <w:r>
        <w:rPr>
          <w:rFonts w:eastAsia="Times New Roman"/>
          <w:color w:val="000000"/>
          <w:sz w:val="20"/>
          <w:szCs w:val="20"/>
        </w:rPr>
        <w:t>The following summarizes our cash flows for the periods indicated (in thousands):</w:t>
      </w:r>
    </w:p>
    <w:tbl>
      <w:tblPr>
        <w:tblW w:w="5000" w:type="pct"/>
        <w:tblCellMar>
          <w:top w:w="15" w:type="dxa"/>
          <w:left w:w="15" w:type="dxa"/>
          <w:bottom w:w="15" w:type="dxa"/>
          <w:right w:w="15" w:type="dxa"/>
        </w:tblCellMar>
        <w:tblLook w:val="04A0" w:firstRow="1" w:lastRow="0" w:firstColumn="1" w:lastColumn="0" w:noHBand="0" w:noVBand="1"/>
      </w:tblPr>
      <w:tblGrid>
        <w:gridCol w:w="38"/>
        <w:gridCol w:w="4755"/>
        <w:gridCol w:w="37"/>
        <w:gridCol w:w="120"/>
        <w:gridCol w:w="946"/>
        <w:gridCol w:w="36"/>
        <w:gridCol w:w="36"/>
        <w:gridCol w:w="36"/>
        <w:gridCol w:w="36"/>
        <w:gridCol w:w="120"/>
        <w:gridCol w:w="899"/>
        <w:gridCol w:w="36"/>
        <w:gridCol w:w="36"/>
        <w:gridCol w:w="36"/>
        <w:gridCol w:w="36"/>
        <w:gridCol w:w="120"/>
        <w:gridCol w:w="947"/>
        <w:gridCol w:w="36"/>
      </w:tblGrid>
      <w:tr w:rsidR="00000000">
        <w:trPr>
          <w:divId w:val="1677884359"/>
        </w:trPr>
        <w:tc>
          <w:tcPr>
            <w:tcW w:w="50" w:type="pct"/>
            <w:vAlign w:val="center"/>
            <w:hideMark/>
          </w:tcPr>
          <w:p w:rsidR="00000000" w:rsidRDefault="00FD7D3C">
            <w:pPr>
              <w:ind w:firstLine="720"/>
              <w:rPr>
                <w:rFonts w:eastAsia="Times New Roman"/>
              </w:rPr>
            </w:pPr>
          </w:p>
        </w:tc>
        <w:tc>
          <w:tcPr>
            <w:tcW w:w="2902"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603"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27"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603"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20"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603"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r>
      <w:tr w:rsidR="00000000">
        <w:trPr>
          <w:divId w:val="1677884359"/>
        </w:trPr>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Year Ended December 31,</w:t>
            </w:r>
          </w:p>
        </w:tc>
      </w:tr>
      <w:tr w:rsidR="00000000">
        <w:trPr>
          <w:divId w:val="1677884359"/>
        </w:trPr>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2019</w:t>
            </w:r>
          </w:p>
        </w:tc>
      </w:tr>
      <w:tr w:rsidR="00000000">
        <w:trPr>
          <w:divId w:val="1677884359"/>
        </w:trPr>
        <w:tc>
          <w:tcPr>
            <w:tcW w:w="0" w:type="auto"/>
            <w:gridSpan w:val="3"/>
            <w:shd w:val="clear" w:color="auto" w:fill="CFF0FC"/>
            <w:tcMar>
              <w:top w:w="30" w:type="dxa"/>
              <w:left w:w="20" w:type="dxa"/>
              <w:bottom w:w="30" w:type="dxa"/>
              <w:right w:w="20" w:type="dxa"/>
            </w:tcMar>
            <w:vAlign w:val="bottom"/>
            <w:hideMark/>
          </w:tcPr>
          <w:p w:rsidR="00000000" w:rsidRDefault="00FD7D3C">
            <w:pPr>
              <w:spacing w:after="100"/>
              <w:rPr>
                <w:rFonts w:eastAsia="Times New Roman"/>
              </w:rPr>
            </w:pPr>
            <w:r>
              <w:rPr>
                <w:rFonts w:eastAsia="Times New Roman"/>
                <w:color w:val="000000"/>
                <w:sz w:val="20"/>
                <w:szCs w:val="20"/>
              </w:rPr>
              <w:t>Net cash used in operating activities</w:t>
            </w: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(75,443)</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(37,271)</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(2,750)</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1677884359"/>
        </w:trPr>
        <w:tc>
          <w:tcPr>
            <w:tcW w:w="0" w:type="auto"/>
            <w:gridSpan w:val="3"/>
            <w:tcMar>
              <w:top w:w="30" w:type="dxa"/>
              <w:left w:w="20" w:type="dxa"/>
              <w:bottom w:w="30" w:type="dxa"/>
              <w:right w:w="20" w:type="dxa"/>
            </w:tcMar>
            <w:vAlign w:val="bottom"/>
            <w:hideMark/>
          </w:tcPr>
          <w:p w:rsidR="00000000" w:rsidRDefault="00FD7D3C">
            <w:pPr>
              <w:spacing w:after="100"/>
              <w:rPr>
                <w:rFonts w:eastAsia="Times New Roman"/>
              </w:rPr>
            </w:pPr>
            <w:r>
              <w:rPr>
                <w:rFonts w:eastAsia="Times New Roman"/>
                <w:color w:val="000000"/>
                <w:sz w:val="20"/>
                <w:szCs w:val="20"/>
              </w:rPr>
              <w:t>Net cash provided by (used in) investing activities</w:t>
            </w:r>
          </w:p>
        </w:tc>
        <w:tc>
          <w:tcPr>
            <w:tcW w:w="0" w:type="auto"/>
            <w:gridSpan w:val="2"/>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73,699 </w:t>
            </w:r>
          </w:p>
        </w:tc>
        <w:tc>
          <w:tcPr>
            <w:tcW w:w="0" w:type="auto"/>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(210,866)</w:t>
            </w:r>
          </w:p>
        </w:tc>
        <w:tc>
          <w:tcPr>
            <w:tcW w:w="0" w:type="auto"/>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(17,931)</w:t>
            </w:r>
          </w:p>
        </w:tc>
        <w:tc>
          <w:tcPr>
            <w:tcW w:w="0" w:type="auto"/>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1677884359"/>
        </w:trPr>
        <w:tc>
          <w:tcPr>
            <w:tcW w:w="0" w:type="auto"/>
            <w:gridSpan w:val="3"/>
            <w:shd w:val="clear" w:color="auto" w:fill="CFF0FC"/>
            <w:tcMar>
              <w:top w:w="30" w:type="dxa"/>
              <w:left w:w="20" w:type="dxa"/>
              <w:bottom w:w="30" w:type="dxa"/>
              <w:right w:w="20" w:type="dxa"/>
            </w:tcMar>
            <w:vAlign w:val="bottom"/>
            <w:hideMark/>
          </w:tcPr>
          <w:p w:rsidR="00000000" w:rsidRDefault="00FD7D3C">
            <w:pPr>
              <w:spacing w:after="100"/>
              <w:rPr>
                <w:rFonts w:eastAsia="Times New Roman"/>
              </w:rPr>
            </w:pPr>
            <w:r>
              <w:rPr>
                <w:rFonts w:eastAsia="Times New Roman"/>
                <w:color w:val="000000"/>
                <w:sz w:val="20"/>
                <w:szCs w:val="20"/>
              </w:rPr>
              <w:t>Net cash provided by financing activities</w:t>
            </w:r>
          </w:p>
        </w:tc>
        <w:tc>
          <w:tcPr>
            <w:tcW w:w="0" w:type="auto"/>
            <w:gridSpan w:val="2"/>
            <w:shd w:val="clear" w:color="auto" w:fill="CFF0FC"/>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2,527 </w:t>
            </w:r>
          </w:p>
        </w:tc>
        <w:tc>
          <w:tcPr>
            <w:tcW w:w="0" w:type="auto"/>
            <w:shd w:val="clear" w:color="auto" w:fill="CFF0FC"/>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FF0FC"/>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213,212 </w:t>
            </w:r>
          </w:p>
        </w:tc>
        <w:tc>
          <w:tcPr>
            <w:tcW w:w="0" w:type="auto"/>
            <w:shd w:val="clear" w:color="auto" w:fill="CFF0FC"/>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FF0FC"/>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45,539 </w:t>
            </w:r>
          </w:p>
        </w:tc>
        <w:tc>
          <w:tcPr>
            <w:tcW w:w="0" w:type="auto"/>
            <w:shd w:val="clear" w:color="auto" w:fill="CFF0FC"/>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1677884359"/>
        </w:trPr>
        <w:tc>
          <w:tcPr>
            <w:tcW w:w="0" w:type="auto"/>
            <w:gridSpan w:val="3"/>
            <w:tcMar>
              <w:top w:w="30" w:type="dxa"/>
              <w:left w:w="245" w:type="dxa"/>
              <w:bottom w:w="30" w:type="dxa"/>
              <w:right w:w="20" w:type="dxa"/>
            </w:tcMar>
            <w:vAlign w:val="bottom"/>
            <w:hideMark/>
          </w:tcPr>
          <w:p w:rsidR="00000000" w:rsidRDefault="00FD7D3C">
            <w:pPr>
              <w:spacing w:after="100"/>
              <w:rPr>
                <w:rFonts w:eastAsia="Times New Roman"/>
              </w:rPr>
            </w:pPr>
            <w:r>
              <w:rPr>
                <w:rFonts w:eastAsia="Times New Roman"/>
                <w:color w:val="000000"/>
                <w:sz w:val="20"/>
                <w:szCs w:val="20"/>
              </w:rPr>
              <w:t>Net increase (decrease) in cash and cash equivalents</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783 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(34,925)</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24,858 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FD7D3C">
            <w:pPr>
              <w:spacing w:after="100"/>
              <w:jc w:val="right"/>
              <w:rPr>
                <w:rFonts w:eastAsia="Times New Roman"/>
              </w:rPr>
            </w:pPr>
          </w:p>
        </w:tc>
      </w:tr>
    </w:tbl>
    <w:p w:rsidR="00000000" w:rsidRDefault="00FD7D3C">
      <w:pPr>
        <w:jc w:val="center"/>
        <w:divId w:val="485048391"/>
        <w:rPr>
          <w:rFonts w:eastAsia="Times New Roman"/>
        </w:rPr>
      </w:pPr>
      <w:r>
        <w:rPr>
          <w:rFonts w:eastAsia="Times New Roman"/>
          <w:color w:val="000000"/>
          <w:sz w:val="20"/>
          <w:szCs w:val="20"/>
        </w:rPr>
        <w:t>101</w:t>
      </w:r>
    </w:p>
    <w:p w:rsidR="00000000" w:rsidRDefault="00FD7D3C">
      <w:pPr>
        <w:rPr>
          <w:rFonts w:eastAsia="Times New Roman"/>
        </w:rPr>
      </w:pPr>
      <w:r>
        <w:rPr>
          <w:rFonts w:eastAsia="Times New Roman"/>
        </w:rPr>
        <w:pict>
          <v:rect id="_x0000_i1154" style="width:0;height:1.5pt" o:hralign="center" o:hrstd="t" o:hr="t" fillcolor="#a0a0a0" stroked="f"/>
        </w:pict>
      </w:r>
    </w:p>
    <w:p w:rsidR="00000000" w:rsidRDefault="00FD7D3C">
      <w:pPr>
        <w:divId w:val="889611208"/>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divId w:val="2024699955"/>
        <w:rPr>
          <w:rFonts w:eastAsia="Times New Roman"/>
        </w:rPr>
      </w:pPr>
      <w:r>
        <w:rPr>
          <w:rFonts w:eastAsia="Times New Roman"/>
          <w:b/>
          <w:bCs/>
          <w:i/>
          <w:iCs/>
          <w:color w:val="000000"/>
          <w:sz w:val="20"/>
          <w:szCs w:val="20"/>
        </w:rPr>
        <w:t>Cash Used in Operating Activities</w:t>
      </w:r>
    </w:p>
    <w:p w:rsidR="00000000" w:rsidRDefault="00FD7D3C">
      <w:pPr>
        <w:ind w:firstLine="720"/>
        <w:divId w:val="1455321053"/>
        <w:rPr>
          <w:rFonts w:eastAsia="Times New Roman"/>
        </w:rPr>
      </w:pPr>
      <w:r>
        <w:rPr>
          <w:rFonts w:eastAsia="Times New Roman"/>
          <w:color w:val="000000"/>
          <w:sz w:val="20"/>
          <w:szCs w:val="20"/>
        </w:rPr>
        <w:t>Net cash used in operating activities was $75.4 million for the year ended December 31, 2021 compared to $37.3</w:t>
      </w:r>
      <w:r>
        <w:rPr>
          <w:rFonts w:eastAsia="Times New Roman"/>
          <w:color w:val="000000"/>
          <w:sz w:val="20"/>
          <w:szCs w:val="20"/>
        </w:rPr>
        <w:t xml:space="preserve"> million for the year ended December 31, 2020. The increase in cash used in operating activities of $38.2 million between the year ended December 31, 2021 and 2020 was primarily due to decreased revenues and related receipts from our collaboration partner,</w:t>
      </w:r>
      <w:r>
        <w:rPr>
          <w:rFonts w:eastAsia="Times New Roman"/>
          <w:color w:val="000000"/>
          <w:sz w:val="20"/>
          <w:szCs w:val="20"/>
        </w:rPr>
        <w:t xml:space="preserve"> Novartis, during 2021 coupled with an increase in operating expenses of $21.6 million. </w:t>
      </w:r>
    </w:p>
    <w:p w:rsidR="00000000" w:rsidRDefault="00FD7D3C">
      <w:pPr>
        <w:ind w:firstLine="720"/>
        <w:divId w:val="455296458"/>
        <w:rPr>
          <w:rFonts w:eastAsia="Times New Roman"/>
        </w:rPr>
      </w:pPr>
      <w:r>
        <w:rPr>
          <w:rFonts w:eastAsia="Times New Roman"/>
          <w:color w:val="000000"/>
          <w:sz w:val="20"/>
          <w:szCs w:val="20"/>
        </w:rPr>
        <w:t>Net cash used in operating activities was $37.3 million for the year ended December 31, 2020 compared to $2.8 million for the year ended December 31, 2019. The increas</w:t>
      </w:r>
      <w:r>
        <w:rPr>
          <w:rFonts w:eastAsia="Times New Roman"/>
          <w:color w:val="000000"/>
          <w:sz w:val="20"/>
          <w:szCs w:val="20"/>
        </w:rPr>
        <w:t>e in cash used in operating activities of $34.5 million between the year ended December 31, 2020 and 2019 was primarily due to an overall increase in operating expenses of $25.2 million plus decreased revenues from Novartis of $15.2 million as the $25.0 mi</w:t>
      </w:r>
      <w:r>
        <w:rPr>
          <w:rFonts w:eastAsia="Times New Roman"/>
          <w:color w:val="000000"/>
          <w:sz w:val="20"/>
          <w:szCs w:val="20"/>
        </w:rPr>
        <w:t xml:space="preserve">llion milestone earned in the first quarter of 2020 was more than offset by the $50.0 million upfront license fee earned in 2019 plus. </w:t>
      </w:r>
    </w:p>
    <w:p w:rsidR="00000000" w:rsidRDefault="00FD7D3C">
      <w:pPr>
        <w:divId w:val="3871039"/>
        <w:rPr>
          <w:rFonts w:eastAsia="Times New Roman"/>
        </w:rPr>
      </w:pPr>
      <w:r>
        <w:rPr>
          <w:rFonts w:eastAsia="Times New Roman"/>
          <w:b/>
          <w:bCs/>
          <w:i/>
          <w:iCs/>
          <w:color w:val="000000"/>
          <w:sz w:val="20"/>
          <w:szCs w:val="20"/>
        </w:rPr>
        <w:t>Cash Provided by (Used in) Investing Activities</w:t>
      </w:r>
    </w:p>
    <w:p w:rsidR="00000000" w:rsidRDefault="00FD7D3C">
      <w:pPr>
        <w:ind w:firstLine="720"/>
        <w:divId w:val="815991894"/>
        <w:rPr>
          <w:rFonts w:eastAsia="Times New Roman"/>
        </w:rPr>
      </w:pPr>
      <w:r>
        <w:rPr>
          <w:rFonts w:eastAsia="Times New Roman"/>
          <w:color w:val="000000"/>
          <w:sz w:val="20"/>
          <w:szCs w:val="20"/>
        </w:rPr>
        <w:t>Net cash provided by investing activities during the year ended December</w:t>
      </w:r>
      <w:r>
        <w:rPr>
          <w:rFonts w:eastAsia="Times New Roman"/>
          <w:color w:val="000000"/>
          <w:sz w:val="20"/>
          <w:szCs w:val="20"/>
        </w:rPr>
        <w:t xml:space="preserve"> 31, 2021 was $73.7 million compared to net cash used in investing activities of $210.9 million during the year ended December 31, 2020. The increase in cash provided by investing activities of $284.6 million between the year ended December 31, 2021 and 20</w:t>
      </w:r>
      <w:r>
        <w:rPr>
          <w:rFonts w:eastAsia="Times New Roman"/>
          <w:color w:val="000000"/>
          <w:sz w:val="20"/>
          <w:szCs w:val="20"/>
        </w:rPr>
        <w:t>20 is a function of the timing of investment purchases versus maturities between the years. The significant shift from 2020 to 2021 is a result of significant financing inflows in 2020 compared to 2021 resulting in increased purchases of short-term investm</w:t>
      </w:r>
      <w:r>
        <w:rPr>
          <w:rFonts w:eastAsia="Times New Roman"/>
          <w:color w:val="000000"/>
          <w:sz w:val="20"/>
          <w:szCs w:val="20"/>
        </w:rPr>
        <w:t xml:space="preserve">ents in 2020. </w:t>
      </w:r>
    </w:p>
    <w:p w:rsidR="00000000" w:rsidRDefault="00FD7D3C">
      <w:pPr>
        <w:ind w:firstLine="720"/>
        <w:divId w:val="1438257841"/>
        <w:rPr>
          <w:rFonts w:eastAsia="Times New Roman"/>
        </w:rPr>
      </w:pPr>
      <w:r>
        <w:rPr>
          <w:rFonts w:eastAsia="Times New Roman"/>
          <w:color w:val="000000"/>
          <w:sz w:val="20"/>
          <w:szCs w:val="20"/>
        </w:rPr>
        <w:t>Net cash used in investing activities during the year ended December 31, 2020 was $210.9 million compared to net cash used in investing activities of $17.9 million during the year ended December 31, 2019. The increase in cash used in investi</w:t>
      </w:r>
      <w:r>
        <w:rPr>
          <w:rFonts w:eastAsia="Times New Roman"/>
          <w:color w:val="000000"/>
          <w:sz w:val="20"/>
          <w:szCs w:val="20"/>
        </w:rPr>
        <w:t xml:space="preserve">ng activities of $192.9 million between the year ended December 31, 2020 and 2019 is a function of the timing of investment purchases versus maturities between the years. The significant shift from 2019 to 2020 resulted from increased financing activities </w:t>
      </w:r>
      <w:r>
        <w:rPr>
          <w:rFonts w:eastAsia="Times New Roman"/>
          <w:color w:val="000000"/>
          <w:sz w:val="20"/>
          <w:szCs w:val="20"/>
        </w:rPr>
        <w:t xml:space="preserve">in 2020 compared to 2019 resulting in increased purchases of short-term investments in 2020. </w:t>
      </w:r>
    </w:p>
    <w:p w:rsidR="00000000" w:rsidRDefault="00FD7D3C">
      <w:pPr>
        <w:ind w:firstLine="720"/>
        <w:divId w:val="613900686"/>
        <w:rPr>
          <w:rFonts w:eastAsia="Times New Roman"/>
        </w:rPr>
      </w:pPr>
      <w:r>
        <w:rPr>
          <w:rFonts w:eastAsia="Times New Roman"/>
          <w:b/>
          <w:bCs/>
          <w:i/>
          <w:iCs/>
          <w:color w:val="000000"/>
          <w:sz w:val="20"/>
          <w:szCs w:val="20"/>
        </w:rPr>
        <w:t>Cash Provided by Financing Activities</w:t>
      </w:r>
    </w:p>
    <w:p w:rsidR="00000000" w:rsidRDefault="00FD7D3C">
      <w:pPr>
        <w:ind w:firstLine="720"/>
        <w:divId w:val="702437156"/>
        <w:rPr>
          <w:rFonts w:eastAsia="Times New Roman"/>
        </w:rPr>
      </w:pPr>
      <w:r>
        <w:rPr>
          <w:rFonts w:eastAsia="Times New Roman"/>
          <w:color w:val="000000"/>
          <w:sz w:val="20"/>
          <w:szCs w:val="20"/>
        </w:rPr>
        <w:t>Net cash provided by financing activities was $2.5 million during the year ended December 31, 2021 as compared to $213.2 mil</w:t>
      </w:r>
      <w:r>
        <w:rPr>
          <w:rFonts w:eastAsia="Times New Roman"/>
          <w:color w:val="000000"/>
          <w:sz w:val="20"/>
          <w:szCs w:val="20"/>
        </w:rPr>
        <w:t>lion during the year ended December 31, 2020. The decrease in cash provided by financing activities of $210.7 million between the year ended December 31, 2021 and 2020 was primarily due to 2020 financing activities including the issuance of common stock up</w:t>
      </w:r>
      <w:r>
        <w:rPr>
          <w:rFonts w:eastAsia="Times New Roman"/>
          <w:color w:val="000000"/>
          <w:sz w:val="20"/>
          <w:szCs w:val="20"/>
        </w:rPr>
        <w:t xml:space="preserve">on completion of our IPO of $150.8 million, issuance of common stock upon completion of the private placement with Novartis of $10.0 million and the issuance of our Series C convertible preferred stock of $52.0 million. </w:t>
      </w:r>
    </w:p>
    <w:p w:rsidR="00000000" w:rsidRDefault="00FD7D3C">
      <w:pPr>
        <w:ind w:firstLine="720"/>
        <w:divId w:val="391732980"/>
        <w:rPr>
          <w:rFonts w:eastAsia="Times New Roman"/>
        </w:rPr>
      </w:pPr>
      <w:r>
        <w:rPr>
          <w:rFonts w:eastAsia="Times New Roman"/>
          <w:color w:val="000000"/>
          <w:sz w:val="20"/>
          <w:szCs w:val="20"/>
        </w:rPr>
        <w:t>Net cash provided by financing activities was $213.2 million during the year ended December 31, 2020 as compared to $45.5 million during the year ended December 31, 2019. The increase in cash provided by financing activities of $167.7 million between the y</w:t>
      </w:r>
      <w:r>
        <w:rPr>
          <w:rFonts w:eastAsia="Times New Roman"/>
          <w:color w:val="000000"/>
          <w:sz w:val="20"/>
          <w:szCs w:val="20"/>
        </w:rPr>
        <w:t xml:space="preserve">ear ended December 31, 2020 and 2019 was primarily due to the above mentioned 2020 financing events, partially offset by net proceeds from the 2019 issuance of our Series C redeemable convertible preferred stock of $47.9 million. </w:t>
      </w:r>
    </w:p>
    <w:p w:rsidR="00000000" w:rsidRDefault="00FD7D3C">
      <w:pPr>
        <w:divId w:val="1235898903"/>
        <w:rPr>
          <w:rFonts w:eastAsia="Times New Roman"/>
        </w:rPr>
      </w:pPr>
      <w:r>
        <w:rPr>
          <w:rFonts w:eastAsia="Times New Roman"/>
          <w:b/>
          <w:bCs/>
          <w:color w:val="000000"/>
          <w:sz w:val="20"/>
          <w:szCs w:val="20"/>
        </w:rPr>
        <w:t>Off-Balance Sheet Arrange</w:t>
      </w:r>
      <w:r>
        <w:rPr>
          <w:rFonts w:eastAsia="Times New Roman"/>
          <w:b/>
          <w:bCs/>
          <w:color w:val="000000"/>
          <w:sz w:val="20"/>
          <w:szCs w:val="20"/>
        </w:rPr>
        <w:t>ments</w:t>
      </w:r>
    </w:p>
    <w:p w:rsidR="00000000" w:rsidRDefault="00FD7D3C">
      <w:pPr>
        <w:ind w:firstLine="720"/>
        <w:divId w:val="1467118973"/>
        <w:rPr>
          <w:rFonts w:eastAsia="Times New Roman"/>
        </w:rPr>
      </w:pPr>
      <w:r>
        <w:rPr>
          <w:rFonts w:eastAsia="Times New Roman"/>
          <w:color w:val="000000"/>
          <w:sz w:val="20"/>
          <w:szCs w:val="20"/>
        </w:rPr>
        <w:t>During the periods presented, we did not have, nor do we currently have, any off-balance sheet arrangements or holdings in any variable interest entities.</w:t>
      </w:r>
    </w:p>
    <w:p w:rsidR="00000000" w:rsidRDefault="00FD7D3C">
      <w:pPr>
        <w:divId w:val="1603878902"/>
        <w:rPr>
          <w:rFonts w:eastAsia="Times New Roman"/>
        </w:rPr>
      </w:pPr>
      <w:r>
        <w:rPr>
          <w:rFonts w:eastAsia="Times New Roman"/>
          <w:b/>
          <w:bCs/>
          <w:color w:val="000000"/>
          <w:sz w:val="20"/>
          <w:szCs w:val="20"/>
        </w:rPr>
        <w:t>Material Cash Requirements</w:t>
      </w:r>
    </w:p>
    <w:p w:rsidR="00000000" w:rsidRDefault="00FD7D3C">
      <w:pPr>
        <w:ind w:firstLine="720"/>
        <w:divId w:val="1218782280"/>
        <w:rPr>
          <w:rFonts w:eastAsia="Times New Roman"/>
        </w:rPr>
      </w:pPr>
      <w:r>
        <w:rPr>
          <w:rFonts w:eastAsia="Times New Roman"/>
          <w:color w:val="000000"/>
          <w:sz w:val="20"/>
          <w:szCs w:val="20"/>
        </w:rPr>
        <w:t xml:space="preserve">The following table summarizes our material cash requirements as of </w:t>
      </w:r>
      <w:r>
        <w:rPr>
          <w:rFonts w:eastAsia="Times New Roman"/>
          <w:color w:val="000000"/>
          <w:sz w:val="20"/>
          <w:szCs w:val="20"/>
        </w:rPr>
        <w:t>December 31, 2021 (in thousands):</w:t>
      </w:r>
    </w:p>
    <w:tbl>
      <w:tblPr>
        <w:tblW w:w="5000" w:type="pct"/>
        <w:tblCellMar>
          <w:top w:w="15" w:type="dxa"/>
          <w:left w:w="15" w:type="dxa"/>
          <w:bottom w:w="15" w:type="dxa"/>
          <w:right w:w="15" w:type="dxa"/>
        </w:tblCellMar>
        <w:tblLook w:val="04A0" w:firstRow="1" w:lastRow="0" w:firstColumn="1" w:lastColumn="0" w:noHBand="0" w:noVBand="1"/>
      </w:tblPr>
      <w:tblGrid>
        <w:gridCol w:w="38"/>
        <w:gridCol w:w="2431"/>
        <w:gridCol w:w="37"/>
        <w:gridCol w:w="120"/>
        <w:gridCol w:w="951"/>
        <w:gridCol w:w="36"/>
        <w:gridCol w:w="36"/>
        <w:gridCol w:w="36"/>
        <w:gridCol w:w="36"/>
        <w:gridCol w:w="120"/>
        <w:gridCol w:w="908"/>
        <w:gridCol w:w="36"/>
        <w:gridCol w:w="36"/>
        <w:gridCol w:w="36"/>
        <w:gridCol w:w="36"/>
        <w:gridCol w:w="120"/>
        <w:gridCol w:w="908"/>
        <w:gridCol w:w="36"/>
        <w:gridCol w:w="36"/>
        <w:gridCol w:w="36"/>
        <w:gridCol w:w="36"/>
        <w:gridCol w:w="121"/>
        <w:gridCol w:w="910"/>
        <w:gridCol w:w="36"/>
        <w:gridCol w:w="36"/>
        <w:gridCol w:w="36"/>
        <w:gridCol w:w="36"/>
        <w:gridCol w:w="120"/>
        <w:gridCol w:w="910"/>
        <w:gridCol w:w="36"/>
      </w:tblGrid>
      <w:tr w:rsidR="00000000">
        <w:trPr>
          <w:divId w:val="780758209"/>
        </w:trPr>
        <w:tc>
          <w:tcPr>
            <w:tcW w:w="50" w:type="pct"/>
            <w:vAlign w:val="center"/>
            <w:hideMark/>
          </w:tcPr>
          <w:p w:rsidR="00000000" w:rsidRDefault="00FD7D3C">
            <w:pPr>
              <w:ind w:firstLine="720"/>
              <w:rPr>
                <w:rFonts w:eastAsia="Times New Roman"/>
              </w:rPr>
            </w:pPr>
          </w:p>
        </w:tc>
        <w:tc>
          <w:tcPr>
            <w:tcW w:w="1498"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604"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27"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604"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27"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604"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27"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604"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27"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604"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r>
      <w:tr w:rsidR="00000000">
        <w:trPr>
          <w:divId w:val="780758209"/>
        </w:trPr>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Payments Due by Period</w:t>
            </w:r>
          </w:p>
        </w:tc>
      </w:tr>
      <w:tr w:rsidR="00000000">
        <w:trPr>
          <w:divId w:val="780758209"/>
        </w:trPr>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Less than</w:t>
            </w:r>
            <w:r>
              <w:rPr>
                <w:rFonts w:eastAsia="Times New Roman"/>
                <w:b/>
                <w:bCs/>
                <w:color w:val="000000"/>
                <w:sz w:val="16"/>
                <w:szCs w:val="16"/>
              </w:rPr>
              <w:br/>
              <w:t>1 Year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1 to 3</w:t>
            </w:r>
            <w:r>
              <w:rPr>
                <w:rFonts w:eastAsia="Times New Roman"/>
                <w:b/>
                <w:bCs/>
                <w:color w:val="000000"/>
                <w:sz w:val="16"/>
                <w:szCs w:val="16"/>
              </w:rPr>
              <w:br/>
              <w:t>Years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3 to 5</w:t>
            </w:r>
            <w:r>
              <w:rPr>
                <w:rFonts w:eastAsia="Times New Roman"/>
                <w:b/>
                <w:bCs/>
                <w:color w:val="000000"/>
                <w:sz w:val="16"/>
                <w:szCs w:val="16"/>
              </w:rPr>
              <w:br/>
              <w:t>Years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More Than</w:t>
            </w:r>
            <w:r>
              <w:rPr>
                <w:rFonts w:eastAsia="Times New Roman"/>
                <w:b/>
                <w:bCs/>
                <w:color w:val="000000"/>
                <w:sz w:val="16"/>
                <w:szCs w:val="16"/>
              </w:rPr>
              <w:br/>
              <w:t>5 Years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Total</w:t>
            </w:r>
          </w:p>
        </w:tc>
      </w:tr>
      <w:tr w:rsidR="00000000">
        <w:trPr>
          <w:divId w:val="780758209"/>
        </w:trPr>
        <w:tc>
          <w:tcPr>
            <w:tcW w:w="0" w:type="auto"/>
            <w:gridSpan w:val="3"/>
            <w:shd w:val="clear" w:color="auto" w:fill="CFF0FC"/>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Operating lease</w:t>
            </w: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2,098 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4,418 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1,144 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7,660 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780758209"/>
        </w:trPr>
        <w:tc>
          <w:tcPr>
            <w:tcW w:w="0" w:type="auto"/>
            <w:gridSpan w:val="3"/>
            <w:tcMar>
              <w:top w:w="30" w:type="dxa"/>
              <w:left w:w="245" w:type="dxa"/>
              <w:bottom w:w="30" w:type="dxa"/>
              <w:right w:w="20" w:type="dxa"/>
            </w:tcMar>
            <w:hideMark/>
          </w:tcPr>
          <w:p w:rsidR="00000000" w:rsidRDefault="00FD7D3C">
            <w:pPr>
              <w:spacing w:after="100"/>
              <w:rPr>
                <w:rFonts w:eastAsia="Times New Roman"/>
              </w:rPr>
            </w:pPr>
            <w:r>
              <w:rPr>
                <w:rFonts w:eastAsia="Times New Roman"/>
                <w:color w:val="000000"/>
                <w:sz w:val="20"/>
                <w:szCs w:val="20"/>
              </w:rPr>
              <w:t>Total obligations</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2,098 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4,418 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1,144 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7,660 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FD7D3C">
            <w:pPr>
              <w:spacing w:after="100"/>
              <w:jc w:val="right"/>
              <w:rPr>
                <w:rFonts w:eastAsia="Times New Roman"/>
              </w:rPr>
            </w:pPr>
          </w:p>
        </w:tc>
      </w:tr>
    </w:tbl>
    <w:p w:rsidR="00000000" w:rsidRDefault="00FD7D3C">
      <w:pPr>
        <w:ind w:firstLine="720"/>
        <w:divId w:val="1652782649"/>
        <w:rPr>
          <w:rFonts w:eastAsia="Times New Roman"/>
        </w:rPr>
      </w:pPr>
      <w:r>
        <w:rPr>
          <w:rFonts w:eastAsia="Times New Roman"/>
          <w:color w:val="000000"/>
          <w:sz w:val="20"/>
          <w:szCs w:val="20"/>
        </w:rPr>
        <w:t>We enter into contracts in the normal course of business with third-party contract organizations for clinical tri</w:t>
      </w:r>
      <w:r>
        <w:rPr>
          <w:rFonts w:eastAsia="Times New Roman"/>
          <w:color w:val="000000"/>
          <w:sz w:val="20"/>
          <w:szCs w:val="20"/>
        </w:rPr>
        <w:t xml:space="preserve">als, non-clinical studies and testing, manufacturing and other services and products. These contracts generally provide for </w:t>
      </w:r>
    </w:p>
    <w:p w:rsidR="00000000" w:rsidRDefault="00FD7D3C">
      <w:pPr>
        <w:jc w:val="center"/>
        <w:divId w:val="436144833"/>
        <w:rPr>
          <w:rFonts w:eastAsia="Times New Roman"/>
        </w:rPr>
      </w:pPr>
      <w:r>
        <w:rPr>
          <w:rFonts w:eastAsia="Times New Roman"/>
          <w:color w:val="000000"/>
          <w:sz w:val="20"/>
          <w:szCs w:val="20"/>
        </w:rPr>
        <w:t>102</w:t>
      </w:r>
    </w:p>
    <w:p w:rsidR="00000000" w:rsidRDefault="00FD7D3C">
      <w:pPr>
        <w:rPr>
          <w:rFonts w:eastAsia="Times New Roman"/>
        </w:rPr>
      </w:pPr>
      <w:r>
        <w:rPr>
          <w:rFonts w:eastAsia="Times New Roman"/>
        </w:rPr>
        <w:pict>
          <v:rect id="_x0000_i1155" style="width:0;height:1.5pt" o:hralign="center" o:hrstd="t" o:hr="t" fillcolor="#a0a0a0" stroked="f"/>
        </w:pict>
      </w:r>
    </w:p>
    <w:p w:rsidR="00000000" w:rsidRDefault="00FD7D3C">
      <w:pPr>
        <w:divId w:val="211116720"/>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divId w:val="742504"/>
        <w:rPr>
          <w:rFonts w:eastAsia="Times New Roman"/>
        </w:rPr>
      </w:pPr>
      <w:r>
        <w:rPr>
          <w:rFonts w:eastAsia="Times New Roman"/>
          <w:color w:val="000000"/>
          <w:sz w:val="20"/>
          <w:szCs w:val="20"/>
        </w:rPr>
        <w:t>termination following a certain period after notice and therefore we believe that our cancelable obligations under these agreements are not mate</w:t>
      </w:r>
      <w:r>
        <w:rPr>
          <w:rFonts w:eastAsia="Times New Roman"/>
          <w:color w:val="000000"/>
          <w:sz w:val="20"/>
          <w:szCs w:val="20"/>
        </w:rPr>
        <w:t>rial and they are not included in the table above.</w:t>
      </w:r>
    </w:p>
    <w:p w:rsidR="00000000" w:rsidRDefault="00FD7D3C">
      <w:pPr>
        <w:ind w:firstLine="720"/>
        <w:divId w:val="846989205"/>
        <w:rPr>
          <w:rFonts w:eastAsia="Times New Roman"/>
        </w:rPr>
      </w:pPr>
      <w:r>
        <w:rPr>
          <w:rFonts w:eastAsia="Times New Roman"/>
          <w:color w:val="000000"/>
          <w:sz w:val="20"/>
          <w:szCs w:val="20"/>
        </w:rPr>
        <w:t>We have not included milestone or royalty payments or other contractual payment obligations in the table above if the timing and amount of such obligations are unknown or uncertain.</w:t>
      </w:r>
    </w:p>
    <w:p w:rsidR="00000000" w:rsidRDefault="00FD7D3C">
      <w:pPr>
        <w:divId w:val="1450008039"/>
        <w:rPr>
          <w:rFonts w:eastAsia="Times New Roman"/>
        </w:rPr>
      </w:pPr>
      <w:r>
        <w:rPr>
          <w:rFonts w:eastAsia="Times New Roman"/>
          <w:b/>
          <w:bCs/>
          <w:color w:val="000000"/>
          <w:sz w:val="20"/>
          <w:szCs w:val="20"/>
        </w:rPr>
        <w:t>Critical Accounting Pol</w:t>
      </w:r>
      <w:r>
        <w:rPr>
          <w:rFonts w:eastAsia="Times New Roman"/>
          <w:b/>
          <w:bCs/>
          <w:color w:val="000000"/>
          <w:sz w:val="20"/>
          <w:szCs w:val="20"/>
        </w:rPr>
        <w:t>ices and Estimates</w:t>
      </w:r>
    </w:p>
    <w:p w:rsidR="00000000" w:rsidRDefault="00FD7D3C">
      <w:pPr>
        <w:ind w:firstLine="720"/>
        <w:divId w:val="449395376"/>
        <w:rPr>
          <w:rFonts w:eastAsia="Times New Roman"/>
        </w:rPr>
      </w:pPr>
      <w:r>
        <w:rPr>
          <w:rFonts w:eastAsia="Times New Roman"/>
          <w:color w:val="000000"/>
          <w:sz w:val="20"/>
          <w:szCs w:val="20"/>
        </w:rPr>
        <w:t>Our management’s discussion and analysis of our financial condition and results of operations is based on our financial statements, which have been prepared in accordance with United States generally accepted accounting principles. The p</w:t>
      </w:r>
      <w:r>
        <w:rPr>
          <w:rFonts w:eastAsia="Times New Roman"/>
          <w:color w:val="000000"/>
          <w:sz w:val="20"/>
          <w:szCs w:val="20"/>
        </w:rPr>
        <w:t>reparation of these financial statements requires us to make estimates and assumptions that affect the reported amounts of assets and liabilities and the disclosure of contingent assets and liabilities at the date of the financial statements, as well as th</w:t>
      </w:r>
      <w:r>
        <w:rPr>
          <w:rFonts w:eastAsia="Times New Roman"/>
          <w:color w:val="000000"/>
          <w:sz w:val="20"/>
          <w:szCs w:val="20"/>
        </w:rPr>
        <w:t>e reported expenses incurred during the reporting periods. Our estimates are based on our historical experience and on various other factors that we believe are reasonable under the circumstances, the results of which form the basis for making judgments ab</w:t>
      </w:r>
      <w:r>
        <w:rPr>
          <w:rFonts w:eastAsia="Times New Roman"/>
          <w:color w:val="000000"/>
          <w:sz w:val="20"/>
          <w:szCs w:val="20"/>
        </w:rPr>
        <w:t>out the carrying value of assets and liabilities that are not readily apparent from other sources. Actual results may differ from these estimates under different assumptions or conditions.</w:t>
      </w:r>
    </w:p>
    <w:p w:rsidR="00000000" w:rsidRDefault="00FD7D3C">
      <w:pPr>
        <w:ind w:firstLine="720"/>
        <w:divId w:val="2096320768"/>
        <w:rPr>
          <w:rFonts w:eastAsia="Times New Roman"/>
        </w:rPr>
      </w:pPr>
      <w:r>
        <w:rPr>
          <w:rFonts w:eastAsia="Times New Roman"/>
          <w:color w:val="000000"/>
          <w:sz w:val="20"/>
          <w:szCs w:val="20"/>
        </w:rPr>
        <w:t>While our significant accounting policies are described in more det</w:t>
      </w:r>
      <w:r>
        <w:rPr>
          <w:rFonts w:eastAsia="Times New Roman"/>
          <w:color w:val="000000"/>
          <w:sz w:val="20"/>
          <w:szCs w:val="20"/>
        </w:rPr>
        <w:t>ail in Note 2 to our financial statements appearing elsewhere in this Annual Report, we believe that the following accounting policies are those most critical to the judgments and estimates used in the preparation of our financial statements.</w:t>
      </w:r>
    </w:p>
    <w:p w:rsidR="00000000" w:rsidRDefault="00FD7D3C">
      <w:pPr>
        <w:divId w:val="334504861"/>
        <w:rPr>
          <w:rFonts w:eastAsia="Times New Roman"/>
        </w:rPr>
      </w:pPr>
      <w:r>
        <w:rPr>
          <w:rFonts w:eastAsia="Times New Roman"/>
          <w:b/>
          <w:bCs/>
          <w:i/>
          <w:iCs/>
          <w:color w:val="000000"/>
          <w:sz w:val="20"/>
          <w:szCs w:val="20"/>
        </w:rPr>
        <w:t>Revenue Recog</w:t>
      </w:r>
      <w:r>
        <w:rPr>
          <w:rFonts w:eastAsia="Times New Roman"/>
          <w:b/>
          <w:bCs/>
          <w:i/>
          <w:iCs/>
          <w:color w:val="000000"/>
          <w:sz w:val="20"/>
          <w:szCs w:val="20"/>
        </w:rPr>
        <w:t>nition</w:t>
      </w:r>
    </w:p>
    <w:p w:rsidR="00000000" w:rsidRDefault="00FD7D3C">
      <w:pPr>
        <w:ind w:firstLine="720"/>
        <w:divId w:val="1335379920"/>
        <w:rPr>
          <w:rFonts w:eastAsia="Times New Roman"/>
        </w:rPr>
      </w:pPr>
      <w:r>
        <w:rPr>
          <w:rFonts w:eastAsia="Times New Roman"/>
          <w:color w:val="000000"/>
          <w:sz w:val="20"/>
          <w:szCs w:val="20"/>
        </w:rPr>
        <w:t>As of December 31, 2021, all of our revenue to date has been generated from the Novartis Agreement. We recognize revenue when our customer obtains control of promised goods or services, in an amount that reflects the consideration which we expect to</w:t>
      </w:r>
      <w:r>
        <w:rPr>
          <w:rFonts w:eastAsia="Times New Roman"/>
          <w:color w:val="000000"/>
          <w:sz w:val="20"/>
          <w:szCs w:val="20"/>
        </w:rPr>
        <w:t xml:space="preserve"> receive in exchange for those goods or services. To determine the appropriate amount of revenue to be recognized for arrangements determined to be within the scope of Accounting Standards Codification Topic 606, </w:t>
      </w:r>
      <w:r>
        <w:rPr>
          <w:rFonts w:eastAsia="Times New Roman"/>
          <w:i/>
          <w:iCs/>
          <w:color w:val="000000"/>
          <w:sz w:val="20"/>
          <w:szCs w:val="20"/>
        </w:rPr>
        <w:t xml:space="preserve">Revenue from Contracts with Customers, </w:t>
      </w:r>
      <w:r>
        <w:rPr>
          <w:rFonts w:eastAsia="Times New Roman"/>
          <w:color w:val="000000"/>
          <w:sz w:val="20"/>
          <w:szCs w:val="20"/>
        </w:rPr>
        <w:t>("To</w:t>
      </w:r>
      <w:r>
        <w:rPr>
          <w:rFonts w:eastAsia="Times New Roman"/>
          <w:color w:val="000000"/>
          <w:sz w:val="20"/>
          <w:szCs w:val="20"/>
        </w:rPr>
        <w:t>pic 606") we perform the following five steps: (i) identification of the contract(s) with the customer, (ii) identification of the promised goods or services in the contract and determination of whether the promised goods or services are performance obliga</w:t>
      </w:r>
      <w:r>
        <w:rPr>
          <w:rFonts w:eastAsia="Times New Roman"/>
          <w:color w:val="000000"/>
          <w:sz w:val="20"/>
          <w:szCs w:val="20"/>
        </w:rPr>
        <w:t>tions, (iii) measurement of the transaction price, (iv) allocation of the transaction price to the performance obligations, and (v) recognition of revenue when (or as) we satisfy each performance obligation. We only apply the five-step model to contracts w</w:t>
      </w:r>
      <w:r>
        <w:rPr>
          <w:rFonts w:eastAsia="Times New Roman"/>
          <w:color w:val="000000"/>
          <w:sz w:val="20"/>
          <w:szCs w:val="20"/>
        </w:rPr>
        <w:t>hen it is probable that we will collect the consideration we are entitled to in exchange for the goods or services we transfer to our customer.</w:t>
      </w:r>
    </w:p>
    <w:p w:rsidR="00000000" w:rsidRDefault="00FD7D3C">
      <w:pPr>
        <w:divId w:val="622077569"/>
        <w:rPr>
          <w:rFonts w:eastAsia="Times New Roman"/>
        </w:rPr>
      </w:pPr>
      <w:r>
        <w:rPr>
          <w:rFonts w:eastAsia="Times New Roman"/>
          <w:i/>
          <w:iCs/>
          <w:color w:val="000000"/>
          <w:sz w:val="20"/>
          <w:szCs w:val="20"/>
        </w:rPr>
        <w:t>Identification of the Contracts with the Customers</w:t>
      </w:r>
    </w:p>
    <w:p w:rsidR="00000000" w:rsidRDefault="00FD7D3C">
      <w:pPr>
        <w:ind w:firstLine="720"/>
        <w:divId w:val="720176189"/>
        <w:rPr>
          <w:rFonts w:eastAsia="Times New Roman"/>
        </w:rPr>
      </w:pPr>
      <w:r>
        <w:rPr>
          <w:rFonts w:eastAsia="Times New Roman"/>
          <w:color w:val="000000"/>
          <w:sz w:val="20"/>
          <w:szCs w:val="20"/>
        </w:rPr>
        <w:t>We evaluate every contract to determine whether it in its ent</w:t>
      </w:r>
      <w:r>
        <w:rPr>
          <w:rFonts w:eastAsia="Times New Roman"/>
          <w:color w:val="000000"/>
          <w:sz w:val="20"/>
          <w:szCs w:val="20"/>
        </w:rPr>
        <w:t>irety or in part represent a contract with a customer, or a collaboration agreement and, based on this determination, apply appropriate accounting guidance.</w:t>
      </w:r>
    </w:p>
    <w:p w:rsidR="00000000" w:rsidRDefault="00FD7D3C">
      <w:pPr>
        <w:ind w:firstLine="720"/>
        <w:divId w:val="600068246"/>
        <w:rPr>
          <w:rFonts w:eastAsia="Times New Roman"/>
        </w:rPr>
      </w:pPr>
      <w:r>
        <w:rPr>
          <w:rFonts w:eastAsia="Times New Roman"/>
          <w:color w:val="000000"/>
          <w:sz w:val="20"/>
          <w:szCs w:val="20"/>
        </w:rPr>
        <w:t>We account for a contract with a customer that is within the scope of Topic 606 when all of the fol</w:t>
      </w:r>
      <w:r>
        <w:rPr>
          <w:rFonts w:eastAsia="Times New Roman"/>
          <w:color w:val="000000"/>
          <w:sz w:val="20"/>
          <w:szCs w:val="20"/>
        </w:rPr>
        <w:t>lowing criteria are met: (i) the arrangement has been approved by the parties and the parties are committed to perform their respective obligations, (ii) each party’s rights regarding the goods or services to be transferred can be identified, (iii) the pay</w:t>
      </w:r>
      <w:r>
        <w:rPr>
          <w:rFonts w:eastAsia="Times New Roman"/>
          <w:color w:val="000000"/>
          <w:sz w:val="20"/>
          <w:szCs w:val="20"/>
        </w:rPr>
        <w:t>ment terms for the goods or services to be transferred can be identified, (iv) the arrangement has commercial substance and (v) collection of substantially all of the consideration to which we will be entitled in exchange for the goods or services that wil</w:t>
      </w:r>
      <w:r>
        <w:rPr>
          <w:rFonts w:eastAsia="Times New Roman"/>
          <w:color w:val="000000"/>
          <w:sz w:val="20"/>
          <w:szCs w:val="20"/>
        </w:rPr>
        <w:t>l be transferred to the customer is probable.</w:t>
      </w:r>
    </w:p>
    <w:p w:rsidR="00000000" w:rsidRDefault="00FD7D3C">
      <w:pPr>
        <w:divId w:val="654727872"/>
        <w:rPr>
          <w:rFonts w:eastAsia="Times New Roman"/>
        </w:rPr>
      </w:pPr>
      <w:r>
        <w:rPr>
          <w:rFonts w:eastAsia="Times New Roman"/>
          <w:i/>
          <w:iCs/>
          <w:color w:val="000000"/>
          <w:sz w:val="20"/>
          <w:szCs w:val="20"/>
        </w:rPr>
        <w:t>Identification of the Performance Obligations</w:t>
      </w:r>
    </w:p>
    <w:p w:rsidR="00000000" w:rsidRDefault="00FD7D3C">
      <w:pPr>
        <w:ind w:firstLine="720"/>
        <w:divId w:val="552039625"/>
        <w:rPr>
          <w:rFonts w:eastAsia="Times New Roman"/>
        </w:rPr>
      </w:pPr>
      <w:r>
        <w:rPr>
          <w:rFonts w:eastAsia="Times New Roman"/>
          <w:color w:val="000000"/>
          <w:sz w:val="20"/>
          <w:szCs w:val="20"/>
        </w:rPr>
        <w:t>The promised goods or services in our collaboration and option arrangements consist of license and research and development services. The arrangements also have opt</w:t>
      </w:r>
      <w:r>
        <w:rPr>
          <w:rFonts w:eastAsia="Times New Roman"/>
          <w:color w:val="000000"/>
          <w:sz w:val="20"/>
          <w:szCs w:val="20"/>
        </w:rPr>
        <w:t>ions for additional items (i.e., license rights). Options are considered to be marketing offers and are to be accounted for as separate contracts when the customer elects such options, unless we determine the option provides a material right which would no</w:t>
      </w:r>
      <w:r>
        <w:rPr>
          <w:rFonts w:eastAsia="Times New Roman"/>
          <w:color w:val="000000"/>
          <w:sz w:val="20"/>
          <w:szCs w:val="20"/>
        </w:rPr>
        <w:t>t be provided without entering into the contract. The determination as to whether such options are material rights requires significant management judgment, and management considers factors such as other similar arrangements, market data and the terms of t</w:t>
      </w:r>
      <w:r>
        <w:rPr>
          <w:rFonts w:eastAsia="Times New Roman"/>
          <w:color w:val="000000"/>
          <w:sz w:val="20"/>
          <w:szCs w:val="20"/>
        </w:rPr>
        <w:t>he contractual arrangement to make such conclusion. Performance obligations are promised goods or services in a contract to transfer a distinct good or service to the customer. Promised goods or services are considered distinct when: (i) the customer can b</w:t>
      </w:r>
      <w:r>
        <w:rPr>
          <w:rFonts w:eastAsia="Times New Roman"/>
          <w:color w:val="000000"/>
          <w:sz w:val="20"/>
          <w:szCs w:val="20"/>
        </w:rPr>
        <w:t>enefit from the good or service on its own or together with other readily available resources and (ii) the promised good or service is separately identifiable from other promises in the contract. In assessing whether promised goods or services are distinct</w:t>
      </w:r>
      <w:r>
        <w:rPr>
          <w:rFonts w:eastAsia="Times New Roman"/>
          <w:color w:val="000000"/>
          <w:sz w:val="20"/>
          <w:szCs w:val="20"/>
        </w:rPr>
        <w:t>, we consider factors such as the stage of development of the underlying intellectual property, the capabilities of our customer to develop the intellectual property on their own and whether the required expertise is readily available.</w:t>
      </w:r>
    </w:p>
    <w:p w:rsidR="00000000" w:rsidRDefault="00FD7D3C">
      <w:pPr>
        <w:jc w:val="center"/>
        <w:divId w:val="1750812620"/>
        <w:rPr>
          <w:rFonts w:eastAsia="Times New Roman"/>
        </w:rPr>
      </w:pPr>
      <w:r>
        <w:rPr>
          <w:rFonts w:eastAsia="Times New Roman"/>
          <w:color w:val="000000"/>
          <w:sz w:val="20"/>
          <w:szCs w:val="20"/>
        </w:rPr>
        <w:t>103</w:t>
      </w:r>
    </w:p>
    <w:p w:rsidR="00000000" w:rsidRDefault="00FD7D3C">
      <w:pPr>
        <w:rPr>
          <w:rFonts w:eastAsia="Times New Roman"/>
        </w:rPr>
      </w:pPr>
      <w:r>
        <w:rPr>
          <w:rFonts w:eastAsia="Times New Roman"/>
        </w:rPr>
        <w:pict>
          <v:rect id="_x0000_i1156" style="width:0;height:1.5pt" o:hralign="center" o:hrstd="t" o:hr="t" fillcolor="#a0a0a0" stroked="f"/>
        </w:pict>
      </w:r>
    </w:p>
    <w:p w:rsidR="00000000" w:rsidRDefault="00FD7D3C">
      <w:pPr>
        <w:divId w:val="1452940620"/>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divId w:val="449977727"/>
        <w:rPr>
          <w:rFonts w:eastAsia="Times New Roman"/>
        </w:rPr>
      </w:pPr>
      <w:r>
        <w:rPr>
          <w:rFonts w:eastAsia="Times New Roman"/>
          <w:i/>
          <w:iCs/>
          <w:color w:val="000000"/>
          <w:sz w:val="20"/>
          <w:szCs w:val="20"/>
        </w:rPr>
        <w:t>Determination of the Transaction Price</w:t>
      </w:r>
    </w:p>
    <w:p w:rsidR="00000000" w:rsidRDefault="00FD7D3C">
      <w:pPr>
        <w:ind w:firstLine="720"/>
        <w:divId w:val="290522137"/>
        <w:rPr>
          <w:rFonts w:eastAsia="Times New Roman"/>
        </w:rPr>
      </w:pPr>
      <w:r>
        <w:rPr>
          <w:rFonts w:eastAsia="Times New Roman"/>
          <w:color w:val="000000"/>
          <w:sz w:val="20"/>
          <w:szCs w:val="20"/>
        </w:rPr>
        <w:t>We estimate the transaction price based on the amount of consideration we expect to receive for transferring the promised</w:t>
      </w:r>
      <w:r>
        <w:rPr>
          <w:rFonts w:eastAsia="Times New Roman"/>
          <w:color w:val="000000"/>
          <w:sz w:val="20"/>
          <w:szCs w:val="20"/>
        </w:rPr>
        <w:t xml:space="preserve"> goods or services in the contract. The consideration may include both fixed consideration and variable consideration. At the inception of each arrangement that includes variable consideration, we evaluate the amount of the potential payments and the likel</w:t>
      </w:r>
      <w:r>
        <w:rPr>
          <w:rFonts w:eastAsia="Times New Roman"/>
          <w:color w:val="000000"/>
          <w:sz w:val="20"/>
          <w:szCs w:val="20"/>
        </w:rPr>
        <w:t>ihood that the payments will be received. We utilize either the most likely amount method or expected value method to estimate the transaction price based on which method better predicts the amount of consideration expected to be received. If it is probabl</w:t>
      </w:r>
      <w:r>
        <w:rPr>
          <w:rFonts w:eastAsia="Times New Roman"/>
          <w:color w:val="000000"/>
          <w:sz w:val="20"/>
          <w:szCs w:val="20"/>
        </w:rPr>
        <w:t>e that a significant revenue reversal would not occur, the variable consideration is included in the transaction price.</w:t>
      </w:r>
    </w:p>
    <w:p w:rsidR="00000000" w:rsidRDefault="00FD7D3C">
      <w:pPr>
        <w:ind w:firstLine="720"/>
        <w:divId w:val="748969049"/>
        <w:rPr>
          <w:rFonts w:eastAsia="Times New Roman"/>
        </w:rPr>
      </w:pPr>
      <w:r>
        <w:rPr>
          <w:rFonts w:eastAsia="Times New Roman"/>
          <w:color w:val="000000"/>
          <w:sz w:val="20"/>
          <w:szCs w:val="20"/>
        </w:rPr>
        <w:t>All contingent future payments, which include research, development, regulatory, and sales-based royalty payments, have not been considered in the initial analysis, as they are contingent upon option(s) being exercised or are subject to significant risk of</w:t>
      </w:r>
      <w:r>
        <w:rPr>
          <w:rFonts w:eastAsia="Times New Roman"/>
          <w:color w:val="000000"/>
          <w:sz w:val="20"/>
          <w:szCs w:val="20"/>
        </w:rPr>
        <w:t xml:space="preserve"> achievement.</w:t>
      </w:r>
    </w:p>
    <w:p w:rsidR="00000000" w:rsidRDefault="00FD7D3C">
      <w:pPr>
        <w:divId w:val="1765999451"/>
        <w:rPr>
          <w:rFonts w:eastAsia="Times New Roman"/>
        </w:rPr>
      </w:pPr>
      <w:r>
        <w:rPr>
          <w:rFonts w:eastAsia="Times New Roman"/>
          <w:i/>
          <w:iCs/>
          <w:color w:val="000000"/>
          <w:sz w:val="20"/>
          <w:szCs w:val="20"/>
        </w:rPr>
        <w:t>Allocation of Transaction Price</w:t>
      </w:r>
    </w:p>
    <w:p w:rsidR="00000000" w:rsidRDefault="00FD7D3C">
      <w:pPr>
        <w:ind w:firstLine="720"/>
        <w:divId w:val="976228044"/>
        <w:rPr>
          <w:rFonts w:eastAsia="Times New Roman"/>
        </w:rPr>
      </w:pPr>
      <w:r>
        <w:rPr>
          <w:rFonts w:eastAsia="Times New Roman"/>
          <w:color w:val="000000"/>
          <w:sz w:val="20"/>
          <w:szCs w:val="20"/>
        </w:rPr>
        <w:t>We allocate the transaction price based on the estimated standalone selling price. We must develop assumptions that require judgment to determine the standalone selling price for each performance obligation ide</w:t>
      </w:r>
      <w:r>
        <w:rPr>
          <w:rFonts w:eastAsia="Times New Roman"/>
          <w:color w:val="000000"/>
          <w:sz w:val="20"/>
          <w:szCs w:val="20"/>
        </w:rPr>
        <w:t>ntified in the contract. We utilize key assumptions to determine the standalone selling price, which may include other comparable transactions, pricing considered in negotiating the transaction, and the estimated costs. Certain variable consideration is al</w:t>
      </w:r>
      <w:r>
        <w:rPr>
          <w:rFonts w:eastAsia="Times New Roman"/>
          <w:color w:val="000000"/>
          <w:sz w:val="20"/>
          <w:szCs w:val="20"/>
        </w:rPr>
        <w:t>located specifically to one or more performance obligations in a contract when the terms of the variable consideration relate to the satisfaction of the performance obligation and the resulting amounts allocated to each performance obligation are consisten</w:t>
      </w:r>
      <w:r>
        <w:rPr>
          <w:rFonts w:eastAsia="Times New Roman"/>
          <w:color w:val="000000"/>
          <w:sz w:val="20"/>
          <w:szCs w:val="20"/>
        </w:rPr>
        <w:t>t with the amounts we would expect to receive for satisfying each performance obligation.</w:t>
      </w:r>
    </w:p>
    <w:p w:rsidR="00000000" w:rsidRDefault="00FD7D3C">
      <w:pPr>
        <w:divId w:val="965312407"/>
        <w:rPr>
          <w:rFonts w:eastAsia="Times New Roman"/>
        </w:rPr>
      </w:pPr>
      <w:r>
        <w:rPr>
          <w:rFonts w:eastAsia="Times New Roman"/>
          <w:i/>
          <w:iCs/>
          <w:color w:val="000000"/>
          <w:sz w:val="20"/>
          <w:szCs w:val="20"/>
        </w:rPr>
        <w:t>Recognition of Revenue</w:t>
      </w:r>
    </w:p>
    <w:p w:rsidR="00000000" w:rsidRDefault="00FD7D3C">
      <w:pPr>
        <w:ind w:firstLine="720"/>
        <w:divId w:val="1705517658"/>
        <w:rPr>
          <w:rFonts w:eastAsia="Times New Roman"/>
        </w:rPr>
      </w:pPr>
      <w:r>
        <w:rPr>
          <w:rFonts w:eastAsia="Times New Roman"/>
          <w:color w:val="000000"/>
          <w:sz w:val="20"/>
          <w:szCs w:val="20"/>
        </w:rPr>
        <w:t>We recognize revenue at the point in time when distinct, functional licenses are transferred to the licensee and/or over the period of time whi</w:t>
      </w:r>
      <w:r>
        <w:rPr>
          <w:rFonts w:eastAsia="Times New Roman"/>
          <w:color w:val="000000"/>
          <w:sz w:val="20"/>
          <w:szCs w:val="20"/>
        </w:rPr>
        <w:t>ch we perform research and development services. We utilize a cost-based input method to measure proportional performance, as such costs have direct relationship between our effort and the progress made towards satisfying its performance obligations to Nov</w:t>
      </w:r>
      <w:r>
        <w:rPr>
          <w:rFonts w:eastAsia="Times New Roman"/>
          <w:color w:val="000000"/>
          <w:sz w:val="20"/>
          <w:szCs w:val="20"/>
        </w:rPr>
        <w:t>artis.</w:t>
      </w:r>
    </w:p>
    <w:p w:rsidR="00000000" w:rsidRDefault="00FD7D3C">
      <w:pPr>
        <w:divId w:val="1577859055"/>
        <w:rPr>
          <w:rFonts w:eastAsia="Times New Roman"/>
        </w:rPr>
      </w:pPr>
      <w:r>
        <w:rPr>
          <w:rFonts w:eastAsia="Times New Roman"/>
          <w:b/>
          <w:bCs/>
          <w:i/>
          <w:iCs/>
          <w:color w:val="000000"/>
          <w:sz w:val="20"/>
          <w:szCs w:val="20"/>
        </w:rPr>
        <w:t>Accrued and Prepaid Research and Development Expenses</w:t>
      </w:r>
    </w:p>
    <w:p w:rsidR="00000000" w:rsidRDefault="00FD7D3C">
      <w:pPr>
        <w:ind w:firstLine="720"/>
        <w:divId w:val="1899051007"/>
        <w:rPr>
          <w:rFonts w:eastAsia="Times New Roman"/>
        </w:rPr>
      </w:pPr>
      <w:r>
        <w:rPr>
          <w:rFonts w:eastAsia="Times New Roman"/>
          <w:color w:val="000000"/>
          <w:sz w:val="20"/>
          <w:szCs w:val="20"/>
        </w:rPr>
        <w:t>We record accrued expenses for estimated costs of our research and development activities activities which include the conduct of clinical studies and preclinical studies by third-party service p</w:t>
      </w:r>
      <w:r>
        <w:rPr>
          <w:rFonts w:eastAsia="Times New Roman"/>
          <w:color w:val="000000"/>
          <w:sz w:val="20"/>
          <w:szCs w:val="20"/>
        </w:rPr>
        <w:t>roviders. We record the estimated costs of research and development activities based upon the estimated amount of services provided but not yet invoiced and include these costs in accrued liabilities in the balance sheets and within research and developmen</w:t>
      </w:r>
      <w:r>
        <w:rPr>
          <w:rFonts w:eastAsia="Times New Roman"/>
          <w:color w:val="000000"/>
          <w:sz w:val="20"/>
          <w:szCs w:val="20"/>
        </w:rPr>
        <w:t xml:space="preserve">t expenses in the statements of operations and comprehensive loss. These costs are a significant component of our research and development expenses. We record accrued expenses for these costs based on factors such as estimates of the work completed and in </w:t>
      </w:r>
      <w:r>
        <w:rPr>
          <w:rFonts w:eastAsia="Times New Roman"/>
          <w:color w:val="000000"/>
          <w:sz w:val="20"/>
          <w:szCs w:val="20"/>
        </w:rPr>
        <w:t>accordance with agreements established with these third-party service providers. Any payments made in advance of services provided are recorded as prepaid assets, which are expensed as the contracted services are performed.</w:t>
      </w:r>
    </w:p>
    <w:p w:rsidR="00000000" w:rsidRDefault="00FD7D3C">
      <w:pPr>
        <w:ind w:firstLine="720"/>
        <w:divId w:val="1195314117"/>
        <w:rPr>
          <w:rFonts w:eastAsia="Times New Roman"/>
        </w:rPr>
      </w:pPr>
      <w:r>
        <w:rPr>
          <w:rFonts w:eastAsia="Times New Roman"/>
          <w:color w:val="000000"/>
          <w:sz w:val="20"/>
          <w:szCs w:val="20"/>
        </w:rPr>
        <w:t>We estimate the amount of work c</w:t>
      </w:r>
      <w:r>
        <w:rPr>
          <w:rFonts w:eastAsia="Times New Roman"/>
          <w:color w:val="000000"/>
          <w:sz w:val="20"/>
          <w:szCs w:val="20"/>
        </w:rPr>
        <w:t>ompleted through review of detailed budgets and timelines included in our contracts and agreements, and update these estimates with information obtained from third-party service providers and internal personnel on a quarterly basis. We make significant jud</w:t>
      </w:r>
      <w:r>
        <w:rPr>
          <w:rFonts w:eastAsia="Times New Roman"/>
          <w:color w:val="000000"/>
          <w:sz w:val="20"/>
          <w:szCs w:val="20"/>
        </w:rPr>
        <w:t>gments and estimates in determining the accrued and/or prepaid balance in each reporting period. As actual costs become known, we adjust our estimates. Our accrued expenses and prepaid research and development expenses are dependent, in part, upon the rece</w:t>
      </w:r>
      <w:r>
        <w:rPr>
          <w:rFonts w:eastAsia="Times New Roman"/>
          <w:color w:val="000000"/>
          <w:sz w:val="20"/>
          <w:szCs w:val="20"/>
        </w:rPr>
        <w:t>ipt of timely and accurate reporting from clinical research organizations, other third-party service providers and internal research and development personnel. If we under estimate or over-estimate the level of services performed or the costs of these serv</w:t>
      </w:r>
      <w:r>
        <w:rPr>
          <w:rFonts w:eastAsia="Times New Roman"/>
          <w:color w:val="000000"/>
          <w:sz w:val="20"/>
          <w:szCs w:val="20"/>
        </w:rPr>
        <w:t>ices, our accrued expenses could differ from our estimates. For the periods presented, we have experienced no material differences between our accrued expenses and actual expenses.</w:t>
      </w:r>
    </w:p>
    <w:p w:rsidR="00000000" w:rsidRDefault="00FD7D3C">
      <w:pPr>
        <w:divId w:val="78328713"/>
        <w:rPr>
          <w:rFonts w:eastAsia="Times New Roman"/>
        </w:rPr>
      </w:pPr>
      <w:r>
        <w:rPr>
          <w:rFonts w:eastAsia="Times New Roman"/>
          <w:b/>
          <w:bCs/>
          <w:color w:val="000000"/>
          <w:sz w:val="20"/>
          <w:szCs w:val="20"/>
        </w:rPr>
        <w:t>Emerging Growth Company Status and JOBS Act Accounting Election</w:t>
      </w:r>
    </w:p>
    <w:p w:rsidR="00000000" w:rsidRDefault="00FD7D3C">
      <w:pPr>
        <w:ind w:firstLine="720"/>
        <w:divId w:val="417364490"/>
        <w:rPr>
          <w:rFonts w:eastAsia="Times New Roman"/>
        </w:rPr>
      </w:pPr>
      <w:r>
        <w:rPr>
          <w:rFonts w:eastAsia="Times New Roman"/>
          <w:color w:val="000000"/>
          <w:sz w:val="20"/>
          <w:szCs w:val="20"/>
        </w:rPr>
        <w:t xml:space="preserve">Based on the market value of our common stock held by our non-affiliates as of June 30, 2021, we are considered a “large accelerated filer” on December 31, 2021 and thus lost our status as an emerging growth company as of such date. Accordingly, we can no </w:t>
      </w:r>
      <w:r>
        <w:rPr>
          <w:rFonts w:eastAsia="Times New Roman"/>
          <w:color w:val="000000"/>
          <w:sz w:val="20"/>
          <w:szCs w:val="20"/>
        </w:rPr>
        <w:t>longer rely upon exemptions and reduced reporting requirements provided by the JOBS Act.</w:t>
      </w:r>
    </w:p>
    <w:p w:rsidR="00000000" w:rsidRDefault="00FD7D3C">
      <w:pPr>
        <w:jc w:val="center"/>
        <w:divId w:val="1989507014"/>
        <w:rPr>
          <w:rFonts w:eastAsia="Times New Roman"/>
        </w:rPr>
      </w:pPr>
      <w:r>
        <w:rPr>
          <w:rFonts w:eastAsia="Times New Roman"/>
          <w:color w:val="000000"/>
          <w:sz w:val="20"/>
          <w:szCs w:val="20"/>
        </w:rPr>
        <w:t>104</w:t>
      </w:r>
    </w:p>
    <w:p w:rsidR="00000000" w:rsidRDefault="00FD7D3C">
      <w:pPr>
        <w:rPr>
          <w:rFonts w:eastAsia="Times New Roman"/>
        </w:rPr>
      </w:pPr>
      <w:r>
        <w:rPr>
          <w:rFonts w:eastAsia="Times New Roman"/>
        </w:rPr>
        <w:pict>
          <v:rect id="_x0000_i1157" style="width:0;height:1.5pt" o:hralign="center" o:hrstd="t" o:hr="t" fillcolor="#a0a0a0" stroked="f"/>
        </w:pict>
      </w:r>
    </w:p>
    <w:p w:rsidR="00000000" w:rsidRDefault="00FD7D3C">
      <w:pPr>
        <w:divId w:val="1748959877"/>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divId w:val="2118911354"/>
        <w:rPr>
          <w:rFonts w:eastAsia="Times New Roman"/>
        </w:rPr>
      </w:pPr>
      <w:r>
        <w:rPr>
          <w:rFonts w:eastAsia="Times New Roman"/>
          <w:b/>
          <w:bCs/>
          <w:color w:val="000000"/>
          <w:sz w:val="20"/>
          <w:szCs w:val="20"/>
        </w:rPr>
        <w:t>Recent Accounting Pronouncements</w:t>
      </w:r>
    </w:p>
    <w:p w:rsidR="00000000" w:rsidRDefault="00FD7D3C">
      <w:pPr>
        <w:ind w:firstLine="720"/>
        <w:divId w:val="822503683"/>
        <w:rPr>
          <w:rFonts w:eastAsia="Times New Roman"/>
        </w:rPr>
      </w:pPr>
      <w:r>
        <w:rPr>
          <w:rFonts w:eastAsia="Times New Roman"/>
          <w:color w:val="000000"/>
          <w:sz w:val="20"/>
          <w:szCs w:val="20"/>
        </w:rPr>
        <w:t>The information s</w:t>
      </w:r>
      <w:r>
        <w:rPr>
          <w:rFonts w:eastAsia="Times New Roman"/>
          <w:color w:val="000000"/>
          <w:sz w:val="20"/>
          <w:szCs w:val="20"/>
        </w:rPr>
        <w:t>et forth under Note 2 to the financial statements under the caption “Recently Issued Accounting Pronouncements” is incorporated herein by reference.</w:t>
      </w:r>
    </w:p>
    <w:p w:rsidR="00000000" w:rsidRDefault="00FD7D3C">
      <w:pPr>
        <w:divId w:val="913246232"/>
        <w:rPr>
          <w:rFonts w:eastAsia="Times New Roman"/>
        </w:rPr>
      </w:pPr>
      <w:r>
        <w:rPr>
          <w:rFonts w:eastAsia="Times New Roman"/>
          <w:b/>
          <w:bCs/>
          <w:color w:val="000000"/>
          <w:sz w:val="20"/>
          <w:szCs w:val="20"/>
        </w:rPr>
        <w:t>Item 7A. Quantitative and Qualitative Disclosures About Market Risk.</w:t>
      </w:r>
    </w:p>
    <w:p w:rsidR="00000000" w:rsidRDefault="00FD7D3C">
      <w:pPr>
        <w:ind w:firstLine="720"/>
        <w:divId w:val="360936370"/>
        <w:rPr>
          <w:rFonts w:eastAsia="Times New Roman"/>
        </w:rPr>
      </w:pPr>
      <w:r>
        <w:rPr>
          <w:rFonts w:eastAsia="Times New Roman"/>
          <w:color w:val="000000"/>
          <w:sz w:val="20"/>
          <w:szCs w:val="20"/>
        </w:rPr>
        <w:t>Not applicable</w:t>
      </w:r>
    </w:p>
    <w:p w:rsidR="00000000" w:rsidRDefault="00FD7D3C">
      <w:pPr>
        <w:jc w:val="center"/>
        <w:divId w:val="674846910"/>
        <w:rPr>
          <w:rFonts w:eastAsia="Times New Roman"/>
        </w:rPr>
      </w:pPr>
      <w:r>
        <w:rPr>
          <w:rFonts w:eastAsia="Times New Roman"/>
          <w:color w:val="000000"/>
          <w:sz w:val="20"/>
          <w:szCs w:val="20"/>
        </w:rPr>
        <w:t>105</w:t>
      </w:r>
    </w:p>
    <w:p w:rsidR="00000000" w:rsidRDefault="00FD7D3C">
      <w:pPr>
        <w:rPr>
          <w:rFonts w:eastAsia="Times New Roman"/>
        </w:rPr>
      </w:pPr>
      <w:r>
        <w:rPr>
          <w:rFonts w:eastAsia="Times New Roman"/>
        </w:rPr>
        <w:pict>
          <v:rect id="_x0000_i1158" style="width:0;height:1.5pt" o:hralign="center" o:hrstd="t" o:hr="t" fillcolor="#a0a0a0" stroked="f"/>
        </w:pict>
      </w:r>
    </w:p>
    <w:p w:rsidR="00000000" w:rsidRDefault="00FD7D3C">
      <w:pPr>
        <w:divId w:val="2121143339"/>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ind w:hanging="540"/>
        <w:divId w:val="1763331315"/>
        <w:rPr>
          <w:rFonts w:eastAsia="Times New Roman"/>
        </w:rPr>
      </w:pPr>
      <w:r>
        <w:rPr>
          <w:rFonts w:eastAsia="Times New Roman"/>
          <w:b/>
          <w:bCs/>
          <w:color w:val="000000"/>
          <w:sz w:val="20"/>
          <w:szCs w:val="20"/>
        </w:rPr>
        <w:t>Item 8. Financial Statements and Supplementary Data.</w:t>
      </w:r>
    </w:p>
    <w:p w:rsidR="00000000" w:rsidRDefault="00FD7D3C">
      <w:pPr>
        <w:ind w:firstLine="540"/>
        <w:jc w:val="center"/>
        <w:divId w:val="872229990"/>
        <w:rPr>
          <w:rFonts w:eastAsia="Times New Roman"/>
        </w:rPr>
      </w:pPr>
      <w:r>
        <w:rPr>
          <w:rFonts w:eastAsia="Times New Roman"/>
          <w:b/>
          <w:bCs/>
          <w:color w:val="000000"/>
          <w:sz w:val="20"/>
          <w:szCs w:val="20"/>
        </w:rPr>
        <w:t>INDEX TO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68"/>
        <w:gridCol w:w="7485"/>
        <w:gridCol w:w="37"/>
        <w:gridCol w:w="69"/>
        <w:gridCol w:w="611"/>
        <w:gridCol w:w="36"/>
      </w:tblGrid>
      <w:tr w:rsidR="00000000">
        <w:trPr>
          <w:divId w:val="1561288785"/>
        </w:trPr>
        <w:tc>
          <w:tcPr>
            <w:tcW w:w="50" w:type="pct"/>
            <w:vAlign w:val="center"/>
            <w:hideMark/>
          </w:tcPr>
          <w:p w:rsidR="00000000" w:rsidRDefault="00FD7D3C">
            <w:pPr>
              <w:ind w:firstLine="540"/>
              <w:jc w:val="center"/>
              <w:rPr>
                <w:rFonts w:eastAsia="Times New Roman"/>
              </w:rPr>
            </w:pPr>
          </w:p>
        </w:tc>
        <w:tc>
          <w:tcPr>
            <w:tcW w:w="4513"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376"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r>
      <w:tr w:rsidR="00000000">
        <w:trPr>
          <w:divId w:val="1561288785"/>
        </w:trPr>
        <w:tc>
          <w:tcPr>
            <w:tcW w:w="0" w:type="auto"/>
            <w:gridSpan w:val="3"/>
            <w:tcMar>
              <w:top w:w="30" w:type="dxa"/>
              <w:left w:w="20" w:type="dxa"/>
              <w:bottom w:w="30" w:type="dxa"/>
              <w:right w:w="20" w:type="dxa"/>
            </w:tcMar>
            <w:vAlign w:val="center"/>
            <w:hideMark/>
          </w:tcPr>
          <w:p w:rsidR="00000000" w:rsidRDefault="00FD7D3C">
            <w:pPr>
              <w:spacing w:after="100"/>
              <w:divId w:val="1498963565"/>
              <w:rPr>
                <w:rFonts w:eastAsia="Times New Roman"/>
              </w:rPr>
            </w:pPr>
            <w:hyperlink w:anchor="i988625df783e4cc0a27bd76df388da57_82" w:history="1">
              <w:r>
                <w:rPr>
                  <w:rStyle w:val="a3"/>
                  <w:rFonts w:eastAsia="Times New Roman"/>
                  <w:sz w:val="20"/>
                  <w:szCs w:val="20"/>
                </w:rPr>
                <w:t>Report of Independent Registered Public Accounting Firm</w:t>
              </w:r>
            </w:hyperlink>
            <w:r>
              <w:rPr>
                <w:rFonts w:eastAsia="Times New Roman"/>
                <w:color w:val="000000"/>
                <w:sz w:val="20"/>
                <w:szCs w:val="20"/>
              </w:rPr>
              <w:t xml:space="preserve"> </w:t>
            </w:r>
          </w:p>
        </w:tc>
        <w:tc>
          <w:tcPr>
            <w:tcW w:w="0" w:type="auto"/>
            <w:gridSpan w:val="3"/>
            <w:tcMar>
              <w:top w:w="30" w:type="dxa"/>
              <w:left w:w="20" w:type="dxa"/>
              <w:bottom w:w="30" w:type="dxa"/>
              <w:right w:w="20" w:type="dxa"/>
            </w:tcMar>
            <w:vAlign w:val="center"/>
            <w:hideMark/>
          </w:tcPr>
          <w:p w:rsidR="00000000" w:rsidRDefault="00FD7D3C">
            <w:pPr>
              <w:spacing w:after="100"/>
              <w:jc w:val="right"/>
              <w:rPr>
                <w:rFonts w:eastAsia="Times New Roman"/>
              </w:rPr>
            </w:pPr>
            <w:hyperlink w:anchor="i988625df783e4cc0a27bd76df388da57_82" w:history="1">
              <w:r>
                <w:rPr>
                  <w:rStyle w:val="a3"/>
                  <w:rFonts w:eastAsia="Times New Roman"/>
                  <w:color w:val="000000"/>
                  <w:sz w:val="20"/>
                  <w:szCs w:val="20"/>
                  <w:u w:val="none"/>
                </w:rPr>
                <w:t>107</w:t>
              </w:r>
            </w:hyperlink>
          </w:p>
        </w:tc>
      </w:tr>
      <w:tr w:rsidR="00000000">
        <w:trPr>
          <w:divId w:val="1561288785"/>
          <w:trHeight w:val="60"/>
        </w:trPr>
        <w:tc>
          <w:tcPr>
            <w:tcW w:w="0" w:type="auto"/>
            <w:gridSpan w:val="3"/>
            <w:tcMar>
              <w:top w:w="0" w:type="dxa"/>
              <w:left w:w="20" w:type="dxa"/>
              <w:bottom w:w="0" w:type="dxa"/>
              <w:right w:w="20" w:type="dxa"/>
            </w:tcMar>
            <w:vAlign w:val="center"/>
            <w:hideMark/>
          </w:tcPr>
          <w:p w:rsidR="00000000" w:rsidRDefault="00FD7D3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000000">
        <w:trPr>
          <w:divId w:val="1561288785"/>
        </w:trPr>
        <w:tc>
          <w:tcPr>
            <w:tcW w:w="0" w:type="auto"/>
            <w:gridSpan w:val="3"/>
            <w:tcMar>
              <w:top w:w="30" w:type="dxa"/>
              <w:left w:w="20" w:type="dxa"/>
              <w:bottom w:w="30" w:type="dxa"/>
              <w:right w:w="20" w:type="dxa"/>
            </w:tcMar>
            <w:vAlign w:val="center"/>
            <w:hideMark/>
          </w:tcPr>
          <w:p w:rsidR="00000000" w:rsidRDefault="00FD7D3C">
            <w:pPr>
              <w:spacing w:after="100"/>
              <w:divId w:val="381944098"/>
              <w:rPr>
                <w:rFonts w:eastAsia="Times New Roman"/>
              </w:rPr>
            </w:pPr>
            <w:hyperlink w:anchor="i988625df783e4cc0a27bd76df388da57_85" w:history="1">
              <w:r>
                <w:rPr>
                  <w:rStyle w:val="a3"/>
                  <w:rFonts w:eastAsia="Times New Roman"/>
                  <w:sz w:val="20"/>
                  <w:szCs w:val="20"/>
                </w:rPr>
                <w:t>Balance Sheets as of December 31, 202</w:t>
              </w:r>
            </w:hyperlink>
            <w:hyperlink w:anchor="i988625df783e4cc0a27bd76df388da57_85" w:history="1">
              <w:r>
                <w:rPr>
                  <w:rStyle w:val="a3"/>
                  <w:rFonts w:eastAsia="Times New Roman"/>
                  <w:sz w:val="20"/>
                  <w:szCs w:val="20"/>
                </w:rPr>
                <w:t>1</w:t>
              </w:r>
            </w:hyperlink>
            <w:hyperlink w:anchor="i988625df783e4cc0a27bd76df388da57_85" w:history="1">
              <w:r>
                <w:rPr>
                  <w:rStyle w:val="a3"/>
                  <w:rFonts w:eastAsia="Times New Roman"/>
                  <w:sz w:val="20"/>
                  <w:szCs w:val="20"/>
                </w:rPr>
                <w:t xml:space="preserve"> and 20</w:t>
              </w:r>
            </w:hyperlink>
            <w:hyperlink w:anchor="i988625df783e4cc0a27bd76df388da57_85" w:history="1">
              <w:r>
                <w:rPr>
                  <w:rStyle w:val="a3"/>
                  <w:rFonts w:eastAsia="Times New Roman"/>
                  <w:sz w:val="20"/>
                  <w:szCs w:val="20"/>
                </w:rPr>
                <w:t>20</w:t>
              </w:r>
            </w:hyperlink>
          </w:p>
        </w:tc>
        <w:tc>
          <w:tcPr>
            <w:tcW w:w="0" w:type="auto"/>
            <w:gridSpan w:val="3"/>
            <w:tcMar>
              <w:top w:w="30" w:type="dxa"/>
              <w:left w:w="20" w:type="dxa"/>
              <w:bottom w:w="30" w:type="dxa"/>
              <w:right w:w="20" w:type="dxa"/>
            </w:tcMar>
            <w:vAlign w:val="center"/>
            <w:hideMark/>
          </w:tcPr>
          <w:p w:rsidR="00000000" w:rsidRDefault="00FD7D3C">
            <w:pPr>
              <w:spacing w:after="100"/>
              <w:jc w:val="right"/>
              <w:rPr>
                <w:rFonts w:eastAsia="Times New Roman"/>
              </w:rPr>
            </w:pPr>
            <w:hyperlink w:anchor="i988625df783e4cc0a27bd76df388da57_85" w:history="1">
              <w:r>
                <w:rPr>
                  <w:rStyle w:val="a3"/>
                  <w:rFonts w:eastAsia="Times New Roman"/>
                  <w:color w:val="000000"/>
                  <w:sz w:val="20"/>
                  <w:szCs w:val="20"/>
                  <w:u w:val="none"/>
                </w:rPr>
                <w:t>109</w:t>
              </w:r>
            </w:hyperlink>
          </w:p>
        </w:tc>
      </w:tr>
      <w:tr w:rsidR="00000000">
        <w:trPr>
          <w:divId w:val="1561288785"/>
          <w:trHeight w:val="60"/>
        </w:trPr>
        <w:tc>
          <w:tcPr>
            <w:tcW w:w="0" w:type="auto"/>
            <w:gridSpan w:val="3"/>
            <w:tcMar>
              <w:top w:w="0" w:type="dxa"/>
              <w:left w:w="20" w:type="dxa"/>
              <w:bottom w:w="0" w:type="dxa"/>
              <w:right w:w="20" w:type="dxa"/>
            </w:tcMar>
            <w:vAlign w:val="center"/>
            <w:hideMark/>
          </w:tcPr>
          <w:p w:rsidR="00000000" w:rsidRDefault="00FD7D3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000000">
        <w:trPr>
          <w:divId w:val="1561288785"/>
        </w:trPr>
        <w:tc>
          <w:tcPr>
            <w:tcW w:w="0" w:type="auto"/>
            <w:gridSpan w:val="3"/>
            <w:tcMar>
              <w:top w:w="30" w:type="dxa"/>
              <w:left w:w="20" w:type="dxa"/>
              <w:bottom w:w="30" w:type="dxa"/>
              <w:right w:w="20" w:type="dxa"/>
            </w:tcMar>
            <w:vAlign w:val="center"/>
            <w:hideMark/>
          </w:tcPr>
          <w:p w:rsidR="00000000" w:rsidRDefault="00FD7D3C">
            <w:pPr>
              <w:spacing w:after="100"/>
              <w:divId w:val="71514591"/>
              <w:rPr>
                <w:rFonts w:eastAsia="Times New Roman"/>
              </w:rPr>
            </w:pPr>
            <w:hyperlink w:anchor="i988625df783e4cc0a27bd76df388da57_91" w:history="1">
              <w:r>
                <w:rPr>
                  <w:rStyle w:val="a3"/>
                  <w:rFonts w:eastAsia="Times New Roman"/>
                  <w:sz w:val="20"/>
                  <w:szCs w:val="20"/>
                </w:rPr>
                <w:t>Statements of Operations and Comprehensive Loss for the Years ended December 31, 20</w:t>
              </w:r>
            </w:hyperlink>
            <w:hyperlink w:anchor="i988625df783e4cc0a27bd76df388da57_91" w:history="1">
              <w:r>
                <w:rPr>
                  <w:rStyle w:val="a3"/>
                  <w:rFonts w:eastAsia="Times New Roman"/>
                  <w:sz w:val="20"/>
                  <w:szCs w:val="20"/>
                </w:rPr>
                <w:t>21</w:t>
              </w:r>
            </w:hyperlink>
            <w:hyperlink w:anchor="i988625df783e4cc0a27bd76df388da57_91" w:history="1">
              <w:r>
                <w:rPr>
                  <w:rStyle w:val="a3"/>
                  <w:rFonts w:eastAsia="Times New Roman"/>
                  <w:sz w:val="20"/>
                  <w:szCs w:val="20"/>
                </w:rPr>
                <w:t>, 2020</w:t>
              </w:r>
            </w:hyperlink>
            <w:hyperlink w:anchor="i988625df783e4cc0a27bd76df388da57_91" w:history="1">
              <w:r>
                <w:rPr>
                  <w:rStyle w:val="a3"/>
                  <w:rFonts w:eastAsia="Times New Roman"/>
                  <w:sz w:val="20"/>
                  <w:szCs w:val="20"/>
                </w:rPr>
                <w:t xml:space="preserve"> and 20</w:t>
              </w:r>
            </w:hyperlink>
            <w:hyperlink w:anchor="i988625df783e4cc0a27bd76df388da57_91" w:history="1">
              <w:r>
                <w:rPr>
                  <w:rStyle w:val="a3"/>
                  <w:rFonts w:eastAsia="Times New Roman"/>
                  <w:sz w:val="20"/>
                  <w:szCs w:val="20"/>
                </w:rPr>
                <w:t>19</w:t>
              </w:r>
            </w:hyperlink>
          </w:p>
        </w:tc>
        <w:tc>
          <w:tcPr>
            <w:tcW w:w="0" w:type="auto"/>
            <w:gridSpan w:val="3"/>
            <w:tcMar>
              <w:top w:w="30" w:type="dxa"/>
              <w:left w:w="20" w:type="dxa"/>
              <w:bottom w:w="30" w:type="dxa"/>
              <w:right w:w="20" w:type="dxa"/>
            </w:tcMar>
            <w:vAlign w:val="center"/>
            <w:hideMark/>
          </w:tcPr>
          <w:p w:rsidR="00000000" w:rsidRDefault="00FD7D3C">
            <w:pPr>
              <w:spacing w:after="100"/>
              <w:jc w:val="right"/>
              <w:rPr>
                <w:rFonts w:eastAsia="Times New Roman"/>
              </w:rPr>
            </w:pPr>
            <w:hyperlink w:anchor="i988625df783e4cc0a27bd76df388da57_91" w:history="1">
              <w:r>
                <w:rPr>
                  <w:rStyle w:val="a3"/>
                  <w:rFonts w:eastAsia="Times New Roman"/>
                  <w:color w:val="000000"/>
                  <w:sz w:val="20"/>
                  <w:szCs w:val="20"/>
                  <w:u w:val="none"/>
                </w:rPr>
                <w:t>110</w:t>
              </w:r>
            </w:hyperlink>
          </w:p>
        </w:tc>
      </w:tr>
      <w:tr w:rsidR="00000000">
        <w:trPr>
          <w:divId w:val="1561288785"/>
          <w:trHeight w:val="60"/>
        </w:trPr>
        <w:tc>
          <w:tcPr>
            <w:tcW w:w="0" w:type="auto"/>
            <w:gridSpan w:val="3"/>
            <w:tcMar>
              <w:top w:w="0" w:type="dxa"/>
              <w:left w:w="20" w:type="dxa"/>
              <w:bottom w:w="0" w:type="dxa"/>
              <w:right w:w="20" w:type="dxa"/>
            </w:tcMar>
            <w:vAlign w:val="center"/>
            <w:hideMark/>
          </w:tcPr>
          <w:p w:rsidR="00000000" w:rsidRDefault="00FD7D3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000000">
        <w:trPr>
          <w:divId w:val="1561288785"/>
        </w:trPr>
        <w:tc>
          <w:tcPr>
            <w:tcW w:w="0" w:type="auto"/>
            <w:gridSpan w:val="3"/>
            <w:tcMar>
              <w:top w:w="30" w:type="dxa"/>
              <w:left w:w="20" w:type="dxa"/>
              <w:bottom w:w="30" w:type="dxa"/>
              <w:right w:w="20" w:type="dxa"/>
            </w:tcMar>
            <w:vAlign w:val="center"/>
            <w:hideMark/>
          </w:tcPr>
          <w:p w:rsidR="00000000" w:rsidRDefault="00FD7D3C">
            <w:pPr>
              <w:spacing w:after="100"/>
              <w:divId w:val="698118327"/>
              <w:rPr>
                <w:rFonts w:eastAsia="Times New Roman"/>
              </w:rPr>
            </w:pPr>
            <w:hyperlink w:anchor="i988625df783e4cc0a27bd76df388da57_94" w:history="1">
              <w:r>
                <w:rPr>
                  <w:rStyle w:val="a3"/>
                  <w:rFonts w:eastAsia="Times New Roman"/>
                  <w:sz w:val="20"/>
                  <w:szCs w:val="20"/>
                </w:rPr>
                <w:t>Statements of Stockholders’ Equity (Deficit) for the Years ended December 31, 202</w:t>
              </w:r>
            </w:hyperlink>
            <w:hyperlink w:anchor="i988625df783e4cc0a27bd76df388da57_94" w:history="1">
              <w:r>
                <w:rPr>
                  <w:rStyle w:val="a3"/>
                  <w:rFonts w:eastAsia="Times New Roman"/>
                  <w:sz w:val="20"/>
                  <w:szCs w:val="20"/>
                </w:rPr>
                <w:t>1</w:t>
              </w:r>
            </w:hyperlink>
            <w:hyperlink w:anchor="i988625df783e4cc0a27bd76df388da57_94" w:history="1">
              <w:r>
                <w:rPr>
                  <w:rStyle w:val="a3"/>
                  <w:rFonts w:eastAsia="Times New Roman"/>
                  <w:sz w:val="20"/>
                  <w:szCs w:val="20"/>
                </w:rPr>
                <w:t>, 20</w:t>
              </w:r>
            </w:hyperlink>
            <w:hyperlink w:anchor="i988625df783e4cc0a27bd76df388da57_94" w:history="1">
              <w:r>
                <w:rPr>
                  <w:rStyle w:val="a3"/>
                  <w:rFonts w:eastAsia="Times New Roman"/>
                  <w:sz w:val="20"/>
                  <w:szCs w:val="20"/>
                </w:rPr>
                <w:t xml:space="preserve">20 and </w:t>
              </w:r>
            </w:hyperlink>
            <w:hyperlink w:anchor="i988625df783e4cc0a27bd76df388da57_94" w:history="1">
              <w:r>
                <w:rPr>
                  <w:rStyle w:val="a3"/>
                  <w:rFonts w:eastAsia="Times New Roman"/>
                  <w:sz w:val="20"/>
                  <w:szCs w:val="20"/>
                </w:rPr>
                <w:t>20</w:t>
              </w:r>
            </w:hyperlink>
            <w:hyperlink w:anchor="i988625df783e4cc0a27bd76df388da57_94" w:history="1">
              <w:r>
                <w:rPr>
                  <w:rStyle w:val="a3"/>
                  <w:rFonts w:eastAsia="Times New Roman"/>
                  <w:sz w:val="20"/>
                  <w:szCs w:val="20"/>
                </w:rPr>
                <w:t>19</w:t>
              </w:r>
            </w:hyperlink>
          </w:p>
        </w:tc>
        <w:tc>
          <w:tcPr>
            <w:tcW w:w="0" w:type="auto"/>
            <w:gridSpan w:val="3"/>
            <w:tcMar>
              <w:top w:w="30" w:type="dxa"/>
              <w:left w:w="20" w:type="dxa"/>
              <w:bottom w:w="30" w:type="dxa"/>
              <w:right w:w="20" w:type="dxa"/>
            </w:tcMar>
            <w:vAlign w:val="center"/>
            <w:hideMark/>
          </w:tcPr>
          <w:p w:rsidR="00000000" w:rsidRDefault="00FD7D3C">
            <w:pPr>
              <w:spacing w:after="100"/>
              <w:jc w:val="right"/>
              <w:rPr>
                <w:rFonts w:eastAsia="Times New Roman"/>
              </w:rPr>
            </w:pPr>
            <w:hyperlink w:anchor="i988625df783e4cc0a27bd76df388da57_94" w:history="1">
              <w:r>
                <w:rPr>
                  <w:rStyle w:val="a3"/>
                  <w:rFonts w:eastAsia="Times New Roman"/>
                  <w:color w:val="000000"/>
                  <w:sz w:val="20"/>
                  <w:szCs w:val="20"/>
                  <w:u w:val="none"/>
                </w:rPr>
                <w:t>111</w:t>
              </w:r>
            </w:hyperlink>
          </w:p>
        </w:tc>
      </w:tr>
      <w:tr w:rsidR="00000000">
        <w:trPr>
          <w:divId w:val="1561288785"/>
          <w:trHeight w:val="60"/>
        </w:trPr>
        <w:tc>
          <w:tcPr>
            <w:tcW w:w="0" w:type="auto"/>
            <w:gridSpan w:val="3"/>
            <w:tcMar>
              <w:top w:w="0" w:type="dxa"/>
              <w:left w:w="20" w:type="dxa"/>
              <w:bottom w:w="0" w:type="dxa"/>
              <w:right w:w="20" w:type="dxa"/>
            </w:tcMar>
            <w:vAlign w:val="center"/>
            <w:hideMark/>
          </w:tcPr>
          <w:p w:rsidR="00000000" w:rsidRDefault="00FD7D3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000000">
        <w:trPr>
          <w:divId w:val="1561288785"/>
        </w:trPr>
        <w:tc>
          <w:tcPr>
            <w:tcW w:w="0" w:type="auto"/>
            <w:gridSpan w:val="3"/>
            <w:tcMar>
              <w:top w:w="30" w:type="dxa"/>
              <w:left w:w="20" w:type="dxa"/>
              <w:bottom w:w="30" w:type="dxa"/>
              <w:right w:w="20" w:type="dxa"/>
            </w:tcMar>
            <w:vAlign w:val="center"/>
            <w:hideMark/>
          </w:tcPr>
          <w:p w:rsidR="00000000" w:rsidRDefault="00FD7D3C">
            <w:pPr>
              <w:spacing w:after="100"/>
              <w:divId w:val="1268390036"/>
              <w:rPr>
                <w:rFonts w:eastAsia="Times New Roman"/>
              </w:rPr>
            </w:pPr>
            <w:hyperlink w:anchor="i988625df783e4cc0a27bd76df388da57_97" w:history="1">
              <w:r>
                <w:rPr>
                  <w:rStyle w:val="a3"/>
                  <w:rFonts w:eastAsia="Times New Roman"/>
                  <w:sz w:val="20"/>
                  <w:szCs w:val="20"/>
                </w:rPr>
                <w:t>Statements of Cash Flows for the Years ended December 31, 202</w:t>
              </w:r>
            </w:hyperlink>
            <w:hyperlink w:anchor="i988625df783e4cc0a27bd76df388da57_97" w:history="1">
              <w:r>
                <w:rPr>
                  <w:rStyle w:val="a3"/>
                  <w:rFonts w:eastAsia="Times New Roman"/>
                  <w:sz w:val="20"/>
                  <w:szCs w:val="20"/>
                </w:rPr>
                <w:t>1</w:t>
              </w:r>
            </w:hyperlink>
            <w:hyperlink w:anchor="i988625df783e4cc0a27bd76df388da57_97" w:history="1">
              <w:r>
                <w:rPr>
                  <w:rStyle w:val="a3"/>
                  <w:rFonts w:eastAsia="Times New Roman"/>
                  <w:sz w:val="20"/>
                  <w:szCs w:val="20"/>
                </w:rPr>
                <w:t>, 2020</w:t>
              </w:r>
            </w:hyperlink>
            <w:hyperlink w:anchor="i988625df783e4cc0a27bd76df388da57_97" w:history="1">
              <w:r>
                <w:rPr>
                  <w:rStyle w:val="a3"/>
                  <w:rFonts w:eastAsia="Times New Roman"/>
                  <w:sz w:val="20"/>
                  <w:szCs w:val="20"/>
                </w:rPr>
                <w:t xml:space="preserve"> and 20</w:t>
              </w:r>
            </w:hyperlink>
            <w:hyperlink w:anchor="i988625df783e4cc0a27bd76df388da57_97" w:history="1">
              <w:r>
                <w:rPr>
                  <w:rStyle w:val="a3"/>
                  <w:rFonts w:eastAsia="Times New Roman"/>
                  <w:sz w:val="20"/>
                  <w:szCs w:val="20"/>
                </w:rPr>
                <w:t>19</w:t>
              </w:r>
            </w:hyperlink>
          </w:p>
        </w:tc>
        <w:tc>
          <w:tcPr>
            <w:tcW w:w="0" w:type="auto"/>
            <w:gridSpan w:val="3"/>
            <w:tcMar>
              <w:top w:w="30" w:type="dxa"/>
              <w:left w:w="20" w:type="dxa"/>
              <w:bottom w:w="30" w:type="dxa"/>
              <w:right w:w="20" w:type="dxa"/>
            </w:tcMar>
            <w:vAlign w:val="center"/>
            <w:hideMark/>
          </w:tcPr>
          <w:p w:rsidR="00000000" w:rsidRDefault="00FD7D3C">
            <w:pPr>
              <w:spacing w:after="100"/>
              <w:jc w:val="right"/>
              <w:rPr>
                <w:rFonts w:eastAsia="Times New Roman"/>
              </w:rPr>
            </w:pPr>
            <w:hyperlink w:anchor="i988625df783e4cc0a27bd76df388da57_97" w:history="1">
              <w:r>
                <w:rPr>
                  <w:rStyle w:val="a3"/>
                  <w:rFonts w:eastAsia="Times New Roman"/>
                  <w:color w:val="000000"/>
                  <w:sz w:val="20"/>
                  <w:szCs w:val="20"/>
                  <w:u w:val="none"/>
                </w:rPr>
                <w:t>114</w:t>
              </w:r>
            </w:hyperlink>
          </w:p>
        </w:tc>
      </w:tr>
      <w:tr w:rsidR="00000000">
        <w:trPr>
          <w:divId w:val="1561288785"/>
          <w:trHeight w:val="60"/>
        </w:trPr>
        <w:tc>
          <w:tcPr>
            <w:tcW w:w="0" w:type="auto"/>
            <w:gridSpan w:val="3"/>
            <w:tcMar>
              <w:top w:w="0" w:type="dxa"/>
              <w:left w:w="20" w:type="dxa"/>
              <w:bottom w:w="0" w:type="dxa"/>
              <w:right w:w="20" w:type="dxa"/>
            </w:tcMar>
            <w:vAlign w:val="center"/>
            <w:hideMark/>
          </w:tcPr>
          <w:p w:rsidR="00000000" w:rsidRDefault="00FD7D3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000000">
        <w:trPr>
          <w:divId w:val="1561288785"/>
        </w:trPr>
        <w:tc>
          <w:tcPr>
            <w:tcW w:w="0" w:type="auto"/>
            <w:gridSpan w:val="3"/>
            <w:tcMar>
              <w:top w:w="30" w:type="dxa"/>
              <w:left w:w="20" w:type="dxa"/>
              <w:bottom w:w="30" w:type="dxa"/>
              <w:right w:w="20" w:type="dxa"/>
            </w:tcMar>
            <w:vAlign w:val="center"/>
            <w:hideMark/>
          </w:tcPr>
          <w:p w:rsidR="00000000" w:rsidRDefault="00FD7D3C">
            <w:pPr>
              <w:spacing w:after="100"/>
              <w:divId w:val="1700006367"/>
              <w:rPr>
                <w:rFonts w:eastAsia="Times New Roman"/>
              </w:rPr>
            </w:pPr>
            <w:hyperlink w:anchor="i988625df783e4cc0a27bd76df388da57_100" w:history="1">
              <w:r>
                <w:rPr>
                  <w:rStyle w:val="a3"/>
                  <w:rFonts w:eastAsia="Times New Roman"/>
                  <w:sz w:val="20"/>
                  <w:szCs w:val="20"/>
                </w:rPr>
                <w:t>Notes to Financial Statements</w:t>
              </w:r>
            </w:hyperlink>
          </w:p>
        </w:tc>
        <w:tc>
          <w:tcPr>
            <w:tcW w:w="0" w:type="auto"/>
            <w:gridSpan w:val="3"/>
            <w:tcMar>
              <w:top w:w="30" w:type="dxa"/>
              <w:left w:w="20" w:type="dxa"/>
              <w:bottom w:w="30" w:type="dxa"/>
              <w:right w:w="20" w:type="dxa"/>
            </w:tcMar>
            <w:vAlign w:val="center"/>
            <w:hideMark/>
          </w:tcPr>
          <w:p w:rsidR="00000000" w:rsidRDefault="00FD7D3C">
            <w:pPr>
              <w:spacing w:after="100"/>
              <w:jc w:val="right"/>
              <w:rPr>
                <w:rFonts w:eastAsia="Times New Roman"/>
              </w:rPr>
            </w:pPr>
            <w:hyperlink w:anchor="i988625df783e4cc0a27bd76df388da57_100" w:history="1">
              <w:r>
                <w:rPr>
                  <w:rStyle w:val="a3"/>
                  <w:rFonts w:eastAsia="Times New Roman"/>
                  <w:color w:val="000000"/>
                  <w:sz w:val="20"/>
                  <w:szCs w:val="20"/>
                  <w:u w:val="none"/>
                </w:rPr>
                <w:t>116</w:t>
              </w:r>
            </w:hyperlink>
          </w:p>
        </w:tc>
      </w:tr>
    </w:tbl>
    <w:p w:rsidR="00000000" w:rsidRDefault="00FD7D3C">
      <w:pPr>
        <w:divId w:val="636178963"/>
        <w:rPr>
          <w:rFonts w:eastAsia="Times New Roman"/>
        </w:rPr>
      </w:pPr>
    </w:p>
    <w:p w:rsidR="00000000" w:rsidRDefault="00FD7D3C">
      <w:pPr>
        <w:jc w:val="center"/>
        <w:divId w:val="1156842672"/>
        <w:rPr>
          <w:rFonts w:eastAsia="Times New Roman"/>
        </w:rPr>
      </w:pPr>
      <w:r>
        <w:rPr>
          <w:rFonts w:eastAsia="Times New Roman"/>
          <w:color w:val="000000"/>
          <w:sz w:val="20"/>
          <w:szCs w:val="20"/>
        </w:rPr>
        <w:t>106</w:t>
      </w:r>
    </w:p>
    <w:p w:rsidR="00000000" w:rsidRDefault="00FD7D3C">
      <w:pPr>
        <w:rPr>
          <w:rFonts w:eastAsia="Times New Roman"/>
        </w:rPr>
      </w:pPr>
      <w:r>
        <w:rPr>
          <w:rFonts w:eastAsia="Times New Roman"/>
        </w:rPr>
        <w:pict>
          <v:rect id="_x0000_i1159" style="width:0;height:1.5pt" o:hralign="center" o:hrstd="t" o:hr="t" fillcolor="#a0a0a0" stroked="f"/>
        </w:pict>
      </w:r>
    </w:p>
    <w:p w:rsidR="00000000" w:rsidRDefault="00FD7D3C">
      <w:pPr>
        <w:divId w:val="239561230"/>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divId w:val="207451446"/>
        <w:rPr>
          <w:rFonts w:eastAsia="Times New Roman"/>
        </w:rPr>
      </w:pPr>
      <w:r>
        <w:rPr>
          <w:rFonts w:eastAsia="Times New Roman"/>
          <w:b/>
          <w:bCs/>
          <w:color w:val="000000"/>
          <w:sz w:val="20"/>
          <w:szCs w:val="20"/>
        </w:rPr>
        <w:t>Report of Independent Registered Public Accounting Firm</w:t>
      </w:r>
    </w:p>
    <w:p w:rsidR="00000000" w:rsidRDefault="00FD7D3C">
      <w:pPr>
        <w:divId w:val="983662065"/>
        <w:rPr>
          <w:rFonts w:eastAsia="Times New Roman"/>
        </w:rPr>
      </w:pPr>
      <w:r>
        <w:rPr>
          <w:rFonts w:eastAsia="Times New Roman"/>
          <w:color w:val="000000"/>
          <w:sz w:val="20"/>
          <w:szCs w:val="20"/>
        </w:rPr>
        <w:t>To the stockholders and the Board of Directors of Pliant Therapeutics, Inc.</w:t>
      </w:r>
    </w:p>
    <w:p w:rsidR="00000000" w:rsidRDefault="00FD7D3C">
      <w:pPr>
        <w:divId w:val="860901215"/>
        <w:rPr>
          <w:rFonts w:eastAsia="Times New Roman"/>
        </w:rPr>
      </w:pPr>
      <w:r>
        <w:rPr>
          <w:rFonts w:eastAsia="Times New Roman"/>
          <w:b/>
          <w:bCs/>
          <w:color w:val="000000"/>
          <w:sz w:val="20"/>
          <w:szCs w:val="20"/>
        </w:rPr>
        <w:t>Opinion on t</w:t>
      </w:r>
      <w:r>
        <w:rPr>
          <w:rFonts w:eastAsia="Times New Roman"/>
          <w:b/>
          <w:bCs/>
          <w:color w:val="000000"/>
          <w:sz w:val="20"/>
          <w:szCs w:val="20"/>
        </w:rPr>
        <w:t>he Financial Statements</w:t>
      </w:r>
    </w:p>
    <w:p w:rsidR="00000000" w:rsidRDefault="00FD7D3C">
      <w:pPr>
        <w:divId w:val="2101945615"/>
        <w:rPr>
          <w:rFonts w:eastAsia="Times New Roman"/>
        </w:rPr>
      </w:pPr>
      <w:r>
        <w:rPr>
          <w:rFonts w:eastAsia="Times New Roman"/>
          <w:color w:val="000000"/>
          <w:sz w:val="20"/>
          <w:szCs w:val="20"/>
        </w:rPr>
        <w:t>We have audited the accompanying balance sheets of Pliant Therapeutics, Inc. (the "Company") as of December 31, 2021 and 2020, the related statements of operations and comprehensive loss, redeemable convertible preferred stock and s</w:t>
      </w:r>
      <w:r>
        <w:rPr>
          <w:rFonts w:eastAsia="Times New Roman"/>
          <w:color w:val="000000"/>
          <w:sz w:val="20"/>
          <w:szCs w:val="20"/>
        </w:rPr>
        <w:t>tockholders’ equity (deficit), and cash flows, for each of the three years in the period ended December 31, 2021, and the related notes (collectively referred to as the "financial statements"). In our opinion, the financial statements present fairly, in al</w:t>
      </w:r>
      <w:r>
        <w:rPr>
          <w:rFonts w:eastAsia="Times New Roman"/>
          <w:color w:val="000000"/>
          <w:sz w:val="20"/>
          <w:szCs w:val="20"/>
        </w:rPr>
        <w:t>l material respects, the financial position of the Company as of December 31, 2021 and 2020, and the results of its operations and its cash flows for each of the three years in the period ended December 31, 2021, in conformity with accounting principles ge</w:t>
      </w:r>
      <w:r>
        <w:rPr>
          <w:rFonts w:eastAsia="Times New Roman"/>
          <w:color w:val="000000"/>
          <w:sz w:val="20"/>
          <w:szCs w:val="20"/>
        </w:rPr>
        <w:t>nerally accepted in the United States of America.</w:t>
      </w:r>
    </w:p>
    <w:p w:rsidR="00000000" w:rsidRDefault="00FD7D3C">
      <w:pPr>
        <w:divId w:val="1082874068"/>
        <w:rPr>
          <w:rFonts w:eastAsia="Times New Roman"/>
        </w:rPr>
      </w:pPr>
      <w:r>
        <w:rPr>
          <w:rFonts w:eastAsia="Times New Roman"/>
          <w:color w:val="000000"/>
          <w:sz w:val="20"/>
          <w:szCs w:val="20"/>
        </w:rPr>
        <w:t>We have also audited, in accordance with the standards of the Public Company Accounting Oversight Board (United States) (PCAOB), the Company's internal control over financial reporting as of December 31, 20</w:t>
      </w:r>
      <w:r>
        <w:rPr>
          <w:rFonts w:eastAsia="Times New Roman"/>
          <w:color w:val="000000"/>
          <w:sz w:val="20"/>
          <w:szCs w:val="20"/>
        </w:rPr>
        <w:t xml:space="preserve">21, based on criteria established in </w:t>
      </w:r>
      <w:r>
        <w:rPr>
          <w:rFonts w:eastAsia="Times New Roman"/>
          <w:i/>
          <w:iCs/>
          <w:color w:val="000000"/>
          <w:sz w:val="20"/>
          <w:szCs w:val="20"/>
        </w:rPr>
        <w:t>Internal Control — Integrated Framework (2013)</w:t>
      </w:r>
      <w:r>
        <w:rPr>
          <w:rFonts w:eastAsia="Times New Roman"/>
          <w:color w:val="000000"/>
          <w:sz w:val="20"/>
          <w:szCs w:val="20"/>
        </w:rPr>
        <w:t xml:space="preserve"> </w:t>
      </w:r>
      <w:r>
        <w:rPr>
          <w:rFonts w:eastAsia="Times New Roman"/>
          <w:color w:val="000000"/>
          <w:sz w:val="20"/>
          <w:szCs w:val="20"/>
        </w:rPr>
        <w:t>issued by the Committee of Sponsoring Organizations of the Treadway Commission and our report dated February 28, 2022, expressed an unqualified opinion on the Company's internal control over financial reporting.</w:t>
      </w:r>
    </w:p>
    <w:p w:rsidR="00000000" w:rsidRDefault="00FD7D3C">
      <w:pPr>
        <w:divId w:val="1749306114"/>
        <w:rPr>
          <w:rFonts w:eastAsia="Times New Roman"/>
        </w:rPr>
      </w:pPr>
      <w:r>
        <w:rPr>
          <w:rFonts w:eastAsia="Times New Roman"/>
          <w:b/>
          <w:bCs/>
          <w:color w:val="000000"/>
          <w:sz w:val="20"/>
          <w:szCs w:val="20"/>
        </w:rPr>
        <w:t xml:space="preserve">Change in Accounting Principle </w:t>
      </w:r>
    </w:p>
    <w:p w:rsidR="00000000" w:rsidRDefault="00FD7D3C">
      <w:pPr>
        <w:divId w:val="923613879"/>
        <w:rPr>
          <w:rFonts w:eastAsia="Times New Roman"/>
        </w:rPr>
      </w:pPr>
      <w:r>
        <w:rPr>
          <w:rFonts w:eastAsia="Times New Roman"/>
          <w:color w:val="000000"/>
          <w:sz w:val="20"/>
          <w:szCs w:val="20"/>
        </w:rPr>
        <w:t>As discussed</w:t>
      </w:r>
      <w:r>
        <w:rPr>
          <w:rFonts w:eastAsia="Times New Roman"/>
          <w:color w:val="000000"/>
          <w:sz w:val="20"/>
          <w:szCs w:val="20"/>
        </w:rPr>
        <w:t xml:space="preserve"> in Note 2 to the financial statements, the Company has changed its method of accounting for leases effective January 1, 2021 due to the adoption of Financial Accounting Standards Board (“FASB”) Accounting Standard Update (“ASU”) Topic 842, </w:t>
      </w:r>
      <w:r>
        <w:rPr>
          <w:rFonts w:eastAsia="Times New Roman"/>
          <w:i/>
          <w:iCs/>
          <w:color w:val="000000"/>
          <w:sz w:val="20"/>
          <w:szCs w:val="20"/>
        </w:rPr>
        <w:t>Leases</w:t>
      </w:r>
      <w:r>
        <w:rPr>
          <w:rFonts w:eastAsia="Times New Roman"/>
          <w:color w:val="000000"/>
          <w:sz w:val="20"/>
          <w:szCs w:val="20"/>
        </w:rPr>
        <w:t xml:space="preserve"> (“ASC 84</w:t>
      </w:r>
      <w:r>
        <w:rPr>
          <w:rFonts w:eastAsia="Times New Roman"/>
          <w:color w:val="000000"/>
          <w:sz w:val="20"/>
          <w:szCs w:val="20"/>
        </w:rPr>
        <w:t>2”), using the modified retrospective approach.</w:t>
      </w:r>
    </w:p>
    <w:p w:rsidR="00000000" w:rsidRDefault="00FD7D3C">
      <w:pPr>
        <w:divId w:val="183446618"/>
        <w:rPr>
          <w:rFonts w:eastAsia="Times New Roman"/>
        </w:rPr>
      </w:pPr>
      <w:r>
        <w:rPr>
          <w:rFonts w:eastAsia="Times New Roman"/>
          <w:b/>
          <w:bCs/>
          <w:color w:val="000000"/>
          <w:sz w:val="20"/>
          <w:szCs w:val="20"/>
        </w:rPr>
        <w:t>Basis for Opinion</w:t>
      </w:r>
    </w:p>
    <w:p w:rsidR="00000000" w:rsidRDefault="00FD7D3C">
      <w:pPr>
        <w:divId w:val="193663166"/>
        <w:rPr>
          <w:rFonts w:eastAsia="Times New Roman"/>
        </w:rPr>
      </w:pPr>
      <w:r>
        <w:rPr>
          <w:rFonts w:eastAsia="Times New Roman"/>
          <w:color w:val="000000"/>
          <w:sz w:val="20"/>
          <w:szCs w:val="20"/>
        </w:rPr>
        <w:t>These financial statements are the responsibility of the Company's management. Our responsibility is to express an opinion on the Company's financial statements based on our audits. We are a public accounting firm registered with the PCAOB and are required</w:t>
      </w:r>
      <w:r>
        <w:rPr>
          <w:rFonts w:eastAsia="Times New Roman"/>
          <w:color w:val="000000"/>
          <w:sz w:val="20"/>
          <w:szCs w:val="20"/>
        </w:rPr>
        <w:t xml:space="preserve"> to be independent with respect to the Company in accordance with the U.S. federal securities laws and the applicable rules and regulations of the Securities and Exchange Commission and the PCAOB.</w:t>
      </w:r>
    </w:p>
    <w:p w:rsidR="00000000" w:rsidRDefault="00FD7D3C">
      <w:pPr>
        <w:divId w:val="1623922588"/>
        <w:rPr>
          <w:rFonts w:eastAsia="Times New Roman"/>
        </w:rPr>
      </w:pPr>
      <w:r>
        <w:rPr>
          <w:rFonts w:eastAsia="Times New Roman"/>
          <w:color w:val="000000"/>
          <w:sz w:val="20"/>
          <w:szCs w:val="20"/>
        </w:rPr>
        <w:t>We conducted our audits in accordance with the standards of</w:t>
      </w:r>
      <w:r>
        <w:rPr>
          <w:rFonts w:eastAsia="Times New Roman"/>
          <w:color w:val="000000"/>
          <w:sz w:val="20"/>
          <w:szCs w:val="20"/>
        </w:rPr>
        <w:t xml:space="preserve"> the PCAOB. Those standards require that we plan and perform the audit to obtain reasonable assurance about whether the financial statements are free of material misstatement, whether due to error or fraud. Our audits included performing procedures to asse</w:t>
      </w:r>
      <w:r>
        <w:rPr>
          <w:rFonts w:eastAsia="Times New Roman"/>
          <w:color w:val="000000"/>
          <w:sz w:val="20"/>
          <w:szCs w:val="20"/>
        </w:rPr>
        <w:t xml:space="preserve">ss the risks of material misstatement of the financial statements, whether due to error or fraud, and performing procedures that respond to those risks. Such procedures included examining, on a test basis, evidence regarding the amounts and disclosures in </w:t>
      </w:r>
      <w:r>
        <w:rPr>
          <w:rFonts w:eastAsia="Times New Roman"/>
          <w:color w:val="000000"/>
          <w:sz w:val="20"/>
          <w:szCs w:val="20"/>
        </w:rPr>
        <w:t>the financial statements. Our audits also included evaluating the accounting principles used and significant estimates made by management, as well as evaluating the overall presentation of the financial statements. We believe that our audits provide a reas</w:t>
      </w:r>
      <w:r>
        <w:rPr>
          <w:rFonts w:eastAsia="Times New Roman"/>
          <w:color w:val="000000"/>
          <w:sz w:val="20"/>
          <w:szCs w:val="20"/>
        </w:rPr>
        <w:t>onable basis for our opinion.</w:t>
      </w:r>
    </w:p>
    <w:p w:rsidR="00000000" w:rsidRDefault="00FD7D3C">
      <w:pPr>
        <w:divId w:val="974136743"/>
        <w:rPr>
          <w:rFonts w:eastAsia="Times New Roman"/>
        </w:rPr>
      </w:pPr>
      <w:r>
        <w:rPr>
          <w:rFonts w:eastAsia="Times New Roman"/>
          <w:b/>
          <w:bCs/>
          <w:color w:val="000000"/>
          <w:sz w:val="20"/>
          <w:szCs w:val="20"/>
        </w:rPr>
        <w:t xml:space="preserve">Critical Audit Matter </w:t>
      </w:r>
    </w:p>
    <w:p w:rsidR="00000000" w:rsidRDefault="00FD7D3C">
      <w:pPr>
        <w:divId w:val="407461483"/>
        <w:rPr>
          <w:rFonts w:eastAsia="Times New Roman"/>
        </w:rPr>
      </w:pPr>
      <w:r>
        <w:rPr>
          <w:rFonts w:eastAsia="Times New Roman"/>
          <w:color w:val="000000"/>
          <w:sz w:val="20"/>
          <w:szCs w:val="20"/>
        </w:rPr>
        <w:t xml:space="preserve">The critical audit matter communicated below is a matter arising from the current-period audit of the financial statements that was communicated or required to be communicated to the audit committee and </w:t>
      </w:r>
      <w:r>
        <w:rPr>
          <w:rFonts w:eastAsia="Times New Roman"/>
          <w:color w:val="000000"/>
          <w:sz w:val="20"/>
          <w:szCs w:val="20"/>
        </w:rPr>
        <w:t>that (1) relates to accounts or disclosures that are material to the financial statements and (2) involved our especially challenging, subjective, or complex judgments. The communication of critical audit matters does not alter in any way our opinion on th</w:t>
      </w:r>
      <w:r>
        <w:rPr>
          <w:rFonts w:eastAsia="Times New Roman"/>
          <w:color w:val="000000"/>
          <w:sz w:val="20"/>
          <w:szCs w:val="20"/>
        </w:rPr>
        <w:t>e financial statements, taken as a whole, and we are not, by communicating the critical audit matter below, providing a separate opinion on the critical audit matter or on the accounts or disclosures to which it relates.</w:t>
      </w:r>
    </w:p>
    <w:p w:rsidR="00000000" w:rsidRDefault="00FD7D3C">
      <w:pPr>
        <w:divId w:val="1472868133"/>
        <w:rPr>
          <w:rFonts w:eastAsia="Times New Roman"/>
        </w:rPr>
      </w:pPr>
      <w:r>
        <w:rPr>
          <w:rFonts w:eastAsia="Times New Roman"/>
          <w:b/>
          <w:bCs/>
          <w:i/>
          <w:iCs/>
          <w:color w:val="000000"/>
          <w:sz w:val="20"/>
          <w:szCs w:val="20"/>
        </w:rPr>
        <w:t>Accrued Liabilities and Prepaid Exp</w:t>
      </w:r>
      <w:r>
        <w:rPr>
          <w:rFonts w:eastAsia="Times New Roman"/>
          <w:b/>
          <w:bCs/>
          <w:i/>
          <w:iCs/>
          <w:color w:val="000000"/>
          <w:sz w:val="20"/>
          <w:szCs w:val="20"/>
        </w:rPr>
        <w:t>enses and Other Current Assets – Accrued and Prepaid Research and Development Expenses — Refer to Notes 2, 5 and 6 to the financial statements</w:t>
      </w:r>
    </w:p>
    <w:p w:rsidR="00000000" w:rsidRDefault="00FD7D3C">
      <w:pPr>
        <w:divId w:val="1127316657"/>
        <w:rPr>
          <w:rFonts w:eastAsia="Times New Roman"/>
        </w:rPr>
      </w:pPr>
      <w:r>
        <w:rPr>
          <w:rFonts w:eastAsia="Times New Roman"/>
          <w:i/>
          <w:iCs/>
          <w:color w:val="000000"/>
          <w:sz w:val="20"/>
          <w:szCs w:val="20"/>
        </w:rPr>
        <w:t>Critical Audit Matter Description</w:t>
      </w:r>
    </w:p>
    <w:p w:rsidR="00000000" w:rsidRDefault="00FD7D3C">
      <w:pPr>
        <w:divId w:val="1197891213"/>
        <w:rPr>
          <w:rFonts w:eastAsia="Times New Roman"/>
        </w:rPr>
      </w:pPr>
      <w:r>
        <w:rPr>
          <w:rFonts w:eastAsia="Times New Roman"/>
          <w:color w:val="000000"/>
          <w:sz w:val="20"/>
          <w:szCs w:val="20"/>
        </w:rPr>
        <w:t>The Company records accrued expenses for costs of research and development acti</w:t>
      </w:r>
      <w:r>
        <w:rPr>
          <w:rFonts w:eastAsia="Times New Roman"/>
          <w:color w:val="000000"/>
          <w:sz w:val="20"/>
          <w:szCs w:val="20"/>
        </w:rPr>
        <w:t>vities which include the conduct of clinical studies and preclinical studies by third-party service providers, based upon the estimated amount of services provided but not yet invoiced. Any payments made in advance of services provided are recorded as prep</w:t>
      </w:r>
      <w:r>
        <w:rPr>
          <w:rFonts w:eastAsia="Times New Roman"/>
          <w:color w:val="000000"/>
          <w:sz w:val="20"/>
          <w:szCs w:val="20"/>
        </w:rPr>
        <w:t xml:space="preserve">aid assets, which are expensed as the contracted services are performed. The Company estimates the amount of work completed through review of detailed budgets and timelines included in its contracts and agreements, and updates these estimates with </w:t>
      </w:r>
    </w:p>
    <w:p w:rsidR="00000000" w:rsidRDefault="00FD7D3C">
      <w:pPr>
        <w:jc w:val="center"/>
        <w:divId w:val="1836456295"/>
        <w:rPr>
          <w:rFonts w:eastAsia="Times New Roman"/>
        </w:rPr>
      </w:pPr>
      <w:r>
        <w:rPr>
          <w:rFonts w:eastAsia="Times New Roman"/>
          <w:color w:val="000000"/>
          <w:sz w:val="20"/>
          <w:szCs w:val="20"/>
        </w:rPr>
        <w:t>107</w:t>
      </w:r>
    </w:p>
    <w:p w:rsidR="00000000" w:rsidRDefault="00FD7D3C">
      <w:pPr>
        <w:rPr>
          <w:rFonts w:eastAsia="Times New Roman"/>
        </w:rPr>
      </w:pPr>
      <w:r>
        <w:rPr>
          <w:rFonts w:eastAsia="Times New Roman"/>
        </w:rPr>
        <w:pict>
          <v:rect id="_x0000_i1160" style="width:0;height:1.5pt" o:hralign="center" o:hrstd="t" o:hr="t" fillcolor="#a0a0a0" stroked="f"/>
        </w:pict>
      </w:r>
    </w:p>
    <w:p w:rsidR="00000000" w:rsidRDefault="00FD7D3C">
      <w:pPr>
        <w:divId w:val="1887717889"/>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divId w:val="1303458293"/>
        <w:rPr>
          <w:rFonts w:eastAsia="Times New Roman"/>
        </w:rPr>
      </w:pPr>
      <w:r>
        <w:rPr>
          <w:rFonts w:eastAsia="Times New Roman"/>
          <w:color w:val="000000"/>
          <w:sz w:val="20"/>
          <w:szCs w:val="20"/>
        </w:rPr>
        <w:t>information obtained from third-party service providers and internal personnel on a quarterly basis. As of December 31, 2021, accrued research and</w:t>
      </w:r>
      <w:r>
        <w:rPr>
          <w:rFonts w:eastAsia="Times New Roman"/>
          <w:color w:val="000000"/>
          <w:sz w:val="20"/>
          <w:szCs w:val="20"/>
        </w:rPr>
        <w:t xml:space="preserve"> development expenses were $5.9 million and prepaid research and development expenses were $2.8 million.</w:t>
      </w:r>
    </w:p>
    <w:p w:rsidR="00000000" w:rsidRDefault="00FD7D3C">
      <w:pPr>
        <w:divId w:val="218369660"/>
        <w:rPr>
          <w:rFonts w:eastAsia="Times New Roman"/>
        </w:rPr>
      </w:pPr>
      <w:r>
        <w:rPr>
          <w:rFonts w:eastAsia="Times New Roman"/>
          <w:color w:val="000000"/>
          <w:sz w:val="20"/>
          <w:szCs w:val="20"/>
        </w:rPr>
        <w:t>Given the significant judgments made by management in estimating the progress or stage of completion of the services, auditing the Company’s accrued an</w:t>
      </w:r>
      <w:r>
        <w:rPr>
          <w:rFonts w:eastAsia="Times New Roman"/>
          <w:color w:val="000000"/>
          <w:sz w:val="20"/>
          <w:szCs w:val="20"/>
        </w:rPr>
        <w:t>d prepaid research and development expenses was especially challenging. Specifically, because the amount of accrued and prepaid research and development expenses is dependent on management’s receipt of timely and accurate reporting from third-party service</w:t>
      </w:r>
      <w:r>
        <w:rPr>
          <w:rFonts w:eastAsia="Times New Roman"/>
          <w:color w:val="000000"/>
          <w:sz w:val="20"/>
          <w:szCs w:val="20"/>
        </w:rPr>
        <w:t xml:space="preserve"> providers, management’s estimates of work completed as of the balance sheet date, and management’s estimates of the period over which this work will be performed, auditing accrued and prepaid research and development expenses required a high degree of aud</w:t>
      </w:r>
      <w:r>
        <w:rPr>
          <w:rFonts w:eastAsia="Times New Roman"/>
          <w:color w:val="000000"/>
          <w:sz w:val="20"/>
          <w:szCs w:val="20"/>
        </w:rPr>
        <w:t xml:space="preserve">itor judgment and an increased extent of effort. </w:t>
      </w:r>
    </w:p>
    <w:p w:rsidR="00000000" w:rsidRDefault="00FD7D3C">
      <w:pPr>
        <w:divId w:val="870611968"/>
        <w:rPr>
          <w:rFonts w:eastAsia="Times New Roman"/>
        </w:rPr>
      </w:pPr>
      <w:r>
        <w:rPr>
          <w:rFonts w:eastAsia="Times New Roman"/>
          <w:i/>
          <w:iCs/>
          <w:color w:val="000000"/>
          <w:sz w:val="20"/>
          <w:szCs w:val="20"/>
        </w:rPr>
        <w:t>How the Critical Audit Matter Was Addressed in the Audit</w:t>
      </w:r>
    </w:p>
    <w:p w:rsidR="00000000" w:rsidRDefault="00FD7D3C">
      <w:pPr>
        <w:divId w:val="1206671855"/>
        <w:rPr>
          <w:rFonts w:eastAsia="Times New Roman"/>
        </w:rPr>
      </w:pPr>
      <w:r>
        <w:rPr>
          <w:rFonts w:eastAsia="Times New Roman"/>
          <w:color w:val="000000"/>
          <w:sz w:val="20"/>
          <w:szCs w:val="20"/>
        </w:rPr>
        <w:t xml:space="preserve">Our audit procedures related to the Company’s accrued and prepaid research and development expenses included the following, among others: </w:t>
      </w:r>
    </w:p>
    <w:p w:rsidR="00000000" w:rsidRDefault="00FD7D3C">
      <w:pPr>
        <w:ind w:hanging="720"/>
        <w:divId w:val="1484851886"/>
        <w:rPr>
          <w:rFonts w:eastAsia="Times New Roman"/>
        </w:rPr>
      </w:pPr>
      <w:r>
        <w:rPr>
          <w:rFonts w:eastAsia="Times New Roman"/>
          <w:color w:val="000000"/>
          <w:sz w:val="20"/>
          <w:szCs w:val="20"/>
        </w:rPr>
        <w:t>•We tested</w:t>
      </w:r>
      <w:r>
        <w:rPr>
          <w:rFonts w:eastAsia="Times New Roman"/>
          <w:color w:val="000000"/>
          <w:sz w:val="20"/>
          <w:szCs w:val="20"/>
        </w:rPr>
        <w:t xml:space="preserve"> the design and operating effectiveness of internal controls related to the estimation of accrued and prepaid research and development expenses.</w:t>
      </w:r>
    </w:p>
    <w:p w:rsidR="00000000" w:rsidRDefault="00FD7D3C">
      <w:pPr>
        <w:ind w:hanging="720"/>
        <w:divId w:val="1268077363"/>
        <w:rPr>
          <w:rFonts w:eastAsia="Times New Roman"/>
        </w:rPr>
      </w:pPr>
      <w:r>
        <w:rPr>
          <w:rFonts w:eastAsia="Times New Roman"/>
          <w:color w:val="000000"/>
          <w:sz w:val="20"/>
          <w:szCs w:val="20"/>
        </w:rPr>
        <w:t>•For a sample of agreements and contracts, we read the related statement of work, purchase order, and inspected</w:t>
      </w:r>
      <w:r>
        <w:rPr>
          <w:rFonts w:eastAsia="Times New Roman"/>
          <w:color w:val="000000"/>
          <w:sz w:val="20"/>
          <w:szCs w:val="20"/>
        </w:rPr>
        <w:t xml:space="preserve"> information the Company received from its third-party service providers. We tested the accuracy and completeness of the underlying information used in the estimates and evaluated the significant assumptions that are used by management to estimate the reco</w:t>
      </w:r>
      <w:r>
        <w:rPr>
          <w:rFonts w:eastAsia="Times New Roman"/>
          <w:color w:val="000000"/>
          <w:sz w:val="20"/>
          <w:szCs w:val="20"/>
        </w:rPr>
        <w:t>rded amounts by performing the following procedures:</w:t>
      </w:r>
    </w:p>
    <w:p w:rsidR="00000000" w:rsidRDefault="00FD7D3C">
      <w:pPr>
        <w:spacing w:before="120"/>
        <w:ind w:hanging="720"/>
        <w:divId w:val="1601715489"/>
        <w:rPr>
          <w:rFonts w:eastAsia="Times New Roman"/>
        </w:rPr>
      </w:pPr>
      <w:r>
        <w:rPr>
          <w:rFonts w:eastAsia="Times New Roman"/>
          <w:color w:val="000000"/>
          <w:sz w:val="20"/>
          <w:szCs w:val="20"/>
        </w:rPr>
        <w:t>◦</w:t>
      </w:r>
      <w:r>
        <w:rPr>
          <w:rFonts w:eastAsia="Times New Roman"/>
          <w:color w:val="000000"/>
          <w:sz w:val="20"/>
          <w:szCs w:val="20"/>
        </w:rPr>
        <w:t>Performed corroborating inquiries with the Company’s research and development personnel that oversee the preclinical and clinical studies to obtain information regarding the nature and extent of progres</w:t>
      </w:r>
      <w:r>
        <w:rPr>
          <w:rFonts w:eastAsia="Times New Roman"/>
          <w:color w:val="000000"/>
          <w:sz w:val="20"/>
          <w:szCs w:val="20"/>
        </w:rPr>
        <w:t xml:space="preserve">s of preclinical and clinical studies. </w:t>
      </w:r>
    </w:p>
    <w:p w:rsidR="00000000" w:rsidRDefault="00FD7D3C">
      <w:pPr>
        <w:spacing w:before="120"/>
        <w:ind w:hanging="720"/>
        <w:divId w:val="1037125802"/>
        <w:rPr>
          <w:rFonts w:eastAsia="Times New Roman"/>
        </w:rPr>
      </w:pPr>
      <w:r>
        <w:rPr>
          <w:rFonts w:eastAsia="Times New Roman"/>
          <w:color w:val="000000"/>
          <w:sz w:val="20"/>
          <w:szCs w:val="20"/>
        </w:rPr>
        <w:t>◦</w:t>
      </w:r>
      <w:r>
        <w:rPr>
          <w:rFonts w:eastAsia="Times New Roman"/>
          <w:color w:val="000000"/>
          <w:sz w:val="20"/>
          <w:szCs w:val="20"/>
        </w:rPr>
        <w:t xml:space="preserve">Obtained external written confirmations from the Company’s third-party service providers regarding the accuracy and completeness of contracted amounts and percentage of completion. </w:t>
      </w:r>
    </w:p>
    <w:p w:rsidR="00000000" w:rsidRDefault="00FD7D3C">
      <w:pPr>
        <w:spacing w:before="120"/>
        <w:ind w:hanging="720"/>
        <w:divId w:val="1342391263"/>
        <w:rPr>
          <w:rFonts w:eastAsia="Times New Roman"/>
        </w:rPr>
      </w:pPr>
      <w:r>
        <w:rPr>
          <w:rFonts w:eastAsia="Times New Roman"/>
          <w:color w:val="000000"/>
          <w:sz w:val="20"/>
          <w:szCs w:val="20"/>
        </w:rPr>
        <w:t>◦</w:t>
      </w:r>
      <w:r>
        <w:rPr>
          <w:rFonts w:eastAsia="Times New Roman"/>
          <w:color w:val="000000"/>
          <w:sz w:val="20"/>
          <w:szCs w:val="20"/>
        </w:rPr>
        <w:t>Evaluated management’s judgments</w:t>
      </w:r>
      <w:r>
        <w:rPr>
          <w:rFonts w:eastAsia="Times New Roman"/>
          <w:color w:val="000000"/>
          <w:sz w:val="20"/>
          <w:szCs w:val="20"/>
        </w:rPr>
        <w:t xml:space="preserve"> using the evidence obtained.</w:t>
      </w:r>
    </w:p>
    <w:p w:rsidR="00000000" w:rsidRDefault="00FD7D3C">
      <w:pPr>
        <w:ind w:hanging="720"/>
        <w:divId w:val="1752655548"/>
        <w:rPr>
          <w:rFonts w:eastAsia="Times New Roman"/>
        </w:rPr>
      </w:pPr>
      <w:r>
        <w:rPr>
          <w:rFonts w:eastAsia="Times New Roman"/>
          <w:color w:val="000000"/>
          <w:sz w:val="20"/>
          <w:szCs w:val="20"/>
        </w:rPr>
        <w:t>•For a sample of agreements and contracts, we obtained the corresponding invoices and evidence of payment to test the Company’s disbursements made to third-party service providers as of December 31, 2021.</w:t>
      </w:r>
    </w:p>
    <w:p w:rsidR="00000000" w:rsidRDefault="00FD7D3C">
      <w:pPr>
        <w:ind w:hanging="720"/>
        <w:divId w:val="1732731940"/>
        <w:rPr>
          <w:rFonts w:eastAsia="Times New Roman"/>
        </w:rPr>
      </w:pPr>
      <w:r>
        <w:rPr>
          <w:rFonts w:eastAsia="Times New Roman"/>
          <w:color w:val="000000"/>
          <w:sz w:val="20"/>
          <w:szCs w:val="20"/>
        </w:rPr>
        <w:t>•We compared invoices</w:t>
      </w:r>
      <w:r>
        <w:rPr>
          <w:rFonts w:eastAsia="Times New Roman"/>
          <w:color w:val="000000"/>
          <w:sz w:val="20"/>
          <w:szCs w:val="20"/>
        </w:rPr>
        <w:t xml:space="preserve"> received by the Company subsequent to December 31, 2021 to the accrued research and development expenses recognized by the Company as of that date. </w:t>
      </w:r>
    </w:p>
    <w:p w:rsidR="00000000" w:rsidRDefault="00FD7D3C">
      <w:pPr>
        <w:divId w:val="1763136904"/>
        <w:rPr>
          <w:rFonts w:eastAsia="Times New Roman"/>
        </w:rPr>
      </w:pPr>
    </w:p>
    <w:p w:rsidR="00000000" w:rsidRDefault="00FD7D3C">
      <w:pPr>
        <w:divId w:val="1546483234"/>
        <w:rPr>
          <w:rFonts w:eastAsia="Times New Roman"/>
        </w:rPr>
      </w:pPr>
    </w:p>
    <w:p w:rsidR="00000000" w:rsidRDefault="00FD7D3C">
      <w:pPr>
        <w:divId w:val="885068213"/>
        <w:rPr>
          <w:rFonts w:eastAsia="Times New Roman"/>
        </w:rPr>
      </w:pPr>
      <w:r>
        <w:rPr>
          <w:rFonts w:eastAsia="Times New Roman"/>
          <w:color w:val="000000"/>
          <w:sz w:val="20"/>
          <w:szCs w:val="20"/>
        </w:rPr>
        <w:t xml:space="preserve">/s/ Deloitte &amp; Touche LLP (PCAOB ID No. 34) </w:t>
      </w:r>
    </w:p>
    <w:p w:rsidR="00000000" w:rsidRDefault="00FD7D3C">
      <w:pPr>
        <w:divId w:val="1578519680"/>
        <w:rPr>
          <w:rFonts w:eastAsia="Times New Roman"/>
        </w:rPr>
      </w:pPr>
      <w:r>
        <w:rPr>
          <w:rFonts w:eastAsia="Times New Roman"/>
          <w:color w:val="000000"/>
          <w:sz w:val="20"/>
          <w:szCs w:val="20"/>
        </w:rPr>
        <w:t xml:space="preserve">San Francisco, California </w:t>
      </w:r>
    </w:p>
    <w:p w:rsidR="00000000" w:rsidRDefault="00FD7D3C">
      <w:pPr>
        <w:divId w:val="1484392386"/>
        <w:rPr>
          <w:rFonts w:eastAsia="Times New Roman"/>
        </w:rPr>
      </w:pPr>
      <w:r>
        <w:rPr>
          <w:rFonts w:eastAsia="Times New Roman"/>
          <w:color w:val="000000"/>
          <w:sz w:val="20"/>
          <w:szCs w:val="20"/>
        </w:rPr>
        <w:t xml:space="preserve">February 28, 2022 </w:t>
      </w:r>
    </w:p>
    <w:p w:rsidR="00000000" w:rsidRDefault="00FD7D3C">
      <w:pPr>
        <w:divId w:val="882209300"/>
        <w:rPr>
          <w:rFonts w:eastAsia="Times New Roman"/>
        </w:rPr>
      </w:pPr>
      <w:r>
        <w:rPr>
          <w:rFonts w:eastAsia="Times New Roman"/>
          <w:color w:val="000000"/>
          <w:sz w:val="20"/>
          <w:szCs w:val="20"/>
        </w:rPr>
        <w:t>We have served as the Company's auditor since 2018.</w:t>
      </w:r>
    </w:p>
    <w:p w:rsidR="00000000" w:rsidRDefault="00FD7D3C">
      <w:pPr>
        <w:jc w:val="center"/>
        <w:divId w:val="460392221"/>
        <w:rPr>
          <w:rFonts w:eastAsia="Times New Roman"/>
        </w:rPr>
      </w:pPr>
      <w:r>
        <w:rPr>
          <w:rFonts w:eastAsia="Times New Roman"/>
          <w:color w:val="000000"/>
          <w:sz w:val="20"/>
          <w:szCs w:val="20"/>
        </w:rPr>
        <w:t>108</w:t>
      </w:r>
    </w:p>
    <w:p w:rsidR="00000000" w:rsidRDefault="00FD7D3C">
      <w:pPr>
        <w:rPr>
          <w:rFonts w:eastAsia="Times New Roman"/>
        </w:rPr>
      </w:pPr>
      <w:r>
        <w:rPr>
          <w:rFonts w:eastAsia="Times New Roman"/>
        </w:rPr>
        <w:pict>
          <v:rect id="_x0000_i1161" style="width:0;height:1.5pt" o:hralign="center" o:hrstd="t" o:hr="t" fillcolor="#a0a0a0" stroked="f"/>
        </w:pict>
      </w:r>
    </w:p>
    <w:p w:rsidR="00000000" w:rsidRDefault="00FD7D3C">
      <w:pPr>
        <w:divId w:val="1126047466"/>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jc w:val="center"/>
        <w:divId w:val="590940829"/>
        <w:rPr>
          <w:rFonts w:eastAsia="Times New Roman"/>
        </w:rPr>
      </w:pPr>
      <w:r>
        <w:rPr>
          <w:rFonts w:eastAsia="Times New Roman"/>
          <w:b/>
          <w:bCs/>
          <w:color w:val="000000"/>
          <w:sz w:val="20"/>
          <w:szCs w:val="20"/>
        </w:rPr>
        <w:t>Pliant Therapeutics, Inc.</w:t>
      </w:r>
    </w:p>
    <w:p w:rsidR="00000000" w:rsidRDefault="00FD7D3C">
      <w:pPr>
        <w:jc w:val="center"/>
        <w:rPr>
          <w:rFonts w:eastAsia="Times New Roman"/>
        </w:rPr>
      </w:pPr>
      <w:r>
        <w:rPr>
          <w:rFonts w:eastAsia="Times New Roman"/>
          <w:b/>
          <w:bCs/>
          <w:color w:val="000000"/>
          <w:sz w:val="20"/>
          <w:szCs w:val="20"/>
        </w:rPr>
        <w:t>Balance Sheets</w:t>
      </w:r>
    </w:p>
    <w:p w:rsidR="00000000" w:rsidRDefault="00FD7D3C">
      <w:pPr>
        <w:jc w:val="center"/>
        <w:rPr>
          <w:rFonts w:eastAsia="Times New Roman"/>
        </w:rPr>
      </w:pPr>
      <w:r>
        <w:rPr>
          <w:rFonts w:eastAsia="Times New Roman"/>
          <w:i/>
          <w:iCs/>
          <w:color w:val="000000"/>
          <w:sz w:val="20"/>
          <w:szCs w:val="20"/>
        </w:rPr>
        <w:t>(In thousands, except number of shares and per share amounts)</w:t>
      </w:r>
    </w:p>
    <w:tbl>
      <w:tblPr>
        <w:tblW w:w="5000" w:type="pct"/>
        <w:tblCellMar>
          <w:top w:w="15" w:type="dxa"/>
          <w:left w:w="15" w:type="dxa"/>
          <w:bottom w:w="15" w:type="dxa"/>
          <w:right w:w="15" w:type="dxa"/>
        </w:tblCellMar>
        <w:tblLook w:val="04A0" w:firstRow="1" w:lastRow="0" w:firstColumn="1" w:lastColumn="0" w:noHBand="0" w:noVBand="1"/>
      </w:tblPr>
      <w:tblGrid>
        <w:gridCol w:w="42"/>
        <w:gridCol w:w="5917"/>
        <w:gridCol w:w="39"/>
        <w:gridCol w:w="120"/>
        <w:gridCol w:w="960"/>
        <w:gridCol w:w="36"/>
        <w:gridCol w:w="36"/>
        <w:gridCol w:w="36"/>
        <w:gridCol w:w="36"/>
        <w:gridCol w:w="120"/>
        <w:gridCol w:w="928"/>
        <w:gridCol w:w="36"/>
      </w:tblGrid>
      <w:tr w:rsidR="00000000">
        <w:trPr>
          <w:divId w:val="414783913"/>
        </w:trPr>
        <w:tc>
          <w:tcPr>
            <w:tcW w:w="50" w:type="pct"/>
            <w:vAlign w:val="center"/>
            <w:hideMark/>
          </w:tcPr>
          <w:p w:rsidR="00000000" w:rsidRDefault="00FD7D3C">
            <w:pPr>
              <w:jc w:val="center"/>
              <w:rPr>
                <w:rFonts w:eastAsia="Times New Roman"/>
              </w:rPr>
            </w:pPr>
          </w:p>
        </w:tc>
        <w:tc>
          <w:tcPr>
            <w:tcW w:w="3588"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604"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27"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604"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r>
      <w:tr w:rsidR="00000000">
        <w:trPr>
          <w:divId w:val="414783913"/>
        </w:trPr>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2020</w:t>
            </w:r>
          </w:p>
        </w:tc>
      </w:tr>
      <w:tr w:rsidR="00000000">
        <w:trPr>
          <w:divId w:val="414783913"/>
        </w:trPr>
        <w:tc>
          <w:tcPr>
            <w:tcW w:w="0" w:type="auto"/>
            <w:gridSpan w:val="3"/>
            <w:shd w:val="clear" w:color="auto" w:fill="CCEEFF"/>
            <w:tcMar>
              <w:top w:w="30" w:type="dxa"/>
              <w:left w:w="20" w:type="dxa"/>
              <w:bottom w:w="30" w:type="dxa"/>
              <w:right w:w="20" w:type="dxa"/>
            </w:tcMar>
            <w:hideMark/>
          </w:tcPr>
          <w:p w:rsidR="00000000" w:rsidRDefault="00FD7D3C">
            <w:pPr>
              <w:spacing w:after="100"/>
              <w:rPr>
                <w:rFonts w:eastAsia="Times New Roman"/>
              </w:rPr>
            </w:pPr>
            <w:r>
              <w:rPr>
                <w:rFonts w:eastAsia="Times New Roman"/>
                <w:b/>
                <w:bCs/>
                <w:color w:val="000000"/>
                <w:sz w:val="20"/>
                <w:szCs w:val="20"/>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000000">
        <w:trPr>
          <w:divId w:val="414783913"/>
        </w:trPr>
        <w:tc>
          <w:tcPr>
            <w:tcW w:w="0" w:type="auto"/>
            <w:gridSpan w:val="3"/>
            <w:shd w:val="clear" w:color="auto" w:fill="FFFFFF"/>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Current assets</w:t>
            </w: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000000">
        <w:trPr>
          <w:divId w:val="414783913"/>
        </w:trPr>
        <w:tc>
          <w:tcPr>
            <w:tcW w:w="0" w:type="auto"/>
            <w:gridSpan w:val="3"/>
            <w:shd w:val="clear" w:color="auto" w:fill="CCEEFF"/>
            <w:tcMar>
              <w:top w:w="30" w:type="dxa"/>
              <w:left w:w="245" w:type="dxa"/>
              <w:bottom w:w="30" w:type="dxa"/>
              <w:right w:w="20" w:type="dxa"/>
            </w:tcMar>
            <w:hideMark/>
          </w:tcPr>
          <w:p w:rsidR="00000000" w:rsidRDefault="00FD7D3C">
            <w:pPr>
              <w:spacing w:after="100"/>
              <w:rPr>
                <w:rFonts w:eastAsia="Times New Roman"/>
              </w:rPr>
            </w:pPr>
            <w:r>
              <w:rPr>
                <w:rFonts w:eastAsia="Times New Roman"/>
                <w:color w:val="000000"/>
                <w:sz w:val="20"/>
                <w:szCs w:val="20"/>
              </w:rPr>
              <w:t>Cash and cash equivalents</w:t>
            </w:r>
          </w:p>
        </w:tc>
        <w:tc>
          <w:tcPr>
            <w:tcW w:w="0" w:type="auto"/>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51,665 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50,882 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414783913"/>
        </w:trPr>
        <w:tc>
          <w:tcPr>
            <w:tcW w:w="0" w:type="auto"/>
            <w:gridSpan w:val="3"/>
            <w:shd w:val="clear" w:color="auto" w:fill="FFFFFF"/>
            <w:tcMar>
              <w:top w:w="30" w:type="dxa"/>
              <w:left w:w="245" w:type="dxa"/>
              <w:bottom w:w="30" w:type="dxa"/>
              <w:right w:w="20" w:type="dxa"/>
            </w:tcMar>
            <w:hideMark/>
          </w:tcPr>
          <w:p w:rsidR="00000000" w:rsidRDefault="00FD7D3C">
            <w:pPr>
              <w:spacing w:after="100"/>
              <w:rPr>
                <w:rFonts w:eastAsia="Times New Roman"/>
              </w:rPr>
            </w:pPr>
            <w:r>
              <w:rPr>
                <w:rFonts w:eastAsia="Times New Roman"/>
                <w:color w:val="000000"/>
                <w:sz w:val="20"/>
                <w:szCs w:val="20"/>
              </w:rPr>
              <w:t>Short-term investments</w:t>
            </w: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148,931 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226,012 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414783913"/>
        </w:trPr>
        <w:tc>
          <w:tcPr>
            <w:tcW w:w="0" w:type="auto"/>
            <w:gridSpan w:val="3"/>
            <w:shd w:val="clear" w:color="auto" w:fill="CCEEFF"/>
            <w:tcMar>
              <w:top w:w="30" w:type="dxa"/>
              <w:left w:w="245" w:type="dxa"/>
              <w:bottom w:w="30" w:type="dxa"/>
              <w:right w:w="20" w:type="dxa"/>
            </w:tcMar>
            <w:hideMark/>
          </w:tcPr>
          <w:p w:rsidR="00000000" w:rsidRDefault="00FD7D3C">
            <w:pPr>
              <w:spacing w:after="100"/>
              <w:rPr>
                <w:rFonts w:eastAsia="Times New Roman"/>
              </w:rPr>
            </w:pPr>
            <w:r>
              <w:rPr>
                <w:rFonts w:eastAsia="Times New Roman"/>
                <w:color w:val="000000"/>
                <w:sz w:val="20"/>
                <w:szCs w:val="20"/>
              </w:rPr>
              <w:t>Accounts receivable</w:t>
            </w: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1,998 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9,279 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414783913"/>
        </w:trPr>
        <w:tc>
          <w:tcPr>
            <w:tcW w:w="0" w:type="auto"/>
            <w:gridSpan w:val="3"/>
            <w:shd w:val="clear" w:color="auto" w:fill="FFFFFF"/>
            <w:tcMar>
              <w:top w:w="30" w:type="dxa"/>
              <w:left w:w="245" w:type="dxa"/>
              <w:bottom w:w="30" w:type="dxa"/>
              <w:right w:w="20" w:type="dxa"/>
            </w:tcMar>
            <w:hideMark/>
          </w:tcPr>
          <w:p w:rsidR="00000000" w:rsidRDefault="00FD7D3C">
            <w:pPr>
              <w:spacing w:after="100"/>
              <w:rPr>
                <w:rFonts w:eastAsia="Times New Roman"/>
              </w:rPr>
            </w:pPr>
            <w:r>
              <w:rPr>
                <w:rFonts w:eastAsia="Times New Roman"/>
                <w:color w:val="000000"/>
                <w:sz w:val="20"/>
                <w:szCs w:val="20"/>
              </w:rPr>
              <w:t>Tax credit receivable</w:t>
            </w: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83 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83 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414783913"/>
        </w:trPr>
        <w:tc>
          <w:tcPr>
            <w:tcW w:w="0" w:type="auto"/>
            <w:gridSpan w:val="3"/>
            <w:shd w:val="clear" w:color="auto" w:fill="CCEEFF"/>
            <w:tcMar>
              <w:top w:w="30" w:type="dxa"/>
              <w:left w:w="245" w:type="dxa"/>
              <w:bottom w:w="30" w:type="dxa"/>
              <w:right w:w="20" w:type="dxa"/>
            </w:tcMar>
            <w:hideMark/>
          </w:tcPr>
          <w:p w:rsidR="00000000" w:rsidRDefault="00FD7D3C">
            <w:pPr>
              <w:spacing w:after="100"/>
              <w:rPr>
                <w:rFonts w:eastAsia="Times New Roman"/>
              </w:rPr>
            </w:pPr>
            <w:r>
              <w:rPr>
                <w:rFonts w:eastAsia="Times New Roman"/>
                <w:color w:val="000000"/>
                <w:sz w:val="20"/>
                <w:szCs w:val="20"/>
              </w:rPr>
              <w:t>Prepaid expenses and other current assets (Note 5)</w:t>
            </w: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6,764 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4,498 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414783913"/>
        </w:trPr>
        <w:tc>
          <w:tcPr>
            <w:tcW w:w="0" w:type="auto"/>
            <w:gridSpan w:val="3"/>
            <w:shd w:val="clear" w:color="auto" w:fill="FFFFFF"/>
            <w:tcMar>
              <w:top w:w="30" w:type="dxa"/>
              <w:left w:w="605" w:type="dxa"/>
              <w:bottom w:w="30" w:type="dxa"/>
              <w:right w:w="20" w:type="dxa"/>
            </w:tcMar>
            <w:hideMark/>
          </w:tcPr>
          <w:p w:rsidR="00000000" w:rsidRDefault="00FD7D3C">
            <w:pPr>
              <w:spacing w:after="100"/>
              <w:rPr>
                <w:rFonts w:eastAsia="Times New Roman"/>
              </w:rPr>
            </w:pPr>
            <w:r>
              <w:rPr>
                <w:rFonts w:eastAsia="Times New Roman"/>
                <w:color w:val="000000"/>
                <w:sz w:val="20"/>
                <w:szCs w:val="20"/>
              </w:rPr>
              <w:t>Total current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209,441 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290,754 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414783913"/>
        </w:trPr>
        <w:tc>
          <w:tcPr>
            <w:tcW w:w="0" w:type="auto"/>
            <w:gridSpan w:val="3"/>
            <w:shd w:val="clear" w:color="auto" w:fill="CCEEFF"/>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Property and equipment, net</w:t>
            </w: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4,606 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4,321 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414783913"/>
        </w:trPr>
        <w:tc>
          <w:tcPr>
            <w:tcW w:w="0" w:type="auto"/>
            <w:gridSpan w:val="3"/>
            <w:shd w:val="clear" w:color="auto" w:fill="FFFFFF"/>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Operating lease right-of-use assets</w:t>
            </w: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6,330 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414783913"/>
        </w:trPr>
        <w:tc>
          <w:tcPr>
            <w:tcW w:w="0" w:type="auto"/>
            <w:gridSpan w:val="3"/>
            <w:shd w:val="clear" w:color="auto" w:fill="CCEEFF"/>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Other non-current assets</w:t>
            </w: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838 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451 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414783913"/>
        </w:trPr>
        <w:tc>
          <w:tcPr>
            <w:tcW w:w="0" w:type="auto"/>
            <w:gridSpan w:val="3"/>
            <w:shd w:val="clear" w:color="auto" w:fill="FFFFFF"/>
            <w:tcMar>
              <w:top w:w="30" w:type="dxa"/>
              <w:left w:w="20" w:type="dxa"/>
              <w:bottom w:w="30" w:type="dxa"/>
              <w:right w:w="20" w:type="dxa"/>
            </w:tcMar>
            <w:hideMark/>
          </w:tcPr>
          <w:p w:rsidR="00000000" w:rsidRDefault="00FD7D3C">
            <w:pPr>
              <w:spacing w:after="100"/>
              <w:rPr>
                <w:rFonts w:eastAsia="Times New Roman"/>
              </w:rPr>
            </w:pPr>
            <w:r>
              <w:rPr>
                <w:rFonts w:eastAsia="Times New Roman"/>
                <w:b/>
                <w:bCs/>
                <w:color w:val="000000"/>
                <w:sz w:val="20"/>
                <w:szCs w:val="20"/>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221,215 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295,526 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414783913"/>
        </w:trPr>
        <w:tc>
          <w:tcPr>
            <w:tcW w:w="0" w:type="auto"/>
            <w:gridSpan w:val="3"/>
            <w:shd w:val="clear" w:color="auto" w:fill="CCEEFF"/>
            <w:tcMar>
              <w:top w:w="30" w:type="dxa"/>
              <w:left w:w="20" w:type="dxa"/>
              <w:bottom w:w="30" w:type="dxa"/>
              <w:right w:w="20" w:type="dxa"/>
            </w:tcMar>
            <w:hideMark/>
          </w:tcPr>
          <w:p w:rsidR="00000000" w:rsidRDefault="00FD7D3C">
            <w:pPr>
              <w:spacing w:after="100"/>
              <w:rPr>
                <w:rFonts w:eastAsia="Times New Roman"/>
              </w:rPr>
            </w:pPr>
            <w:r>
              <w:rPr>
                <w:rFonts w:eastAsia="Times New Roman"/>
                <w:b/>
                <w:bCs/>
                <w:color w:val="000000"/>
                <w:sz w:val="20"/>
                <w:szCs w:val="20"/>
              </w:rPr>
              <w:t xml:space="preserve">Liabilities and stockholders’ equity </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000000">
        <w:trPr>
          <w:divId w:val="414783913"/>
        </w:trPr>
        <w:tc>
          <w:tcPr>
            <w:tcW w:w="0" w:type="auto"/>
            <w:gridSpan w:val="3"/>
            <w:shd w:val="clear" w:color="auto" w:fill="FFFFFF"/>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Current liabilities</w:t>
            </w: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000000">
        <w:trPr>
          <w:divId w:val="414783913"/>
        </w:trPr>
        <w:tc>
          <w:tcPr>
            <w:tcW w:w="0" w:type="auto"/>
            <w:gridSpan w:val="3"/>
            <w:shd w:val="clear" w:color="auto" w:fill="CCEEFF"/>
            <w:tcMar>
              <w:top w:w="30" w:type="dxa"/>
              <w:left w:w="245" w:type="dxa"/>
              <w:bottom w:w="30" w:type="dxa"/>
              <w:right w:w="20" w:type="dxa"/>
            </w:tcMar>
            <w:hideMark/>
          </w:tcPr>
          <w:p w:rsidR="00000000" w:rsidRDefault="00FD7D3C">
            <w:pPr>
              <w:spacing w:after="100"/>
              <w:rPr>
                <w:rFonts w:eastAsia="Times New Roman"/>
              </w:rPr>
            </w:pPr>
            <w:r>
              <w:rPr>
                <w:rFonts w:eastAsia="Times New Roman"/>
                <w:color w:val="000000"/>
                <w:sz w:val="20"/>
                <w:szCs w:val="20"/>
              </w:rPr>
              <w:t>Accounts payable</w:t>
            </w:r>
          </w:p>
        </w:tc>
        <w:tc>
          <w:tcPr>
            <w:tcW w:w="0" w:type="auto"/>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2,971 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2,023 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414783913"/>
        </w:trPr>
        <w:tc>
          <w:tcPr>
            <w:tcW w:w="0" w:type="auto"/>
            <w:gridSpan w:val="3"/>
            <w:shd w:val="clear" w:color="auto" w:fill="FFFFFF"/>
            <w:tcMar>
              <w:top w:w="30" w:type="dxa"/>
              <w:left w:w="245" w:type="dxa"/>
              <w:bottom w:w="30" w:type="dxa"/>
              <w:right w:w="20" w:type="dxa"/>
            </w:tcMar>
            <w:hideMark/>
          </w:tcPr>
          <w:p w:rsidR="00000000" w:rsidRDefault="00FD7D3C">
            <w:pPr>
              <w:spacing w:after="100"/>
              <w:rPr>
                <w:rFonts w:eastAsia="Times New Roman"/>
              </w:rPr>
            </w:pPr>
            <w:r>
              <w:rPr>
                <w:rFonts w:eastAsia="Times New Roman"/>
                <w:color w:val="000000"/>
                <w:sz w:val="20"/>
                <w:szCs w:val="20"/>
              </w:rPr>
              <w:t>Accrued liabilities (Note 6)</w:t>
            </w: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11,991 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9,576 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414783913"/>
        </w:trPr>
        <w:tc>
          <w:tcPr>
            <w:tcW w:w="0" w:type="auto"/>
            <w:gridSpan w:val="3"/>
            <w:shd w:val="clear" w:color="auto" w:fill="CCEEFF"/>
            <w:tcMar>
              <w:top w:w="30" w:type="dxa"/>
              <w:left w:w="245" w:type="dxa"/>
              <w:bottom w:w="30" w:type="dxa"/>
              <w:right w:w="20" w:type="dxa"/>
            </w:tcMar>
            <w:hideMark/>
          </w:tcPr>
          <w:p w:rsidR="00000000" w:rsidRDefault="00FD7D3C">
            <w:pPr>
              <w:spacing w:after="100"/>
              <w:rPr>
                <w:rFonts w:eastAsia="Times New Roman"/>
              </w:rPr>
            </w:pPr>
            <w:r>
              <w:rPr>
                <w:rFonts w:eastAsia="Times New Roman"/>
                <w:color w:val="000000"/>
                <w:sz w:val="20"/>
                <w:szCs w:val="20"/>
              </w:rPr>
              <w:t>Lease liabilities, current</w:t>
            </w: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1,869 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414783913"/>
        </w:trPr>
        <w:tc>
          <w:tcPr>
            <w:tcW w:w="0" w:type="auto"/>
            <w:gridSpan w:val="3"/>
            <w:shd w:val="clear" w:color="auto" w:fill="FFFFFF"/>
            <w:tcMar>
              <w:top w:w="30" w:type="dxa"/>
              <w:left w:w="605" w:type="dxa"/>
              <w:bottom w:w="30" w:type="dxa"/>
              <w:right w:w="20" w:type="dxa"/>
            </w:tcMar>
            <w:hideMark/>
          </w:tcPr>
          <w:p w:rsidR="00000000" w:rsidRDefault="00FD7D3C">
            <w:pPr>
              <w:spacing w:after="100"/>
              <w:rPr>
                <w:rFonts w:eastAsia="Times New Roman"/>
              </w:rPr>
            </w:pPr>
            <w:r>
              <w:rPr>
                <w:rFonts w:eastAsia="Times New Roman"/>
                <w:color w:val="000000"/>
                <w:sz w:val="20"/>
                <w:szCs w:val="20"/>
              </w:rPr>
              <w:t>Total current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16,831 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11,599 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414783913"/>
        </w:trPr>
        <w:tc>
          <w:tcPr>
            <w:tcW w:w="0" w:type="auto"/>
            <w:gridSpan w:val="3"/>
            <w:shd w:val="clear" w:color="auto" w:fill="CCEEFF"/>
            <w:tcMar>
              <w:top w:w="30" w:type="dxa"/>
              <w:left w:w="245" w:type="dxa"/>
              <w:bottom w:w="30" w:type="dxa"/>
              <w:right w:w="20" w:type="dxa"/>
            </w:tcMar>
            <w:hideMark/>
          </w:tcPr>
          <w:p w:rsidR="00000000" w:rsidRDefault="00FD7D3C">
            <w:pPr>
              <w:spacing w:after="100"/>
              <w:rPr>
                <w:rFonts w:eastAsia="Times New Roman"/>
              </w:rPr>
            </w:pPr>
            <w:r>
              <w:rPr>
                <w:rFonts w:eastAsia="Times New Roman"/>
                <w:color w:val="000000"/>
                <w:sz w:val="20"/>
                <w:szCs w:val="20"/>
              </w:rPr>
              <w:t>Lease liabilities, non-current</w:t>
            </w: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5,325 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414783913"/>
        </w:trPr>
        <w:tc>
          <w:tcPr>
            <w:tcW w:w="0" w:type="auto"/>
            <w:gridSpan w:val="3"/>
            <w:shd w:val="clear" w:color="auto" w:fill="FFFFFF"/>
            <w:tcMar>
              <w:top w:w="30" w:type="dxa"/>
              <w:left w:w="245" w:type="dxa"/>
              <w:bottom w:w="30" w:type="dxa"/>
              <w:right w:w="20" w:type="dxa"/>
            </w:tcMar>
            <w:hideMark/>
          </w:tcPr>
          <w:p w:rsidR="00000000" w:rsidRDefault="00FD7D3C">
            <w:pPr>
              <w:spacing w:after="100"/>
              <w:rPr>
                <w:rFonts w:eastAsia="Times New Roman"/>
              </w:rPr>
            </w:pPr>
            <w:r>
              <w:rPr>
                <w:rFonts w:eastAsia="Times New Roman"/>
                <w:color w:val="000000"/>
                <w:sz w:val="20"/>
                <w:szCs w:val="20"/>
              </w:rPr>
              <w:t>Other long-term liabilities (Note 6)</w:t>
            </w: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866 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414783913"/>
        </w:trPr>
        <w:tc>
          <w:tcPr>
            <w:tcW w:w="0" w:type="auto"/>
            <w:gridSpan w:val="3"/>
            <w:shd w:val="clear" w:color="auto" w:fill="CCEEFF"/>
            <w:tcMar>
              <w:top w:w="30" w:type="dxa"/>
              <w:left w:w="740" w:type="dxa"/>
              <w:bottom w:w="30" w:type="dxa"/>
              <w:right w:w="20" w:type="dxa"/>
            </w:tcMar>
            <w:hideMark/>
          </w:tcPr>
          <w:p w:rsidR="00000000" w:rsidRDefault="00FD7D3C">
            <w:pPr>
              <w:spacing w:after="100"/>
              <w:rPr>
                <w:rFonts w:eastAsia="Times New Roman"/>
              </w:rPr>
            </w:pPr>
            <w:r>
              <w:rPr>
                <w:rFonts w:eastAsia="Times New Roman"/>
                <w:color w:val="000000"/>
                <w:sz w:val="20"/>
                <w:szCs w:val="20"/>
              </w:rPr>
              <w:t>Total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22,156 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12,465 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414783913"/>
        </w:trPr>
        <w:tc>
          <w:tcPr>
            <w:tcW w:w="0" w:type="auto"/>
            <w:gridSpan w:val="3"/>
            <w:shd w:val="clear" w:color="auto" w:fill="FFFFFF"/>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Commitments and contingencies (Note 14)</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000000">
        <w:trPr>
          <w:divId w:val="414783913"/>
        </w:trPr>
        <w:tc>
          <w:tcPr>
            <w:tcW w:w="0" w:type="auto"/>
            <w:gridSpan w:val="3"/>
            <w:shd w:val="clear" w:color="auto" w:fill="CCEEFF"/>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Stockholders’ equity (deficit)</w:t>
            </w: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000000">
        <w:trPr>
          <w:divId w:val="414783913"/>
        </w:trPr>
        <w:tc>
          <w:tcPr>
            <w:tcW w:w="0" w:type="auto"/>
            <w:gridSpan w:val="3"/>
            <w:shd w:val="clear" w:color="auto" w:fill="FFFFFF"/>
            <w:tcMar>
              <w:top w:w="30" w:type="dxa"/>
              <w:left w:w="20" w:type="dxa"/>
              <w:bottom w:w="30" w:type="dxa"/>
              <w:right w:w="20" w:type="dxa"/>
            </w:tcMar>
            <w:hideMark/>
          </w:tcPr>
          <w:p w:rsidR="00000000" w:rsidRDefault="00FD7D3C">
            <w:pPr>
              <w:spacing w:after="100"/>
              <w:ind w:hanging="180"/>
              <w:divId w:val="631980086"/>
              <w:rPr>
                <w:rFonts w:eastAsia="Times New Roman"/>
              </w:rPr>
            </w:pPr>
            <w:r>
              <w:rPr>
                <w:rFonts w:eastAsia="Times New Roman"/>
                <w:color w:val="000000"/>
                <w:sz w:val="20"/>
                <w:szCs w:val="20"/>
              </w:rPr>
              <w:t xml:space="preserve">Common stock, $0.0001 par value; 300,000,000 </w:t>
            </w:r>
            <w:r>
              <w:rPr>
                <w:rFonts w:eastAsia="Times New Roman"/>
                <w:color w:val="000000"/>
                <w:sz w:val="20"/>
                <w:szCs w:val="20"/>
              </w:rPr>
              <w:t>shares authorized at December 31, 2021 and 2020; and 36,083,301 and 35,552,795 shares issued and outstanding at December 31, 2021 and 2020, respectively;</w:t>
            </w: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414783913"/>
        </w:trPr>
        <w:tc>
          <w:tcPr>
            <w:tcW w:w="0" w:type="auto"/>
            <w:gridSpan w:val="3"/>
            <w:shd w:val="clear" w:color="auto" w:fill="CCEEFF"/>
            <w:tcMar>
              <w:top w:w="30" w:type="dxa"/>
              <w:left w:w="245" w:type="dxa"/>
              <w:bottom w:w="30" w:type="dxa"/>
              <w:right w:w="20" w:type="dxa"/>
            </w:tcMar>
            <w:hideMark/>
          </w:tcPr>
          <w:p w:rsidR="00000000" w:rsidRDefault="00FD7D3C">
            <w:pPr>
              <w:spacing w:after="100"/>
              <w:rPr>
                <w:rFonts w:eastAsia="Times New Roman"/>
              </w:rPr>
            </w:pPr>
            <w:r>
              <w:rPr>
                <w:rFonts w:eastAsia="Times New Roman"/>
                <w:color w:val="000000"/>
                <w:sz w:val="20"/>
                <w:szCs w:val="20"/>
              </w:rPr>
              <w:t>Additional paid-in capital</w:t>
            </w: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414,348 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400,918 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414783913"/>
        </w:trPr>
        <w:tc>
          <w:tcPr>
            <w:tcW w:w="0" w:type="auto"/>
            <w:gridSpan w:val="3"/>
            <w:shd w:val="clear" w:color="auto" w:fill="FFFFFF"/>
            <w:tcMar>
              <w:top w:w="30" w:type="dxa"/>
              <w:left w:w="245" w:type="dxa"/>
              <w:bottom w:w="30" w:type="dxa"/>
              <w:right w:w="20" w:type="dxa"/>
            </w:tcMar>
            <w:hideMark/>
          </w:tcPr>
          <w:p w:rsidR="00000000" w:rsidRDefault="00FD7D3C">
            <w:pPr>
              <w:spacing w:after="100"/>
              <w:rPr>
                <w:rFonts w:eastAsia="Times New Roman"/>
              </w:rPr>
            </w:pPr>
            <w:r>
              <w:rPr>
                <w:rFonts w:eastAsia="Times New Roman"/>
                <w:color w:val="000000"/>
                <w:sz w:val="20"/>
                <w:szCs w:val="20"/>
              </w:rPr>
              <w:t>Accumulated deficit</w:t>
            </w: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(215,091)</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(117,828)</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414783913"/>
        </w:trPr>
        <w:tc>
          <w:tcPr>
            <w:tcW w:w="0" w:type="auto"/>
            <w:gridSpan w:val="3"/>
            <w:shd w:val="clear" w:color="auto" w:fill="CCEEFF"/>
            <w:tcMar>
              <w:top w:w="30" w:type="dxa"/>
              <w:left w:w="245" w:type="dxa"/>
              <w:bottom w:w="30" w:type="dxa"/>
              <w:right w:w="20" w:type="dxa"/>
            </w:tcMar>
            <w:hideMark/>
          </w:tcPr>
          <w:p w:rsidR="00000000" w:rsidRDefault="00FD7D3C">
            <w:pPr>
              <w:spacing w:after="100"/>
              <w:rPr>
                <w:rFonts w:eastAsia="Times New Roman"/>
              </w:rPr>
            </w:pPr>
            <w:r>
              <w:rPr>
                <w:rFonts w:eastAsia="Times New Roman"/>
                <w:color w:val="000000"/>
                <w:sz w:val="20"/>
                <w:szCs w:val="20"/>
              </w:rPr>
              <w:t>Accumulated other comprehensive loss</w:t>
            </w: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(201)</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(32)</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414783913"/>
        </w:trPr>
        <w:tc>
          <w:tcPr>
            <w:tcW w:w="0" w:type="auto"/>
            <w:gridSpan w:val="3"/>
            <w:shd w:val="clear" w:color="auto" w:fill="FFFFFF"/>
            <w:tcMar>
              <w:top w:w="30" w:type="dxa"/>
              <w:left w:w="740" w:type="dxa"/>
              <w:bottom w:w="30" w:type="dxa"/>
              <w:right w:w="20" w:type="dxa"/>
            </w:tcMar>
            <w:hideMark/>
          </w:tcPr>
          <w:p w:rsidR="00000000" w:rsidRDefault="00FD7D3C">
            <w:pPr>
              <w:spacing w:after="100"/>
              <w:rPr>
                <w:rFonts w:eastAsia="Times New Roman"/>
              </w:rPr>
            </w:pPr>
            <w:r>
              <w:rPr>
                <w:rFonts w:eastAsia="Times New Roman"/>
                <w:color w:val="000000"/>
                <w:sz w:val="20"/>
                <w:szCs w:val="20"/>
              </w:rPr>
              <w:t>Total stockholders’ equity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199,059 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283,061 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414783913"/>
        </w:trPr>
        <w:tc>
          <w:tcPr>
            <w:tcW w:w="0" w:type="auto"/>
            <w:gridSpan w:val="3"/>
            <w:shd w:val="clear" w:color="auto" w:fill="CCEEFF"/>
            <w:tcMar>
              <w:top w:w="30" w:type="dxa"/>
              <w:left w:w="20" w:type="dxa"/>
              <w:bottom w:w="30" w:type="dxa"/>
              <w:right w:w="20" w:type="dxa"/>
            </w:tcMar>
            <w:hideMark/>
          </w:tcPr>
          <w:p w:rsidR="00000000" w:rsidRDefault="00FD7D3C">
            <w:pPr>
              <w:spacing w:after="100"/>
              <w:rPr>
                <w:rFonts w:eastAsia="Times New Roman"/>
              </w:rPr>
            </w:pPr>
            <w:r>
              <w:rPr>
                <w:rFonts w:eastAsia="Times New Roman"/>
                <w:b/>
                <w:bCs/>
                <w:color w:val="000000"/>
                <w:sz w:val="20"/>
                <w:szCs w:val="20"/>
              </w:rPr>
              <w:t>Total liabilities and stockholders’ equity</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221,215 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295,526 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r>
    </w:tbl>
    <w:p w:rsidR="00000000" w:rsidRDefault="00FD7D3C">
      <w:pPr>
        <w:jc w:val="center"/>
        <w:divId w:val="139537259"/>
        <w:rPr>
          <w:rFonts w:eastAsia="Times New Roman"/>
        </w:rPr>
      </w:pPr>
      <w:r>
        <w:rPr>
          <w:rFonts w:eastAsia="Times New Roman"/>
          <w:i/>
          <w:iCs/>
          <w:color w:val="000000"/>
          <w:sz w:val="20"/>
          <w:szCs w:val="20"/>
          <w:shd w:val="clear" w:color="auto" w:fill="FFFFFF"/>
        </w:rPr>
        <w:t>The accompanying notes are an integral part of these financial statements.</w:t>
      </w:r>
    </w:p>
    <w:p w:rsidR="00000000" w:rsidRDefault="00FD7D3C">
      <w:pPr>
        <w:jc w:val="center"/>
        <w:divId w:val="1009718506"/>
        <w:rPr>
          <w:rFonts w:eastAsia="Times New Roman"/>
        </w:rPr>
      </w:pPr>
      <w:r>
        <w:rPr>
          <w:rFonts w:eastAsia="Times New Roman"/>
          <w:color w:val="000000"/>
          <w:sz w:val="20"/>
          <w:szCs w:val="20"/>
        </w:rPr>
        <w:t>109</w:t>
      </w:r>
    </w:p>
    <w:p w:rsidR="00000000" w:rsidRDefault="00FD7D3C">
      <w:pPr>
        <w:rPr>
          <w:rFonts w:eastAsia="Times New Roman"/>
        </w:rPr>
      </w:pPr>
      <w:r>
        <w:rPr>
          <w:rFonts w:eastAsia="Times New Roman"/>
        </w:rPr>
        <w:pict>
          <v:rect id="_x0000_i1162" style="width:0;height:1.5pt" o:hralign="center" o:hrstd="t" o:hr="t" fillcolor="#a0a0a0" stroked="f"/>
        </w:pict>
      </w:r>
    </w:p>
    <w:p w:rsidR="00000000" w:rsidRDefault="00FD7D3C">
      <w:pPr>
        <w:divId w:val="1579947927"/>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jc w:val="center"/>
        <w:divId w:val="51930382"/>
        <w:rPr>
          <w:rFonts w:eastAsia="Times New Roman"/>
        </w:rPr>
      </w:pPr>
      <w:r>
        <w:rPr>
          <w:rFonts w:eastAsia="Times New Roman"/>
          <w:b/>
          <w:bCs/>
          <w:color w:val="000000"/>
          <w:sz w:val="20"/>
          <w:szCs w:val="20"/>
        </w:rPr>
        <w:t>Pliant Therapeutics, Inc.</w:t>
      </w:r>
    </w:p>
    <w:p w:rsidR="00000000" w:rsidRDefault="00FD7D3C">
      <w:pPr>
        <w:jc w:val="center"/>
        <w:rPr>
          <w:rFonts w:eastAsia="Times New Roman"/>
        </w:rPr>
      </w:pPr>
      <w:r>
        <w:rPr>
          <w:rFonts w:eastAsia="Times New Roman"/>
          <w:b/>
          <w:bCs/>
          <w:color w:val="000000"/>
          <w:sz w:val="20"/>
          <w:szCs w:val="20"/>
        </w:rPr>
        <w:t>Statements of Operations and Comprehensive Loss</w:t>
      </w:r>
    </w:p>
    <w:p w:rsidR="00000000" w:rsidRDefault="00FD7D3C">
      <w:pPr>
        <w:jc w:val="center"/>
        <w:rPr>
          <w:rFonts w:eastAsia="Times New Roman"/>
        </w:rPr>
      </w:pPr>
      <w:r>
        <w:rPr>
          <w:rFonts w:eastAsia="Times New Roman"/>
          <w:i/>
          <w:iCs/>
          <w:color w:val="000000"/>
          <w:sz w:val="20"/>
          <w:szCs w:val="20"/>
        </w:rPr>
        <w:t>(In thousands, except number of shares and per share amounts)</w:t>
      </w:r>
    </w:p>
    <w:tbl>
      <w:tblPr>
        <w:tblW w:w="5000" w:type="pct"/>
        <w:tblCellMar>
          <w:top w:w="15" w:type="dxa"/>
          <w:left w:w="15" w:type="dxa"/>
          <w:bottom w:w="15" w:type="dxa"/>
          <w:right w:w="15" w:type="dxa"/>
        </w:tblCellMar>
        <w:tblLook w:val="04A0" w:firstRow="1" w:lastRow="0" w:firstColumn="1" w:lastColumn="0" w:noHBand="0" w:noVBand="1"/>
      </w:tblPr>
      <w:tblGrid>
        <w:gridCol w:w="40"/>
        <w:gridCol w:w="4766"/>
        <w:gridCol w:w="38"/>
        <w:gridCol w:w="121"/>
        <w:gridCol w:w="940"/>
        <w:gridCol w:w="36"/>
        <w:gridCol w:w="36"/>
        <w:gridCol w:w="36"/>
        <w:gridCol w:w="36"/>
        <w:gridCol w:w="121"/>
        <w:gridCol w:w="895"/>
        <w:gridCol w:w="36"/>
        <w:gridCol w:w="36"/>
        <w:gridCol w:w="36"/>
        <w:gridCol w:w="36"/>
        <w:gridCol w:w="121"/>
        <w:gridCol w:w="940"/>
        <w:gridCol w:w="36"/>
      </w:tblGrid>
      <w:tr w:rsidR="00000000">
        <w:trPr>
          <w:divId w:val="1536891683"/>
        </w:trPr>
        <w:tc>
          <w:tcPr>
            <w:tcW w:w="50" w:type="pct"/>
            <w:vAlign w:val="center"/>
            <w:hideMark/>
          </w:tcPr>
          <w:p w:rsidR="00000000" w:rsidRDefault="00FD7D3C">
            <w:pPr>
              <w:jc w:val="center"/>
              <w:rPr>
                <w:rFonts w:eastAsia="Times New Roman"/>
              </w:rPr>
            </w:pPr>
          </w:p>
        </w:tc>
        <w:tc>
          <w:tcPr>
            <w:tcW w:w="2911"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600"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27"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600"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20"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600"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r>
      <w:tr w:rsidR="00000000">
        <w:trPr>
          <w:divId w:val="1536891683"/>
        </w:trPr>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Year Ended December 31,</w:t>
            </w:r>
          </w:p>
        </w:tc>
      </w:tr>
      <w:tr w:rsidR="00000000">
        <w:trPr>
          <w:divId w:val="1536891683"/>
        </w:trPr>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2019</w:t>
            </w:r>
          </w:p>
        </w:tc>
      </w:tr>
      <w:tr w:rsidR="00000000">
        <w:trPr>
          <w:divId w:val="1536891683"/>
        </w:trPr>
        <w:tc>
          <w:tcPr>
            <w:tcW w:w="0" w:type="auto"/>
            <w:gridSpan w:val="3"/>
            <w:shd w:val="clear" w:color="auto" w:fill="CCEEFF"/>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Revenue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7,572 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41,817 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57,052 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1536891683"/>
        </w:trPr>
        <w:tc>
          <w:tcPr>
            <w:tcW w:w="0" w:type="auto"/>
            <w:gridSpan w:val="3"/>
            <w:shd w:val="clear" w:color="auto" w:fill="FFFFFF"/>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Operating expenses:</w:t>
            </w: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000000">
        <w:trPr>
          <w:divId w:val="1536891683"/>
        </w:trPr>
        <w:tc>
          <w:tcPr>
            <w:tcW w:w="0" w:type="auto"/>
            <w:gridSpan w:val="3"/>
            <w:shd w:val="clear" w:color="auto" w:fill="CCEEFF"/>
            <w:tcMar>
              <w:top w:w="30" w:type="dxa"/>
              <w:left w:w="245" w:type="dxa"/>
              <w:bottom w:w="30" w:type="dxa"/>
              <w:right w:w="20" w:type="dxa"/>
            </w:tcMar>
            <w:hideMark/>
          </w:tcPr>
          <w:p w:rsidR="00000000" w:rsidRDefault="00FD7D3C">
            <w:pPr>
              <w:spacing w:after="100"/>
              <w:rPr>
                <w:rFonts w:eastAsia="Times New Roman"/>
              </w:rPr>
            </w:pPr>
            <w:r>
              <w:rPr>
                <w:rFonts w:eastAsia="Times New Roman"/>
                <w:color w:val="000000"/>
                <w:sz w:val="20"/>
                <w:szCs w:val="20"/>
              </w:rPr>
              <w:t>Research and development</w:t>
            </w: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(77,549)</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(66,193)</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(47,353)</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1536891683"/>
        </w:trPr>
        <w:tc>
          <w:tcPr>
            <w:tcW w:w="0" w:type="auto"/>
            <w:gridSpan w:val="3"/>
            <w:shd w:val="clear" w:color="auto" w:fill="FFFFFF"/>
            <w:tcMar>
              <w:top w:w="30" w:type="dxa"/>
              <w:left w:w="245" w:type="dxa"/>
              <w:bottom w:w="30" w:type="dxa"/>
              <w:right w:w="20" w:type="dxa"/>
            </w:tcMar>
            <w:hideMark/>
          </w:tcPr>
          <w:p w:rsidR="00000000" w:rsidRDefault="00FD7D3C">
            <w:pPr>
              <w:spacing w:after="100"/>
              <w:rPr>
                <w:rFonts w:eastAsia="Times New Roman"/>
              </w:rPr>
            </w:pPr>
            <w:r>
              <w:rPr>
                <w:rFonts w:eastAsia="Times New Roman"/>
                <w:color w:val="000000"/>
                <w:sz w:val="20"/>
                <w:szCs w:val="20"/>
              </w:rPr>
              <w:t>General and administrative</w:t>
            </w: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(27,558)</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(17,269)</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(10,930)</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1536891683"/>
        </w:trPr>
        <w:tc>
          <w:tcPr>
            <w:tcW w:w="0" w:type="auto"/>
            <w:gridSpan w:val="3"/>
            <w:shd w:val="clear" w:color="auto" w:fill="CCEEFF"/>
            <w:tcMar>
              <w:top w:w="30" w:type="dxa"/>
              <w:left w:w="245" w:type="dxa"/>
              <w:bottom w:w="30" w:type="dxa"/>
              <w:right w:w="20" w:type="dxa"/>
            </w:tcMar>
            <w:hideMark/>
          </w:tcPr>
          <w:p w:rsidR="00000000" w:rsidRDefault="00FD7D3C">
            <w:pPr>
              <w:spacing w:after="100"/>
              <w:rPr>
                <w:rFonts w:eastAsia="Times New Roman"/>
              </w:rPr>
            </w:pPr>
            <w:r>
              <w:rPr>
                <w:rFonts w:eastAsia="Times New Roman"/>
                <w:color w:val="000000"/>
                <w:sz w:val="20"/>
                <w:szCs w:val="20"/>
              </w:rPr>
              <w:t>Total operating expenses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(105,107)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(83,462)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(58,283)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1536891683"/>
        </w:trPr>
        <w:tc>
          <w:tcPr>
            <w:tcW w:w="0" w:type="auto"/>
            <w:gridSpan w:val="3"/>
            <w:shd w:val="clear" w:color="auto" w:fill="FFFFFF"/>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Loss from operations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(97,535)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(41,645)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(1,231)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1536891683"/>
        </w:trPr>
        <w:tc>
          <w:tcPr>
            <w:tcW w:w="0" w:type="auto"/>
            <w:gridSpan w:val="3"/>
            <w:shd w:val="clear" w:color="auto" w:fill="CCEEFF"/>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Interest and other income (expense), net</w:t>
            </w: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272 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112 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600 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1536891683"/>
        </w:trPr>
        <w:tc>
          <w:tcPr>
            <w:tcW w:w="0" w:type="auto"/>
            <w:gridSpan w:val="3"/>
            <w:shd w:val="clear" w:color="auto" w:fill="FFFFFF"/>
            <w:tcMar>
              <w:top w:w="30" w:type="dxa"/>
              <w:left w:w="245" w:type="dxa"/>
              <w:bottom w:w="30" w:type="dxa"/>
              <w:right w:w="20" w:type="dxa"/>
            </w:tcMar>
            <w:hideMark/>
          </w:tcPr>
          <w:p w:rsidR="00000000" w:rsidRDefault="00FD7D3C">
            <w:pPr>
              <w:spacing w:after="100"/>
              <w:rPr>
                <w:rFonts w:eastAsia="Times New Roman"/>
              </w:rPr>
            </w:pPr>
            <w:r>
              <w:rPr>
                <w:rFonts w:eastAsia="Times New Roman"/>
                <w:color w:val="000000"/>
                <w:sz w:val="20"/>
                <w:szCs w:val="20"/>
              </w:rPr>
              <w:t>Net loss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(97,263)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(41,533)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(631)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1536891683"/>
        </w:trPr>
        <w:tc>
          <w:tcPr>
            <w:tcW w:w="0" w:type="auto"/>
            <w:gridSpan w:val="3"/>
            <w:shd w:val="clear" w:color="auto" w:fill="CCEEFF"/>
            <w:tcMar>
              <w:top w:w="30" w:type="dxa"/>
              <w:left w:w="20" w:type="dxa"/>
              <w:bottom w:w="30" w:type="dxa"/>
              <w:right w:w="20" w:type="dxa"/>
            </w:tcMar>
            <w:hideMark/>
          </w:tcPr>
          <w:p w:rsidR="00000000" w:rsidRDefault="00FD7D3C">
            <w:pPr>
              <w:spacing w:after="100"/>
              <w:ind w:hanging="180"/>
              <w:divId w:val="1751347450"/>
              <w:rPr>
                <w:rFonts w:eastAsia="Times New Roman"/>
              </w:rPr>
            </w:pPr>
            <w:r>
              <w:rPr>
                <w:rFonts w:eastAsia="Times New Roman"/>
                <w:color w:val="000000"/>
                <w:sz w:val="20"/>
                <w:szCs w:val="20"/>
              </w:rPr>
              <w:t xml:space="preserve">Accretion to redemption value and dividends on redeemable convertible </w:t>
            </w:r>
          </w:p>
          <w:p w:rsidR="00000000" w:rsidRDefault="00FD7D3C">
            <w:pPr>
              <w:spacing w:after="100"/>
              <w:ind w:hanging="180"/>
              <w:divId w:val="1595629835"/>
              <w:rPr>
                <w:rFonts w:eastAsia="Times New Roman"/>
              </w:rPr>
            </w:pPr>
            <w:r>
              <w:rPr>
                <w:rFonts w:eastAsia="Times New Roman"/>
                <w:color w:val="000000"/>
                <w:sz w:val="20"/>
                <w:szCs w:val="20"/>
              </w:rPr>
              <w:t> preferred stock</w:t>
            </w: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(6,225)</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1536891683"/>
        </w:trPr>
        <w:tc>
          <w:tcPr>
            <w:tcW w:w="0" w:type="auto"/>
            <w:gridSpan w:val="3"/>
            <w:shd w:val="clear" w:color="auto" w:fill="FFFFFF"/>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Net loss attributable to common stockholders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(97,263)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(41,533)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(6,856)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1536891683"/>
        </w:trPr>
        <w:tc>
          <w:tcPr>
            <w:tcW w:w="0" w:type="auto"/>
            <w:gridSpan w:val="3"/>
            <w:shd w:val="clear" w:color="auto" w:fill="CCEEFF"/>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Net loss per share, attributable to common stockholders: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000000">
        <w:trPr>
          <w:divId w:val="1536891683"/>
        </w:trPr>
        <w:tc>
          <w:tcPr>
            <w:tcW w:w="0" w:type="auto"/>
            <w:gridSpan w:val="3"/>
            <w:shd w:val="clear" w:color="auto" w:fill="FFFFFF"/>
            <w:tcMar>
              <w:top w:w="30" w:type="dxa"/>
              <w:left w:w="245" w:type="dxa"/>
              <w:bottom w:w="30" w:type="dxa"/>
              <w:right w:w="20" w:type="dxa"/>
            </w:tcMar>
            <w:hideMark/>
          </w:tcPr>
          <w:p w:rsidR="00000000" w:rsidRDefault="00FD7D3C">
            <w:pPr>
              <w:spacing w:after="100"/>
              <w:rPr>
                <w:rFonts w:eastAsia="Times New Roman"/>
              </w:rPr>
            </w:pPr>
            <w:r>
              <w:rPr>
                <w:rFonts w:eastAsia="Times New Roman"/>
                <w:color w:val="000000"/>
                <w:sz w:val="20"/>
                <w:szCs w:val="20"/>
              </w:rPr>
              <w:t>Basic</w:t>
            </w:r>
          </w:p>
        </w:tc>
        <w:tc>
          <w:tcPr>
            <w:tcW w:w="0" w:type="auto"/>
            <w:shd w:val="clear" w:color="auto" w:fill="FFFF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(2.71)</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(1.95)</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(4.22)</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1536891683"/>
        </w:trPr>
        <w:tc>
          <w:tcPr>
            <w:tcW w:w="0" w:type="auto"/>
            <w:gridSpan w:val="3"/>
            <w:shd w:val="clear" w:color="auto" w:fill="CCEEFF"/>
            <w:tcMar>
              <w:top w:w="30" w:type="dxa"/>
              <w:left w:w="245" w:type="dxa"/>
              <w:bottom w:w="30" w:type="dxa"/>
              <w:right w:w="20" w:type="dxa"/>
            </w:tcMar>
            <w:hideMark/>
          </w:tcPr>
          <w:p w:rsidR="00000000" w:rsidRDefault="00FD7D3C">
            <w:pPr>
              <w:spacing w:after="100"/>
              <w:rPr>
                <w:rFonts w:eastAsia="Times New Roman"/>
              </w:rPr>
            </w:pPr>
            <w:r>
              <w:rPr>
                <w:rFonts w:eastAsia="Times New Roman"/>
                <w:color w:val="000000"/>
                <w:sz w:val="20"/>
                <w:szCs w:val="20"/>
              </w:rPr>
              <w:t>Diluted</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(2.71)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(1.95)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(4.22)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1536891683"/>
        </w:trPr>
        <w:tc>
          <w:tcPr>
            <w:tcW w:w="0" w:type="auto"/>
            <w:gridSpan w:val="3"/>
            <w:shd w:val="clear" w:color="auto" w:fill="FFFFFF"/>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 xml:space="preserve">Shares used in computing net loss per share attributable to common </w:t>
            </w:r>
            <w:r>
              <w:rPr>
                <w:rFonts w:eastAsia="Times New Roman"/>
                <w:color w:val="000000"/>
                <w:sz w:val="20"/>
                <w:szCs w:val="20"/>
              </w:rPr>
              <w:br/>
              <w:t> stockholders:</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000000">
        <w:trPr>
          <w:divId w:val="1536891683"/>
        </w:trPr>
        <w:tc>
          <w:tcPr>
            <w:tcW w:w="0" w:type="auto"/>
            <w:gridSpan w:val="3"/>
            <w:shd w:val="clear" w:color="auto" w:fill="CCEEFF"/>
            <w:tcMar>
              <w:top w:w="30" w:type="dxa"/>
              <w:left w:w="245" w:type="dxa"/>
              <w:bottom w:w="30" w:type="dxa"/>
              <w:right w:w="20" w:type="dxa"/>
            </w:tcMar>
            <w:hideMark/>
          </w:tcPr>
          <w:p w:rsidR="00000000" w:rsidRDefault="00FD7D3C">
            <w:pPr>
              <w:spacing w:after="100"/>
              <w:rPr>
                <w:rFonts w:eastAsia="Times New Roman"/>
              </w:rPr>
            </w:pPr>
            <w:r>
              <w:rPr>
                <w:rFonts w:eastAsia="Times New Roman"/>
                <w:color w:val="000000"/>
                <w:sz w:val="20"/>
                <w:szCs w:val="20"/>
              </w:rPr>
              <w:t>Basic</w:t>
            </w: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35,846,421 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21,344,236 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1,623,358 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1536891683"/>
        </w:trPr>
        <w:tc>
          <w:tcPr>
            <w:tcW w:w="0" w:type="auto"/>
            <w:gridSpan w:val="3"/>
            <w:shd w:val="clear" w:color="auto" w:fill="FFFFFF"/>
            <w:tcMar>
              <w:top w:w="30" w:type="dxa"/>
              <w:left w:w="245" w:type="dxa"/>
              <w:bottom w:w="30" w:type="dxa"/>
              <w:right w:w="20" w:type="dxa"/>
            </w:tcMar>
            <w:hideMark/>
          </w:tcPr>
          <w:p w:rsidR="00000000" w:rsidRDefault="00FD7D3C">
            <w:pPr>
              <w:spacing w:after="100"/>
              <w:rPr>
                <w:rFonts w:eastAsia="Times New Roman"/>
              </w:rPr>
            </w:pPr>
            <w:r>
              <w:rPr>
                <w:rFonts w:eastAsia="Times New Roman"/>
                <w:color w:val="000000"/>
                <w:sz w:val="20"/>
                <w:szCs w:val="20"/>
              </w:rPr>
              <w:t>Diluted</w:t>
            </w: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35,846,421 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21,344,236 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1,623,358 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1536891683"/>
        </w:trPr>
        <w:tc>
          <w:tcPr>
            <w:tcW w:w="0" w:type="auto"/>
            <w:gridSpan w:val="3"/>
            <w:shd w:val="clear" w:color="auto" w:fill="CCEEFF"/>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Comprehensive loss: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000000">
        <w:trPr>
          <w:divId w:val="1536891683"/>
        </w:trPr>
        <w:tc>
          <w:tcPr>
            <w:tcW w:w="0" w:type="auto"/>
            <w:gridSpan w:val="3"/>
            <w:shd w:val="clear" w:color="auto" w:fill="FFFFFF"/>
            <w:tcMar>
              <w:top w:w="30" w:type="dxa"/>
              <w:left w:w="260" w:type="dxa"/>
              <w:bottom w:w="30" w:type="dxa"/>
              <w:right w:w="20" w:type="dxa"/>
            </w:tcMar>
            <w:hideMark/>
          </w:tcPr>
          <w:p w:rsidR="00000000" w:rsidRDefault="00FD7D3C">
            <w:pPr>
              <w:spacing w:after="100"/>
              <w:rPr>
                <w:rFonts w:eastAsia="Times New Roman"/>
              </w:rPr>
            </w:pPr>
            <w:r>
              <w:rPr>
                <w:rFonts w:eastAsia="Times New Roman"/>
                <w:color w:val="000000"/>
                <w:sz w:val="20"/>
                <w:szCs w:val="20"/>
              </w:rPr>
              <w:t>Net loss</w:t>
            </w:r>
          </w:p>
        </w:tc>
        <w:tc>
          <w:tcPr>
            <w:tcW w:w="0" w:type="auto"/>
            <w:shd w:val="clear" w:color="auto" w:fill="FFFF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(97,263)</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(41,533)</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(631)</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1536891683"/>
        </w:trPr>
        <w:tc>
          <w:tcPr>
            <w:tcW w:w="0" w:type="auto"/>
            <w:gridSpan w:val="3"/>
            <w:shd w:val="clear" w:color="auto" w:fill="CCEEFF"/>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Other comprehensive loss:</w:t>
            </w: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000000">
        <w:trPr>
          <w:divId w:val="1536891683"/>
        </w:trPr>
        <w:tc>
          <w:tcPr>
            <w:tcW w:w="0" w:type="auto"/>
            <w:gridSpan w:val="3"/>
            <w:shd w:val="clear" w:color="auto" w:fill="FFFFFF"/>
            <w:tcMar>
              <w:top w:w="30" w:type="dxa"/>
              <w:left w:w="245" w:type="dxa"/>
              <w:bottom w:w="30" w:type="dxa"/>
              <w:right w:w="20" w:type="dxa"/>
            </w:tcMar>
            <w:hideMark/>
          </w:tcPr>
          <w:p w:rsidR="00000000" w:rsidRDefault="00FD7D3C">
            <w:pPr>
              <w:spacing w:after="100"/>
              <w:rPr>
                <w:rFonts w:eastAsia="Times New Roman"/>
              </w:rPr>
            </w:pPr>
            <w:r>
              <w:rPr>
                <w:rFonts w:eastAsia="Times New Roman"/>
                <w:color w:val="000000"/>
                <w:sz w:val="20"/>
                <w:szCs w:val="20"/>
              </w:rPr>
              <w:t>Net unrealized loss on short-term investments</w:t>
            </w: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(169)</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(31)</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1536891683"/>
        </w:trPr>
        <w:tc>
          <w:tcPr>
            <w:tcW w:w="0" w:type="auto"/>
            <w:gridSpan w:val="3"/>
            <w:shd w:val="clear" w:color="auto" w:fill="CCEEFF"/>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Total other comprehensive loss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(169)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(31)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1536891683"/>
        </w:trPr>
        <w:tc>
          <w:tcPr>
            <w:tcW w:w="0" w:type="auto"/>
            <w:gridSpan w:val="3"/>
            <w:shd w:val="clear" w:color="auto" w:fill="FFFFFF"/>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Comprehensive loss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(97,432)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(41,564)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(632)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r>
    </w:tbl>
    <w:p w:rsidR="00000000" w:rsidRDefault="00FD7D3C">
      <w:pPr>
        <w:divId w:val="613443235"/>
        <w:rPr>
          <w:rFonts w:eastAsia="Times New Roman"/>
        </w:rPr>
      </w:pPr>
    </w:p>
    <w:p w:rsidR="00000000" w:rsidRDefault="00FD7D3C">
      <w:pPr>
        <w:ind w:firstLine="360"/>
        <w:divId w:val="741558906"/>
        <w:rPr>
          <w:rFonts w:eastAsia="Times New Roman"/>
        </w:rPr>
      </w:pPr>
    </w:p>
    <w:p w:rsidR="00000000" w:rsidRDefault="00FD7D3C">
      <w:pPr>
        <w:jc w:val="center"/>
        <w:divId w:val="908922478"/>
        <w:rPr>
          <w:rFonts w:eastAsia="Times New Roman"/>
        </w:rPr>
      </w:pPr>
      <w:r>
        <w:rPr>
          <w:rFonts w:eastAsia="Times New Roman"/>
          <w:i/>
          <w:iCs/>
          <w:color w:val="000000"/>
          <w:sz w:val="20"/>
          <w:szCs w:val="20"/>
          <w:shd w:val="clear" w:color="auto" w:fill="FFFFFF"/>
        </w:rPr>
        <w:t>The accompanying notes are an integral part of these financial statements.</w:t>
      </w:r>
    </w:p>
    <w:p w:rsidR="00000000" w:rsidRDefault="00FD7D3C">
      <w:pPr>
        <w:jc w:val="center"/>
        <w:divId w:val="480659747"/>
        <w:rPr>
          <w:rFonts w:eastAsia="Times New Roman"/>
        </w:rPr>
      </w:pPr>
      <w:r>
        <w:rPr>
          <w:rFonts w:eastAsia="Times New Roman"/>
          <w:color w:val="000000"/>
          <w:sz w:val="20"/>
          <w:szCs w:val="20"/>
        </w:rPr>
        <w:t>110</w:t>
      </w:r>
    </w:p>
    <w:p w:rsidR="00000000" w:rsidRDefault="00FD7D3C">
      <w:pPr>
        <w:rPr>
          <w:rFonts w:eastAsia="Times New Roman"/>
        </w:rPr>
      </w:pPr>
      <w:r>
        <w:rPr>
          <w:rFonts w:eastAsia="Times New Roman"/>
        </w:rPr>
        <w:pict>
          <v:rect id="_x0000_i1163" style="width:0;height:1.5pt" o:hralign="center" o:hrstd="t" o:hr="t" fillcolor="#a0a0a0" stroked="f"/>
        </w:pict>
      </w:r>
    </w:p>
    <w:p w:rsidR="00000000" w:rsidRDefault="00FD7D3C">
      <w:pPr>
        <w:divId w:val="797912345"/>
        <w:rPr>
          <w:rFonts w:eastAsia="Times New Roman"/>
        </w:rPr>
      </w:pPr>
      <w:hyperlink w:anchor="i988625df783e4cc0a27bd76df388da57_7" w:history="1">
        <w:r>
          <w:rPr>
            <w:rStyle w:val="a3"/>
            <w:rFonts w:eastAsia="Times New Roman"/>
            <w:sz w:val="20"/>
            <w:szCs w:val="20"/>
          </w:rPr>
          <w:t xml:space="preserve">Table </w:t>
        </w:r>
        <w:r>
          <w:rPr>
            <w:rStyle w:val="a3"/>
            <w:rFonts w:eastAsia="Times New Roman"/>
            <w:sz w:val="20"/>
            <w:szCs w:val="20"/>
          </w:rPr>
          <w:t>of Contents</w:t>
        </w:r>
      </w:hyperlink>
    </w:p>
    <w:p w:rsidR="00000000" w:rsidRDefault="00FD7D3C">
      <w:pPr>
        <w:jc w:val="center"/>
        <w:divId w:val="611322278"/>
        <w:rPr>
          <w:rFonts w:eastAsia="Times New Roman"/>
        </w:rPr>
      </w:pPr>
      <w:r>
        <w:rPr>
          <w:rFonts w:eastAsia="Times New Roman"/>
          <w:b/>
          <w:bCs/>
          <w:color w:val="000000"/>
          <w:sz w:val="20"/>
          <w:szCs w:val="20"/>
        </w:rPr>
        <w:t>Pliant Therapeutics, Inc.</w:t>
      </w:r>
    </w:p>
    <w:p w:rsidR="00000000" w:rsidRDefault="00FD7D3C">
      <w:pPr>
        <w:jc w:val="center"/>
        <w:rPr>
          <w:rFonts w:eastAsia="Times New Roman"/>
        </w:rPr>
      </w:pPr>
      <w:r>
        <w:rPr>
          <w:rFonts w:eastAsia="Times New Roman"/>
          <w:b/>
          <w:bCs/>
          <w:color w:val="000000"/>
          <w:sz w:val="20"/>
          <w:szCs w:val="20"/>
        </w:rPr>
        <w:t>Statements of Redeemable Convertible Preferred Stock and Stockholders’ Equity (Deficit)</w:t>
      </w:r>
    </w:p>
    <w:p w:rsidR="00000000" w:rsidRDefault="00FD7D3C">
      <w:pPr>
        <w:jc w:val="center"/>
        <w:rPr>
          <w:rFonts w:eastAsia="Times New Roman"/>
        </w:rPr>
      </w:pPr>
      <w:r>
        <w:rPr>
          <w:rFonts w:eastAsia="Times New Roman"/>
          <w:i/>
          <w:iCs/>
          <w:color w:val="000000"/>
          <w:sz w:val="20"/>
          <w:szCs w:val="20"/>
        </w:rPr>
        <w:t>(In thousands, except number of shares and per share amounts)</w:t>
      </w:r>
    </w:p>
    <w:tbl>
      <w:tblPr>
        <w:tblW w:w="5000" w:type="pct"/>
        <w:tblCellMar>
          <w:top w:w="15" w:type="dxa"/>
          <w:left w:w="15" w:type="dxa"/>
          <w:bottom w:w="15" w:type="dxa"/>
          <w:right w:w="15" w:type="dxa"/>
        </w:tblCellMar>
        <w:tblLook w:val="04A0" w:firstRow="1" w:lastRow="0" w:firstColumn="1" w:lastColumn="0" w:noHBand="0" w:noVBand="1"/>
      </w:tblPr>
      <w:tblGrid>
        <w:gridCol w:w="62"/>
        <w:gridCol w:w="751"/>
        <w:gridCol w:w="37"/>
        <w:gridCol w:w="67"/>
        <w:gridCol w:w="372"/>
        <w:gridCol w:w="36"/>
        <w:gridCol w:w="36"/>
        <w:gridCol w:w="36"/>
        <w:gridCol w:w="36"/>
        <w:gridCol w:w="91"/>
        <w:gridCol w:w="441"/>
        <w:gridCol w:w="36"/>
        <w:gridCol w:w="36"/>
        <w:gridCol w:w="36"/>
        <w:gridCol w:w="36"/>
        <w:gridCol w:w="67"/>
        <w:gridCol w:w="372"/>
        <w:gridCol w:w="36"/>
        <w:gridCol w:w="36"/>
        <w:gridCol w:w="36"/>
        <w:gridCol w:w="36"/>
        <w:gridCol w:w="91"/>
        <w:gridCol w:w="444"/>
        <w:gridCol w:w="36"/>
        <w:gridCol w:w="36"/>
        <w:gridCol w:w="36"/>
        <w:gridCol w:w="36"/>
        <w:gridCol w:w="69"/>
        <w:gridCol w:w="370"/>
        <w:gridCol w:w="36"/>
        <w:gridCol w:w="36"/>
        <w:gridCol w:w="36"/>
        <w:gridCol w:w="36"/>
        <w:gridCol w:w="91"/>
        <w:gridCol w:w="444"/>
        <w:gridCol w:w="36"/>
        <w:gridCol w:w="36"/>
        <w:gridCol w:w="36"/>
        <w:gridCol w:w="36"/>
        <w:gridCol w:w="119"/>
        <w:gridCol w:w="566"/>
        <w:gridCol w:w="37"/>
        <w:gridCol w:w="37"/>
        <w:gridCol w:w="37"/>
        <w:gridCol w:w="36"/>
        <w:gridCol w:w="91"/>
        <w:gridCol w:w="431"/>
        <w:gridCol w:w="36"/>
        <w:gridCol w:w="36"/>
        <w:gridCol w:w="36"/>
        <w:gridCol w:w="36"/>
        <w:gridCol w:w="116"/>
        <w:gridCol w:w="551"/>
        <w:gridCol w:w="36"/>
        <w:gridCol w:w="36"/>
        <w:gridCol w:w="36"/>
        <w:gridCol w:w="36"/>
        <w:gridCol w:w="121"/>
        <w:gridCol w:w="841"/>
        <w:gridCol w:w="36"/>
        <w:gridCol w:w="36"/>
        <w:gridCol w:w="36"/>
        <w:gridCol w:w="1199"/>
      </w:tblGrid>
      <w:tr w:rsidR="00000000">
        <w:trPr>
          <w:divId w:val="807092119"/>
        </w:trPr>
        <w:tc>
          <w:tcPr>
            <w:tcW w:w="50" w:type="pct"/>
            <w:vAlign w:val="center"/>
            <w:hideMark/>
          </w:tcPr>
          <w:p w:rsidR="00000000" w:rsidRDefault="00FD7D3C">
            <w:pPr>
              <w:jc w:val="center"/>
              <w:rPr>
                <w:rFonts w:eastAsia="Times New Roman"/>
              </w:rPr>
            </w:pPr>
          </w:p>
        </w:tc>
        <w:tc>
          <w:tcPr>
            <w:tcW w:w="611"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278"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17"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272"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17"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278"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17"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278"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17"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272"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17"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278"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17"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239"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17"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239"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17"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239"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17"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350"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17"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r>
      <w:tr w:rsidR="00000000">
        <w:trPr>
          <w:divId w:val="807092119"/>
          <w:trHeight w:val="240"/>
        </w:trPr>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4"/>
                <w:szCs w:val="14"/>
              </w:rPr>
              <w:t>Redeemable Convertible Preferred Stock</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left w:val="single" w:sz="8" w:space="0" w:color="000000"/>
            </w:tcBorders>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4"/>
                <w:szCs w:val="14"/>
              </w:rPr>
              <w:t>Additional</w:t>
            </w:r>
            <w:r>
              <w:rPr>
                <w:rFonts w:eastAsia="Times New Roman"/>
                <w:b/>
                <w:bCs/>
                <w:color w:val="000000"/>
                <w:sz w:val="14"/>
                <w:szCs w:val="14"/>
              </w:rPr>
              <w:br/>
              <w:t>Paid-In</w:t>
            </w:r>
            <w:r>
              <w:rPr>
                <w:rFonts w:eastAsia="Times New Roman"/>
                <w:b/>
                <w:bCs/>
                <w:color w:val="000000"/>
                <w:sz w:val="14"/>
                <w:szCs w:val="14"/>
              </w:rPr>
              <w:br/>
              <w:t>Capital</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4"/>
                <w:szCs w:val="14"/>
              </w:rPr>
              <w:t>Accumulated</w:t>
            </w:r>
            <w:r>
              <w:rPr>
                <w:rFonts w:eastAsia="Times New Roman"/>
                <w:b/>
                <w:bCs/>
                <w:color w:val="000000"/>
                <w:sz w:val="14"/>
                <w:szCs w:val="14"/>
              </w:rPr>
              <w:br/>
              <w:t>Other</w:t>
            </w:r>
            <w:r>
              <w:rPr>
                <w:rFonts w:eastAsia="Times New Roman"/>
                <w:b/>
                <w:bCs/>
                <w:color w:val="000000"/>
                <w:sz w:val="14"/>
                <w:szCs w:val="14"/>
              </w:rPr>
              <w:br/>
              <w:t>Comprehensive</w:t>
            </w:r>
            <w:r>
              <w:rPr>
                <w:rFonts w:eastAsia="Times New Roman"/>
                <w:b/>
                <w:bCs/>
                <w:color w:val="000000"/>
                <w:sz w:val="14"/>
                <w:szCs w:val="14"/>
              </w:rPr>
              <w:br/>
              <w:t>Loss</w:t>
            </w:r>
          </w:p>
        </w:tc>
        <w:tc>
          <w:tcPr>
            <w:tcW w:w="0" w:type="auto"/>
            <w:gridSpan w:val="2"/>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4"/>
                <w:szCs w:val="14"/>
              </w:rPr>
              <w:t>Accumulated</w:t>
            </w:r>
            <w:r>
              <w:rPr>
                <w:rFonts w:eastAsia="Times New Roman"/>
                <w:b/>
                <w:bCs/>
                <w:color w:val="000000"/>
                <w:sz w:val="14"/>
                <w:szCs w:val="14"/>
              </w:rPr>
              <w:br/>
              <w:t>Deficit</w:t>
            </w:r>
            <w:r>
              <w:rPr>
                <w:rFonts w:eastAsia="Times New Roman"/>
                <w:b/>
                <w:bCs/>
                <w:color w:val="000000"/>
                <w:sz w:val="14"/>
                <w:szCs w:val="14"/>
              </w:rPr>
              <w:t>Total</w:t>
            </w:r>
            <w:r>
              <w:rPr>
                <w:rFonts w:eastAsia="Times New Roman"/>
                <w:b/>
                <w:bCs/>
                <w:color w:val="000000"/>
                <w:sz w:val="14"/>
                <w:szCs w:val="14"/>
              </w:rPr>
              <w:br/>
              <w:t>Stockholders'</w:t>
            </w:r>
            <w:r>
              <w:rPr>
                <w:rFonts w:eastAsia="Times New Roman"/>
                <w:b/>
                <w:bCs/>
                <w:color w:val="000000"/>
                <w:sz w:val="14"/>
                <w:szCs w:val="14"/>
              </w:rPr>
              <w:br/>
              <w:t>Equity</w:t>
            </w:r>
          </w:p>
        </w:tc>
      </w:tr>
      <w:tr w:rsidR="00000000">
        <w:trPr>
          <w:divId w:val="807092119"/>
          <w:trHeight w:val="240"/>
        </w:trPr>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4"/>
                <w:szCs w:val="14"/>
              </w:rPr>
              <w:t>Series A</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4"/>
                <w:szCs w:val="14"/>
              </w:rPr>
              <w:t>Series B</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4"/>
                <w:szCs w:val="14"/>
              </w:rPr>
              <w:t>Series C</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9"/>
            <w:tcBorders>
              <w:left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4"/>
                <w:szCs w:val="14"/>
              </w:rPr>
              <w:t>Common Stock</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vMerge/>
            <w:vAlign w:val="center"/>
            <w:hideMark/>
          </w:tcPr>
          <w:p w:rsidR="00000000" w:rsidRDefault="00FD7D3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vMerge/>
            <w:vAlign w:val="center"/>
            <w:hideMark/>
          </w:tcPr>
          <w:p w:rsidR="00000000" w:rsidRDefault="00FD7D3C">
            <w:pPr>
              <w:spacing w:after="100"/>
              <w:rPr>
                <w:rFonts w:eastAsia="Times New Roman"/>
              </w:rPr>
            </w:pPr>
          </w:p>
        </w:tc>
        <w:tc>
          <w:tcPr>
            <w:tcW w:w="0" w:type="auto"/>
            <w:gridSpan w:val="2"/>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000000">
        <w:trPr>
          <w:divId w:val="807092119"/>
          <w:trHeight w:val="240"/>
        </w:trPr>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4"/>
                <w:szCs w:val="14"/>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4"/>
                <w:szCs w:val="14"/>
              </w:rPr>
              <w:t>Amount</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4"/>
                <w:szCs w:val="14"/>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4"/>
                <w:szCs w:val="14"/>
              </w:rPr>
              <w:t>Amount</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4"/>
                <w:szCs w:val="14"/>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4"/>
                <w:szCs w:val="14"/>
              </w:rPr>
              <w:t>Amount</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4"/>
                <w:szCs w:val="14"/>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4"/>
                <w:szCs w:val="14"/>
              </w:rPr>
              <w:t>Amount</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vMerge/>
            <w:vAlign w:val="center"/>
            <w:hideMark/>
          </w:tcPr>
          <w:p w:rsidR="00000000" w:rsidRDefault="00FD7D3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vMerge/>
            <w:vAlign w:val="center"/>
            <w:hideMark/>
          </w:tcPr>
          <w:p w:rsidR="00000000" w:rsidRDefault="00FD7D3C">
            <w:pPr>
              <w:spacing w:after="100"/>
              <w:rPr>
                <w:rFonts w:eastAsia="Times New Roman"/>
              </w:rPr>
            </w:pPr>
          </w:p>
        </w:tc>
        <w:tc>
          <w:tcPr>
            <w:tcW w:w="0" w:type="auto"/>
            <w:gridSpan w:val="2"/>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FD7D3C">
        <w:trPr>
          <w:divId w:val="807092119"/>
        </w:trPr>
        <w:tc>
          <w:tcPr>
            <w:tcW w:w="0" w:type="auto"/>
            <w:gridSpan w:val="3"/>
            <w:shd w:val="clear" w:color="auto" w:fill="CCEEFF"/>
            <w:tcMar>
              <w:top w:w="30" w:type="dxa"/>
              <w:left w:w="20" w:type="dxa"/>
              <w:bottom w:w="30" w:type="dxa"/>
              <w:right w:w="20" w:type="dxa"/>
            </w:tcMar>
            <w:hideMark/>
          </w:tcPr>
          <w:p w:rsidR="00000000" w:rsidRDefault="00FD7D3C">
            <w:pPr>
              <w:spacing w:after="100"/>
              <w:rPr>
                <w:rFonts w:eastAsia="Times New Roman"/>
              </w:rPr>
            </w:pPr>
            <w:r>
              <w:rPr>
                <w:rFonts w:eastAsia="Times New Roman"/>
                <w:b/>
                <w:bCs/>
                <w:color w:val="000000"/>
                <w:sz w:val="14"/>
                <w:szCs w:val="14"/>
              </w:rPr>
              <w:t>Balance at December 31, 2020</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Borders>
              <w:top w:val="single" w:sz="8" w:space="0" w:color="000000"/>
              <w:left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35,552,795 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400,918 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(32)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14"/>
                <w:szCs w:val="14"/>
              </w:rPr>
              <w:t>$</w:t>
            </w:r>
            <w:r>
              <w:rPr>
                <w:rFonts w:eastAsia="Times New Roman"/>
                <w:color w:val="000000"/>
                <w:sz w:val="14"/>
                <w:szCs w:val="14"/>
              </w:rPr>
              <w:t>(117,828)$283,061 </w:t>
            </w:r>
          </w:p>
        </w:tc>
      </w:tr>
      <w:tr w:rsidR="00FD7D3C">
        <w:trPr>
          <w:divId w:val="807092119"/>
        </w:trPr>
        <w:tc>
          <w:tcPr>
            <w:tcW w:w="0" w:type="auto"/>
            <w:gridSpan w:val="3"/>
            <w:shd w:val="clear" w:color="auto" w:fill="FFFFFF"/>
            <w:tcMar>
              <w:top w:w="30" w:type="dxa"/>
              <w:left w:w="20" w:type="dxa"/>
              <w:bottom w:w="30" w:type="dxa"/>
              <w:right w:w="20" w:type="dxa"/>
            </w:tcMar>
            <w:hideMark/>
          </w:tcPr>
          <w:p w:rsidR="00000000" w:rsidRDefault="00FD7D3C">
            <w:pPr>
              <w:spacing w:after="100"/>
              <w:ind w:hanging="180"/>
              <w:divId w:val="985474303"/>
              <w:rPr>
                <w:rFonts w:eastAsia="Times New Roman"/>
              </w:rPr>
            </w:pPr>
            <w:r>
              <w:rPr>
                <w:rFonts w:eastAsia="Times New Roman"/>
                <w:color w:val="000000"/>
                <w:sz w:val="14"/>
                <w:szCs w:val="14"/>
              </w:rPr>
              <w:t>Vesting of restricted stock awards</w:t>
            </w: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Borders>
              <w:left w:val="single" w:sz="8" w:space="0" w:color="000000"/>
            </w:tcBorders>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103,164 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9 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r>
              <w:rPr>
                <w:rFonts w:eastAsia="Times New Roman"/>
                <w:color w:val="000000"/>
                <w:sz w:val="14"/>
                <w:szCs w:val="14"/>
              </w:rPr>
              <w:t>9 </w:t>
            </w:r>
          </w:p>
        </w:tc>
      </w:tr>
      <w:tr w:rsidR="00FD7D3C">
        <w:trPr>
          <w:divId w:val="807092119"/>
        </w:trPr>
        <w:tc>
          <w:tcPr>
            <w:tcW w:w="0" w:type="auto"/>
            <w:gridSpan w:val="3"/>
            <w:shd w:val="clear" w:color="auto" w:fill="CCEEFF"/>
            <w:tcMar>
              <w:top w:w="30" w:type="dxa"/>
              <w:left w:w="20" w:type="dxa"/>
              <w:bottom w:w="30" w:type="dxa"/>
              <w:right w:w="20" w:type="dxa"/>
            </w:tcMar>
            <w:hideMark/>
          </w:tcPr>
          <w:p w:rsidR="00000000" w:rsidRDefault="00FD7D3C">
            <w:pPr>
              <w:spacing w:after="100"/>
              <w:ind w:hanging="180"/>
              <w:divId w:val="1451243230"/>
              <w:rPr>
                <w:rFonts w:eastAsia="Times New Roman"/>
              </w:rPr>
            </w:pPr>
            <w:r>
              <w:rPr>
                <w:rFonts w:eastAsia="Times New Roman"/>
                <w:color w:val="000000"/>
                <w:sz w:val="14"/>
                <w:szCs w:val="14"/>
              </w:rPr>
              <w:t>Option exercises</w:t>
            </w: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Borders>
              <w:left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427,342 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2,984 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r>
              <w:rPr>
                <w:rFonts w:eastAsia="Times New Roman"/>
                <w:color w:val="000000"/>
                <w:sz w:val="14"/>
                <w:szCs w:val="14"/>
              </w:rPr>
              <w:t>2,984 </w:t>
            </w:r>
          </w:p>
        </w:tc>
      </w:tr>
      <w:tr w:rsidR="00FD7D3C">
        <w:trPr>
          <w:divId w:val="807092119"/>
        </w:trPr>
        <w:tc>
          <w:tcPr>
            <w:tcW w:w="0" w:type="auto"/>
            <w:gridSpan w:val="3"/>
            <w:shd w:val="clear" w:color="auto" w:fill="FFFFFF"/>
            <w:tcMar>
              <w:top w:w="30" w:type="dxa"/>
              <w:left w:w="20" w:type="dxa"/>
              <w:bottom w:w="30" w:type="dxa"/>
              <w:right w:w="20" w:type="dxa"/>
            </w:tcMar>
            <w:hideMark/>
          </w:tcPr>
          <w:p w:rsidR="00000000" w:rsidRDefault="00FD7D3C">
            <w:pPr>
              <w:spacing w:after="100"/>
              <w:ind w:hanging="180"/>
              <w:divId w:val="1805654123"/>
              <w:rPr>
                <w:rFonts w:eastAsia="Times New Roman"/>
              </w:rPr>
            </w:pPr>
            <w:r>
              <w:rPr>
                <w:rFonts w:eastAsia="Times New Roman"/>
                <w:color w:val="000000"/>
                <w:sz w:val="14"/>
                <w:szCs w:val="14"/>
              </w:rPr>
              <w:t>Stock-based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Borders>
              <w:left w:val="single" w:sz="8" w:space="0" w:color="000000"/>
            </w:tcBorders>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10,437 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r>
              <w:rPr>
                <w:rFonts w:eastAsia="Times New Roman"/>
                <w:color w:val="000000"/>
                <w:sz w:val="14"/>
                <w:szCs w:val="14"/>
              </w:rPr>
              <w:t>10,437 </w:t>
            </w:r>
          </w:p>
        </w:tc>
      </w:tr>
      <w:tr w:rsidR="00FD7D3C">
        <w:trPr>
          <w:divId w:val="807092119"/>
        </w:trPr>
        <w:tc>
          <w:tcPr>
            <w:tcW w:w="0" w:type="auto"/>
            <w:gridSpan w:val="3"/>
            <w:shd w:val="clear" w:color="auto" w:fill="CCEEFF"/>
            <w:tcMar>
              <w:top w:w="30" w:type="dxa"/>
              <w:left w:w="20" w:type="dxa"/>
              <w:bottom w:w="30" w:type="dxa"/>
              <w:right w:w="20" w:type="dxa"/>
            </w:tcMar>
            <w:hideMark/>
          </w:tcPr>
          <w:p w:rsidR="00000000" w:rsidRDefault="00FD7D3C">
            <w:pPr>
              <w:spacing w:after="100"/>
              <w:ind w:hanging="180"/>
              <w:divId w:val="1083724914"/>
              <w:rPr>
                <w:rFonts w:eastAsia="Times New Roman"/>
              </w:rPr>
            </w:pPr>
            <w:r>
              <w:rPr>
                <w:rFonts w:eastAsia="Times New Roman"/>
                <w:color w:val="000000"/>
                <w:sz w:val="14"/>
                <w:szCs w:val="14"/>
              </w:rPr>
              <w:t>Net unrealized loss on short-term investments</w:t>
            </w: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Borders>
              <w:left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(169)</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r>
              <w:rPr>
                <w:rFonts w:eastAsia="Times New Roman"/>
                <w:color w:val="000000"/>
                <w:sz w:val="14"/>
                <w:szCs w:val="14"/>
              </w:rPr>
              <w:t>(169)</w:t>
            </w:r>
          </w:p>
        </w:tc>
      </w:tr>
      <w:tr w:rsidR="00FD7D3C">
        <w:trPr>
          <w:divId w:val="807092119"/>
        </w:trPr>
        <w:tc>
          <w:tcPr>
            <w:tcW w:w="0" w:type="auto"/>
            <w:gridSpan w:val="3"/>
            <w:shd w:val="clear" w:color="auto" w:fill="FFFFFF"/>
            <w:tcMar>
              <w:top w:w="30" w:type="dxa"/>
              <w:left w:w="20" w:type="dxa"/>
              <w:bottom w:w="30" w:type="dxa"/>
              <w:right w:w="20" w:type="dxa"/>
            </w:tcMar>
            <w:hideMark/>
          </w:tcPr>
          <w:p w:rsidR="00000000" w:rsidRDefault="00FD7D3C">
            <w:pPr>
              <w:spacing w:after="100"/>
              <w:ind w:hanging="180"/>
              <w:divId w:val="988678371"/>
              <w:rPr>
                <w:rFonts w:eastAsia="Times New Roman"/>
              </w:rPr>
            </w:pPr>
            <w:r>
              <w:rPr>
                <w:rFonts w:eastAsia="Times New Roman"/>
                <w:color w:val="000000"/>
                <w:sz w:val="14"/>
                <w:szCs w:val="14"/>
              </w:rPr>
              <w:t>Net loss</w:t>
            </w: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Borders>
              <w:left w:val="single" w:sz="8" w:space="0" w:color="000000"/>
            </w:tcBorders>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(97,263)</w:t>
            </w:r>
            <w:r>
              <w:rPr>
                <w:rFonts w:eastAsia="Times New Roman"/>
                <w:color w:val="000000"/>
                <w:sz w:val="14"/>
                <w:szCs w:val="14"/>
              </w:rPr>
              <w:t>(97,263)</w:t>
            </w:r>
          </w:p>
        </w:tc>
      </w:tr>
      <w:tr w:rsidR="00FD7D3C">
        <w:trPr>
          <w:divId w:val="807092119"/>
        </w:trPr>
        <w:tc>
          <w:tcPr>
            <w:tcW w:w="0" w:type="auto"/>
            <w:gridSpan w:val="3"/>
            <w:shd w:val="clear" w:color="auto" w:fill="CCEEFF"/>
            <w:tcMar>
              <w:top w:w="30" w:type="dxa"/>
              <w:left w:w="20" w:type="dxa"/>
              <w:bottom w:w="30" w:type="dxa"/>
              <w:right w:w="20" w:type="dxa"/>
            </w:tcMar>
            <w:hideMark/>
          </w:tcPr>
          <w:p w:rsidR="00000000" w:rsidRDefault="00FD7D3C">
            <w:pPr>
              <w:spacing w:after="100"/>
              <w:rPr>
                <w:rFonts w:eastAsia="Times New Roman"/>
              </w:rPr>
            </w:pPr>
            <w:r>
              <w:rPr>
                <w:rFonts w:eastAsia="Times New Roman"/>
                <w:b/>
                <w:bCs/>
                <w:color w:val="000000"/>
                <w:sz w:val="14"/>
                <w:szCs w:val="14"/>
              </w:rPr>
              <w:t>Balance at December 31, 2021</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Borders>
              <w:top w:val="single" w:sz="8" w:space="0" w:color="000000"/>
              <w:left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36,083,301 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414,348 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(201)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14"/>
                <w:szCs w:val="14"/>
              </w:rPr>
              <w:t>$</w:t>
            </w:r>
            <w:r>
              <w:rPr>
                <w:rFonts w:eastAsia="Times New Roman"/>
                <w:color w:val="000000"/>
                <w:sz w:val="14"/>
                <w:szCs w:val="14"/>
              </w:rPr>
              <w:t>(215,091)$199,059 </w:t>
            </w:r>
          </w:p>
        </w:tc>
      </w:tr>
    </w:tbl>
    <w:p w:rsidR="00000000" w:rsidRDefault="00FD7D3C">
      <w:pPr>
        <w:jc w:val="center"/>
        <w:divId w:val="610940042"/>
        <w:rPr>
          <w:rFonts w:eastAsia="Times New Roman"/>
        </w:rPr>
      </w:pPr>
      <w:r>
        <w:rPr>
          <w:rFonts w:eastAsia="Times New Roman"/>
          <w:i/>
          <w:iCs/>
          <w:color w:val="000000"/>
          <w:sz w:val="20"/>
          <w:szCs w:val="20"/>
          <w:shd w:val="clear" w:color="auto" w:fill="FFFFFF"/>
        </w:rPr>
        <w:t>The accompanying notes are an integral part of these financial statements.</w:t>
      </w:r>
    </w:p>
    <w:p w:rsidR="00000000" w:rsidRDefault="00FD7D3C">
      <w:pPr>
        <w:jc w:val="center"/>
        <w:divId w:val="443187108"/>
        <w:rPr>
          <w:rFonts w:eastAsia="Times New Roman"/>
        </w:rPr>
      </w:pPr>
      <w:r>
        <w:rPr>
          <w:rFonts w:eastAsia="Times New Roman"/>
          <w:color w:val="000000"/>
          <w:sz w:val="20"/>
          <w:szCs w:val="20"/>
        </w:rPr>
        <w:t>111</w:t>
      </w:r>
    </w:p>
    <w:p w:rsidR="00000000" w:rsidRDefault="00FD7D3C">
      <w:pPr>
        <w:rPr>
          <w:rFonts w:eastAsia="Times New Roman"/>
        </w:rPr>
      </w:pPr>
      <w:r>
        <w:rPr>
          <w:rFonts w:eastAsia="Times New Roman"/>
        </w:rPr>
        <w:pict>
          <v:rect id="_x0000_i1164" style="width:0;height:1.5pt" o:hralign="center" o:hrstd="t" o:hr="t" fillcolor="#a0a0a0" stroked="f"/>
        </w:pict>
      </w:r>
    </w:p>
    <w:p w:rsidR="00000000" w:rsidRDefault="00FD7D3C">
      <w:pPr>
        <w:divId w:val="1236547143"/>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jc w:val="center"/>
        <w:divId w:val="1934392794"/>
        <w:rPr>
          <w:rFonts w:eastAsia="Times New Roman"/>
        </w:rPr>
      </w:pPr>
      <w:r>
        <w:rPr>
          <w:rFonts w:eastAsia="Times New Roman"/>
          <w:b/>
          <w:bCs/>
          <w:color w:val="000000"/>
          <w:sz w:val="20"/>
          <w:szCs w:val="20"/>
        </w:rPr>
        <w:t>Pliant Therapeutics, Inc.</w:t>
      </w:r>
    </w:p>
    <w:p w:rsidR="00000000" w:rsidRDefault="00FD7D3C">
      <w:pPr>
        <w:jc w:val="center"/>
        <w:rPr>
          <w:rFonts w:eastAsia="Times New Roman"/>
        </w:rPr>
      </w:pPr>
      <w:r>
        <w:rPr>
          <w:rFonts w:eastAsia="Times New Roman"/>
          <w:b/>
          <w:bCs/>
          <w:color w:val="000000"/>
          <w:sz w:val="20"/>
          <w:szCs w:val="20"/>
        </w:rPr>
        <w:t>Statements of Redeemable Convertible Preferred Stock and Stockholders’ Equity (Deficit)</w:t>
      </w:r>
    </w:p>
    <w:p w:rsidR="00000000" w:rsidRDefault="00FD7D3C">
      <w:pPr>
        <w:jc w:val="center"/>
        <w:rPr>
          <w:rFonts w:eastAsia="Times New Roman"/>
        </w:rPr>
      </w:pPr>
      <w:r>
        <w:rPr>
          <w:rFonts w:eastAsia="Times New Roman"/>
          <w:i/>
          <w:iCs/>
          <w:color w:val="000000"/>
          <w:sz w:val="20"/>
          <w:szCs w:val="20"/>
        </w:rPr>
        <w:t>(In thousands, except number of shares and per share amounts)</w:t>
      </w:r>
    </w:p>
    <w:tbl>
      <w:tblPr>
        <w:tblW w:w="5000" w:type="pct"/>
        <w:tblCellMar>
          <w:top w:w="15" w:type="dxa"/>
          <w:left w:w="15" w:type="dxa"/>
          <w:bottom w:w="15" w:type="dxa"/>
          <w:right w:w="15" w:type="dxa"/>
        </w:tblCellMar>
        <w:tblLook w:val="04A0" w:firstRow="1" w:lastRow="0" w:firstColumn="1" w:lastColumn="0" w:noHBand="0" w:noVBand="1"/>
      </w:tblPr>
      <w:tblGrid>
        <w:gridCol w:w="60"/>
        <w:gridCol w:w="753"/>
        <w:gridCol w:w="39"/>
        <w:gridCol w:w="114"/>
        <w:gridCol w:w="630"/>
        <w:gridCol w:w="36"/>
        <w:gridCol w:w="36"/>
        <w:gridCol w:w="36"/>
        <w:gridCol w:w="36"/>
        <w:gridCol w:w="90"/>
        <w:gridCol w:w="420"/>
        <w:gridCol w:w="36"/>
        <w:gridCol w:w="36"/>
        <w:gridCol w:w="36"/>
        <w:gridCol w:w="36"/>
        <w:gridCol w:w="114"/>
        <w:gridCol w:w="630"/>
        <w:gridCol w:w="36"/>
        <w:gridCol w:w="36"/>
        <w:gridCol w:w="36"/>
        <w:gridCol w:w="36"/>
        <w:gridCol w:w="90"/>
        <w:gridCol w:w="420"/>
        <w:gridCol w:w="36"/>
        <w:gridCol w:w="36"/>
        <w:gridCol w:w="36"/>
        <w:gridCol w:w="36"/>
        <w:gridCol w:w="116"/>
        <w:gridCol w:w="628"/>
        <w:gridCol w:w="36"/>
        <w:gridCol w:w="36"/>
        <w:gridCol w:w="36"/>
        <w:gridCol w:w="36"/>
        <w:gridCol w:w="90"/>
        <w:gridCol w:w="420"/>
        <w:gridCol w:w="36"/>
        <w:gridCol w:w="36"/>
        <w:gridCol w:w="36"/>
        <w:gridCol w:w="36"/>
        <w:gridCol w:w="119"/>
        <w:gridCol w:w="566"/>
        <w:gridCol w:w="37"/>
        <w:gridCol w:w="37"/>
        <w:gridCol w:w="37"/>
        <w:gridCol w:w="36"/>
        <w:gridCol w:w="91"/>
        <w:gridCol w:w="431"/>
        <w:gridCol w:w="36"/>
        <w:gridCol w:w="36"/>
        <w:gridCol w:w="36"/>
        <w:gridCol w:w="36"/>
        <w:gridCol w:w="116"/>
        <w:gridCol w:w="551"/>
        <w:gridCol w:w="36"/>
        <w:gridCol w:w="36"/>
        <w:gridCol w:w="36"/>
        <w:gridCol w:w="36"/>
        <w:gridCol w:w="121"/>
        <w:gridCol w:w="841"/>
        <w:gridCol w:w="36"/>
        <w:gridCol w:w="36"/>
        <w:gridCol w:w="36"/>
        <w:gridCol w:w="1199"/>
      </w:tblGrid>
      <w:tr w:rsidR="00000000">
        <w:trPr>
          <w:divId w:val="1310666845"/>
        </w:trPr>
        <w:tc>
          <w:tcPr>
            <w:tcW w:w="50" w:type="pct"/>
            <w:vAlign w:val="center"/>
            <w:hideMark/>
          </w:tcPr>
          <w:p w:rsidR="00000000" w:rsidRDefault="00FD7D3C">
            <w:pPr>
              <w:jc w:val="center"/>
              <w:rPr>
                <w:rFonts w:eastAsia="Times New Roman"/>
              </w:rPr>
            </w:pPr>
          </w:p>
        </w:tc>
        <w:tc>
          <w:tcPr>
            <w:tcW w:w="633"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278"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17"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272"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17"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278"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17"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278"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17"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272"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17"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278"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17"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239"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17"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239"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17"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239"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17"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350"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17"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r>
      <w:tr w:rsidR="00000000">
        <w:trPr>
          <w:divId w:val="1310666845"/>
          <w:trHeight w:val="240"/>
        </w:trPr>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4"/>
                <w:szCs w:val="14"/>
              </w:rPr>
              <w:t>Redeemable Convertible Preferred Stock</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left w:val="single" w:sz="8" w:space="0" w:color="000000"/>
            </w:tcBorders>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4"/>
                <w:szCs w:val="14"/>
              </w:rPr>
              <w:t>Additional</w:t>
            </w:r>
            <w:r>
              <w:rPr>
                <w:rFonts w:eastAsia="Times New Roman"/>
                <w:b/>
                <w:bCs/>
                <w:color w:val="000000"/>
                <w:sz w:val="14"/>
                <w:szCs w:val="14"/>
              </w:rPr>
              <w:br/>
              <w:t>Paid-In</w:t>
            </w:r>
            <w:r>
              <w:rPr>
                <w:rFonts w:eastAsia="Times New Roman"/>
                <w:b/>
                <w:bCs/>
                <w:color w:val="000000"/>
                <w:sz w:val="14"/>
                <w:szCs w:val="14"/>
              </w:rPr>
              <w:br/>
              <w:t>Capital</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4"/>
                <w:szCs w:val="14"/>
              </w:rPr>
              <w:t>Accumulated</w:t>
            </w:r>
            <w:r>
              <w:rPr>
                <w:rFonts w:eastAsia="Times New Roman"/>
                <w:b/>
                <w:bCs/>
                <w:color w:val="000000"/>
                <w:sz w:val="14"/>
                <w:szCs w:val="14"/>
              </w:rPr>
              <w:br/>
              <w:t>Other</w:t>
            </w:r>
            <w:r>
              <w:rPr>
                <w:rFonts w:eastAsia="Times New Roman"/>
                <w:b/>
                <w:bCs/>
                <w:color w:val="000000"/>
                <w:sz w:val="14"/>
                <w:szCs w:val="14"/>
              </w:rPr>
              <w:br/>
              <w:t>Comprehensive</w:t>
            </w:r>
            <w:r>
              <w:rPr>
                <w:rFonts w:eastAsia="Times New Roman"/>
                <w:b/>
                <w:bCs/>
                <w:color w:val="000000"/>
                <w:sz w:val="14"/>
                <w:szCs w:val="14"/>
              </w:rPr>
              <w:br/>
              <w:t>Loss</w:t>
            </w:r>
          </w:p>
        </w:tc>
        <w:tc>
          <w:tcPr>
            <w:tcW w:w="0" w:type="auto"/>
            <w:gridSpan w:val="2"/>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4"/>
                <w:szCs w:val="14"/>
              </w:rPr>
              <w:t>Accumulated</w:t>
            </w:r>
            <w:r>
              <w:rPr>
                <w:rFonts w:eastAsia="Times New Roman"/>
                <w:b/>
                <w:bCs/>
                <w:color w:val="000000"/>
                <w:sz w:val="14"/>
                <w:szCs w:val="14"/>
              </w:rPr>
              <w:br/>
              <w:t>Deficit</w:t>
            </w:r>
            <w:r>
              <w:rPr>
                <w:rFonts w:eastAsia="Times New Roman"/>
                <w:b/>
                <w:bCs/>
                <w:color w:val="000000"/>
                <w:sz w:val="14"/>
                <w:szCs w:val="14"/>
              </w:rPr>
              <w:t xml:space="preserve">Total </w:t>
            </w:r>
            <w:r>
              <w:rPr>
                <w:rFonts w:eastAsia="Times New Roman"/>
                <w:b/>
                <w:bCs/>
                <w:color w:val="000000"/>
                <w:sz w:val="14"/>
                <w:szCs w:val="14"/>
              </w:rPr>
              <w:br/>
              <w:t>Stockholders'</w:t>
            </w:r>
            <w:r>
              <w:rPr>
                <w:rFonts w:eastAsia="Times New Roman"/>
                <w:b/>
                <w:bCs/>
                <w:color w:val="000000"/>
                <w:sz w:val="14"/>
                <w:szCs w:val="14"/>
              </w:rPr>
              <w:br/>
              <w:t>Equity</w:t>
            </w:r>
            <w:r>
              <w:rPr>
                <w:rFonts w:eastAsia="Times New Roman"/>
                <w:b/>
                <w:bCs/>
                <w:color w:val="000000"/>
                <w:sz w:val="14"/>
                <w:szCs w:val="14"/>
              </w:rPr>
              <w:br/>
              <w:t>(Deficit)</w:t>
            </w:r>
          </w:p>
        </w:tc>
      </w:tr>
      <w:tr w:rsidR="00000000">
        <w:trPr>
          <w:divId w:val="1310666845"/>
          <w:trHeight w:val="240"/>
        </w:trPr>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4"/>
                <w:szCs w:val="14"/>
              </w:rPr>
              <w:t>Series A</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4"/>
                <w:szCs w:val="14"/>
              </w:rPr>
              <w:t>Series B</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4"/>
                <w:szCs w:val="14"/>
              </w:rPr>
              <w:t>Series C</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9"/>
            <w:tcBorders>
              <w:left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4"/>
                <w:szCs w:val="14"/>
              </w:rPr>
              <w:t>Common Stock</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vMerge/>
            <w:vAlign w:val="center"/>
            <w:hideMark/>
          </w:tcPr>
          <w:p w:rsidR="00000000" w:rsidRDefault="00FD7D3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vMerge/>
            <w:vAlign w:val="center"/>
            <w:hideMark/>
          </w:tcPr>
          <w:p w:rsidR="00000000" w:rsidRDefault="00FD7D3C">
            <w:pPr>
              <w:spacing w:after="100"/>
              <w:rPr>
                <w:rFonts w:eastAsia="Times New Roman"/>
              </w:rPr>
            </w:pPr>
          </w:p>
        </w:tc>
        <w:tc>
          <w:tcPr>
            <w:tcW w:w="0" w:type="auto"/>
            <w:gridSpan w:val="2"/>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000000">
        <w:trPr>
          <w:divId w:val="1310666845"/>
          <w:trHeight w:val="240"/>
        </w:trPr>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4"/>
                <w:szCs w:val="14"/>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4"/>
                <w:szCs w:val="14"/>
              </w:rPr>
              <w:t>Amount</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4"/>
                <w:szCs w:val="14"/>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4"/>
                <w:szCs w:val="14"/>
              </w:rPr>
              <w:t>Amount</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4"/>
                <w:szCs w:val="14"/>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4"/>
                <w:szCs w:val="14"/>
              </w:rPr>
              <w:t>Amount</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4"/>
                <w:szCs w:val="14"/>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4"/>
                <w:szCs w:val="14"/>
              </w:rPr>
              <w:t>Amount</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vMerge/>
            <w:vAlign w:val="center"/>
            <w:hideMark/>
          </w:tcPr>
          <w:p w:rsidR="00000000" w:rsidRDefault="00FD7D3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vMerge/>
            <w:vAlign w:val="center"/>
            <w:hideMark/>
          </w:tcPr>
          <w:p w:rsidR="00000000" w:rsidRDefault="00FD7D3C">
            <w:pPr>
              <w:spacing w:after="100"/>
              <w:rPr>
                <w:rFonts w:eastAsia="Times New Roman"/>
              </w:rPr>
            </w:pPr>
          </w:p>
        </w:tc>
        <w:tc>
          <w:tcPr>
            <w:tcW w:w="0" w:type="auto"/>
            <w:gridSpan w:val="2"/>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FD7D3C">
        <w:trPr>
          <w:divId w:val="1310666845"/>
        </w:trPr>
        <w:tc>
          <w:tcPr>
            <w:tcW w:w="0" w:type="auto"/>
            <w:gridSpan w:val="3"/>
            <w:shd w:val="clear" w:color="auto" w:fill="CCEEFF"/>
            <w:tcMar>
              <w:top w:w="30" w:type="dxa"/>
              <w:left w:w="20" w:type="dxa"/>
              <w:bottom w:w="30" w:type="dxa"/>
              <w:right w:w="20" w:type="dxa"/>
            </w:tcMar>
            <w:hideMark/>
          </w:tcPr>
          <w:p w:rsidR="00000000" w:rsidRDefault="00FD7D3C">
            <w:pPr>
              <w:spacing w:after="100"/>
              <w:rPr>
                <w:rFonts w:eastAsia="Times New Roman"/>
              </w:rPr>
            </w:pPr>
            <w:r>
              <w:rPr>
                <w:rFonts w:eastAsia="Times New Roman"/>
                <w:b/>
                <w:bCs/>
                <w:color w:val="000000"/>
                <w:sz w:val="14"/>
                <w:szCs w:val="14"/>
              </w:rPr>
              <w:t>Balance at December 31, 2019</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56,000,000 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62,468 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49,501,221 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75,860 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26,360,745 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47,947 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Borders>
              <w:top w:val="single" w:sz="8" w:space="0" w:color="000000"/>
              <w:left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1,846,024 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14"/>
                <w:szCs w:val="14"/>
              </w:rPr>
              <w:t>$</w:t>
            </w:r>
            <w:r>
              <w:rPr>
                <w:rFonts w:eastAsia="Times New Roman"/>
                <w:color w:val="000000"/>
                <w:sz w:val="14"/>
                <w:szCs w:val="14"/>
              </w:rPr>
              <w:t>(76,295)$(76,295)</w:t>
            </w:r>
          </w:p>
        </w:tc>
      </w:tr>
      <w:tr w:rsidR="00FD7D3C">
        <w:trPr>
          <w:divId w:val="1310666845"/>
        </w:trPr>
        <w:tc>
          <w:tcPr>
            <w:tcW w:w="0" w:type="auto"/>
            <w:gridSpan w:val="3"/>
            <w:shd w:val="clear" w:color="auto" w:fill="FFFFFF"/>
            <w:tcMar>
              <w:top w:w="30" w:type="dxa"/>
              <w:left w:w="20" w:type="dxa"/>
              <w:bottom w:w="30" w:type="dxa"/>
              <w:right w:w="20" w:type="dxa"/>
            </w:tcMar>
            <w:hideMark/>
          </w:tcPr>
          <w:p w:rsidR="00000000" w:rsidRDefault="00FD7D3C">
            <w:pPr>
              <w:spacing w:after="100"/>
              <w:ind w:hanging="180"/>
              <w:divId w:val="964576558"/>
              <w:rPr>
                <w:rFonts w:eastAsia="Times New Roman"/>
              </w:rPr>
            </w:pPr>
            <w:r>
              <w:rPr>
                <w:rFonts w:eastAsia="Times New Roman"/>
                <w:color w:val="000000"/>
                <w:sz w:val="14"/>
                <w:szCs w:val="14"/>
              </w:rPr>
              <w:t>Issuance of Series C redeemable preferred stock, net of issuance costs</w:t>
            </w: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28,527,313 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52,019 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Borders>
              <w:left w:val="single" w:sz="8" w:space="0" w:color="000000"/>
            </w:tcBorders>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r>
              <w:rPr>
                <w:rFonts w:eastAsia="Times New Roman"/>
                <w:color w:val="000000"/>
                <w:sz w:val="14"/>
                <w:szCs w:val="14"/>
              </w:rPr>
              <w:t>— </w:t>
            </w:r>
          </w:p>
        </w:tc>
      </w:tr>
      <w:tr w:rsidR="00FD7D3C">
        <w:trPr>
          <w:divId w:val="1310666845"/>
        </w:trPr>
        <w:tc>
          <w:tcPr>
            <w:tcW w:w="0" w:type="auto"/>
            <w:gridSpan w:val="3"/>
            <w:shd w:val="clear" w:color="auto" w:fill="CCEEFF"/>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14"/>
                <w:szCs w:val="14"/>
              </w:rPr>
              <w:t xml:space="preserve">Issuance of common stock </w:t>
            </w:r>
            <w:r>
              <w:rPr>
                <w:rFonts w:eastAsia="Times New Roman"/>
                <w:color w:val="000000"/>
                <w:sz w:val="14"/>
                <w:szCs w:val="14"/>
              </w:rPr>
              <w:br/>
              <w:t>    </w:t>
            </w:r>
            <w:r>
              <w:rPr>
                <w:rFonts w:eastAsia="Times New Roman"/>
                <w:color w:val="000000"/>
                <w:sz w:val="14"/>
                <w:szCs w:val="14"/>
              </w:rPr>
              <w:t>upon initial public offering,</w:t>
            </w:r>
            <w:r>
              <w:rPr>
                <w:rFonts w:eastAsia="Times New Roman"/>
                <w:color w:val="000000"/>
                <w:sz w:val="14"/>
                <w:szCs w:val="14"/>
              </w:rPr>
              <w:br/>
              <w:t>    net of issuance costs</w:t>
            </w: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Borders>
              <w:left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10,350,000 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1 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148,277 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r>
              <w:rPr>
                <w:rFonts w:eastAsia="Times New Roman"/>
                <w:color w:val="000000"/>
                <w:sz w:val="14"/>
                <w:szCs w:val="14"/>
              </w:rPr>
              <w:t>148,278 </w:t>
            </w:r>
          </w:p>
        </w:tc>
      </w:tr>
      <w:tr w:rsidR="00FD7D3C">
        <w:trPr>
          <w:divId w:val="1310666845"/>
        </w:trPr>
        <w:tc>
          <w:tcPr>
            <w:tcW w:w="0" w:type="auto"/>
            <w:gridSpan w:val="3"/>
            <w:shd w:val="clear" w:color="auto" w:fill="FFFFFF"/>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14"/>
                <w:szCs w:val="14"/>
              </w:rPr>
              <w:t xml:space="preserve">Issuance of common stock </w:t>
            </w:r>
            <w:r>
              <w:rPr>
                <w:rFonts w:eastAsia="Times New Roman"/>
                <w:color w:val="000000"/>
                <w:sz w:val="14"/>
                <w:szCs w:val="14"/>
              </w:rPr>
              <w:br/>
              <w:t>   upon private placement</w:t>
            </w: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Borders>
              <w:left w:val="single" w:sz="8" w:space="0" w:color="000000"/>
            </w:tcBorders>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625,000 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10,000 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r>
              <w:rPr>
                <w:rFonts w:eastAsia="Times New Roman"/>
                <w:color w:val="000000"/>
                <w:sz w:val="14"/>
                <w:szCs w:val="14"/>
              </w:rPr>
              <w:t>10,000 </w:t>
            </w:r>
          </w:p>
        </w:tc>
      </w:tr>
      <w:tr w:rsidR="00FD7D3C">
        <w:trPr>
          <w:divId w:val="1310666845"/>
        </w:trPr>
        <w:tc>
          <w:tcPr>
            <w:tcW w:w="0" w:type="auto"/>
            <w:gridSpan w:val="3"/>
            <w:shd w:val="clear" w:color="auto" w:fill="CCEEFF"/>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14"/>
                <w:szCs w:val="14"/>
              </w:rPr>
              <w:t xml:space="preserve">Conversion of Series A, B, C </w:t>
            </w:r>
            <w:r>
              <w:rPr>
                <w:rFonts w:eastAsia="Times New Roman"/>
                <w:color w:val="000000"/>
                <w:sz w:val="14"/>
                <w:szCs w:val="14"/>
              </w:rPr>
              <w:br/>
              <w:t>   convertible preferred stock</w:t>
            </w:r>
            <w:r>
              <w:rPr>
                <w:rFonts w:eastAsia="Times New Roman"/>
                <w:color w:val="000000"/>
                <w:sz w:val="14"/>
                <w:szCs w:val="14"/>
              </w:rPr>
              <w:br/>
              <w:t>   to common stock</w:t>
            </w: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(56,000,000)</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(62,468)</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(49,501,221)</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(75,860)</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(54,888,058)</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(99,966)</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Borders>
              <w:left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22,432,029 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1 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238,293 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r>
              <w:rPr>
                <w:rFonts w:eastAsia="Times New Roman"/>
                <w:color w:val="000000"/>
                <w:sz w:val="14"/>
                <w:szCs w:val="14"/>
              </w:rPr>
              <w:t>238,294 </w:t>
            </w:r>
          </w:p>
        </w:tc>
      </w:tr>
      <w:tr w:rsidR="00FD7D3C">
        <w:trPr>
          <w:divId w:val="1310666845"/>
        </w:trPr>
        <w:tc>
          <w:tcPr>
            <w:tcW w:w="0" w:type="auto"/>
            <w:gridSpan w:val="3"/>
            <w:shd w:val="clear" w:color="auto" w:fill="FFFFFF"/>
            <w:tcMar>
              <w:top w:w="30" w:type="dxa"/>
              <w:left w:w="20" w:type="dxa"/>
              <w:bottom w:w="30" w:type="dxa"/>
              <w:right w:w="20" w:type="dxa"/>
            </w:tcMar>
            <w:hideMark/>
          </w:tcPr>
          <w:p w:rsidR="00000000" w:rsidRDefault="00FD7D3C">
            <w:pPr>
              <w:spacing w:after="100"/>
              <w:ind w:hanging="180"/>
              <w:divId w:val="575019402"/>
              <w:rPr>
                <w:rFonts w:eastAsia="Times New Roman"/>
              </w:rPr>
            </w:pPr>
            <w:r>
              <w:rPr>
                <w:rFonts w:eastAsia="Times New Roman"/>
                <w:color w:val="000000"/>
                <w:sz w:val="14"/>
                <w:szCs w:val="14"/>
              </w:rPr>
              <w:t>Vesting of founders’ common stock and restricted stock awards</w:t>
            </w: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Borders>
              <w:left w:val="single" w:sz="8" w:space="0" w:color="000000"/>
            </w:tcBorders>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163,544 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11 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r>
              <w:rPr>
                <w:rFonts w:eastAsia="Times New Roman"/>
                <w:color w:val="000000"/>
                <w:sz w:val="14"/>
                <w:szCs w:val="14"/>
              </w:rPr>
              <w:t>11 </w:t>
            </w:r>
          </w:p>
        </w:tc>
      </w:tr>
      <w:tr w:rsidR="00FD7D3C">
        <w:trPr>
          <w:divId w:val="1310666845"/>
        </w:trPr>
        <w:tc>
          <w:tcPr>
            <w:tcW w:w="0" w:type="auto"/>
            <w:gridSpan w:val="3"/>
            <w:shd w:val="clear" w:color="auto" w:fill="CCEEFF"/>
            <w:tcMar>
              <w:top w:w="30" w:type="dxa"/>
              <w:left w:w="20" w:type="dxa"/>
              <w:bottom w:w="30" w:type="dxa"/>
              <w:right w:w="20" w:type="dxa"/>
            </w:tcMar>
            <w:hideMark/>
          </w:tcPr>
          <w:p w:rsidR="00000000" w:rsidRDefault="00FD7D3C">
            <w:pPr>
              <w:spacing w:after="100"/>
              <w:ind w:hanging="180"/>
              <w:divId w:val="1157722085"/>
              <w:rPr>
                <w:rFonts w:eastAsia="Times New Roman"/>
              </w:rPr>
            </w:pPr>
            <w:r>
              <w:rPr>
                <w:rFonts w:eastAsia="Times New Roman"/>
                <w:color w:val="000000"/>
                <w:sz w:val="14"/>
                <w:szCs w:val="14"/>
              </w:rPr>
              <w:t>Option exercises</w:t>
            </w: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Borders>
              <w:left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136,198 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442 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r>
              <w:rPr>
                <w:rFonts w:eastAsia="Times New Roman"/>
                <w:color w:val="000000"/>
                <w:sz w:val="14"/>
                <w:szCs w:val="14"/>
              </w:rPr>
              <w:t>442 </w:t>
            </w:r>
          </w:p>
        </w:tc>
      </w:tr>
      <w:tr w:rsidR="00FD7D3C">
        <w:trPr>
          <w:divId w:val="1310666845"/>
        </w:trPr>
        <w:tc>
          <w:tcPr>
            <w:tcW w:w="0" w:type="auto"/>
            <w:gridSpan w:val="3"/>
            <w:shd w:val="clear" w:color="auto" w:fill="FFFFFF"/>
            <w:tcMar>
              <w:top w:w="30" w:type="dxa"/>
              <w:left w:w="20" w:type="dxa"/>
              <w:bottom w:w="30" w:type="dxa"/>
              <w:right w:w="20" w:type="dxa"/>
            </w:tcMar>
            <w:hideMark/>
          </w:tcPr>
          <w:p w:rsidR="00000000" w:rsidRDefault="00FD7D3C">
            <w:pPr>
              <w:spacing w:after="100"/>
              <w:ind w:hanging="180"/>
              <w:divId w:val="1014260272"/>
              <w:rPr>
                <w:rFonts w:eastAsia="Times New Roman"/>
              </w:rPr>
            </w:pPr>
            <w:r>
              <w:rPr>
                <w:rFonts w:eastAsia="Times New Roman"/>
                <w:color w:val="000000"/>
                <w:sz w:val="14"/>
                <w:szCs w:val="14"/>
              </w:rPr>
              <w:t>Stock-based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Borders>
              <w:left w:val="single" w:sz="8" w:space="0" w:color="000000"/>
            </w:tcBorders>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3,895 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r>
              <w:rPr>
                <w:rFonts w:eastAsia="Times New Roman"/>
                <w:color w:val="000000"/>
                <w:sz w:val="14"/>
                <w:szCs w:val="14"/>
              </w:rPr>
              <w:t>3,895 </w:t>
            </w:r>
          </w:p>
        </w:tc>
      </w:tr>
      <w:tr w:rsidR="00FD7D3C">
        <w:trPr>
          <w:divId w:val="1310666845"/>
        </w:trPr>
        <w:tc>
          <w:tcPr>
            <w:tcW w:w="0" w:type="auto"/>
            <w:gridSpan w:val="3"/>
            <w:shd w:val="clear" w:color="auto" w:fill="CCEEFF"/>
            <w:tcMar>
              <w:top w:w="30" w:type="dxa"/>
              <w:left w:w="20" w:type="dxa"/>
              <w:bottom w:w="30" w:type="dxa"/>
              <w:right w:w="20" w:type="dxa"/>
            </w:tcMar>
            <w:hideMark/>
          </w:tcPr>
          <w:p w:rsidR="00000000" w:rsidRDefault="00FD7D3C">
            <w:pPr>
              <w:spacing w:after="100"/>
              <w:ind w:hanging="180"/>
              <w:divId w:val="2024745964"/>
              <w:rPr>
                <w:rFonts w:eastAsia="Times New Roman"/>
              </w:rPr>
            </w:pPr>
            <w:r>
              <w:rPr>
                <w:rFonts w:eastAsia="Times New Roman"/>
                <w:color w:val="000000"/>
                <w:sz w:val="14"/>
                <w:szCs w:val="14"/>
              </w:rPr>
              <w:t>Net unrealized loss on short- term investments</w:t>
            </w: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Borders>
              <w:left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(31)</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r>
              <w:rPr>
                <w:rFonts w:eastAsia="Times New Roman"/>
                <w:color w:val="000000"/>
                <w:sz w:val="14"/>
                <w:szCs w:val="14"/>
              </w:rPr>
              <w:t>(31)</w:t>
            </w:r>
          </w:p>
        </w:tc>
      </w:tr>
      <w:tr w:rsidR="00FD7D3C">
        <w:trPr>
          <w:divId w:val="1310666845"/>
        </w:trPr>
        <w:tc>
          <w:tcPr>
            <w:tcW w:w="0" w:type="auto"/>
            <w:gridSpan w:val="3"/>
            <w:shd w:val="clear" w:color="auto" w:fill="FFFFFF"/>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14"/>
                <w:szCs w:val="14"/>
              </w:rPr>
              <w:t>Net loss</w:t>
            </w: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Borders>
              <w:left w:val="single" w:sz="8" w:space="0" w:color="000000"/>
            </w:tcBorders>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(41,533)</w:t>
            </w:r>
            <w:r>
              <w:rPr>
                <w:rFonts w:eastAsia="Times New Roman"/>
                <w:color w:val="000000"/>
                <w:sz w:val="14"/>
                <w:szCs w:val="14"/>
              </w:rPr>
              <w:t>(41,533)</w:t>
            </w:r>
          </w:p>
        </w:tc>
      </w:tr>
      <w:tr w:rsidR="00FD7D3C">
        <w:trPr>
          <w:divId w:val="1310666845"/>
        </w:trPr>
        <w:tc>
          <w:tcPr>
            <w:tcW w:w="0" w:type="auto"/>
            <w:gridSpan w:val="3"/>
            <w:shd w:val="clear" w:color="auto" w:fill="CCEEFF"/>
            <w:tcMar>
              <w:top w:w="30" w:type="dxa"/>
              <w:left w:w="20" w:type="dxa"/>
              <w:bottom w:w="30" w:type="dxa"/>
              <w:right w:w="20" w:type="dxa"/>
            </w:tcMar>
            <w:hideMark/>
          </w:tcPr>
          <w:p w:rsidR="00000000" w:rsidRDefault="00FD7D3C">
            <w:pPr>
              <w:spacing w:after="100"/>
              <w:rPr>
                <w:rFonts w:eastAsia="Times New Roman"/>
              </w:rPr>
            </w:pPr>
            <w:r>
              <w:rPr>
                <w:rFonts w:eastAsia="Times New Roman"/>
                <w:b/>
                <w:bCs/>
                <w:color w:val="000000"/>
                <w:sz w:val="14"/>
                <w:szCs w:val="14"/>
              </w:rPr>
              <w:t>Balance at December 31, 2020</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Borders>
              <w:top w:val="single" w:sz="8" w:space="0" w:color="000000"/>
              <w:left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35,552,795 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400,918 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(32)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14"/>
                <w:szCs w:val="14"/>
              </w:rPr>
              <w:t>$</w:t>
            </w:r>
            <w:r>
              <w:rPr>
                <w:rFonts w:eastAsia="Times New Roman"/>
                <w:color w:val="000000"/>
                <w:sz w:val="14"/>
                <w:szCs w:val="14"/>
              </w:rPr>
              <w:t>(117,828)$283,061 </w:t>
            </w:r>
          </w:p>
        </w:tc>
      </w:tr>
    </w:tbl>
    <w:p w:rsidR="00000000" w:rsidRDefault="00FD7D3C">
      <w:pPr>
        <w:jc w:val="center"/>
        <w:divId w:val="70977114"/>
        <w:rPr>
          <w:rFonts w:eastAsia="Times New Roman"/>
        </w:rPr>
      </w:pPr>
      <w:r>
        <w:rPr>
          <w:rFonts w:eastAsia="Times New Roman"/>
          <w:i/>
          <w:iCs/>
          <w:color w:val="000000"/>
          <w:sz w:val="20"/>
          <w:szCs w:val="20"/>
          <w:shd w:val="clear" w:color="auto" w:fill="FFFFFF"/>
        </w:rPr>
        <w:t>The accompanying notes are an integral part of these financial statements.</w:t>
      </w:r>
    </w:p>
    <w:p w:rsidR="00000000" w:rsidRDefault="00FD7D3C">
      <w:pPr>
        <w:jc w:val="center"/>
        <w:divId w:val="710299813"/>
        <w:rPr>
          <w:rFonts w:eastAsia="Times New Roman"/>
        </w:rPr>
      </w:pPr>
    </w:p>
    <w:p w:rsidR="00000000" w:rsidRDefault="00FD7D3C">
      <w:pPr>
        <w:jc w:val="center"/>
        <w:divId w:val="1733773527"/>
        <w:rPr>
          <w:rFonts w:eastAsia="Times New Roman"/>
        </w:rPr>
      </w:pPr>
      <w:r>
        <w:rPr>
          <w:rFonts w:eastAsia="Times New Roman"/>
          <w:color w:val="000000"/>
          <w:sz w:val="20"/>
          <w:szCs w:val="20"/>
        </w:rPr>
        <w:t>112</w:t>
      </w:r>
    </w:p>
    <w:p w:rsidR="00000000" w:rsidRDefault="00FD7D3C">
      <w:pPr>
        <w:rPr>
          <w:rFonts w:eastAsia="Times New Roman"/>
        </w:rPr>
      </w:pPr>
      <w:r>
        <w:rPr>
          <w:rFonts w:eastAsia="Times New Roman"/>
        </w:rPr>
        <w:pict>
          <v:rect id="_x0000_i1165" style="width:0;height:1.5pt" o:hralign="center" o:hrstd="t" o:hr="t" fillcolor="#a0a0a0" stroked="f"/>
        </w:pict>
      </w:r>
    </w:p>
    <w:p w:rsidR="00000000" w:rsidRDefault="00FD7D3C">
      <w:pPr>
        <w:divId w:val="315888630"/>
        <w:rPr>
          <w:rFonts w:eastAsia="Times New Roman"/>
        </w:rPr>
      </w:pPr>
      <w:hyperlink w:anchor="i988625df783e4cc0a27bd76df388da57_7" w:history="1">
        <w:r>
          <w:rPr>
            <w:rStyle w:val="a3"/>
            <w:rFonts w:eastAsia="Times New Roman"/>
            <w:sz w:val="20"/>
            <w:szCs w:val="20"/>
          </w:rPr>
          <w:t xml:space="preserve">Table </w:t>
        </w:r>
        <w:r>
          <w:rPr>
            <w:rStyle w:val="a3"/>
            <w:rFonts w:eastAsia="Times New Roman"/>
            <w:sz w:val="20"/>
            <w:szCs w:val="20"/>
          </w:rPr>
          <w:t>of Contents</w:t>
        </w:r>
      </w:hyperlink>
    </w:p>
    <w:p w:rsidR="00000000" w:rsidRDefault="00FD7D3C">
      <w:pPr>
        <w:jc w:val="center"/>
        <w:divId w:val="1377268341"/>
        <w:rPr>
          <w:rFonts w:eastAsia="Times New Roman"/>
        </w:rPr>
      </w:pPr>
    </w:p>
    <w:p w:rsidR="00000000" w:rsidRDefault="00FD7D3C">
      <w:pPr>
        <w:jc w:val="center"/>
        <w:divId w:val="613439705"/>
        <w:rPr>
          <w:rFonts w:eastAsia="Times New Roman"/>
        </w:rPr>
      </w:pPr>
      <w:r>
        <w:rPr>
          <w:rFonts w:eastAsia="Times New Roman"/>
          <w:b/>
          <w:bCs/>
          <w:color w:val="000000"/>
          <w:sz w:val="20"/>
          <w:szCs w:val="20"/>
        </w:rPr>
        <w:t>Pliant Therapeutics, Inc.</w:t>
      </w:r>
    </w:p>
    <w:p w:rsidR="00000000" w:rsidRDefault="00FD7D3C">
      <w:pPr>
        <w:jc w:val="center"/>
        <w:rPr>
          <w:rFonts w:eastAsia="Times New Roman"/>
        </w:rPr>
      </w:pPr>
      <w:r>
        <w:rPr>
          <w:rFonts w:eastAsia="Times New Roman"/>
          <w:b/>
          <w:bCs/>
          <w:color w:val="000000"/>
          <w:sz w:val="20"/>
          <w:szCs w:val="20"/>
        </w:rPr>
        <w:t>Statements of Redeemable Convertible Preferred Stock and Stockholders’ Equity (Deficit)</w:t>
      </w:r>
    </w:p>
    <w:p w:rsidR="00000000" w:rsidRDefault="00FD7D3C">
      <w:pPr>
        <w:jc w:val="center"/>
        <w:rPr>
          <w:rFonts w:eastAsia="Times New Roman"/>
        </w:rPr>
      </w:pPr>
      <w:r>
        <w:rPr>
          <w:rFonts w:eastAsia="Times New Roman"/>
          <w:i/>
          <w:iCs/>
          <w:color w:val="000000"/>
          <w:sz w:val="20"/>
          <w:szCs w:val="20"/>
        </w:rPr>
        <w:t>(In thousands, except number of shares and per share amounts)</w:t>
      </w:r>
    </w:p>
    <w:tbl>
      <w:tblPr>
        <w:tblW w:w="5000" w:type="pct"/>
        <w:tblCellMar>
          <w:top w:w="15" w:type="dxa"/>
          <w:left w:w="15" w:type="dxa"/>
          <w:bottom w:w="15" w:type="dxa"/>
          <w:right w:w="15" w:type="dxa"/>
        </w:tblCellMar>
        <w:tblLook w:val="04A0" w:firstRow="1" w:lastRow="0" w:firstColumn="1" w:lastColumn="0" w:noHBand="0" w:noVBand="1"/>
      </w:tblPr>
      <w:tblGrid>
        <w:gridCol w:w="73"/>
        <w:gridCol w:w="919"/>
        <w:gridCol w:w="38"/>
        <w:gridCol w:w="105"/>
        <w:gridCol w:w="580"/>
        <w:gridCol w:w="36"/>
        <w:gridCol w:w="36"/>
        <w:gridCol w:w="36"/>
        <w:gridCol w:w="36"/>
        <w:gridCol w:w="90"/>
        <w:gridCol w:w="420"/>
        <w:gridCol w:w="36"/>
        <w:gridCol w:w="36"/>
        <w:gridCol w:w="36"/>
        <w:gridCol w:w="36"/>
        <w:gridCol w:w="105"/>
        <w:gridCol w:w="580"/>
        <w:gridCol w:w="36"/>
        <w:gridCol w:w="36"/>
        <w:gridCol w:w="36"/>
        <w:gridCol w:w="36"/>
        <w:gridCol w:w="90"/>
        <w:gridCol w:w="420"/>
        <w:gridCol w:w="36"/>
        <w:gridCol w:w="36"/>
        <w:gridCol w:w="36"/>
        <w:gridCol w:w="36"/>
        <w:gridCol w:w="107"/>
        <w:gridCol w:w="578"/>
        <w:gridCol w:w="36"/>
        <w:gridCol w:w="36"/>
        <w:gridCol w:w="36"/>
        <w:gridCol w:w="36"/>
        <w:gridCol w:w="90"/>
        <w:gridCol w:w="420"/>
        <w:gridCol w:w="36"/>
        <w:gridCol w:w="36"/>
        <w:gridCol w:w="36"/>
        <w:gridCol w:w="36"/>
        <w:gridCol w:w="107"/>
        <w:gridCol w:w="508"/>
        <w:gridCol w:w="37"/>
        <w:gridCol w:w="37"/>
        <w:gridCol w:w="37"/>
        <w:gridCol w:w="36"/>
        <w:gridCol w:w="91"/>
        <w:gridCol w:w="431"/>
        <w:gridCol w:w="36"/>
        <w:gridCol w:w="36"/>
        <w:gridCol w:w="36"/>
        <w:gridCol w:w="36"/>
        <w:gridCol w:w="116"/>
        <w:gridCol w:w="551"/>
        <w:gridCol w:w="36"/>
        <w:gridCol w:w="36"/>
        <w:gridCol w:w="36"/>
        <w:gridCol w:w="36"/>
        <w:gridCol w:w="121"/>
        <w:gridCol w:w="841"/>
        <w:gridCol w:w="36"/>
        <w:gridCol w:w="36"/>
        <w:gridCol w:w="36"/>
        <w:gridCol w:w="1117"/>
      </w:tblGrid>
      <w:tr w:rsidR="00000000">
        <w:trPr>
          <w:divId w:val="322861216"/>
        </w:trPr>
        <w:tc>
          <w:tcPr>
            <w:tcW w:w="50" w:type="pct"/>
            <w:vAlign w:val="center"/>
            <w:hideMark/>
          </w:tcPr>
          <w:p w:rsidR="00000000" w:rsidRDefault="00FD7D3C">
            <w:pPr>
              <w:jc w:val="center"/>
              <w:rPr>
                <w:rFonts w:eastAsia="Times New Roman"/>
              </w:rPr>
            </w:pPr>
          </w:p>
        </w:tc>
        <w:tc>
          <w:tcPr>
            <w:tcW w:w="633"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278"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17"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272"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17"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278"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17"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278"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17"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272"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17"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278"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17"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239"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17"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239"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17"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239"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17"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350"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17"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r>
      <w:tr w:rsidR="00000000">
        <w:trPr>
          <w:divId w:val="322861216"/>
          <w:trHeight w:val="240"/>
        </w:trPr>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4"/>
                <w:szCs w:val="14"/>
              </w:rPr>
              <w:t>Redeemable Convertible Preferred Stock</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left w:val="single" w:sz="8" w:space="0" w:color="000000"/>
            </w:tcBorders>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4"/>
                <w:szCs w:val="14"/>
              </w:rPr>
              <w:t>Additional</w:t>
            </w:r>
            <w:r>
              <w:rPr>
                <w:rFonts w:eastAsia="Times New Roman"/>
                <w:b/>
                <w:bCs/>
                <w:color w:val="000000"/>
                <w:sz w:val="14"/>
                <w:szCs w:val="14"/>
              </w:rPr>
              <w:br/>
              <w:t>Paid-In</w:t>
            </w:r>
            <w:r>
              <w:rPr>
                <w:rFonts w:eastAsia="Times New Roman"/>
                <w:b/>
                <w:bCs/>
                <w:color w:val="000000"/>
                <w:sz w:val="14"/>
                <w:szCs w:val="14"/>
              </w:rPr>
              <w:br/>
              <w:t>Capital</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4"/>
                <w:szCs w:val="14"/>
              </w:rPr>
              <w:t>Accumulated</w:t>
            </w:r>
            <w:r>
              <w:rPr>
                <w:rFonts w:eastAsia="Times New Roman"/>
                <w:b/>
                <w:bCs/>
                <w:color w:val="000000"/>
                <w:sz w:val="14"/>
                <w:szCs w:val="14"/>
              </w:rPr>
              <w:br/>
              <w:t>Other</w:t>
            </w:r>
            <w:r>
              <w:rPr>
                <w:rFonts w:eastAsia="Times New Roman"/>
                <w:b/>
                <w:bCs/>
                <w:color w:val="000000"/>
                <w:sz w:val="14"/>
                <w:szCs w:val="14"/>
              </w:rPr>
              <w:br/>
              <w:t>Comprehensive</w:t>
            </w:r>
            <w:r>
              <w:rPr>
                <w:rFonts w:eastAsia="Times New Roman"/>
                <w:b/>
                <w:bCs/>
                <w:color w:val="000000"/>
                <w:sz w:val="14"/>
                <w:szCs w:val="14"/>
              </w:rPr>
              <w:br/>
              <w:t>Loss</w:t>
            </w:r>
          </w:p>
        </w:tc>
        <w:tc>
          <w:tcPr>
            <w:tcW w:w="0" w:type="auto"/>
            <w:gridSpan w:val="2"/>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4"/>
                <w:szCs w:val="14"/>
              </w:rPr>
              <w:t>Accumulated</w:t>
            </w:r>
            <w:r>
              <w:rPr>
                <w:rFonts w:eastAsia="Times New Roman"/>
                <w:b/>
                <w:bCs/>
                <w:color w:val="000000"/>
                <w:sz w:val="14"/>
                <w:szCs w:val="14"/>
              </w:rPr>
              <w:br/>
              <w:t>Deficit</w:t>
            </w:r>
            <w:r>
              <w:rPr>
                <w:rFonts w:eastAsia="Times New Roman"/>
                <w:b/>
                <w:bCs/>
                <w:color w:val="000000"/>
                <w:sz w:val="14"/>
                <w:szCs w:val="14"/>
              </w:rPr>
              <w:t xml:space="preserve">Total </w:t>
            </w:r>
            <w:r>
              <w:rPr>
                <w:rFonts w:eastAsia="Times New Roman"/>
                <w:b/>
                <w:bCs/>
                <w:color w:val="000000"/>
                <w:sz w:val="14"/>
                <w:szCs w:val="14"/>
              </w:rPr>
              <w:br/>
              <w:t>Stockholders'</w:t>
            </w:r>
            <w:r>
              <w:rPr>
                <w:rFonts w:eastAsia="Times New Roman"/>
                <w:b/>
                <w:bCs/>
                <w:color w:val="000000"/>
                <w:sz w:val="14"/>
                <w:szCs w:val="14"/>
              </w:rPr>
              <w:br/>
              <w:t>Equity</w:t>
            </w:r>
            <w:r>
              <w:rPr>
                <w:rFonts w:eastAsia="Times New Roman"/>
                <w:b/>
                <w:bCs/>
                <w:color w:val="000000"/>
                <w:sz w:val="14"/>
                <w:szCs w:val="14"/>
              </w:rPr>
              <w:br/>
              <w:t>(Deficit)</w:t>
            </w:r>
          </w:p>
        </w:tc>
      </w:tr>
      <w:tr w:rsidR="00000000">
        <w:trPr>
          <w:divId w:val="322861216"/>
          <w:trHeight w:val="240"/>
        </w:trPr>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4"/>
                <w:szCs w:val="14"/>
              </w:rPr>
              <w:t>Series A</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4"/>
                <w:szCs w:val="14"/>
              </w:rPr>
              <w:t>Series B</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4"/>
                <w:szCs w:val="14"/>
              </w:rPr>
              <w:t>Series C</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9"/>
            <w:tcBorders>
              <w:left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4"/>
                <w:szCs w:val="14"/>
              </w:rPr>
              <w:t>Common Stock</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vMerge/>
            <w:vAlign w:val="center"/>
            <w:hideMark/>
          </w:tcPr>
          <w:p w:rsidR="00000000" w:rsidRDefault="00FD7D3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vMerge/>
            <w:vAlign w:val="center"/>
            <w:hideMark/>
          </w:tcPr>
          <w:p w:rsidR="00000000" w:rsidRDefault="00FD7D3C">
            <w:pPr>
              <w:spacing w:after="100"/>
              <w:rPr>
                <w:rFonts w:eastAsia="Times New Roman"/>
              </w:rPr>
            </w:pPr>
          </w:p>
        </w:tc>
        <w:tc>
          <w:tcPr>
            <w:tcW w:w="0" w:type="auto"/>
            <w:gridSpan w:val="2"/>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000000">
        <w:trPr>
          <w:divId w:val="322861216"/>
          <w:trHeight w:val="240"/>
        </w:trPr>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4"/>
                <w:szCs w:val="14"/>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4"/>
                <w:szCs w:val="14"/>
              </w:rPr>
              <w:t>Amount</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4"/>
                <w:szCs w:val="14"/>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4"/>
                <w:szCs w:val="14"/>
              </w:rPr>
              <w:t>Amount</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4"/>
                <w:szCs w:val="14"/>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4"/>
                <w:szCs w:val="14"/>
              </w:rPr>
              <w:t>Amount</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4"/>
                <w:szCs w:val="14"/>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4"/>
                <w:szCs w:val="14"/>
              </w:rPr>
              <w:t>Amount</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vMerge/>
            <w:vAlign w:val="center"/>
            <w:hideMark/>
          </w:tcPr>
          <w:p w:rsidR="00000000" w:rsidRDefault="00FD7D3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vMerge/>
            <w:vAlign w:val="center"/>
            <w:hideMark/>
          </w:tcPr>
          <w:p w:rsidR="00000000" w:rsidRDefault="00FD7D3C">
            <w:pPr>
              <w:spacing w:after="100"/>
              <w:rPr>
                <w:rFonts w:eastAsia="Times New Roman"/>
              </w:rPr>
            </w:pPr>
          </w:p>
        </w:tc>
        <w:tc>
          <w:tcPr>
            <w:tcW w:w="0" w:type="auto"/>
            <w:gridSpan w:val="2"/>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FD7D3C">
        <w:trPr>
          <w:divId w:val="322861216"/>
        </w:trPr>
        <w:tc>
          <w:tcPr>
            <w:tcW w:w="0" w:type="auto"/>
            <w:gridSpan w:val="3"/>
            <w:shd w:val="clear" w:color="auto" w:fill="CCEEFF"/>
            <w:tcMar>
              <w:top w:w="30" w:type="dxa"/>
              <w:left w:w="20" w:type="dxa"/>
              <w:bottom w:w="30" w:type="dxa"/>
              <w:right w:w="20" w:type="dxa"/>
            </w:tcMar>
            <w:hideMark/>
          </w:tcPr>
          <w:p w:rsidR="00000000" w:rsidRDefault="00FD7D3C">
            <w:pPr>
              <w:spacing w:after="100"/>
              <w:rPr>
                <w:rFonts w:eastAsia="Times New Roman"/>
              </w:rPr>
            </w:pPr>
            <w:r>
              <w:rPr>
                <w:rFonts w:eastAsia="Times New Roman"/>
                <w:b/>
                <w:bCs/>
                <w:color w:val="000000"/>
                <w:sz w:val="14"/>
                <w:szCs w:val="14"/>
              </w:rPr>
              <w:t>Balance at December 31, 2018</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56,000,000 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61,516 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49,501,221 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70,587 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Borders>
              <w:top w:val="single" w:sz="8" w:space="0" w:color="000000"/>
              <w:left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1,363,000 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14"/>
                <w:szCs w:val="14"/>
              </w:rPr>
              <w:t>$</w:t>
            </w:r>
            <w:r>
              <w:rPr>
                <w:rFonts w:eastAsia="Times New Roman"/>
                <w:color w:val="000000"/>
                <w:sz w:val="14"/>
                <w:szCs w:val="14"/>
              </w:rPr>
              <w:t>(71,470)$(71,469)</w:t>
            </w:r>
          </w:p>
        </w:tc>
      </w:tr>
      <w:tr w:rsidR="00FD7D3C">
        <w:trPr>
          <w:divId w:val="322861216"/>
        </w:trPr>
        <w:tc>
          <w:tcPr>
            <w:tcW w:w="0" w:type="auto"/>
            <w:gridSpan w:val="3"/>
            <w:shd w:val="clear" w:color="auto" w:fill="FFFFFF"/>
            <w:tcMar>
              <w:top w:w="30" w:type="dxa"/>
              <w:left w:w="200" w:type="dxa"/>
              <w:bottom w:w="30" w:type="dxa"/>
              <w:right w:w="20" w:type="dxa"/>
            </w:tcMar>
            <w:hideMark/>
          </w:tcPr>
          <w:p w:rsidR="00000000" w:rsidRDefault="00FD7D3C">
            <w:pPr>
              <w:spacing w:after="100"/>
              <w:rPr>
                <w:rFonts w:eastAsia="Times New Roman"/>
              </w:rPr>
            </w:pPr>
            <w:r>
              <w:rPr>
                <w:rFonts w:eastAsia="Times New Roman"/>
                <w:color w:val="000000"/>
                <w:sz w:val="14"/>
                <w:szCs w:val="14"/>
              </w:rPr>
              <w:t>Issuance of Series C redeemable preferred stock, net of issuance costs</w:t>
            </w: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26,360,745 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47,947 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Borders>
              <w:left w:val="single" w:sz="8" w:space="0" w:color="000000"/>
            </w:tcBorders>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r>
              <w:rPr>
                <w:rFonts w:eastAsia="Times New Roman"/>
                <w:color w:val="000000"/>
                <w:sz w:val="14"/>
                <w:szCs w:val="14"/>
              </w:rPr>
              <w:t>— </w:t>
            </w:r>
          </w:p>
        </w:tc>
      </w:tr>
      <w:tr w:rsidR="00FD7D3C">
        <w:trPr>
          <w:divId w:val="322861216"/>
        </w:trPr>
        <w:tc>
          <w:tcPr>
            <w:tcW w:w="0" w:type="auto"/>
            <w:gridSpan w:val="3"/>
            <w:shd w:val="clear" w:color="auto" w:fill="CCEEFF"/>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14"/>
                <w:szCs w:val="14"/>
              </w:rPr>
              <w:t>Vesting of founders’ common stock and restricted stock awards</w:t>
            </w: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Borders>
              <w:left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440,964 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28 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r>
              <w:rPr>
                <w:rFonts w:eastAsia="Times New Roman"/>
                <w:color w:val="000000"/>
                <w:sz w:val="14"/>
                <w:szCs w:val="14"/>
              </w:rPr>
              <w:t>28 </w:t>
            </w:r>
          </w:p>
        </w:tc>
      </w:tr>
      <w:tr w:rsidR="00FD7D3C">
        <w:trPr>
          <w:divId w:val="322861216"/>
        </w:trPr>
        <w:tc>
          <w:tcPr>
            <w:tcW w:w="0" w:type="auto"/>
            <w:gridSpan w:val="3"/>
            <w:shd w:val="clear" w:color="auto" w:fill="FFFFFF"/>
            <w:tcMar>
              <w:top w:w="30" w:type="dxa"/>
              <w:left w:w="200" w:type="dxa"/>
              <w:bottom w:w="30" w:type="dxa"/>
              <w:right w:w="20" w:type="dxa"/>
            </w:tcMar>
            <w:hideMark/>
          </w:tcPr>
          <w:p w:rsidR="00000000" w:rsidRDefault="00FD7D3C">
            <w:pPr>
              <w:spacing w:after="100"/>
              <w:rPr>
                <w:rFonts w:eastAsia="Times New Roman"/>
              </w:rPr>
            </w:pPr>
            <w:r>
              <w:rPr>
                <w:rFonts w:eastAsia="Times New Roman"/>
                <w:color w:val="000000"/>
                <w:sz w:val="14"/>
                <w:szCs w:val="14"/>
              </w:rPr>
              <w:t>Option exercises</w:t>
            </w: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Borders>
              <w:left w:val="single" w:sz="8" w:space="0" w:color="000000"/>
            </w:tcBorders>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42,060 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174 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r>
              <w:rPr>
                <w:rFonts w:eastAsia="Times New Roman"/>
                <w:color w:val="000000"/>
                <w:sz w:val="14"/>
                <w:szCs w:val="14"/>
              </w:rPr>
              <w:t>174 </w:t>
            </w:r>
          </w:p>
        </w:tc>
      </w:tr>
      <w:tr w:rsidR="00FD7D3C">
        <w:trPr>
          <w:divId w:val="322861216"/>
        </w:trPr>
        <w:tc>
          <w:tcPr>
            <w:tcW w:w="0" w:type="auto"/>
            <w:gridSpan w:val="3"/>
            <w:shd w:val="clear" w:color="auto" w:fill="CCEEFF"/>
            <w:tcMar>
              <w:top w:w="30" w:type="dxa"/>
              <w:left w:w="200" w:type="dxa"/>
              <w:bottom w:w="30" w:type="dxa"/>
              <w:right w:w="20" w:type="dxa"/>
            </w:tcMar>
            <w:hideMark/>
          </w:tcPr>
          <w:p w:rsidR="00000000" w:rsidRDefault="00FD7D3C">
            <w:pPr>
              <w:spacing w:after="100"/>
              <w:rPr>
                <w:rFonts w:eastAsia="Times New Roman"/>
              </w:rPr>
            </w:pPr>
            <w:r>
              <w:rPr>
                <w:rFonts w:eastAsia="Times New Roman"/>
                <w:color w:val="000000"/>
                <w:sz w:val="14"/>
                <w:szCs w:val="14"/>
              </w:rPr>
              <w:t>Accretion to redemption value and cumulative dividends on redeemable convertible stock</w:t>
            </w: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952 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5,273 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Borders>
              <w:left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(2,031)</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(4,194)</w:t>
            </w:r>
            <w:r>
              <w:rPr>
                <w:rFonts w:eastAsia="Times New Roman"/>
                <w:color w:val="000000"/>
                <w:sz w:val="14"/>
                <w:szCs w:val="14"/>
              </w:rPr>
              <w:t>(6,225)</w:t>
            </w:r>
          </w:p>
        </w:tc>
      </w:tr>
      <w:tr w:rsidR="00FD7D3C">
        <w:trPr>
          <w:divId w:val="322861216"/>
        </w:trPr>
        <w:tc>
          <w:tcPr>
            <w:tcW w:w="0" w:type="auto"/>
            <w:gridSpan w:val="3"/>
            <w:shd w:val="clear" w:color="auto" w:fill="FFFFFF"/>
            <w:tcMar>
              <w:top w:w="30" w:type="dxa"/>
              <w:left w:w="200" w:type="dxa"/>
              <w:bottom w:w="30" w:type="dxa"/>
              <w:right w:w="20" w:type="dxa"/>
            </w:tcMar>
            <w:hideMark/>
          </w:tcPr>
          <w:p w:rsidR="00000000" w:rsidRDefault="00FD7D3C">
            <w:pPr>
              <w:spacing w:after="100"/>
              <w:rPr>
                <w:rFonts w:eastAsia="Times New Roman"/>
              </w:rPr>
            </w:pPr>
            <w:r>
              <w:rPr>
                <w:rFonts w:eastAsia="Times New Roman"/>
                <w:color w:val="000000"/>
                <w:sz w:val="14"/>
                <w:szCs w:val="14"/>
              </w:rPr>
              <w:t>Stock-based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Borders>
              <w:left w:val="single" w:sz="8" w:space="0" w:color="000000"/>
            </w:tcBorders>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1,829 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r>
              <w:rPr>
                <w:rFonts w:eastAsia="Times New Roman"/>
                <w:color w:val="000000"/>
                <w:sz w:val="14"/>
                <w:szCs w:val="14"/>
              </w:rPr>
              <w:t>1,829 </w:t>
            </w:r>
          </w:p>
        </w:tc>
      </w:tr>
      <w:tr w:rsidR="00FD7D3C">
        <w:trPr>
          <w:divId w:val="322861216"/>
        </w:trPr>
        <w:tc>
          <w:tcPr>
            <w:tcW w:w="0" w:type="auto"/>
            <w:gridSpan w:val="3"/>
            <w:shd w:val="clear" w:color="auto" w:fill="CCEEFF"/>
            <w:tcMar>
              <w:top w:w="30" w:type="dxa"/>
              <w:left w:w="200" w:type="dxa"/>
              <w:bottom w:w="30" w:type="dxa"/>
              <w:right w:w="20" w:type="dxa"/>
            </w:tcMar>
            <w:hideMark/>
          </w:tcPr>
          <w:p w:rsidR="00000000" w:rsidRDefault="00FD7D3C">
            <w:pPr>
              <w:spacing w:after="100"/>
              <w:rPr>
                <w:rFonts w:eastAsia="Times New Roman"/>
              </w:rPr>
            </w:pPr>
            <w:r>
              <w:rPr>
                <w:rFonts w:eastAsia="Times New Roman"/>
                <w:color w:val="000000"/>
                <w:sz w:val="14"/>
                <w:szCs w:val="14"/>
              </w:rPr>
              <w:t>Net unrealized loss on short-term investments</w:t>
            </w: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Borders>
              <w:left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(1)</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r>
              <w:rPr>
                <w:rFonts w:eastAsia="Times New Roman"/>
                <w:color w:val="000000"/>
                <w:sz w:val="14"/>
                <w:szCs w:val="14"/>
              </w:rPr>
              <w:t>(1)</w:t>
            </w:r>
          </w:p>
        </w:tc>
      </w:tr>
      <w:tr w:rsidR="00FD7D3C">
        <w:trPr>
          <w:divId w:val="322861216"/>
        </w:trPr>
        <w:tc>
          <w:tcPr>
            <w:tcW w:w="0" w:type="auto"/>
            <w:gridSpan w:val="3"/>
            <w:shd w:val="clear" w:color="auto" w:fill="FFFFFF"/>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14"/>
                <w:szCs w:val="14"/>
              </w:rPr>
              <w:t>Net loss</w:t>
            </w: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Borders>
              <w:left w:val="single" w:sz="8" w:space="0" w:color="000000"/>
            </w:tcBorders>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2"/>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(631)</w:t>
            </w:r>
            <w:r>
              <w:rPr>
                <w:rFonts w:eastAsia="Times New Roman"/>
                <w:color w:val="000000"/>
                <w:sz w:val="14"/>
                <w:szCs w:val="14"/>
              </w:rPr>
              <w:t>(631)</w:t>
            </w:r>
          </w:p>
        </w:tc>
      </w:tr>
      <w:tr w:rsidR="00FD7D3C">
        <w:trPr>
          <w:divId w:val="322861216"/>
        </w:trPr>
        <w:tc>
          <w:tcPr>
            <w:tcW w:w="0" w:type="auto"/>
            <w:gridSpan w:val="3"/>
            <w:shd w:val="clear" w:color="auto" w:fill="CCEEFF"/>
            <w:tcMar>
              <w:top w:w="30" w:type="dxa"/>
              <w:left w:w="20" w:type="dxa"/>
              <w:bottom w:w="30" w:type="dxa"/>
              <w:right w:w="20" w:type="dxa"/>
            </w:tcMar>
            <w:hideMark/>
          </w:tcPr>
          <w:p w:rsidR="00000000" w:rsidRDefault="00FD7D3C">
            <w:pPr>
              <w:spacing w:after="100"/>
              <w:rPr>
                <w:rFonts w:eastAsia="Times New Roman"/>
              </w:rPr>
            </w:pPr>
            <w:r>
              <w:rPr>
                <w:rFonts w:eastAsia="Times New Roman"/>
                <w:b/>
                <w:bCs/>
                <w:color w:val="000000"/>
                <w:sz w:val="14"/>
                <w:szCs w:val="14"/>
              </w:rPr>
              <w:t>Balance at December 31, 2019</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56,000,000 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62,468 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49,501,221 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75,860 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26,360,745 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47,947 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Borders>
              <w:top w:val="single" w:sz="8" w:space="0" w:color="000000"/>
              <w:left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1,846,024 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14"/>
                <w:szCs w:val="14"/>
              </w:rPr>
              <w:t>(1)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2"/>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14"/>
                <w:szCs w:val="14"/>
              </w:rPr>
              <w:t>$</w:t>
            </w:r>
            <w:r>
              <w:rPr>
                <w:rFonts w:eastAsia="Times New Roman"/>
                <w:color w:val="000000"/>
                <w:sz w:val="14"/>
                <w:szCs w:val="14"/>
              </w:rPr>
              <w:t>(76,295)$(76,295)</w:t>
            </w:r>
          </w:p>
        </w:tc>
      </w:tr>
    </w:tbl>
    <w:p w:rsidR="00000000" w:rsidRDefault="00FD7D3C">
      <w:pPr>
        <w:jc w:val="center"/>
        <w:divId w:val="1353069893"/>
        <w:rPr>
          <w:rFonts w:eastAsia="Times New Roman"/>
        </w:rPr>
      </w:pPr>
      <w:r>
        <w:rPr>
          <w:rFonts w:eastAsia="Times New Roman"/>
          <w:i/>
          <w:iCs/>
          <w:color w:val="000000"/>
          <w:sz w:val="20"/>
          <w:szCs w:val="20"/>
          <w:shd w:val="clear" w:color="auto" w:fill="FFFFFF"/>
        </w:rPr>
        <w:t>The accompanying notes are an integral part of these financial statements.</w:t>
      </w:r>
    </w:p>
    <w:p w:rsidR="00000000" w:rsidRDefault="00FD7D3C">
      <w:pPr>
        <w:jc w:val="center"/>
        <w:divId w:val="995261607"/>
        <w:rPr>
          <w:rFonts w:eastAsia="Times New Roman"/>
        </w:rPr>
      </w:pPr>
      <w:r>
        <w:rPr>
          <w:rFonts w:eastAsia="Times New Roman"/>
          <w:color w:val="000000"/>
          <w:sz w:val="20"/>
          <w:szCs w:val="20"/>
        </w:rPr>
        <w:t>113</w:t>
      </w:r>
    </w:p>
    <w:p w:rsidR="00000000" w:rsidRDefault="00FD7D3C">
      <w:pPr>
        <w:rPr>
          <w:rFonts w:eastAsia="Times New Roman"/>
        </w:rPr>
      </w:pPr>
      <w:r>
        <w:rPr>
          <w:rFonts w:eastAsia="Times New Roman"/>
        </w:rPr>
        <w:pict>
          <v:rect id="_x0000_i1166" style="width:0;height:1.5pt" o:hralign="center" o:hrstd="t" o:hr="t" fillcolor="#a0a0a0" stroked="f"/>
        </w:pict>
      </w:r>
    </w:p>
    <w:p w:rsidR="00000000" w:rsidRDefault="00FD7D3C">
      <w:pPr>
        <w:divId w:val="553929110"/>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jc w:val="center"/>
        <w:divId w:val="416246772"/>
        <w:rPr>
          <w:rFonts w:eastAsia="Times New Roman"/>
        </w:rPr>
      </w:pPr>
      <w:r>
        <w:rPr>
          <w:rFonts w:eastAsia="Times New Roman"/>
          <w:b/>
          <w:bCs/>
          <w:color w:val="000000"/>
          <w:sz w:val="20"/>
          <w:szCs w:val="20"/>
        </w:rPr>
        <w:t>Pliant Therapeutics, Inc.</w:t>
      </w:r>
    </w:p>
    <w:p w:rsidR="00000000" w:rsidRDefault="00FD7D3C">
      <w:pPr>
        <w:jc w:val="center"/>
        <w:rPr>
          <w:rFonts w:eastAsia="Times New Roman"/>
        </w:rPr>
      </w:pPr>
      <w:r>
        <w:rPr>
          <w:rFonts w:eastAsia="Times New Roman"/>
          <w:b/>
          <w:bCs/>
          <w:color w:val="000000"/>
          <w:sz w:val="20"/>
          <w:szCs w:val="20"/>
        </w:rPr>
        <w:t>Statements of Cash Flows</w:t>
      </w:r>
    </w:p>
    <w:p w:rsidR="00000000" w:rsidRDefault="00FD7D3C">
      <w:pPr>
        <w:jc w:val="center"/>
        <w:rPr>
          <w:rFonts w:eastAsia="Times New Roman"/>
        </w:rPr>
      </w:pPr>
      <w:r>
        <w:rPr>
          <w:rFonts w:eastAsia="Times New Roman"/>
          <w:i/>
          <w:iCs/>
          <w:color w:val="000000"/>
          <w:sz w:val="20"/>
          <w:szCs w:val="20"/>
        </w:rPr>
        <w:t>(In thousands)</w:t>
      </w:r>
    </w:p>
    <w:p w:rsidR="00000000" w:rsidRDefault="00FD7D3C">
      <w:pPr>
        <w:jc w:val="center"/>
        <w:divId w:val="433717761"/>
        <w:rPr>
          <w:rFonts w:eastAsia="Times New Roman"/>
        </w:rPr>
      </w:pPr>
      <w:r>
        <w:rPr>
          <w:rFonts w:eastAsia="Times New Roman"/>
          <w:color w:val="000000"/>
          <w:sz w:val="20"/>
          <w:szCs w:val="20"/>
        </w:rPr>
        <w:t>114</w:t>
      </w:r>
    </w:p>
    <w:p w:rsidR="00000000" w:rsidRDefault="00FD7D3C">
      <w:pPr>
        <w:rPr>
          <w:rFonts w:eastAsia="Times New Roman"/>
        </w:rPr>
      </w:pPr>
      <w:r>
        <w:rPr>
          <w:rFonts w:eastAsia="Times New Roman"/>
        </w:rPr>
        <w:pict>
          <v:rect id="_x0000_i1167" style="width:0;height:1.5pt" o:hralign="center" o:hrstd="t" o:hr="t" fillcolor="#a0a0a0" stroked="f"/>
        </w:pict>
      </w:r>
    </w:p>
    <w:p w:rsidR="00000000" w:rsidRDefault="00FD7D3C">
      <w:pPr>
        <w:divId w:val="1754664494"/>
        <w:rPr>
          <w:rFonts w:eastAsia="Times New Roman"/>
        </w:rPr>
      </w:pPr>
      <w:hyperlink w:anchor="i988625df783e4cc0a27bd76df388da57_7" w:history="1">
        <w:r>
          <w:rPr>
            <w:rStyle w:val="a3"/>
            <w:rFonts w:eastAsia="Times New Roman"/>
            <w:sz w:val="20"/>
            <w:szCs w:val="20"/>
          </w:rPr>
          <w:t>Table of Contents</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4900"/>
        <w:gridCol w:w="40"/>
        <w:gridCol w:w="120"/>
        <w:gridCol w:w="896"/>
        <w:gridCol w:w="36"/>
        <w:gridCol w:w="36"/>
        <w:gridCol w:w="36"/>
        <w:gridCol w:w="36"/>
        <w:gridCol w:w="120"/>
        <w:gridCol w:w="849"/>
        <w:gridCol w:w="36"/>
        <w:gridCol w:w="36"/>
        <w:gridCol w:w="36"/>
        <w:gridCol w:w="36"/>
        <w:gridCol w:w="120"/>
        <w:gridCol w:w="896"/>
        <w:gridCol w:w="36"/>
      </w:tblGrid>
      <w:tr w:rsidR="00000000">
        <w:trPr>
          <w:divId w:val="326978669"/>
          <w:jc w:val="center"/>
        </w:trPr>
        <w:tc>
          <w:tcPr>
            <w:tcW w:w="50" w:type="pct"/>
            <w:vAlign w:val="center"/>
            <w:hideMark/>
          </w:tcPr>
          <w:p w:rsidR="00000000" w:rsidRDefault="00FD7D3C">
            <w:pPr>
              <w:rPr>
                <w:rFonts w:eastAsia="Times New Roman"/>
              </w:rPr>
            </w:pPr>
          </w:p>
        </w:tc>
        <w:tc>
          <w:tcPr>
            <w:tcW w:w="2990"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573"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27"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573"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20"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573"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r>
      <w:tr w:rsidR="00000000">
        <w:trPr>
          <w:divId w:val="326978669"/>
          <w:jc w:val="center"/>
        </w:trPr>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Year Ended December 31,</w:t>
            </w:r>
          </w:p>
        </w:tc>
      </w:tr>
      <w:tr w:rsidR="00000000">
        <w:trPr>
          <w:divId w:val="326978669"/>
          <w:jc w:val="center"/>
        </w:trPr>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2019</w:t>
            </w:r>
          </w:p>
        </w:tc>
      </w:tr>
      <w:tr w:rsidR="00000000">
        <w:trPr>
          <w:divId w:val="326978669"/>
          <w:jc w:val="center"/>
        </w:trPr>
        <w:tc>
          <w:tcPr>
            <w:tcW w:w="0" w:type="auto"/>
            <w:gridSpan w:val="3"/>
            <w:shd w:val="clear" w:color="auto" w:fill="CCEEFF"/>
            <w:tcMar>
              <w:top w:w="30" w:type="dxa"/>
              <w:left w:w="20" w:type="dxa"/>
              <w:bottom w:w="30" w:type="dxa"/>
              <w:right w:w="20" w:type="dxa"/>
            </w:tcMar>
            <w:hideMark/>
          </w:tcPr>
          <w:p w:rsidR="00000000" w:rsidRDefault="00FD7D3C">
            <w:pPr>
              <w:spacing w:after="100"/>
              <w:rPr>
                <w:rFonts w:eastAsia="Times New Roman"/>
              </w:rPr>
            </w:pPr>
            <w:r>
              <w:rPr>
                <w:rFonts w:eastAsia="Times New Roman"/>
                <w:b/>
                <w:bCs/>
                <w:color w:val="000000"/>
                <w:sz w:val="20"/>
                <w:szCs w:val="20"/>
              </w:rPr>
              <w:t>Cash flows from operating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000000">
        <w:trPr>
          <w:divId w:val="326978669"/>
          <w:jc w:val="center"/>
        </w:trPr>
        <w:tc>
          <w:tcPr>
            <w:tcW w:w="0" w:type="auto"/>
            <w:gridSpan w:val="3"/>
            <w:shd w:val="clear" w:color="auto" w:fill="FFFFFF"/>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Net loss</w:t>
            </w:r>
          </w:p>
        </w:tc>
        <w:tc>
          <w:tcPr>
            <w:tcW w:w="0" w:type="auto"/>
            <w:shd w:val="clear" w:color="auto" w:fill="FFFF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(97,263)</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(41,533)</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(631)</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326978669"/>
          <w:jc w:val="center"/>
        </w:trPr>
        <w:tc>
          <w:tcPr>
            <w:tcW w:w="0" w:type="auto"/>
            <w:gridSpan w:val="3"/>
            <w:shd w:val="clear" w:color="auto" w:fill="CCEEFF"/>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Adjustments to reconcile net loss to net cash used in operating activities:</w:t>
            </w: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000000">
        <w:trPr>
          <w:divId w:val="326978669"/>
          <w:jc w:val="center"/>
        </w:trPr>
        <w:tc>
          <w:tcPr>
            <w:tcW w:w="0" w:type="auto"/>
            <w:gridSpan w:val="3"/>
            <w:shd w:val="clear" w:color="auto" w:fill="FFFFFF"/>
            <w:tcMar>
              <w:top w:w="30" w:type="dxa"/>
              <w:left w:w="245" w:type="dxa"/>
              <w:bottom w:w="30" w:type="dxa"/>
              <w:right w:w="20" w:type="dxa"/>
            </w:tcMar>
            <w:hideMark/>
          </w:tcPr>
          <w:p w:rsidR="00000000" w:rsidRDefault="00FD7D3C">
            <w:pPr>
              <w:spacing w:after="100"/>
              <w:rPr>
                <w:rFonts w:eastAsia="Times New Roman"/>
              </w:rPr>
            </w:pPr>
            <w:r>
              <w:rPr>
                <w:rFonts w:eastAsia="Times New Roman"/>
                <w:color w:val="000000"/>
                <w:sz w:val="20"/>
                <w:szCs w:val="20"/>
              </w:rPr>
              <w:t>Depreciation expense</w:t>
            </w: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1,535 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1,310 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1,113 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326978669"/>
          <w:jc w:val="center"/>
        </w:trPr>
        <w:tc>
          <w:tcPr>
            <w:tcW w:w="0" w:type="auto"/>
            <w:gridSpan w:val="3"/>
            <w:shd w:val="clear" w:color="auto" w:fill="CCEEFF"/>
            <w:tcMar>
              <w:top w:w="30" w:type="dxa"/>
              <w:left w:w="245" w:type="dxa"/>
              <w:bottom w:w="30" w:type="dxa"/>
              <w:right w:w="20" w:type="dxa"/>
            </w:tcMar>
            <w:hideMark/>
          </w:tcPr>
          <w:p w:rsidR="00000000" w:rsidRDefault="00FD7D3C">
            <w:pPr>
              <w:spacing w:after="100"/>
              <w:rPr>
                <w:rFonts w:eastAsia="Times New Roman"/>
              </w:rPr>
            </w:pPr>
            <w:r>
              <w:rPr>
                <w:rFonts w:eastAsia="Times New Roman"/>
                <w:color w:val="000000"/>
                <w:sz w:val="20"/>
                <w:szCs w:val="20"/>
              </w:rPr>
              <w:t>Stock-based compensation expense</w:t>
            </w: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10,437 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3,895 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1,829 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326978669"/>
          <w:jc w:val="center"/>
        </w:trPr>
        <w:tc>
          <w:tcPr>
            <w:tcW w:w="0" w:type="auto"/>
            <w:gridSpan w:val="3"/>
            <w:shd w:val="clear" w:color="auto" w:fill="FFFFFF"/>
            <w:tcMar>
              <w:top w:w="30" w:type="dxa"/>
              <w:left w:w="245" w:type="dxa"/>
              <w:bottom w:w="30" w:type="dxa"/>
              <w:right w:w="20" w:type="dxa"/>
            </w:tcMar>
            <w:hideMark/>
          </w:tcPr>
          <w:p w:rsidR="00000000" w:rsidRDefault="00FD7D3C">
            <w:pPr>
              <w:spacing w:after="100"/>
              <w:rPr>
                <w:rFonts w:eastAsia="Times New Roman"/>
              </w:rPr>
            </w:pPr>
            <w:r>
              <w:rPr>
                <w:rFonts w:eastAsia="Times New Roman"/>
                <w:color w:val="000000"/>
                <w:sz w:val="20"/>
                <w:szCs w:val="20"/>
              </w:rPr>
              <w:t>Noncash lease expense</w:t>
            </w: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1,669 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326978669"/>
          <w:jc w:val="center"/>
        </w:trPr>
        <w:tc>
          <w:tcPr>
            <w:tcW w:w="0" w:type="auto"/>
            <w:gridSpan w:val="3"/>
            <w:shd w:val="clear" w:color="auto" w:fill="CCEEFF"/>
            <w:tcMar>
              <w:top w:w="30" w:type="dxa"/>
              <w:left w:w="245" w:type="dxa"/>
              <w:bottom w:w="30" w:type="dxa"/>
              <w:right w:w="20" w:type="dxa"/>
            </w:tcMar>
            <w:hideMark/>
          </w:tcPr>
          <w:p w:rsidR="00000000" w:rsidRDefault="00FD7D3C">
            <w:pPr>
              <w:spacing w:after="100"/>
              <w:rPr>
                <w:rFonts w:eastAsia="Times New Roman"/>
              </w:rPr>
            </w:pPr>
            <w:r>
              <w:rPr>
                <w:rFonts w:eastAsia="Times New Roman"/>
                <w:color w:val="000000"/>
                <w:sz w:val="20"/>
                <w:szCs w:val="20"/>
              </w:rPr>
              <w:t xml:space="preserve">Other </w:t>
            </w: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1,262 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266 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326978669"/>
          <w:jc w:val="center"/>
        </w:trPr>
        <w:tc>
          <w:tcPr>
            <w:tcW w:w="0" w:type="auto"/>
            <w:gridSpan w:val="3"/>
            <w:shd w:val="clear" w:color="auto" w:fill="FFFFFF"/>
            <w:tcMar>
              <w:top w:w="30" w:type="dxa"/>
              <w:left w:w="245" w:type="dxa"/>
              <w:bottom w:w="30" w:type="dxa"/>
              <w:right w:w="20" w:type="dxa"/>
            </w:tcMar>
            <w:hideMark/>
          </w:tcPr>
          <w:p w:rsidR="00000000" w:rsidRDefault="00FD7D3C">
            <w:pPr>
              <w:spacing w:after="100"/>
              <w:rPr>
                <w:rFonts w:eastAsia="Times New Roman"/>
              </w:rPr>
            </w:pPr>
            <w:r>
              <w:rPr>
                <w:rFonts w:eastAsia="Times New Roman"/>
                <w:color w:val="000000"/>
                <w:sz w:val="20"/>
                <w:szCs w:val="20"/>
              </w:rPr>
              <w:t>Changes in operating assets and liabilities:</w:t>
            </w: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000000">
        <w:trPr>
          <w:divId w:val="326978669"/>
          <w:jc w:val="center"/>
        </w:trPr>
        <w:tc>
          <w:tcPr>
            <w:tcW w:w="0" w:type="auto"/>
            <w:gridSpan w:val="3"/>
            <w:shd w:val="clear" w:color="auto" w:fill="CCEEFF"/>
            <w:tcMar>
              <w:top w:w="30" w:type="dxa"/>
              <w:left w:w="515" w:type="dxa"/>
              <w:bottom w:w="30" w:type="dxa"/>
              <w:right w:w="20" w:type="dxa"/>
            </w:tcMar>
            <w:hideMark/>
          </w:tcPr>
          <w:p w:rsidR="00000000" w:rsidRDefault="00FD7D3C">
            <w:pPr>
              <w:spacing w:after="100"/>
              <w:rPr>
                <w:rFonts w:eastAsia="Times New Roman"/>
              </w:rPr>
            </w:pPr>
            <w:r>
              <w:rPr>
                <w:rFonts w:eastAsia="Times New Roman"/>
                <w:color w:val="000000"/>
                <w:sz w:val="20"/>
                <w:szCs w:val="20"/>
              </w:rPr>
              <w:t>Tax credit receivable</w:t>
            </w: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250 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167 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326978669"/>
          <w:jc w:val="center"/>
        </w:trPr>
        <w:tc>
          <w:tcPr>
            <w:tcW w:w="0" w:type="auto"/>
            <w:gridSpan w:val="3"/>
            <w:shd w:val="clear" w:color="auto" w:fill="FFFFFF"/>
            <w:tcMar>
              <w:top w:w="30" w:type="dxa"/>
              <w:left w:w="515" w:type="dxa"/>
              <w:bottom w:w="30" w:type="dxa"/>
              <w:right w:w="20" w:type="dxa"/>
            </w:tcMar>
            <w:hideMark/>
          </w:tcPr>
          <w:p w:rsidR="00000000" w:rsidRDefault="00FD7D3C">
            <w:pPr>
              <w:spacing w:after="100"/>
              <w:rPr>
                <w:rFonts w:eastAsia="Times New Roman"/>
              </w:rPr>
            </w:pPr>
            <w:r>
              <w:rPr>
                <w:rFonts w:eastAsia="Times New Roman"/>
                <w:color w:val="000000"/>
                <w:sz w:val="20"/>
                <w:szCs w:val="20"/>
              </w:rPr>
              <w:t>Accounts receivable</w:t>
            </w: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7,281 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(2,227)</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w:t>
            </w:r>
            <w:r>
              <w:rPr>
                <w:rFonts w:eastAsia="Times New Roman"/>
                <w:color w:val="000000"/>
                <w:sz w:val="20"/>
                <w:szCs w:val="20"/>
              </w:rPr>
              <w:t>7,052)</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326978669"/>
          <w:jc w:val="center"/>
        </w:trPr>
        <w:tc>
          <w:tcPr>
            <w:tcW w:w="0" w:type="auto"/>
            <w:gridSpan w:val="3"/>
            <w:shd w:val="clear" w:color="auto" w:fill="CCEEFF"/>
            <w:tcMar>
              <w:top w:w="30" w:type="dxa"/>
              <w:left w:w="515" w:type="dxa"/>
              <w:bottom w:w="30" w:type="dxa"/>
              <w:right w:w="20" w:type="dxa"/>
            </w:tcMar>
            <w:hideMark/>
          </w:tcPr>
          <w:p w:rsidR="00000000" w:rsidRDefault="00FD7D3C">
            <w:pPr>
              <w:spacing w:after="100"/>
              <w:rPr>
                <w:rFonts w:eastAsia="Times New Roman"/>
              </w:rPr>
            </w:pPr>
            <w:r>
              <w:rPr>
                <w:rFonts w:eastAsia="Times New Roman"/>
                <w:color w:val="000000"/>
                <w:sz w:val="20"/>
                <w:szCs w:val="20"/>
              </w:rPr>
              <w:t>Prepaid expenses and other current assets</w:t>
            </w: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(2,266)</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(2,756)</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(1,458)</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326978669"/>
          <w:jc w:val="center"/>
        </w:trPr>
        <w:tc>
          <w:tcPr>
            <w:tcW w:w="0" w:type="auto"/>
            <w:gridSpan w:val="3"/>
            <w:shd w:val="clear" w:color="auto" w:fill="FFFFFF"/>
            <w:tcMar>
              <w:top w:w="30" w:type="dxa"/>
              <w:left w:w="515" w:type="dxa"/>
              <w:bottom w:w="30" w:type="dxa"/>
              <w:right w:w="20" w:type="dxa"/>
            </w:tcMar>
            <w:hideMark/>
          </w:tcPr>
          <w:p w:rsidR="00000000" w:rsidRDefault="00FD7D3C">
            <w:pPr>
              <w:spacing w:after="100"/>
              <w:rPr>
                <w:rFonts w:eastAsia="Times New Roman"/>
              </w:rPr>
            </w:pPr>
            <w:r>
              <w:rPr>
                <w:rFonts w:eastAsia="Times New Roman"/>
                <w:color w:val="000000"/>
                <w:sz w:val="20"/>
                <w:szCs w:val="20"/>
              </w:rPr>
              <w:t>Other non-current assets</w:t>
            </w: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70 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(70)</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232 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326978669"/>
          <w:jc w:val="center"/>
        </w:trPr>
        <w:tc>
          <w:tcPr>
            <w:tcW w:w="0" w:type="auto"/>
            <w:gridSpan w:val="3"/>
            <w:shd w:val="clear" w:color="auto" w:fill="CCEEFF"/>
            <w:tcMar>
              <w:top w:w="30" w:type="dxa"/>
              <w:left w:w="515" w:type="dxa"/>
              <w:bottom w:w="30" w:type="dxa"/>
              <w:right w:w="20" w:type="dxa"/>
            </w:tcMar>
            <w:hideMark/>
          </w:tcPr>
          <w:p w:rsidR="00000000" w:rsidRDefault="00FD7D3C">
            <w:pPr>
              <w:spacing w:after="100"/>
              <w:rPr>
                <w:rFonts w:eastAsia="Times New Roman"/>
              </w:rPr>
            </w:pPr>
            <w:r>
              <w:rPr>
                <w:rFonts w:eastAsia="Times New Roman"/>
                <w:color w:val="000000"/>
                <w:sz w:val="20"/>
                <w:szCs w:val="20"/>
              </w:rPr>
              <w:t>Accounts payable</w:t>
            </w: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891 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922 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(1,255)</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326978669"/>
          <w:jc w:val="center"/>
        </w:trPr>
        <w:tc>
          <w:tcPr>
            <w:tcW w:w="0" w:type="auto"/>
            <w:gridSpan w:val="3"/>
            <w:shd w:val="clear" w:color="auto" w:fill="FFFFFF"/>
            <w:tcMar>
              <w:top w:w="30" w:type="dxa"/>
              <w:left w:w="515" w:type="dxa"/>
              <w:bottom w:w="30" w:type="dxa"/>
              <w:right w:w="20" w:type="dxa"/>
            </w:tcMar>
            <w:hideMark/>
          </w:tcPr>
          <w:p w:rsidR="00000000" w:rsidRDefault="00FD7D3C">
            <w:pPr>
              <w:spacing w:after="100"/>
              <w:rPr>
                <w:rFonts w:eastAsia="Times New Roman"/>
              </w:rPr>
            </w:pPr>
            <w:r>
              <w:rPr>
                <w:rFonts w:eastAsia="Times New Roman"/>
                <w:color w:val="000000"/>
                <w:sz w:val="20"/>
                <w:szCs w:val="20"/>
              </w:rPr>
              <w:t>Accrued liabilities</w:t>
            </w: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2,695 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2,689 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4,255 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326978669"/>
          <w:jc w:val="center"/>
        </w:trPr>
        <w:tc>
          <w:tcPr>
            <w:tcW w:w="0" w:type="auto"/>
            <w:gridSpan w:val="3"/>
            <w:shd w:val="clear" w:color="auto" w:fill="CCEEFF"/>
            <w:tcMar>
              <w:top w:w="30" w:type="dxa"/>
              <w:left w:w="515" w:type="dxa"/>
              <w:bottom w:w="30" w:type="dxa"/>
              <w:right w:w="20" w:type="dxa"/>
            </w:tcMar>
            <w:hideMark/>
          </w:tcPr>
          <w:p w:rsidR="00000000" w:rsidRDefault="00FD7D3C">
            <w:pPr>
              <w:spacing w:after="100"/>
              <w:rPr>
                <w:rFonts w:eastAsia="Times New Roman"/>
              </w:rPr>
            </w:pPr>
            <w:r>
              <w:rPr>
                <w:rFonts w:eastAsia="Times New Roman"/>
                <w:color w:val="000000"/>
                <w:sz w:val="20"/>
                <w:szCs w:val="20"/>
              </w:rPr>
              <w:t>Operating lease liabilities</w:t>
            </w: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(1,754)</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326978669"/>
          <w:jc w:val="center"/>
        </w:trPr>
        <w:tc>
          <w:tcPr>
            <w:tcW w:w="0" w:type="auto"/>
            <w:gridSpan w:val="3"/>
            <w:shd w:val="clear" w:color="auto" w:fill="FFFFFF"/>
            <w:tcMar>
              <w:top w:w="30" w:type="dxa"/>
              <w:left w:w="515" w:type="dxa"/>
              <w:bottom w:w="30" w:type="dxa"/>
              <w:right w:w="20" w:type="dxa"/>
            </w:tcMar>
            <w:hideMark/>
          </w:tcPr>
          <w:p w:rsidR="00000000" w:rsidRDefault="00FD7D3C">
            <w:pPr>
              <w:spacing w:after="100"/>
              <w:rPr>
                <w:rFonts w:eastAsia="Times New Roman"/>
              </w:rPr>
            </w:pPr>
            <w:r>
              <w:rPr>
                <w:rFonts w:eastAsia="Times New Roman"/>
                <w:color w:val="000000"/>
                <w:sz w:val="20"/>
                <w:szCs w:val="20"/>
              </w:rPr>
              <w:t>Deferred rent and other long-term liabilities</w:t>
            </w: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(17)</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50 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326978669"/>
          <w:jc w:val="center"/>
        </w:trPr>
        <w:tc>
          <w:tcPr>
            <w:tcW w:w="0" w:type="auto"/>
            <w:gridSpan w:val="3"/>
            <w:shd w:val="clear" w:color="auto" w:fill="CCEEFF"/>
            <w:tcMar>
              <w:top w:w="30" w:type="dxa"/>
              <w:left w:w="740" w:type="dxa"/>
              <w:bottom w:w="30" w:type="dxa"/>
              <w:right w:w="20" w:type="dxa"/>
            </w:tcMar>
            <w:hideMark/>
          </w:tcPr>
          <w:p w:rsidR="00000000" w:rsidRDefault="00FD7D3C">
            <w:pPr>
              <w:spacing w:after="100"/>
              <w:rPr>
                <w:rFonts w:eastAsia="Times New Roman"/>
              </w:rPr>
            </w:pPr>
            <w:r>
              <w:rPr>
                <w:rFonts w:eastAsia="Times New Roman"/>
                <w:color w:val="000000"/>
                <w:sz w:val="20"/>
                <w:szCs w:val="20"/>
              </w:rPr>
              <w:t>Net cash used in operating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(75,443)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(37,271)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(2,750)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326978669"/>
          <w:jc w:val="center"/>
        </w:trPr>
        <w:tc>
          <w:tcPr>
            <w:tcW w:w="0" w:type="auto"/>
            <w:gridSpan w:val="3"/>
            <w:shd w:val="clear" w:color="auto" w:fill="FFFFFF"/>
            <w:tcMar>
              <w:top w:w="30" w:type="dxa"/>
              <w:left w:w="20" w:type="dxa"/>
              <w:bottom w:w="30" w:type="dxa"/>
              <w:right w:w="20" w:type="dxa"/>
            </w:tcMar>
            <w:hideMark/>
          </w:tcPr>
          <w:p w:rsidR="00000000" w:rsidRDefault="00FD7D3C">
            <w:pPr>
              <w:spacing w:after="100"/>
              <w:rPr>
                <w:rFonts w:eastAsia="Times New Roman"/>
              </w:rPr>
            </w:pPr>
            <w:r>
              <w:rPr>
                <w:rFonts w:eastAsia="Times New Roman"/>
                <w:b/>
                <w:bCs/>
                <w:color w:val="000000"/>
                <w:sz w:val="20"/>
                <w:szCs w:val="20"/>
              </w:rPr>
              <w:t>Cash flows from investing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000000">
        <w:trPr>
          <w:divId w:val="326978669"/>
          <w:jc w:val="center"/>
        </w:trPr>
        <w:tc>
          <w:tcPr>
            <w:tcW w:w="0" w:type="auto"/>
            <w:gridSpan w:val="3"/>
            <w:shd w:val="clear" w:color="auto" w:fill="CCEEFF"/>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Purchase of short-term investments</w:t>
            </w: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(219,887)</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(322,605)</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(51,713)</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326978669"/>
          <w:jc w:val="center"/>
        </w:trPr>
        <w:tc>
          <w:tcPr>
            <w:tcW w:w="0" w:type="auto"/>
            <w:gridSpan w:val="3"/>
            <w:shd w:val="clear" w:color="auto" w:fill="FFFFFF"/>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Accretion on short-term investments</w:t>
            </w: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(254)</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326978669"/>
          <w:jc w:val="center"/>
        </w:trPr>
        <w:tc>
          <w:tcPr>
            <w:tcW w:w="0" w:type="auto"/>
            <w:gridSpan w:val="3"/>
            <w:shd w:val="clear" w:color="auto" w:fill="CCEEFF"/>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Maturity of short-term investments</w:t>
            </w: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295,539 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113,271 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35,000 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326978669"/>
          <w:jc w:val="center"/>
        </w:trPr>
        <w:tc>
          <w:tcPr>
            <w:tcW w:w="0" w:type="auto"/>
            <w:gridSpan w:val="3"/>
            <w:shd w:val="clear" w:color="auto" w:fill="FFFFFF"/>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Purchase of property and equipment</w:t>
            </w: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(1,953)</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(1,532)</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(964)</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326978669"/>
          <w:jc w:val="center"/>
        </w:trPr>
        <w:tc>
          <w:tcPr>
            <w:tcW w:w="0" w:type="auto"/>
            <w:gridSpan w:val="3"/>
            <w:shd w:val="clear" w:color="auto" w:fill="CCEEFF"/>
            <w:tcMar>
              <w:top w:w="30" w:type="dxa"/>
              <w:left w:w="740" w:type="dxa"/>
              <w:bottom w:w="30" w:type="dxa"/>
              <w:right w:w="20" w:type="dxa"/>
            </w:tcMar>
            <w:hideMark/>
          </w:tcPr>
          <w:p w:rsidR="00000000" w:rsidRDefault="00FD7D3C">
            <w:pPr>
              <w:spacing w:after="100"/>
              <w:rPr>
                <w:rFonts w:eastAsia="Times New Roman"/>
              </w:rPr>
            </w:pPr>
            <w:r>
              <w:rPr>
                <w:rFonts w:eastAsia="Times New Roman"/>
                <w:color w:val="000000"/>
                <w:sz w:val="20"/>
                <w:szCs w:val="20"/>
              </w:rPr>
              <w:t>Net cash used in investing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73,699 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(210,866)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(17,931)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326978669"/>
          <w:jc w:val="center"/>
        </w:trPr>
        <w:tc>
          <w:tcPr>
            <w:tcW w:w="0" w:type="auto"/>
            <w:gridSpan w:val="3"/>
            <w:shd w:val="clear" w:color="auto" w:fill="FFFFFF"/>
            <w:tcMar>
              <w:top w:w="30" w:type="dxa"/>
              <w:left w:w="20" w:type="dxa"/>
              <w:bottom w:w="30" w:type="dxa"/>
              <w:right w:w="20" w:type="dxa"/>
            </w:tcMar>
            <w:hideMark/>
          </w:tcPr>
          <w:p w:rsidR="00000000" w:rsidRDefault="00FD7D3C">
            <w:pPr>
              <w:spacing w:after="100"/>
              <w:rPr>
                <w:rFonts w:eastAsia="Times New Roman"/>
              </w:rPr>
            </w:pPr>
            <w:r>
              <w:rPr>
                <w:rFonts w:eastAsia="Times New Roman"/>
                <w:b/>
                <w:bCs/>
                <w:color w:val="000000"/>
                <w:sz w:val="20"/>
                <w:szCs w:val="20"/>
              </w:rPr>
              <w:t>Cash flows from financing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000000">
        <w:trPr>
          <w:divId w:val="326978669"/>
          <w:jc w:val="center"/>
        </w:trPr>
        <w:tc>
          <w:tcPr>
            <w:tcW w:w="0" w:type="auto"/>
            <w:gridSpan w:val="3"/>
            <w:shd w:val="clear" w:color="auto" w:fill="CCEEFF"/>
            <w:tcMar>
              <w:top w:w="30" w:type="dxa"/>
              <w:left w:w="20" w:type="dxa"/>
              <w:bottom w:w="30" w:type="dxa"/>
              <w:right w:w="20" w:type="dxa"/>
            </w:tcMar>
            <w:hideMark/>
          </w:tcPr>
          <w:p w:rsidR="00000000" w:rsidRDefault="00FD7D3C">
            <w:pPr>
              <w:spacing w:after="100"/>
              <w:ind w:hanging="180"/>
              <w:divId w:val="853955478"/>
              <w:rPr>
                <w:rFonts w:eastAsia="Times New Roman"/>
              </w:rPr>
            </w:pPr>
            <w:r>
              <w:rPr>
                <w:rFonts w:eastAsia="Times New Roman"/>
                <w:color w:val="000000"/>
                <w:sz w:val="20"/>
                <w:szCs w:val="20"/>
              </w:rPr>
              <w:t>Proceeds from issuance of common stock upon initial public offering, net of issuance costs</w:t>
            </w: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150,751 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326978669"/>
          <w:jc w:val="center"/>
        </w:trPr>
        <w:tc>
          <w:tcPr>
            <w:tcW w:w="0" w:type="auto"/>
            <w:gridSpan w:val="3"/>
            <w:shd w:val="clear" w:color="auto" w:fill="FFFFFF"/>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Proceeds from issuance of common stock upon completion of private placement</w:t>
            </w: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10,000 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326978669"/>
          <w:jc w:val="center"/>
        </w:trPr>
        <w:tc>
          <w:tcPr>
            <w:tcW w:w="0" w:type="auto"/>
            <w:gridSpan w:val="3"/>
            <w:shd w:val="clear" w:color="auto" w:fill="CCEEFF"/>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Proceeds from issuance of Series C preferred stock, net of issuance costs</w:t>
            </w: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52,019 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47,947 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326978669"/>
          <w:jc w:val="center"/>
        </w:trPr>
        <w:tc>
          <w:tcPr>
            <w:tcW w:w="0" w:type="auto"/>
            <w:gridSpan w:val="3"/>
            <w:shd w:val="clear" w:color="auto" w:fill="FFFFFF"/>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Proceeds from issuances of common stock</w:t>
            </w: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2,984 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442 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174 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326978669"/>
          <w:jc w:val="center"/>
        </w:trPr>
        <w:tc>
          <w:tcPr>
            <w:tcW w:w="0" w:type="auto"/>
            <w:gridSpan w:val="3"/>
            <w:shd w:val="clear" w:color="auto" w:fill="CCEEFF"/>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Payment of deferred offering costs</w:t>
            </w: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(457)</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(2,582)</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326978669"/>
          <w:jc w:val="center"/>
        </w:trPr>
        <w:tc>
          <w:tcPr>
            <w:tcW w:w="0" w:type="auto"/>
            <w:gridSpan w:val="3"/>
            <w:shd w:val="clear" w:color="auto" w:fill="FFFFFF"/>
            <w:tcMar>
              <w:top w:w="30" w:type="dxa"/>
              <w:left w:w="740" w:type="dxa"/>
              <w:bottom w:w="30" w:type="dxa"/>
              <w:right w:w="20" w:type="dxa"/>
            </w:tcMar>
            <w:hideMark/>
          </w:tcPr>
          <w:p w:rsidR="00000000" w:rsidRDefault="00FD7D3C">
            <w:pPr>
              <w:spacing w:after="100"/>
              <w:rPr>
                <w:rFonts w:eastAsia="Times New Roman"/>
              </w:rPr>
            </w:pPr>
            <w:r>
              <w:rPr>
                <w:rFonts w:eastAsia="Times New Roman"/>
                <w:color w:val="000000"/>
                <w:sz w:val="20"/>
                <w:szCs w:val="20"/>
              </w:rPr>
              <w:t>Net cash provided by financing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2,527 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213,212 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45,539 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326978669"/>
          <w:jc w:val="center"/>
        </w:trPr>
        <w:tc>
          <w:tcPr>
            <w:tcW w:w="0" w:type="auto"/>
            <w:gridSpan w:val="3"/>
            <w:shd w:val="clear" w:color="auto" w:fill="CCEEFF"/>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Net increase (decrease) in cash and cash equivalents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783 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(34,925)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24,858 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326978669"/>
          <w:jc w:val="center"/>
        </w:trPr>
        <w:tc>
          <w:tcPr>
            <w:tcW w:w="0" w:type="auto"/>
            <w:gridSpan w:val="3"/>
            <w:shd w:val="clear" w:color="auto" w:fill="FFFFFF"/>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Cash and cash equivalents at beginning of period</w:t>
            </w: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50,882 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85,807 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60,949 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326978669"/>
          <w:jc w:val="center"/>
        </w:trPr>
        <w:tc>
          <w:tcPr>
            <w:tcW w:w="0" w:type="auto"/>
            <w:gridSpan w:val="3"/>
            <w:shd w:val="clear" w:color="auto" w:fill="CCEEFF"/>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Cash and cash equivalents at end of period</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51,665 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50,882 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85,807 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326978669"/>
          <w:jc w:val="center"/>
        </w:trPr>
        <w:tc>
          <w:tcPr>
            <w:tcW w:w="0" w:type="auto"/>
            <w:gridSpan w:val="3"/>
            <w:shd w:val="clear" w:color="auto" w:fill="FFFFFF"/>
            <w:tcMar>
              <w:top w:w="30" w:type="dxa"/>
              <w:left w:w="20" w:type="dxa"/>
              <w:bottom w:w="30" w:type="dxa"/>
              <w:right w:w="20" w:type="dxa"/>
            </w:tcMar>
            <w:hideMark/>
          </w:tcPr>
          <w:p w:rsidR="00000000" w:rsidRDefault="00FD7D3C">
            <w:pPr>
              <w:spacing w:after="100"/>
              <w:rPr>
                <w:rFonts w:eastAsia="Times New Roman"/>
              </w:rPr>
            </w:pPr>
            <w:r>
              <w:rPr>
                <w:rFonts w:eastAsia="Times New Roman"/>
                <w:b/>
                <w:bCs/>
                <w:color w:val="000000"/>
                <w:sz w:val="20"/>
                <w:szCs w:val="20"/>
              </w:rPr>
              <w:t>Supplemental disclosures of noncash investing and financing activities:</w:t>
            </w: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000000">
        <w:trPr>
          <w:divId w:val="326978669"/>
          <w:jc w:val="center"/>
        </w:trPr>
        <w:tc>
          <w:tcPr>
            <w:tcW w:w="0" w:type="auto"/>
            <w:gridSpan w:val="3"/>
            <w:shd w:val="clear" w:color="auto" w:fill="CCEEFF"/>
            <w:tcMar>
              <w:top w:w="30" w:type="dxa"/>
              <w:left w:w="20" w:type="dxa"/>
              <w:bottom w:w="30" w:type="dxa"/>
              <w:right w:w="20" w:type="dxa"/>
            </w:tcMar>
            <w:hideMark/>
          </w:tcPr>
          <w:p w:rsidR="00000000" w:rsidRDefault="00FD7D3C">
            <w:pPr>
              <w:spacing w:after="100"/>
              <w:ind w:hanging="180"/>
              <w:divId w:val="1311404690"/>
              <w:rPr>
                <w:rFonts w:eastAsia="Times New Roman"/>
              </w:rPr>
            </w:pPr>
            <w:r>
              <w:rPr>
                <w:rFonts w:eastAsia="Times New Roman"/>
                <w:color w:val="000000"/>
                <w:sz w:val="20"/>
                <w:szCs w:val="20"/>
              </w:rPr>
              <w:t>Purchase of property and equipment in accounts payable and accrued liabilities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326978669"/>
          <w:jc w:val="center"/>
        </w:trPr>
        <w:tc>
          <w:tcPr>
            <w:tcW w:w="0" w:type="auto"/>
            <w:gridSpan w:val="3"/>
            <w:shd w:val="clear" w:color="auto" w:fill="FFFFFF"/>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Reclassification of restricted stock awards from liabilities to common stock upon vesting</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9 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11 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30 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326978669"/>
          <w:jc w:val="center"/>
        </w:trPr>
        <w:tc>
          <w:tcPr>
            <w:tcW w:w="0" w:type="auto"/>
            <w:gridSpan w:val="3"/>
            <w:shd w:val="clear" w:color="auto" w:fill="CCEEFF"/>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Accretion to redemption value and dividends on redeemable convertible preferred stock</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6,225 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326978669"/>
          <w:jc w:val="center"/>
        </w:trPr>
        <w:tc>
          <w:tcPr>
            <w:tcW w:w="0" w:type="auto"/>
            <w:gridSpan w:val="3"/>
            <w:shd w:val="clear" w:color="auto" w:fill="FFFFFF"/>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Deferred offering costs in accounts payable and accrued liabilities</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230 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326978669"/>
          <w:jc w:val="center"/>
        </w:trPr>
        <w:tc>
          <w:tcPr>
            <w:tcW w:w="0" w:type="auto"/>
            <w:gridSpan w:val="3"/>
            <w:shd w:val="clear" w:color="auto" w:fill="CCEEFF"/>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Net unrealized loss on short-term investments</w:t>
            </w: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(169)</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(31)</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r>
    </w:tbl>
    <w:p w:rsidR="00000000" w:rsidRDefault="00FD7D3C">
      <w:pPr>
        <w:jc w:val="center"/>
        <w:divId w:val="326978669"/>
        <w:rPr>
          <w:rFonts w:eastAsia="Times New Roman"/>
        </w:rPr>
      </w:pPr>
      <w:r>
        <w:rPr>
          <w:rFonts w:eastAsia="Times New Roman"/>
          <w:i/>
          <w:iCs/>
          <w:color w:val="000000"/>
          <w:sz w:val="20"/>
          <w:szCs w:val="20"/>
          <w:shd w:val="clear" w:color="auto" w:fill="FFFFFF"/>
        </w:rPr>
        <w:t>The accompanying notes are</w:t>
      </w:r>
      <w:r>
        <w:rPr>
          <w:rFonts w:eastAsia="Times New Roman"/>
          <w:i/>
          <w:iCs/>
          <w:color w:val="000000"/>
          <w:sz w:val="20"/>
          <w:szCs w:val="20"/>
          <w:shd w:val="clear" w:color="auto" w:fill="FFFFFF"/>
        </w:rPr>
        <w:t xml:space="preserve"> an integral part of these financial statements.</w:t>
      </w:r>
    </w:p>
    <w:p w:rsidR="00000000" w:rsidRDefault="00FD7D3C">
      <w:pPr>
        <w:jc w:val="center"/>
        <w:divId w:val="406345278"/>
        <w:rPr>
          <w:rFonts w:eastAsia="Times New Roman"/>
        </w:rPr>
      </w:pPr>
      <w:r>
        <w:rPr>
          <w:rFonts w:eastAsia="Times New Roman"/>
          <w:color w:val="000000"/>
          <w:sz w:val="20"/>
          <w:szCs w:val="20"/>
        </w:rPr>
        <w:t>115</w:t>
      </w:r>
    </w:p>
    <w:p w:rsidR="00000000" w:rsidRDefault="00FD7D3C">
      <w:pPr>
        <w:rPr>
          <w:rFonts w:eastAsia="Times New Roman"/>
        </w:rPr>
      </w:pPr>
      <w:r>
        <w:rPr>
          <w:rFonts w:eastAsia="Times New Roman"/>
        </w:rPr>
        <w:pict>
          <v:rect id="_x0000_i1168" style="width:0;height:1.5pt" o:hralign="center" o:hrstd="t" o:hr="t" fillcolor="#a0a0a0" stroked="f"/>
        </w:pict>
      </w:r>
    </w:p>
    <w:p w:rsidR="00000000" w:rsidRDefault="00FD7D3C">
      <w:pPr>
        <w:divId w:val="2068332079"/>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jc w:val="center"/>
        <w:rPr>
          <w:rFonts w:eastAsia="Times New Roman"/>
        </w:rPr>
      </w:pPr>
      <w:r>
        <w:rPr>
          <w:rFonts w:eastAsia="Times New Roman"/>
          <w:b/>
          <w:bCs/>
          <w:color w:val="000000"/>
          <w:sz w:val="20"/>
          <w:szCs w:val="20"/>
        </w:rPr>
        <w:t>Pliant Therapeutics, Inc.</w:t>
      </w:r>
    </w:p>
    <w:p w:rsidR="00000000" w:rsidRDefault="00FD7D3C">
      <w:pPr>
        <w:jc w:val="center"/>
        <w:rPr>
          <w:rFonts w:eastAsia="Times New Roman"/>
        </w:rPr>
      </w:pPr>
      <w:r>
        <w:rPr>
          <w:rFonts w:eastAsia="Times New Roman"/>
          <w:b/>
          <w:bCs/>
          <w:color w:val="000000"/>
          <w:sz w:val="20"/>
          <w:szCs w:val="20"/>
        </w:rPr>
        <w:t>Notes to Financial Statements</w:t>
      </w:r>
    </w:p>
    <w:p w:rsidR="00000000" w:rsidRDefault="00FD7D3C">
      <w:pPr>
        <w:ind w:hanging="720"/>
        <w:divId w:val="1213419142"/>
        <w:rPr>
          <w:rFonts w:eastAsia="Times New Roman"/>
        </w:rPr>
      </w:pPr>
      <w:r>
        <w:rPr>
          <w:rFonts w:eastAsia="Times New Roman"/>
          <w:b/>
          <w:bCs/>
          <w:color w:val="000000"/>
          <w:sz w:val="20"/>
          <w:szCs w:val="20"/>
        </w:rPr>
        <w:t>1.</w:t>
      </w:r>
      <w:r>
        <w:rPr>
          <w:rFonts w:eastAsia="Times New Roman"/>
          <w:b/>
          <w:bCs/>
          <w:color w:val="000000"/>
          <w:sz w:val="20"/>
          <w:szCs w:val="20"/>
        </w:rPr>
        <w:t>Organization and Description of Business</w:t>
      </w:r>
    </w:p>
    <w:p w:rsidR="00000000" w:rsidRDefault="00FD7D3C">
      <w:pPr>
        <w:ind w:firstLine="720"/>
        <w:divId w:val="2080012319"/>
        <w:rPr>
          <w:rFonts w:eastAsia="Times New Roman"/>
        </w:rPr>
      </w:pPr>
      <w:r>
        <w:rPr>
          <w:rFonts w:eastAsia="Times New Roman"/>
          <w:color w:val="000000"/>
          <w:sz w:val="20"/>
          <w:szCs w:val="20"/>
        </w:rPr>
        <w:t>Pliant Therapeutics, Inc. (the “Company” or "Pliant" or “we” or “our” or “us”) is a clinical stage biopharmaceutical company focused on discovering and developing novel therapies for the treatment of fibrosis with a</w:t>
      </w:r>
      <w:r>
        <w:rPr>
          <w:rFonts w:eastAsia="Times New Roman"/>
          <w:color w:val="000000"/>
          <w:sz w:val="20"/>
          <w:szCs w:val="20"/>
        </w:rPr>
        <w:t>n initial focus on treating fibrosis by inhibiting integrin-mediated activation of TGF-β. Fibrosis refers to the abnormal thickening and scarring of connective tissue due to the production and deposition of excess collagen in the extra-cellular matrix. Fib</w:t>
      </w:r>
      <w:r>
        <w:rPr>
          <w:rFonts w:eastAsia="Times New Roman"/>
          <w:color w:val="000000"/>
          <w:sz w:val="20"/>
          <w:szCs w:val="20"/>
        </w:rPr>
        <w:t>rosis can occur in many different tissues including lung, liver, kidney, muscle, skin and the GI tract, and often causes severe and debilitating disease leading to organ failure. The Company is located in South San Francisco, California, and was incorporat</w:t>
      </w:r>
      <w:r>
        <w:rPr>
          <w:rFonts w:eastAsia="Times New Roman"/>
          <w:color w:val="000000"/>
          <w:sz w:val="20"/>
          <w:szCs w:val="20"/>
        </w:rPr>
        <w:t>ed in the state of Delaware in June 2015.</w:t>
      </w:r>
    </w:p>
    <w:p w:rsidR="00000000" w:rsidRDefault="00FD7D3C">
      <w:pPr>
        <w:divId w:val="1843541311"/>
        <w:rPr>
          <w:rFonts w:eastAsia="Times New Roman"/>
        </w:rPr>
      </w:pPr>
      <w:r>
        <w:rPr>
          <w:rFonts w:eastAsia="Times New Roman"/>
          <w:b/>
          <w:bCs/>
          <w:i/>
          <w:iCs/>
          <w:color w:val="000000"/>
          <w:sz w:val="20"/>
          <w:szCs w:val="20"/>
        </w:rPr>
        <w:t>Reverse Stock Split</w:t>
      </w:r>
    </w:p>
    <w:p w:rsidR="00000000" w:rsidRDefault="00FD7D3C">
      <w:pPr>
        <w:ind w:firstLine="720"/>
        <w:divId w:val="1508328736"/>
        <w:rPr>
          <w:rFonts w:eastAsia="Times New Roman"/>
        </w:rPr>
      </w:pPr>
      <w:r>
        <w:rPr>
          <w:rFonts w:eastAsia="Times New Roman"/>
          <w:color w:val="000000"/>
          <w:sz w:val="20"/>
          <w:szCs w:val="20"/>
        </w:rPr>
        <w:t>On May 22, 2020, the Company implemented a 1-for-7.15 reverse stock split of the Company’s common stock. Stockholders entitled to fractional shares as a result of the reverse stock split receive</w:t>
      </w:r>
      <w:r>
        <w:rPr>
          <w:rFonts w:eastAsia="Times New Roman"/>
          <w:color w:val="000000"/>
          <w:sz w:val="20"/>
          <w:szCs w:val="20"/>
        </w:rPr>
        <w:t>d a cash payment in lieu of receiving fractional shares. All share and per share data shown in the accompanying financial statements and related notes have been retroactively revised to reflect the reverse stock split. Shares of common stock underlying out</w:t>
      </w:r>
      <w:r>
        <w:rPr>
          <w:rFonts w:eastAsia="Times New Roman"/>
          <w:color w:val="000000"/>
          <w:sz w:val="20"/>
          <w:szCs w:val="20"/>
        </w:rPr>
        <w:t>standing stock options and other equity instruments were proportionately reduced and the respective exercise prices, if applicable, were proportionately increased in accordance with the terms of the agreements governing such securities. Shares of common st</w:t>
      </w:r>
      <w:r>
        <w:rPr>
          <w:rFonts w:eastAsia="Times New Roman"/>
          <w:color w:val="000000"/>
          <w:sz w:val="20"/>
          <w:szCs w:val="20"/>
        </w:rPr>
        <w:t>ock reserved for issuance upon the conversion of the Company’s convertible preferred stock were proportionately reduced and the respective conversion prices were proportionately increased. As of June 3, 2020, all outstanding preferred stock had been conver</w:t>
      </w:r>
      <w:r>
        <w:rPr>
          <w:rFonts w:eastAsia="Times New Roman"/>
          <w:color w:val="000000"/>
          <w:sz w:val="20"/>
          <w:szCs w:val="20"/>
        </w:rPr>
        <w:t>ted into common stock.</w:t>
      </w:r>
    </w:p>
    <w:p w:rsidR="00000000" w:rsidRDefault="00FD7D3C">
      <w:pPr>
        <w:divId w:val="1880899913"/>
        <w:rPr>
          <w:rFonts w:eastAsia="Times New Roman"/>
        </w:rPr>
      </w:pPr>
      <w:r>
        <w:rPr>
          <w:rFonts w:eastAsia="Times New Roman"/>
          <w:b/>
          <w:bCs/>
          <w:i/>
          <w:iCs/>
          <w:color w:val="000000"/>
          <w:sz w:val="20"/>
          <w:szCs w:val="20"/>
        </w:rPr>
        <w:t>Initial Public Offering</w:t>
      </w:r>
    </w:p>
    <w:p w:rsidR="00000000" w:rsidRDefault="00FD7D3C">
      <w:pPr>
        <w:ind w:firstLine="720"/>
        <w:divId w:val="554242394"/>
        <w:rPr>
          <w:rFonts w:eastAsia="Times New Roman"/>
        </w:rPr>
      </w:pPr>
      <w:r>
        <w:rPr>
          <w:rFonts w:eastAsia="Times New Roman"/>
          <w:color w:val="000000"/>
          <w:sz w:val="20"/>
          <w:szCs w:val="20"/>
        </w:rPr>
        <w:t>In June 2020, the Company completed its initial public offering (the “IPO”), in which the Company issued and sold an aggregate of 10,350,000 shares of common stock, which consisted of 9,000,000 shares of commo</w:t>
      </w:r>
      <w:r>
        <w:rPr>
          <w:rFonts w:eastAsia="Times New Roman"/>
          <w:color w:val="000000"/>
          <w:sz w:val="20"/>
          <w:szCs w:val="20"/>
        </w:rPr>
        <w:t>n stock and 1,350,000 shares of common stock sold pursuant to the underwriters’ exercise of their option to purchase additional shares, at a public offering price of $16.00 per share. The aggregate net proceeds received by the Company from the offering wer</w:t>
      </w:r>
      <w:r>
        <w:rPr>
          <w:rFonts w:eastAsia="Times New Roman"/>
          <w:color w:val="000000"/>
          <w:sz w:val="20"/>
          <w:szCs w:val="20"/>
        </w:rPr>
        <w:t>e $148.3 million, net of underwriting discounts, commissions and offering expenses of $5.7 million. Upon the closing of the IPO, 160,389,279 shares of the Company’s outstanding convertible preferred stock were automatically converted to common stock on a 7</w:t>
      </w:r>
      <w:r>
        <w:rPr>
          <w:rFonts w:eastAsia="Times New Roman"/>
          <w:color w:val="000000"/>
          <w:sz w:val="20"/>
          <w:szCs w:val="20"/>
        </w:rPr>
        <w:t xml:space="preserve">.15:1 basis and the related carrying amount of $238.3 million was reclassified to common stock and additional paid-in capital within stockholders’ equity (deficit). </w:t>
      </w:r>
    </w:p>
    <w:p w:rsidR="00000000" w:rsidRDefault="00FD7D3C">
      <w:pPr>
        <w:ind w:firstLine="720"/>
        <w:divId w:val="1228421411"/>
        <w:rPr>
          <w:rFonts w:eastAsia="Times New Roman"/>
        </w:rPr>
      </w:pPr>
      <w:r>
        <w:rPr>
          <w:rFonts w:eastAsia="Times New Roman"/>
          <w:color w:val="000000"/>
          <w:sz w:val="20"/>
          <w:szCs w:val="20"/>
        </w:rPr>
        <w:t>Concurrent with the completion of the IPO, the Company also issued 625,000 shares of its c</w:t>
      </w:r>
      <w:r>
        <w:rPr>
          <w:rFonts w:eastAsia="Times New Roman"/>
          <w:color w:val="000000"/>
          <w:sz w:val="20"/>
          <w:szCs w:val="20"/>
        </w:rPr>
        <w:t>ommon stock to Novartis Institutes for Biomedical Research, Inc. (“Novartis”), a strategic partner and existing stockholder of the Company, in a private placement at a price of $16.00 per share for proceeds of $10.0 million, which resulted in Novartis owni</w:t>
      </w:r>
      <w:r>
        <w:rPr>
          <w:rFonts w:eastAsia="Times New Roman"/>
          <w:color w:val="000000"/>
          <w:sz w:val="20"/>
          <w:szCs w:val="20"/>
        </w:rPr>
        <w:t>ng approximately 6.1% of the Company’s outstanding shares of common stock immediately after the IPO.</w:t>
      </w:r>
    </w:p>
    <w:p w:rsidR="00000000" w:rsidRDefault="00FD7D3C">
      <w:pPr>
        <w:ind w:hanging="720"/>
        <w:divId w:val="392701717"/>
        <w:rPr>
          <w:rFonts w:eastAsia="Times New Roman"/>
        </w:rPr>
      </w:pPr>
      <w:r>
        <w:rPr>
          <w:rFonts w:eastAsia="Times New Roman"/>
          <w:b/>
          <w:bCs/>
          <w:color w:val="000000"/>
          <w:sz w:val="20"/>
          <w:szCs w:val="20"/>
        </w:rPr>
        <w:t>2.Summary of Significant Accounting Policies</w:t>
      </w:r>
    </w:p>
    <w:p w:rsidR="00000000" w:rsidRDefault="00FD7D3C">
      <w:pPr>
        <w:divId w:val="1475222845"/>
        <w:rPr>
          <w:rFonts w:eastAsia="Times New Roman"/>
        </w:rPr>
      </w:pPr>
      <w:r>
        <w:rPr>
          <w:rFonts w:eastAsia="Times New Roman"/>
          <w:b/>
          <w:bCs/>
          <w:i/>
          <w:iCs/>
          <w:color w:val="000000"/>
          <w:sz w:val="20"/>
          <w:szCs w:val="20"/>
        </w:rPr>
        <w:t>Basis of Presentation</w:t>
      </w:r>
    </w:p>
    <w:p w:rsidR="00000000" w:rsidRDefault="00FD7D3C">
      <w:pPr>
        <w:ind w:firstLine="720"/>
        <w:divId w:val="737246086"/>
        <w:rPr>
          <w:rFonts w:eastAsia="Times New Roman"/>
        </w:rPr>
      </w:pPr>
      <w:r>
        <w:rPr>
          <w:rFonts w:eastAsia="Times New Roman"/>
          <w:color w:val="000000"/>
          <w:sz w:val="20"/>
          <w:szCs w:val="20"/>
        </w:rPr>
        <w:t>The accompanying financial statements have been prepared in conformity with accounting p</w:t>
      </w:r>
      <w:r>
        <w:rPr>
          <w:rFonts w:eastAsia="Times New Roman"/>
          <w:color w:val="000000"/>
          <w:sz w:val="20"/>
          <w:szCs w:val="20"/>
        </w:rPr>
        <w:t>rinciples generally accepted in the United States of America (“U.S. GAAP”). Certain prior year reported amounts have been reclassified to conform with the current period presentation.</w:t>
      </w:r>
    </w:p>
    <w:p w:rsidR="00000000" w:rsidRDefault="00FD7D3C">
      <w:pPr>
        <w:divId w:val="1926959922"/>
        <w:rPr>
          <w:rFonts w:eastAsia="Times New Roman"/>
        </w:rPr>
      </w:pPr>
      <w:r>
        <w:rPr>
          <w:rFonts w:eastAsia="Times New Roman"/>
          <w:b/>
          <w:bCs/>
          <w:i/>
          <w:iCs/>
          <w:color w:val="000000"/>
          <w:sz w:val="20"/>
          <w:szCs w:val="20"/>
        </w:rPr>
        <w:t>Use of Estimates</w:t>
      </w:r>
    </w:p>
    <w:p w:rsidR="00000000" w:rsidRDefault="00FD7D3C">
      <w:pPr>
        <w:ind w:firstLine="720"/>
        <w:divId w:val="2028407473"/>
        <w:rPr>
          <w:rFonts w:eastAsia="Times New Roman"/>
        </w:rPr>
      </w:pPr>
      <w:r>
        <w:rPr>
          <w:rFonts w:eastAsia="Times New Roman"/>
          <w:color w:val="000000"/>
          <w:sz w:val="20"/>
          <w:szCs w:val="20"/>
        </w:rPr>
        <w:t>The preparation of financial statements in conformity w</w:t>
      </w:r>
      <w:r>
        <w:rPr>
          <w:rFonts w:eastAsia="Times New Roman"/>
          <w:color w:val="000000"/>
          <w:sz w:val="20"/>
          <w:szCs w:val="20"/>
        </w:rPr>
        <w:t xml:space="preserve">ith U.S. GAAP requires management to make estimates and assumptions that affect the reported amounts of assets, liabilities, and expenses as well as the disclosure of contingent assets and liabilities in the financial statements and accompanying notes. On </w:t>
      </w:r>
      <w:r>
        <w:rPr>
          <w:rFonts w:eastAsia="Times New Roman"/>
          <w:color w:val="000000"/>
          <w:sz w:val="20"/>
          <w:szCs w:val="20"/>
        </w:rPr>
        <w:t>an ongoing basis, management evaluates its estimates, including those related to revenue recognition, accruals for research and development costs, fair value of assets and liabilities, stock-based compensation, income taxes and uncertain tax positions. Man</w:t>
      </w:r>
      <w:r>
        <w:rPr>
          <w:rFonts w:eastAsia="Times New Roman"/>
          <w:color w:val="000000"/>
          <w:sz w:val="20"/>
          <w:szCs w:val="20"/>
        </w:rPr>
        <w:t>agement bases its estimates on historical experience and on various other market-specific and relevant assumptions that management believes to be reasonable under the circumstances, however, actual results may differ from those estimates.</w:t>
      </w:r>
    </w:p>
    <w:p w:rsidR="00000000" w:rsidRDefault="00FD7D3C">
      <w:pPr>
        <w:jc w:val="center"/>
        <w:divId w:val="698238197"/>
        <w:rPr>
          <w:rFonts w:eastAsia="Times New Roman"/>
        </w:rPr>
      </w:pPr>
      <w:r>
        <w:rPr>
          <w:rFonts w:eastAsia="Times New Roman"/>
          <w:color w:val="000000"/>
          <w:sz w:val="20"/>
          <w:szCs w:val="20"/>
        </w:rPr>
        <w:t>116</w:t>
      </w:r>
    </w:p>
    <w:p w:rsidR="00000000" w:rsidRDefault="00FD7D3C">
      <w:pPr>
        <w:rPr>
          <w:rFonts w:eastAsia="Times New Roman"/>
        </w:rPr>
      </w:pPr>
      <w:r>
        <w:rPr>
          <w:rFonts w:eastAsia="Times New Roman"/>
        </w:rPr>
        <w:pict>
          <v:rect id="_x0000_i1169" style="width:0;height:1.5pt" o:hralign="center" o:hrstd="t" o:hr="t" fillcolor="#a0a0a0" stroked="f"/>
        </w:pict>
      </w:r>
    </w:p>
    <w:p w:rsidR="00000000" w:rsidRDefault="00FD7D3C">
      <w:pPr>
        <w:divId w:val="134883232"/>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divId w:val="1258252722"/>
        <w:rPr>
          <w:rFonts w:eastAsia="Times New Roman"/>
        </w:rPr>
      </w:pPr>
      <w:r>
        <w:rPr>
          <w:rFonts w:eastAsia="Times New Roman"/>
          <w:b/>
          <w:bCs/>
          <w:i/>
          <w:iCs/>
          <w:color w:val="000000"/>
          <w:sz w:val="20"/>
          <w:szCs w:val="20"/>
        </w:rPr>
        <w:t>Revenue Recognition</w:t>
      </w:r>
    </w:p>
    <w:p w:rsidR="00000000" w:rsidRDefault="00FD7D3C">
      <w:pPr>
        <w:ind w:firstLine="720"/>
        <w:divId w:val="2009476426"/>
        <w:rPr>
          <w:rFonts w:eastAsia="Times New Roman"/>
        </w:rPr>
      </w:pPr>
      <w:r>
        <w:rPr>
          <w:rFonts w:eastAsia="Times New Roman"/>
          <w:color w:val="000000"/>
          <w:sz w:val="20"/>
          <w:szCs w:val="20"/>
        </w:rPr>
        <w:t xml:space="preserve">The Company accounts for revenues in accordance with Accounting Standards Codification Topic 606, </w:t>
      </w:r>
      <w:r>
        <w:rPr>
          <w:rFonts w:eastAsia="Times New Roman"/>
          <w:i/>
          <w:iCs/>
          <w:color w:val="000000"/>
          <w:sz w:val="20"/>
          <w:szCs w:val="20"/>
        </w:rPr>
        <w:t xml:space="preserve">Revenue from Contracts with Customers </w:t>
      </w:r>
      <w:r>
        <w:rPr>
          <w:rFonts w:eastAsia="Times New Roman"/>
          <w:i/>
          <w:iCs/>
          <w:color w:val="000000"/>
          <w:sz w:val="20"/>
          <w:szCs w:val="20"/>
        </w:rPr>
        <w:t>(</w:t>
      </w:r>
      <w:r>
        <w:rPr>
          <w:rFonts w:eastAsia="Times New Roman"/>
          <w:color w:val="000000"/>
          <w:sz w:val="20"/>
          <w:szCs w:val="20"/>
        </w:rPr>
        <w:t>Topic 606). To determine revenue recognition for arrangements that fall within the scope of ASC 606, we perform the following five steps: (i) identify the contract(s) with a customer; (ii) identify the performance obligations in the contract; (iii) determ</w:t>
      </w:r>
      <w:r>
        <w:rPr>
          <w:rFonts w:eastAsia="Times New Roman"/>
          <w:color w:val="000000"/>
          <w:sz w:val="20"/>
          <w:szCs w:val="20"/>
        </w:rPr>
        <w:t>ine the transaction price; (iv) allocate the transaction price to the performance obligations in the contract; and (v) recognize revenue when (or as) we satisfy a performance obligation. We only apply the five-step model to contracts when it is probable th</w:t>
      </w:r>
      <w:r>
        <w:rPr>
          <w:rFonts w:eastAsia="Times New Roman"/>
          <w:color w:val="000000"/>
          <w:sz w:val="20"/>
          <w:szCs w:val="20"/>
        </w:rPr>
        <w:t xml:space="preserve">at we will collect the consideration we are entitled to in exchange for the goods or services we transfer to the customer. </w:t>
      </w:r>
    </w:p>
    <w:p w:rsidR="00000000" w:rsidRDefault="00FD7D3C">
      <w:pPr>
        <w:ind w:firstLine="720"/>
        <w:divId w:val="261690689"/>
        <w:rPr>
          <w:rFonts w:eastAsia="Times New Roman"/>
        </w:rPr>
      </w:pPr>
      <w:r>
        <w:rPr>
          <w:rFonts w:eastAsia="Times New Roman"/>
          <w:color w:val="000000"/>
          <w:sz w:val="20"/>
          <w:szCs w:val="20"/>
        </w:rPr>
        <w:t>At contract inception, we assess the goods or services promised within each contract, determine those that are performance obligatio</w:t>
      </w:r>
      <w:r>
        <w:rPr>
          <w:rFonts w:eastAsia="Times New Roman"/>
          <w:color w:val="000000"/>
          <w:sz w:val="20"/>
          <w:szCs w:val="20"/>
        </w:rPr>
        <w:t>ns, and assess whether each promised good or service is distinct. We then recognize as revenue the amount of the transaction price that is allocated to the respective performance obligation when (or as) the performance obligation is satisfied. To date, our</w:t>
      </w:r>
      <w:r>
        <w:rPr>
          <w:rFonts w:eastAsia="Times New Roman"/>
          <w:color w:val="000000"/>
          <w:sz w:val="20"/>
          <w:szCs w:val="20"/>
        </w:rPr>
        <w:t xml:space="preserve"> revenues have been generated solely from the Collaboration and License Agreement with Novartis (the “Novartis Agreement”). The Novartis Agreement includes licenses of intellectual property, cost reimbursements, research and development services, upfront s</w:t>
      </w:r>
      <w:r>
        <w:rPr>
          <w:rFonts w:eastAsia="Times New Roman"/>
          <w:color w:val="000000"/>
          <w:sz w:val="20"/>
          <w:szCs w:val="20"/>
        </w:rPr>
        <w:t xml:space="preserve">igning fees, milestone payments and royalties on future licensee’s product sales. </w:t>
      </w:r>
    </w:p>
    <w:p w:rsidR="00000000" w:rsidRDefault="00FD7D3C">
      <w:pPr>
        <w:ind w:firstLine="720"/>
        <w:divId w:val="2119449017"/>
        <w:rPr>
          <w:rFonts w:eastAsia="Times New Roman"/>
        </w:rPr>
      </w:pPr>
      <w:r>
        <w:rPr>
          <w:rFonts w:eastAsia="Times New Roman"/>
          <w:color w:val="000000"/>
          <w:sz w:val="20"/>
          <w:szCs w:val="20"/>
        </w:rPr>
        <w:t xml:space="preserve">As part of accounting for this arrangement, we must apply judgment to determine whether the performance obligations are distinct, and develop assumptions in determining the </w:t>
      </w:r>
      <w:r>
        <w:rPr>
          <w:rFonts w:eastAsia="Times New Roman"/>
          <w:color w:val="000000"/>
          <w:sz w:val="20"/>
          <w:szCs w:val="20"/>
        </w:rPr>
        <w:t>stand-alone selling price for each distinct performance obligation identified in the contract. To determine the stand-alone selling price, we rely on assumptions which may include forecasted revenues, development timelines, reimbursement rates for personne</w:t>
      </w:r>
      <w:r>
        <w:rPr>
          <w:rFonts w:eastAsia="Times New Roman"/>
          <w:color w:val="000000"/>
          <w:sz w:val="20"/>
          <w:szCs w:val="20"/>
        </w:rPr>
        <w:t>l costs, discount rates and probabilities of technical and regulatory success.</w:t>
      </w:r>
    </w:p>
    <w:p w:rsidR="00000000" w:rsidRDefault="00FD7D3C">
      <w:pPr>
        <w:divId w:val="186219907"/>
        <w:rPr>
          <w:rFonts w:eastAsia="Times New Roman"/>
        </w:rPr>
      </w:pPr>
      <w:r>
        <w:rPr>
          <w:rFonts w:eastAsia="Times New Roman"/>
          <w:i/>
          <w:iCs/>
          <w:color w:val="000000"/>
          <w:sz w:val="20"/>
          <w:szCs w:val="20"/>
        </w:rPr>
        <w:t>Licenses of Intellectual Property</w:t>
      </w:r>
    </w:p>
    <w:p w:rsidR="00000000" w:rsidRDefault="00FD7D3C">
      <w:pPr>
        <w:ind w:firstLine="720"/>
        <w:divId w:val="652297901"/>
        <w:rPr>
          <w:rFonts w:eastAsia="Times New Roman"/>
        </w:rPr>
      </w:pPr>
      <w:r>
        <w:rPr>
          <w:rFonts w:eastAsia="Times New Roman"/>
          <w:color w:val="000000"/>
          <w:sz w:val="20"/>
          <w:szCs w:val="20"/>
        </w:rPr>
        <w:t xml:space="preserve">If the license to our intellectual property is determined to be distinct from the other performance obligations identified in the arrangement, </w:t>
      </w:r>
      <w:r>
        <w:rPr>
          <w:rFonts w:eastAsia="Times New Roman"/>
          <w:color w:val="000000"/>
          <w:sz w:val="20"/>
          <w:szCs w:val="20"/>
        </w:rPr>
        <w:t>we recognize revenues from non-refundable, up-front fees allocated to the license when the license is transferred to the licensee and the licensee is able to use and benefit from the license. For licenses that are bundled with other promises, we utilize ju</w:t>
      </w:r>
      <w:r>
        <w:rPr>
          <w:rFonts w:eastAsia="Times New Roman"/>
          <w:color w:val="000000"/>
          <w:sz w:val="20"/>
          <w:szCs w:val="20"/>
        </w:rPr>
        <w:t>dgment to assess the nature of the combined performance obligation to determine whether the combined performance obligation is satisfied over time or at a point in time and, if over time, the appropriate method of measuring progress for purposes of recogni</w:t>
      </w:r>
      <w:r>
        <w:rPr>
          <w:rFonts w:eastAsia="Times New Roman"/>
          <w:color w:val="000000"/>
          <w:sz w:val="20"/>
          <w:szCs w:val="20"/>
        </w:rPr>
        <w:t>zing revenues. We evaluate the measure of progress each reporting period and, if necessary, adjust the measure of performance and related revenue recognition.</w:t>
      </w:r>
    </w:p>
    <w:p w:rsidR="00000000" w:rsidRDefault="00FD7D3C">
      <w:pPr>
        <w:divId w:val="163936855"/>
        <w:rPr>
          <w:rFonts w:eastAsia="Times New Roman"/>
        </w:rPr>
      </w:pPr>
      <w:r>
        <w:rPr>
          <w:rFonts w:eastAsia="Times New Roman"/>
          <w:i/>
          <w:iCs/>
          <w:color w:val="000000"/>
          <w:sz w:val="20"/>
          <w:szCs w:val="20"/>
        </w:rPr>
        <w:t>Milestone Payments</w:t>
      </w:r>
    </w:p>
    <w:p w:rsidR="00000000" w:rsidRDefault="00FD7D3C">
      <w:pPr>
        <w:ind w:firstLine="720"/>
        <w:divId w:val="111826306"/>
        <w:rPr>
          <w:rFonts w:eastAsia="Times New Roman"/>
        </w:rPr>
      </w:pPr>
      <w:r>
        <w:rPr>
          <w:rFonts w:eastAsia="Times New Roman"/>
          <w:color w:val="000000"/>
          <w:sz w:val="20"/>
          <w:szCs w:val="20"/>
        </w:rPr>
        <w:t>At the inception of an arrangement that includes development milestone payments, we evaluate whether the milestones are considered probable of being reached and estimate the amount to be included in the transaction price using the most likely amount method</w:t>
      </w:r>
      <w:r>
        <w:rPr>
          <w:rFonts w:eastAsia="Times New Roman"/>
          <w:color w:val="000000"/>
          <w:sz w:val="20"/>
          <w:szCs w:val="20"/>
        </w:rPr>
        <w:t>. If it is probable that a significant revenue reversal would not occur, the associated milestone value is included in the transaction price. The transaction price is then allocated to each performance obligation on a relative stand-alone selling price bas</w:t>
      </w:r>
      <w:r>
        <w:rPr>
          <w:rFonts w:eastAsia="Times New Roman"/>
          <w:color w:val="000000"/>
          <w:sz w:val="20"/>
          <w:szCs w:val="20"/>
        </w:rPr>
        <w:t>is, for which we recognize revenue as or when the performance obligations under the contract are satisfied. At the end of each reporting period, we re-evaluate the probability of achievement of such development milestones and any related constraint and, if</w:t>
      </w:r>
      <w:r>
        <w:rPr>
          <w:rFonts w:eastAsia="Times New Roman"/>
          <w:color w:val="000000"/>
          <w:sz w:val="20"/>
          <w:szCs w:val="20"/>
        </w:rPr>
        <w:t xml:space="preserve"> necessary, adjust our estimate of the overall transaction price. Any such adjustments are recorded on a cumulative catch-up basis, which would affect collaboration and license revenue in the period of adjustment.</w:t>
      </w:r>
    </w:p>
    <w:p w:rsidR="00000000" w:rsidRDefault="00FD7D3C">
      <w:pPr>
        <w:divId w:val="26371325"/>
        <w:rPr>
          <w:rFonts w:eastAsia="Times New Roman"/>
        </w:rPr>
      </w:pPr>
      <w:r>
        <w:rPr>
          <w:rFonts w:eastAsia="Times New Roman"/>
          <w:i/>
          <w:iCs/>
          <w:color w:val="000000"/>
          <w:sz w:val="20"/>
          <w:szCs w:val="20"/>
        </w:rPr>
        <w:t xml:space="preserve">Research and development services </w:t>
      </w:r>
    </w:p>
    <w:p w:rsidR="00000000" w:rsidRDefault="00FD7D3C">
      <w:pPr>
        <w:ind w:firstLine="720"/>
        <w:divId w:val="1624340539"/>
        <w:rPr>
          <w:rFonts w:eastAsia="Times New Roman"/>
        </w:rPr>
      </w:pPr>
      <w:r>
        <w:rPr>
          <w:rFonts w:eastAsia="Times New Roman"/>
          <w:color w:val="000000"/>
          <w:sz w:val="20"/>
          <w:szCs w:val="20"/>
        </w:rPr>
        <w:t>Amounts</w:t>
      </w:r>
      <w:r>
        <w:rPr>
          <w:rFonts w:eastAsia="Times New Roman"/>
          <w:color w:val="000000"/>
          <w:sz w:val="20"/>
          <w:szCs w:val="20"/>
        </w:rPr>
        <w:t xml:space="preserve"> related to research and development services are recognized as the related services or activities are performed, in accordance with the contract terms. The cost associated with full-time equivalent researchers is estimated each period and billable to Nova</w:t>
      </w:r>
      <w:r>
        <w:rPr>
          <w:rFonts w:eastAsia="Times New Roman"/>
          <w:color w:val="000000"/>
          <w:sz w:val="20"/>
          <w:szCs w:val="20"/>
        </w:rPr>
        <w:t xml:space="preserve">rtis based at specified full-time equivalent rates. </w:t>
      </w:r>
    </w:p>
    <w:p w:rsidR="00000000" w:rsidRDefault="00FD7D3C">
      <w:pPr>
        <w:divId w:val="568461545"/>
        <w:rPr>
          <w:rFonts w:eastAsia="Times New Roman"/>
        </w:rPr>
      </w:pPr>
      <w:r>
        <w:rPr>
          <w:rFonts w:eastAsia="Times New Roman"/>
          <w:i/>
          <w:iCs/>
          <w:color w:val="000000"/>
          <w:sz w:val="20"/>
          <w:szCs w:val="20"/>
        </w:rPr>
        <w:t>Royalties:</w:t>
      </w:r>
    </w:p>
    <w:p w:rsidR="00000000" w:rsidRDefault="00FD7D3C">
      <w:pPr>
        <w:ind w:firstLine="720"/>
        <w:divId w:val="1877161721"/>
        <w:rPr>
          <w:rFonts w:eastAsia="Times New Roman"/>
        </w:rPr>
      </w:pPr>
      <w:r>
        <w:rPr>
          <w:rFonts w:eastAsia="Times New Roman"/>
          <w:color w:val="000000"/>
          <w:sz w:val="20"/>
          <w:szCs w:val="20"/>
        </w:rPr>
        <w:t>The sales-based royalties, including milestone payments based on the level of sales, are considered to be predominately related to the license included in the arrangement, and we will recogniz</w:t>
      </w:r>
      <w:r>
        <w:rPr>
          <w:rFonts w:eastAsia="Times New Roman"/>
          <w:color w:val="000000"/>
          <w:sz w:val="20"/>
          <w:szCs w:val="20"/>
        </w:rPr>
        <w:t>e revenue at the later of (i) when the related sales occur, or (ii) when the performance obligation to which some or all of the royalty has been allocated has been satisfied (or partially satisfied). To date, we have not recognized any royalty revenue from</w:t>
      </w:r>
      <w:r>
        <w:rPr>
          <w:rFonts w:eastAsia="Times New Roman"/>
          <w:color w:val="000000"/>
          <w:sz w:val="20"/>
          <w:szCs w:val="20"/>
        </w:rPr>
        <w:t xml:space="preserve"> the Novartis Agreement. </w:t>
      </w:r>
    </w:p>
    <w:p w:rsidR="00000000" w:rsidRDefault="00FD7D3C">
      <w:pPr>
        <w:ind w:firstLine="720"/>
        <w:divId w:val="400493859"/>
        <w:rPr>
          <w:rFonts w:eastAsia="Times New Roman"/>
        </w:rPr>
      </w:pPr>
      <w:r>
        <w:rPr>
          <w:rFonts w:eastAsia="Times New Roman"/>
          <w:color w:val="000000"/>
          <w:sz w:val="20"/>
          <w:szCs w:val="20"/>
        </w:rPr>
        <w:t>We recognize contract assets when we have a right to consideration in exchange for goods or services that the Company has transferred to a customer when that right is conditional on something other than the passage of time. A receivable will be recorded on</w:t>
      </w:r>
      <w:r>
        <w:rPr>
          <w:rFonts w:eastAsia="Times New Roman"/>
          <w:color w:val="000000"/>
          <w:sz w:val="20"/>
          <w:szCs w:val="20"/>
        </w:rPr>
        <w:t xml:space="preserve"> the balance sheet when the Company has unconditional rights to consideration (i.e., only the passage of time is required before payment becomes due). A contract liability is an obligation to transfer goods or services for which the Company has received co</w:t>
      </w:r>
      <w:r>
        <w:rPr>
          <w:rFonts w:eastAsia="Times New Roman"/>
          <w:color w:val="000000"/>
          <w:sz w:val="20"/>
          <w:szCs w:val="20"/>
        </w:rPr>
        <w:t xml:space="preserve">nsideration, or for which an amount of consideration is due from the customer. </w:t>
      </w:r>
    </w:p>
    <w:p w:rsidR="00000000" w:rsidRDefault="00FD7D3C">
      <w:pPr>
        <w:jc w:val="center"/>
        <w:divId w:val="247351135"/>
        <w:rPr>
          <w:rFonts w:eastAsia="Times New Roman"/>
        </w:rPr>
      </w:pPr>
      <w:r>
        <w:rPr>
          <w:rFonts w:eastAsia="Times New Roman"/>
          <w:color w:val="000000"/>
          <w:sz w:val="20"/>
          <w:szCs w:val="20"/>
        </w:rPr>
        <w:t>117</w:t>
      </w:r>
    </w:p>
    <w:p w:rsidR="00000000" w:rsidRDefault="00FD7D3C">
      <w:pPr>
        <w:rPr>
          <w:rFonts w:eastAsia="Times New Roman"/>
        </w:rPr>
      </w:pPr>
      <w:r>
        <w:rPr>
          <w:rFonts w:eastAsia="Times New Roman"/>
        </w:rPr>
        <w:pict>
          <v:rect id="_x0000_i1170" style="width:0;height:1.5pt" o:hralign="center" o:hrstd="t" o:hr="t" fillcolor="#a0a0a0" stroked="f"/>
        </w:pict>
      </w:r>
    </w:p>
    <w:p w:rsidR="00000000" w:rsidRDefault="00FD7D3C">
      <w:pPr>
        <w:divId w:val="860360704"/>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divId w:val="870530186"/>
        <w:rPr>
          <w:rFonts w:eastAsia="Times New Roman"/>
        </w:rPr>
      </w:pPr>
      <w:r>
        <w:rPr>
          <w:rFonts w:eastAsia="Times New Roman"/>
          <w:color w:val="000000"/>
          <w:sz w:val="20"/>
          <w:szCs w:val="20"/>
        </w:rPr>
        <w:t>Receivables cannot be netted against contract liabilities an</w:t>
      </w:r>
      <w:r>
        <w:rPr>
          <w:rFonts w:eastAsia="Times New Roman"/>
          <w:color w:val="000000"/>
          <w:sz w:val="20"/>
          <w:szCs w:val="20"/>
        </w:rPr>
        <w:t xml:space="preserve">d would be presented separately from contract assets. Contract assets and contract liabilities are netted at the contract level. </w:t>
      </w:r>
    </w:p>
    <w:p w:rsidR="00000000" w:rsidRDefault="00FD7D3C">
      <w:pPr>
        <w:divId w:val="589315401"/>
        <w:rPr>
          <w:rFonts w:eastAsia="Times New Roman"/>
        </w:rPr>
      </w:pPr>
      <w:r>
        <w:rPr>
          <w:rFonts w:eastAsia="Times New Roman"/>
          <w:b/>
          <w:bCs/>
          <w:i/>
          <w:iCs/>
          <w:color w:val="000000"/>
          <w:sz w:val="20"/>
          <w:szCs w:val="20"/>
        </w:rPr>
        <w:t>Fair Value Measurements</w:t>
      </w:r>
    </w:p>
    <w:p w:rsidR="00000000" w:rsidRDefault="00FD7D3C">
      <w:pPr>
        <w:ind w:firstLine="720"/>
        <w:divId w:val="713624958"/>
        <w:rPr>
          <w:rFonts w:eastAsia="Times New Roman"/>
        </w:rPr>
      </w:pPr>
      <w:r>
        <w:rPr>
          <w:rFonts w:eastAsia="Times New Roman"/>
          <w:color w:val="000000"/>
          <w:sz w:val="20"/>
          <w:szCs w:val="20"/>
        </w:rPr>
        <w:t>The Company defines fair value as the price that would be received from selling an asset or paid to tr</w:t>
      </w:r>
      <w:r>
        <w:rPr>
          <w:rFonts w:eastAsia="Times New Roman"/>
          <w:color w:val="000000"/>
          <w:sz w:val="20"/>
          <w:szCs w:val="20"/>
        </w:rPr>
        <w:t>ansfer a liability in an orderly transaction between market participants at the measurement date. When determining the fair value measurements for assets and liabilities which are required to be recorded at fair value, the Company considers the principal o</w:t>
      </w:r>
      <w:r>
        <w:rPr>
          <w:rFonts w:eastAsia="Times New Roman"/>
          <w:color w:val="000000"/>
          <w:sz w:val="20"/>
          <w:szCs w:val="20"/>
        </w:rPr>
        <w:t>r most advantageous market in which to transact and the market-based risk. Fair value accounting is applied for all financial assets and liabilities and non-financial assets and liabilities that are recognized or disclosed at fair value in the financial st</w:t>
      </w:r>
      <w:r>
        <w:rPr>
          <w:rFonts w:eastAsia="Times New Roman"/>
          <w:color w:val="000000"/>
          <w:sz w:val="20"/>
          <w:szCs w:val="20"/>
        </w:rPr>
        <w:t xml:space="preserve">atements on a recurring basis. The carrying amount of the Company’s financial instruments, including cash and cash equivalents, short-term investments, tax credit receivable, accounts receivable, prepaid expenses and other current assets, accounts payable </w:t>
      </w:r>
      <w:r>
        <w:rPr>
          <w:rFonts w:eastAsia="Times New Roman"/>
          <w:color w:val="000000"/>
          <w:sz w:val="20"/>
          <w:szCs w:val="20"/>
        </w:rPr>
        <w:t>and accrued liabilities approximate fair value due to their short-term maturities.</w:t>
      </w:r>
    </w:p>
    <w:p w:rsidR="00000000" w:rsidRDefault="00FD7D3C">
      <w:pPr>
        <w:divId w:val="413935460"/>
        <w:rPr>
          <w:rFonts w:eastAsia="Times New Roman"/>
        </w:rPr>
      </w:pPr>
      <w:r>
        <w:rPr>
          <w:rFonts w:eastAsia="Times New Roman"/>
          <w:b/>
          <w:bCs/>
          <w:i/>
          <w:iCs/>
          <w:color w:val="000000"/>
          <w:sz w:val="20"/>
          <w:szCs w:val="20"/>
        </w:rPr>
        <w:t>Concentration of Credit Risk and Other Risks and Uncertainties</w:t>
      </w:r>
    </w:p>
    <w:p w:rsidR="00000000" w:rsidRDefault="00FD7D3C">
      <w:pPr>
        <w:ind w:firstLine="720"/>
        <w:divId w:val="1253590250"/>
        <w:rPr>
          <w:rFonts w:eastAsia="Times New Roman"/>
        </w:rPr>
      </w:pPr>
      <w:r>
        <w:rPr>
          <w:rFonts w:eastAsia="Times New Roman"/>
          <w:color w:val="000000"/>
          <w:sz w:val="20"/>
          <w:szCs w:val="20"/>
        </w:rPr>
        <w:t>Financial instruments that potentially subject the Company to a concentration of credit risk consist of cash a</w:t>
      </w:r>
      <w:r>
        <w:rPr>
          <w:rFonts w:eastAsia="Times New Roman"/>
          <w:color w:val="000000"/>
          <w:sz w:val="20"/>
          <w:szCs w:val="20"/>
        </w:rPr>
        <w:t>nd cash equivalents, short-term investments and accounts receivable. The Company invests in money market funds, treasury bill and notes, government notes and corporate debt securities. The Company limits its credit risk associated with its cash and cash eq</w:t>
      </w:r>
      <w:r>
        <w:rPr>
          <w:rFonts w:eastAsia="Times New Roman"/>
          <w:color w:val="000000"/>
          <w:sz w:val="20"/>
          <w:szCs w:val="20"/>
        </w:rPr>
        <w:t>uivalents by placing them with banks and institutions it believes are highly credit worthy and in highly rated investments. However, the Company had deposits in excess of the Federal Deposit Insurance Corporation (“FDIC”) insured limit of $250,000. The Com</w:t>
      </w:r>
      <w:r>
        <w:rPr>
          <w:rFonts w:eastAsia="Times New Roman"/>
          <w:color w:val="000000"/>
          <w:sz w:val="20"/>
          <w:szCs w:val="20"/>
        </w:rPr>
        <w:t>pany performs credit evaluations of its customer, and the risk with respect to accounts receivable is further mitigated by the short duration of customer payment terms, generally within 60 days, and the pedigree of the customer base. During the years ended</w:t>
      </w:r>
      <w:r>
        <w:rPr>
          <w:rFonts w:eastAsia="Times New Roman"/>
          <w:color w:val="000000"/>
          <w:sz w:val="20"/>
          <w:szCs w:val="20"/>
        </w:rPr>
        <w:t xml:space="preserve"> December 31, 2021, 2020 and 2019, Novartis accounted for 100% of the Company’s revenue and accounts receivable.</w:t>
      </w:r>
    </w:p>
    <w:p w:rsidR="00000000" w:rsidRDefault="00FD7D3C">
      <w:pPr>
        <w:ind w:firstLine="720"/>
        <w:divId w:val="1677463348"/>
        <w:rPr>
          <w:rFonts w:eastAsia="Times New Roman"/>
        </w:rPr>
      </w:pPr>
      <w:r>
        <w:rPr>
          <w:rFonts w:eastAsia="Times New Roman"/>
          <w:color w:val="000000"/>
          <w:sz w:val="20"/>
          <w:szCs w:val="20"/>
        </w:rPr>
        <w:t>The Company’s future results of operations involve several other risks and uncertainties. Factors that could affect the Company’s future operat</w:t>
      </w:r>
      <w:r>
        <w:rPr>
          <w:rFonts w:eastAsia="Times New Roman"/>
          <w:color w:val="000000"/>
          <w:sz w:val="20"/>
          <w:szCs w:val="20"/>
        </w:rPr>
        <w:t>ing results and cause actual results to vary materially from expectations include, but are not limited to, uncertainty of results of clinical trials and reaching milestones, uncertainty of regulatory approval of the Company’s product candidates, uncertaint</w:t>
      </w:r>
      <w:r>
        <w:rPr>
          <w:rFonts w:eastAsia="Times New Roman"/>
          <w:color w:val="000000"/>
          <w:sz w:val="20"/>
          <w:szCs w:val="20"/>
        </w:rPr>
        <w:t>y of market acceptance of the Company’s product candidates, competition from substitute products, including those that may be developed or marketed by larger companies, securing and protecting intellectual property, strategic relationships and dependence o</w:t>
      </w:r>
      <w:r>
        <w:rPr>
          <w:rFonts w:eastAsia="Times New Roman"/>
          <w:color w:val="000000"/>
          <w:sz w:val="20"/>
          <w:szCs w:val="20"/>
        </w:rPr>
        <w:t>n key individuals and sole source suppliers.</w:t>
      </w:r>
    </w:p>
    <w:p w:rsidR="00000000" w:rsidRDefault="00FD7D3C">
      <w:pPr>
        <w:ind w:firstLine="720"/>
        <w:divId w:val="1505586153"/>
        <w:rPr>
          <w:rFonts w:eastAsia="Times New Roman"/>
        </w:rPr>
      </w:pPr>
      <w:r>
        <w:rPr>
          <w:rFonts w:eastAsia="Times New Roman"/>
          <w:color w:val="000000"/>
          <w:sz w:val="20"/>
          <w:szCs w:val="20"/>
        </w:rPr>
        <w:t>The Company’s product candidates require approvals from the U.S. Food and Drug Administration (“FDA”) and comparable foreign regulatory agencies prior to commercial sales in their respective jurisdictions. There</w:t>
      </w:r>
      <w:r>
        <w:rPr>
          <w:rFonts w:eastAsia="Times New Roman"/>
          <w:color w:val="000000"/>
          <w:sz w:val="20"/>
          <w:szCs w:val="20"/>
        </w:rPr>
        <w:t xml:space="preserve"> can be no assurance that any product candidates will receive the necessary approvals. If the Company was denied approval, approval was delayed or the Company was unable to maintain approval for any product candidate, it could have a materially adverse imp</w:t>
      </w:r>
      <w:r>
        <w:rPr>
          <w:rFonts w:eastAsia="Times New Roman"/>
          <w:color w:val="000000"/>
          <w:sz w:val="20"/>
          <w:szCs w:val="20"/>
        </w:rPr>
        <w:t>act on the Company.</w:t>
      </w:r>
    </w:p>
    <w:p w:rsidR="00000000" w:rsidRDefault="00FD7D3C">
      <w:pPr>
        <w:divId w:val="1709448376"/>
        <w:rPr>
          <w:rFonts w:eastAsia="Times New Roman"/>
        </w:rPr>
      </w:pPr>
      <w:r>
        <w:rPr>
          <w:rFonts w:eastAsia="Times New Roman"/>
          <w:b/>
          <w:bCs/>
          <w:i/>
          <w:iCs/>
          <w:color w:val="000000"/>
          <w:sz w:val="20"/>
          <w:szCs w:val="20"/>
        </w:rPr>
        <w:t>Segments</w:t>
      </w:r>
    </w:p>
    <w:p w:rsidR="00000000" w:rsidRDefault="00FD7D3C">
      <w:pPr>
        <w:ind w:firstLine="720"/>
        <w:divId w:val="1431852608"/>
        <w:rPr>
          <w:rFonts w:eastAsia="Times New Roman"/>
        </w:rPr>
      </w:pPr>
      <w:r>
        <w:rPr>
          <w:rFonts w:eastAsia="Times New Roman"/>
          <w:color w:val="000000"/>
          <w:sz w:val="20"/>
          <w:szCs w:val="20"/>
        </w:rPr>
        <w:t>The Company operates and manages its business as one reportable and operating segment, which is the business of developing and commercializing novel therapies for fibrotic diseases. The Company’s chief executive officer, who is</w:t>
      </w:r>
      <w:r>
        <w:rPr>
          <w:rFonts w:eastAsia="Times New Roman"/>
          <w:color w:val="000000"/>
          <w:sz w:val="20"/>
          <w:szCs w:val="20"/>
        </w:rPr>
        <w:t xml:space="preserve"> the chief operating decision maker, reviews financial information on an aggregate basis for allocating and evaluating financial performance. All long-lived assets are maintained in the United States of America.</w:t>
      </w:r>
    </w:p>
    <w:p w:rsidR="00000000" w:rsidRDefault="00FD7D3C">
      <w:pPr>
        <w:divId w:val="1962804648"/>
        <w:rPr>
          <w:rFonts w:eastAsia="Times New Roman"/>
        </w:rPr>
      </w:pPr>
      <w:r>
        <w:rPr>
          <w:rFonts w:eastAsia="Times New Roman"/>
          <w:b/>
          <w:bCs/>
          <w:i/>
          <w:iCs/>
          <w:color w:val="000000"/>
          <w:sz w:val="20"/>
          <w:szCs w:val="20"/>
        </w:rPr>
        <w:t>Cash and Cash Equivalents</w:t>
      </w:r>
    </w:p>
    <w:p w:rsidR="00000000" w:rsidRDefault="00FD7D3C">
      <w:pPr>
        <w:ind w:firstLine="720"/>
        <w:divId w:val="178205476"/>
        <w:rPr>
          <w:rFonts w:eastAsia="Times New Roman"/>
        </w:rPr>
      </w:pPr>
      <w:r>
        <w:rPr>
          <w:rFonts w:eastAsia="Times New Roman"/>
          <w:color w:val="000000"/>
          <w:sz w:val="20"/>
          <w:szCs w:val="20"/>
        </w:rPr>
        <w:t>The Company consid</w:t>
      </w:r>
      <w:r>
        <w:rPr>
          <w:rFonts w:eastAsia="Times New Roman"/>
          <w:color w:val="000000"/>
          <w:sz w:val="20"/>
          <w:szCs w:val="20"/>
        </w:rPr>
        <w:t>ers all highly liquid investments purchased with original maturities of three months or less from the purchase date to be cash equivalents. Cash equivalents consist primarily of amounts invested in Money Market Funds, United States (“U.S.”) treasury securi</w:t>
      </w:r>
      <w:r>
        <w:rPr>
          <w:rFonts w:eastAsia="Times New Roman"/>
          <w:color w:val="000000"/>
          <w:sz w:val="20"/>
          <w:szCs w:val="20"/>
        </w:rPr>
        <w:t>ties, U.S. government agency securities and corporate debt securities and are stated at fair value.</w:t>
      </w:r>
    </w:p>
    <w:p w:rsidR="00000000" w:rsidRDefault="00FD7D3C">
      <w:pPr>
        <w:divId w:val="2075932594"/>
        <w:rPr>
          <w:rFonts w:eastAsia="Times New Roman"/>
        </w:rPr>
      </w:pPr>
      <w:r>
        <w:rPr>
          <w:rFonts w:eastAsia="Times New Roman"/>
          <w:b/>
          <w:bCs/>
          <w:i/>
          <w:iCs/>
          <w:color w:val="000000"/>
          <w:sz w:val="20"/>
          <w:szCs w:val="20"/>
        </w:rPr>
        <w:t>Short-Term Investments</w:t>
      </w:r>
    </w:p>
    <w:p w:rsidR="00000000" w:rsidRDefault="00FD7D3C">
      <w:pPr>
        <w:ind w:firstLine="720"/>
        <w:divId w:val="1216510410"/>
        <w:rPr>
          <w:rFonts w:eastAsia="Times New Roman"/>
        </w:rPr>
      </w:pPr>
      <w:r>
        <w:rPr>
          <w:rFonts w:eastAsia="Times New Roman"/>
          <w:color w:val="000000"/>
          <w:sz w:val="20"/>
          <w:szCs w:val="20"/>
        </w:rPr>
        <w:t>The Company’s short-term investments consist of U.S. Treasury securities, U.S. government agency securities and corporate debt securi</w:t>
      </w:r>
      <w:r>
        <w:rPr>
          <w:rFonts w:eastAsia="Times New Roman"/>
          <w:color w:val="000000"/>
          <w:sz w:val="20"/>
          <w:szCs w:val="20"/>
        </w:rPr>
        <w:t>ties with remaining maturities beyond three months at the date of purchase. The Company has classified and accounted for its short-term investments as available-for-sale securities as the Company may sell these securities at any time even prior to maturity</w:t>
      </w:r>
      <w:r>
        <w:rPr>
          <w:rFonts w:eastAsia="Times New Roman"/>
          <w:color w:val="000000"/>
          <w:sz w:val="20"/>
          <w:szCs w:val="20"/>
        </w:rPr>
        <w:t xml:space="preserve"> and such investments represent cash available for current operations. As a result, short-term investments may include securities with maturities beyond twelve months that are classified within </w:t>
      </w:r>
    </w:p>
    <w:p w:rsidR="00000000" w:rsidRDefault="00FD7D3C">
      <w:pPr>
        <w:jc w:val="center"/>
        <w:divId w:val="1937984114"/>
        <w:rPr>
          <w:rFonts w:eastAsia="Times New Roman"/>
        </w:rPr>
      </w:pPr>
      <w:r>
        <w:rPr>
          <w:rFonts w:eastAsia="Times New Roman"/>
          <w:color w:val="000000"/>
          <w:sz w:val="20"/>
          <w:szCs w:val="20"/>
        </w:rPr>
        <w:t>118</w:t>
      </w:r>
    </w:p>
    <w:p w:rsidR="00000000" w:rsidRDefault="00FD7D3C">
      <w:pPr>
        <w:rPr>
          <w:rFonts w:eastAsia="Times New Roman"/>
        </w:rPr>
      </w:pPr>
      <w:r>
        <w:rPr>
          <w:rFonts w:eastAsia="Times New Roman"/>
        </w:rPr>
        <w:pict>
          <v:rect id="_x0000_i1171" style="width:0;height:1.5pt" o:hralign="center" o:hrstd="t" o:hr="t" fillcolor="#a0a0a0" stroked="f"/>
        </w:pict>
      </w:r>
    </w:p>
    <w:p w:rsidR="00000000" w:rsidRDefault="00FD7D3C">
      <w:pPr>
        <w:divId w:val="321810817"/>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divId w:val="823737386"/>
        <w:rPr>
          <w:rFonts w:eastAsia="Times New Roman"/>
        </w:rPr>
      </w:pPr>
      <w:r>
        <w:rPr>
          <w:rFonts w:eastAsia="Times New Roman"/>
          <w:color w:val="000000"/>
          <w:sz w:val="20"/>
          <w:szCs w:val="20"/>
        </w:rPr>
        <w:t>current assets in the Balance Sheets. As of December 31, 2021 and 2020, all of the Company’s short-term investments were classified as available-for-sale and were carried at fair market value with unr</w:t>
      </w:r>
      <w:r>
        <w:rPr>
          <w:rFonts w:eastAsia="Times New Roman"/>
          <w:color w:val="000000"/>
          <w:sz w:val="20"/>
          <w:szCs w:val="20"/>
        </w:rPr>
        <w:t>ealized losses recorded in other comprehensive loss in the statements of operations and comprehensive loss. See Note 3 for further details.</w:t>
      </w:r>
    </w:p>
    <w:p w:rsidR="00000000" w:rsidRDefault="00FD7D3C">
      <w:pPr>
        <w:ind w:firstLine="720"/>
        <w:divId w:val="636490494"/>
        <w:rPr>
          <w:rFonts w:eastAsia="Times New Roman"/>
        </w:rPr>
      </w:pPr>
      <w:r>
        <w:rPr>
          <w:rFonts w:eastAsia="Times New Roman"/>
          <w:color w:val="000000"/>
          <w:sz w:val="20"/>
          <w:szCs w:val="20"/>
        </w:rPr>
        <w:t>Short-term investments are considered impaired when a decline in fair value is judged to be other-than-temporary. Th</w:t>
      </w:r>
      <w:r>
        <w:rPr>
          <w:rFonts w:eastAsia="Times New Roman"/>
          <w:color w:val="000000"/>
          <w:sz w:val="20"/>
          <w:szCs w:val="20"/>
        </w:rPr>
        <w:t>e Company consults with its investment managers and considers available quantitative and qualitative evidence in evaluating potential impairment of its short-term investments on a quarterly basis. If the cost of an individual investment exceeds its fair va</w:t>
      </w:r>
      <w:r>
        <w:rPr>
          <w:rFonts w:eastAsia="Times New Roman"/>
          <w:color w:val="000000"/>
          <w:sz w:val="20"/>
          <w:szCs w:val="20"/>
        </w:rPr>
        <w:t>lue, the Company evaluates, among other factors, general market conditions, the duration and extent to which the fair value is less than cost and its intent and ability to hold the investment. Once a decline in fair value is determined to be other-than-tem</w:t>
      </w:r>
      <w:r>
        <w:rPr>
          <w:rFonts w:eastAsia="Times New Roman"/>
          <w:color w:val="000000"/>
          <w:sz w:val="20"/>
          <w:szCs w:val="20"/>
        </w:rPr>
        <w:t>porary, an impairment charge will be recorded to other expense, net, in the statements of operations and comprehensive loss and a new cost basis in the short-term investment will be established. As of December 31, 2021, the Company had not recorded any imp</w:t>
      </w:r>
      <w:r>
        <w:rPr>
          <w:rFonts w:eastAsia="Times New Roman"/>
          <w:color w:val="000000"/>
          <w:sz w:val="20"/>
          <w:szCs w:val="20"/>
        </w:rPr>
        <w:t>airment related to other-than-temporary declines in the fair value of short-term investments.</w:t>
      </w:r>
    </w:p>
    <w:p w:rsidR="00000000" w:rsidRDefault="00FD7D3C">
      <w:pPr>
        <w:ind w:firstLine="720"/>
        <w:divId w:val="737749735"/>
        <w:rPr>
          <w:rFonts w:eastAsia="Times New Roman"/>
        </w:rPr>
      </w:pPr>
      <w:r>
        <w:rPr>
          <w:rFonts w:eastAsia="Times New Roman"/>
          <w:color w:val="000000"/>
          <w:sz w:val="20"/>
          <w:szCs w:val="20"/>
        </w:rPr>
        <w:t>The Company adopted Accounting Standards Update (“ASU”</w:t>
      </w:r>
      <w:r>
        <w:rPr>
          <w:rFonts w:eastAsia="Times New Roman"/>
          <w:color w:val="000000"/>
          <w:sz w:val="20"/>
          <w:szCs w:val="20"/>
        </w:rPr>
        <w:t>) 2016-13, Financial Instruments - Credit Losses (Topic 326): Measurement of Credit Losses on Financial Instruments (“ASU 2016-13”) as of January 1, 2021, which did not have a significant impact on its financial statements. For available-for-sale debt secu</w:t>
      </w:r>
      <w:r>
        <w:rPr>
          <w:rFonts w:eastAsia="Times New Roman"/>
          <w:color w:val="000000"/>
          <w:sz w:val="20"/>
          <w:szCs w:val="20"/>
        </w:rPr>
        <w:t>rities in unrealized loss positions, ASU 2016-13 requires the Company to record an allowance for credit losses using an expected loss model, which replaces the incurred loss model required under the previous guidance. A credit loss is limited to the amount</w:t>
      </w:r>
      <w:r>
        <w:rPr>
          <w:rFonts w:eastAsia="Times New Roman"/>
          <w:color w:val="000000"/>
          <w:sz w:val="20"/>
          <w:szCs w:val="20"/>
        </w:rPr>
        <w:t xml:space="preserve"> by which the amortized cost of an investment exceeds its fair value. A previously recognized credit loss may be decreased in subsequent periods if the Company’s estimate of fair value for the investment increases. To determine whether to record a credit l</w:t>
      </w:r>
      <w:r>
        <w:rPr>
          <w:rFonts w:eastAsia="Times New Roman"/>
          <w:color w:val="000000"/>
          <w:sz w:val="20"/>
          <w:szCs w:val="20"/>
        </w:rPr>
        <w:t>oss, the Company considers issuer specific credit ratings and historical losses as well as current economic conditions and its expectations for future economic conditions.</w:t>
      </w:r>
    </w:p>
    <w:p w:rsidR="00000000" w:rsidRDefault="00FD7D3C">
      <w:pPr>
        <w:divId w:val="1781948985"/>
        <w:rPr>
          <w:rFonts w:eastAsia="Times New Roman"/>
        </w:rPr>
      </w:pPr>
      <w:r>
        <w:rPr>
          <w:rFonts w:eastAsia="Times New Roman"/>
          <w:b/>
          <w:bCs/>
          <w:i/>
          <w:iCs/>
          <w:color w:val="000000"/>
          <w:sz w:val="20"/>
          <w:szCs w:val="20"/>
        </w:rPr>
        <w:t>Property and Equipment, Net</w:t>
      </w:r>
    </w:p>
    <w:p w:rsidR="00000000" w:rsidRDefault="00FD7D3C">
      <w:pPr>
        <w:ind w:firstLine="720"/>
        <w:divId w:val="1203635039"/>
        <w:rPr>
          <w:rFonts w:eastAsia="Times New Roman"/>
        </w:rPr>
      </w:pPr>
      <w:r>
        <w:rPr>
          <w:rFonts w:eastAsia="Times New Roman"/>
          <w:color w:val="000000"/>
          <w:sz w:val="20"/>
          <w:szCs w:val="20"/>
        </w:rPr>
        <w:t>Property and equipment are recorded at cost net of accum</w:t>
      </w:r>
      <w:r>
        <w:rPr>
          <w:rFonts w:eastAsia="Times New Roman"/>
          <w:color w:val="000000"/>
          <w:sz w:val="20"/>
          <w:szCs w:val="20"/>
        </w:rPr>
        <w:t>ulated depreciation and amortization. Property and equipment are depreciated using the straight-line method over the estimated useful lives of the assets. The useful lives of property and equipment are as follows:</w:t>
      </w:r>
    </w:p>
    <w:tbl>
      <w:tblPr>
        <w:tblW w:w="5000" w:type="pct"/>
        <w:tblCellMar>
          <w:top w:w="15" w:type="dxa"/>
          <w:left w:w="15" w:type="dxa"/>
          <w:bottom w:w="15" w:type="dxa"/>
          <w:right w:w="15" w:type="dxa"/>
        </w:tblCellMar>
        <w:tblLook w:val="04A0" w:firstRow="1" w:lastRow="0" w:firstColumn="1" w:lastColumn="0" w:noHBand="0" w:noVBand="1"/>
      </w:tblPr>
      <w:tblGrid>
        <w:gridCol w:w="69"/>
        <w:gridCol w:w="4034"/>
        <w:gridCol w:w="37"/>
        <w:gridCol w:w="70"/>
        <w:gridCol w:w="4060"/>
        <w:gridCol w:w="36"/>
      </w:tblGrid>
      <w:tr w:rsidR="00000000">
        <w:trPr>
          <w:divId w:val="1666282765"/>
        </w:trPr>
        <w:tc>
          <w:tcPr>
            <w:tcW w:w="50" w:type="pct"/>
            <w:vAlign w:val="center"/>
            <w:hideMark/>
          </w:tcPr>
          <w:p w:rsidR="00000000" w:rsidRDefault="00FD7D3C">
            <w:pPr>
              <w:ind w:firstLine="720"/>
              <w:rPr>
                <w:rFonts w:eastAsia="Times New Roman"/>
              </w:rPr>
            </w:pPr>
          </w:p>
        </w:tc>
        <w:tc>
          <w:tcPr>
            <w:tcW w:w="2437"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2452"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r>
      <w:tr w:rsidR="00000000">
        <w:trPr>
          <w:divId w:val="1666282765"/>
        </w:trPr>
        <w:tc>
          <w:tcPr>
            <w:tcW w:w="0" w:type="auto"/>
            <w:gridSpan w:val="3"/>
            <w:shd w:val="clear" w:color="auto" w:fill="CFF0FC"/>
            <w:tcMar>
              <w:top w:w="30" w:type="dxa"/>
              <w:left w:w="20" w:type="dxa"/>
              <w:bottom w:w="30" w:type="dxa"/>
              <w:right w:w="20" w:type="dxa"/>
            </w:tcMar>
            <w:vAlign w:val="bottom"/>
            <w:hideMark/>
          </w:tcPr>
          <w:p w:rsidR="00000000" w:rsidRDefault="00FD7D3C">
            <w:pPr>
              <w:spacing w:after="100"/>
              <w:rPr>
                <w:rFonts w:eastAsia="Times New Roman"/>
              </w:rPr>
            </w:pPr>
            <w:r>
              <w:rPr>
                <w:rFonts w:eastAsia="Times New Roman"/>
                <w:color w:val="000000"/>
                <w:sz w:val="20"/>
                <w:szCs w:val="20"/>
              </w:rPr>
              <w:t>Laboratory equipment</w:t>
            </w:r>
          </w:p>
        </w:tc>
        <w:tc>
          <w:tcPr>
            <w:tcW w:w="0" w:type="auto"/>
            <w:gridSpan w:val="3"/>
            <w:shd w:val="clear" w:color="auto" w:fill="CFF0FC"/>
            <w:tcMar>
              <w:top w:w="30" w:type="dxa"/>
              <w:left w:w="20" w:type="dxa"/>
              <w:bottom w:w="30" w:type="dxa"/>
              <w:right w:w="20" w:type="dxa"/>
            </w:tcMar>
            <w:vAlign w:val="bottom"/>
            <w:hideMark/>
          </w:tcPr>
          <w:p w:rsidR="00000000" w:rsidRDefault="00FD7D3C">
            <w:pPr>
              <w:spacing w:after="100"/>
              <w:rPr>
                <w:rFonts w:eastAsia="Times New Roman"/>
              </w:rPr>
            </w:pPr>
            <w:r>
              <w:rPr>
                <w:rFonts w:eastAsia="Times New Roman"/>
                <w:color w:val="000000"/>
                <w:sz w:val="20"/>
                <w:szCs w:val="20"/>
              </w:rPr>
              <w:t>5 years</w:t>
            </w:r>
          </w:p>
        </w:tc>
      </w:tr>
      <w:tr w:rsidR="00000000">
        <w:trPr>
          <w:divId w:val="1666282765"/>
        </w:trPr>
        <w:tc>
          <w:tcPr>
            <w:tcW w:w="0" w:type="auto"/>
            <w:gridSpan w:val="3"/>
            <w:tcMar>
              <w:top w:w="30" w:type="dxa"/>
              <w:left w:w="20" w:type="dxa"/>
              <w:bottom w:w="30" w:type="dxa"/>
              <w:right w:w="20" w:type="dxa"/>
            </w:tcMar>
            <w:vAlign w:val="bottom"/>
            <w:hideMark/>
          </w:tcPr>
          <w:p w:rsidR="00000000" w:rsidRDefault="00FD7D3C">
            <w:pPr>
              <w:spacing w:after="100"/>
              <w:rPr>
                <w:rFonts w:eastAsia="Times New Roman"/>
              </w:rPr>
            </w:pPr>
            <w:r>
              <w:rPr>
                <w:rFonts w:eastAsia="Times New Roman"/>
                <w:color w:val="000000"/>
                <w:sz w:val="20"/>
                <w:szCs w:val="20"/>
              </w:rPr>
              <w:t>Computer equipment and software</w:t>
            </w:r>
          </w:p>
        </w:tc>
        <w:tc>
          <w:tcPr>
            <w:tcW w:w="0" w:type="auto"/>
            <w:gridSpan w:val="3"/>
            <w:tcMar>
              <w:top w:w="30" w:type="dxa"/>
              <w:left w:w="20" w:type="dxa"/>
              <w:bottom w:w="30" w:type="dxa"/>
              <w:right w:w="20" w:type="dxa"/>
            </w:tcMar>
            <w:vAlign w:val="bottom"/>
            <w:hideMark/>
          </w:tcPr>
          <w:p w:rsidR="00000000" w:rsidRDefault="00FD7D3C">
            <w:pPr>
              <w:spacing w:after="100"/>
              <w:rPr>
                <w:rFonts w:eastAsia="Times New Roman"/>
              </w:rPr>
            </w:pPr>
            <w:r>
              <w:rPr>
                <w:rFonts w:eastAsia="Times New Roman"/>
                <w:color w:val="000000"/>
                <w:sz w:val="20"/>
                <w:szCs w:val="20"/>
              </w:rPr>
              <w:t>3 years</w:t>
            </w:r>
          </w:p>
        </w:tc>
      </w:tr>
      <w:tr w:rsidR="00000000">
        <w:trPr>
          <w:divId w:val="1666282765"/>
        </w:trPr>
        <w:tc>
          <w:tcPr>
            <w:tcW w:w="0" w:type="auto"/>
            <w:gridSpan w:val="3"/>
            <w:shd w:val="clear" w:color="auto" w:fill="CFF0FC"/>
            <w:tcMar>
              <w:top w:w="30" w:type="dxa"/>
              <w:left w:w="20" w:type="dxa"/>
              <w:bottom w:w="30" w:type="dxa"/>
              <w:right w:w="20" w:type="dxa"/>
            </w:tcMar>
            <w:vAlign w:val="bottom"/>
            <w:hideMark/>
          </w:tcPr>
          <w:p w:rsidR="00000000" w:rsidRDefault="00FD7D3C">
            <w:pPr>
              <w:spacing w:after="100"/>
              <w:rPr>
                <w:rFonts w:eastAsia="Times New Roman"/>
              </w:rPr>
            </w:pPr>
            <w:r>
              <w:rPr>
                <w:rFonts w:eastAsia="Times New Roman"/>
                <w:color w:val="000000"/>
                <w:sz w:val="20"/>
                <w:szCs w:val="20"/>
              </w:rPr>
              <w:t>Leasehold improvements</w:t>
            </w:r>
          </w:p>
        </w:tc>
        <w:tc>
          <w:tcPr>
            <w:tcW w:w="0" w:type="auto"/>
            <w:gridSpan w:val="3"/>
            <w:shd w:val="clear" w:color="auto" w:fill="CFF0FC"/>
            <w:tcMar>
              <w:top w:w="30" w:type="dxa"/>
              <w:left w:w="20" w:type="dxa"/>
              <w:bottom w:w="30" w:type="dxa"/>
              <w:right w:w="20" w:type="dxa"/>
            </w:tcMar>
            <w:vAlign w:val="bottom"/>
            <w:hideMark/>
          </w:tcPr>
          <w:p w:rsidR="00000000" w:rsidRDefault="00FD7D3C">
            <w:pPr>
              <w:spacing w:after="100"/>
              <w:rPr>
                <w:rFonts w:eastAsia="Times New Roman"/>
              </w:rPr>
            </w:pPr>
            <w:r>
              <w:rPr>
                <w:rFonts w:eastAsia="Times New Roman"/>
                <w:color w:val="000000"/>
                <w:sz w:val="20"/>
                <w:szCs w:val="20"/>
              </w:rPr>
              <w:t>Shorter of remaining lease term or estimated useful life</w:t>
            </w:r>
          </w:p>
        </w:tc>
      </w:tr>
    </w:tbl>
    <w:p w:rsidR="00000000" w:rsidRDefault="00FD7D3C">
      <w:pPr>
        <w:ind w:firstLine="720"/>
        <w:divId w:val="397754732"/>
        <w:rPr>
          <w:rFonts w:eastAsia="Times New Roman"/>
        </w:rPr>
      </w:pPr>
      <w:r>
        <w:rPr>
          <w:rFonts w:eastAsia="Times New Roman"/>
          <w:color w:val="000000"/>
          <w:sz w:val="20"/>
          <w:szCs w:val="20"/>
        </w:rPr>
        <w:t>Upon retirement or sale of the assets, the cost and related accumulated depreciation and amortization are removed from the balance sheets and the resulting gain or loss is recorded to the statements of operations and comprehensive loss. Repairs and mainten</w:t>
      </w:r>
      <w:r>
        <w:rPr>
          <w:rFonts w:eastAsia="Times New Roman"/>
          <w:color w:val="000000"/>
          <w:sz w:val="20"/>
          <w:szCs w:val="20"/>
        </w:rPr>
        <w:t>ance are expensed as incurred.</w:t>
      </w:r>
    </w:p>
    <w:p w:rsidR="00000000" w:rsidRDefault="00FD7D3C">
      <w:pPr>
        <w:divId w:val="2006127560"/>
        <w:rPr>
          <w:rFonts w:eastAsia="Times New Roman"/>
        </w:rPr>
      </w:pPr>
    </w:p>
    <w:p w:rsidR="00000000" w:rsidRDefault="00FD7D3C">
      <w:pPr>
        <w:divId w:val="1668094023"/>
        <w:rPr>
          <w:rFonts w:eastAsia="Times New Roman"/>
        </w:rPr>
      </w:pPr>
      <w:r>
        <w:rPr>
          <w:rFonts w:eastAsia="Times New Roman"/>
          <w:b/>
          <w:bCs/>
          <w:i/>
          <w:iCs/>
          <w:color w:val="000000"/>
          <w:sz w:val="20"/>
          <w:szCs w:val="20"/>
        </w:rPr>
        <w:t>Leases</w:t>
      </w:r>
    </w:p>
    <w:p w:rsidR="00000000" w:rsidRDefault="00FD7D3C">
      <w:pPr>
        <w:ind w:firstLine="720"/>
        <w:divId w:val="1740979092"/>
        <w:rPr>
          <w:rFonts w:eastAsia="Times New Roman"/>
        </w:rPr>
      </w:pPr>
      <w:r>
        <w:rPr>
          <w:rFonts w:eastAsia="Times New Roman"/>
          <w:color w:val="000000"/>
          <w:sz w:val="20"/>
          <w:szCs w:val="20"/>
        </w:rPr>
        <w:t>Upon adoption of Accounting Standards Codification (“ASC”) Topic 842, Leases (“ASC 842”</w:t>
      </w:r>
      <w:r>
        <w:rPr>
          <w:rFonts w:eastAsia="Times New Roman"/>
          <w:color w:val="000000"/>
          <w:sz w:val="20"/>
          <w:szCs w:val="20"/>
        </w:rPr>
        <w:t>), the Company determines if an arrangement contains a lease at the inception of the contract and a records right-of-use (“ROU”) asset and lease liability on the balance sheet at lease commencement based on the present value of remaining lease payments ove</w:t>
      </w:r>
      <w:r>
        <w:rPr>
          <w:rFonts w:eastAsia="Times New Roman"/>
          <w:color w:val="000000"/>
          <w:sz w:val="20"/>
          <w:szCs w:val="20"/>
        </w:rPr>
        <w:t>r the lease term. The Company only considers payments that are fixed and determinable at the time of commencement.</w:t>
      </w:r>
    </w:p>
    <w:p w:rsidR="00000000" w:rsidRDefault="00FD7D3C">
      <w:pPr>
        <w:ind w:firstLine="720"/>
        <w:divId w:val="982083689"/>
        <w:rPr>
          <w:rFonts w:eastAsia="Times New Roman"/>
        </w:rPr>
      </w:pPr>
      <w:r>
        <w:rPr>
          <w:rFonts w:eastAsia="Times New Roman"/>
          <w:color w:val="000000"/>
          <w:sz w:val="20"/>
          <w:szCs w:val="20"/>
        </w:rPr>
        <w:t>For leases with an initial term greater than 12 months, lease liabilities are recognized based on the present value of the future minimum lea</w:t>
      </w:r>
      <w:r>
        <w:rPr>
          <w:rFonts w:eastAsia="Times New Roman"/>
          <w:color w:val="000000"/>
          <w:sz w:val="20"/>
          <w:szCs w:val="20"/>
        </w:rPr>
        <w:t>se payments discounted by the Company’s estimated incremental borrowing rate. The Company measures ROU assets based on the corresponding lease liability adjusted for (i) payments made to the lessor at or before the commencement date, (ii) initial direct co</w:t>
      </w:r>
      <w:r>
        <w:rPr>
          <w:rFonts w:eastAsia="Times New Roman"/>
          <w:color w:val="000000"/>
          <w:sz w:val="20"/>
          <w:szCs w:val="20"/>
        </w:rPr>
        <w:t>sts incurred and (iii) tenant incentives under the lease. The Company’s lease terms may include options to extend or terminate the lease when it is reasonably certain that it will exercise that option. Lease expense for minimum lease payments is recognized</w:t>
      </w:r>
      <w:r>
        <w:rPr>
          <w:rFonts w:eastAsia="Times New Roman"/>
          <w:color w:val="000000"/>
          <w:sz w:val="20"/>
          <w:szCs w:val="20"/>
        </w:rPr>
        <w:t xml:space="preserve"> on a straight-line basis over the lease term.</w:t>
      </w:r>
    </w:p>
    <w:p w:rsidR="00000000" w:rsidRDefault="00FD7D3C">
      <w:pPr>
        <w:ind w:firstLine="720"/>
        <w:divId w:val="1005396064"/>
        <w:rPr>
          <w:rFonts w:eastAsia="Times New Roman"/>
        </w:rPr>
      </w:pPr>
      <w:r>
        <w:rPr>
          <w:rFonts w:eastAsia="Times New Roman"/>
          <w:color w:val="000000"/>
          <w:sz w:val="20"/>
          <w:szCs w:val="20"/>
        </w:rPr>
        <w:t>The Company calculates the present value of future minimum lease payments using its estimated incremental borrowing rate when the discount rate implicit in the lease is not known. The incremental borrowing rat</w:t>
      </w:r>
      <w:r>
        <w:rPr>
          <w:rFonts w:eastAsia="Times New Roman"/>
          <w:color w:val="000000"/>
          <w:sz w:val="20"/>
          <w:szCs w:val="20"/>
        </w:rPr>
        <w:t>e is the rate of interest that a lessee would have to pay to borrow on a collateralized basis over a similar term at an amount equal to the lease payments in a similar economic environment. In determining its incremental borrowing rate, the Company gives c</w:t>
      </w:r>
      <w:r>
        <w:rPr>
          <w:rFonts w:eastAsia="Times New Roman"/>
          <w:color w:val="000000"/>
          <w:sz w:val="20"/>
          <w:szCs w:val="20"/>
        </w:rPr>
        <w:t>onsideration to its credit risk, term of the lease, total lease payments and an analysis of peer companies with profiles similar to its own.</w:t>
      </w:r>
    </w:p>
    <w:p w:rsidR="00000000" w:rsidRDefault="00FD7D3C">
      <w:pPr>
        <w:ind w:firstLine="720"/>
        <w:divId w:val="242883938"/>
        <w:rPr>
          <w:rFonts w:eastAsia="Times New Roman"/>
        </w:rPr>
      </w:pPr>
      <w:r>
        <w:rPr>
          <w:rFonts w:eastAsia="Times New Roman"/>
          <w:color w:val="000000"/>
          <w:sz w:val="20"/>
          <w:szCs w:val="20"/>
        </w:rPr>
        <w:t xml:space="preserve">The Company has elected the short-term lease practical expedient to exclude leases with a term less than 12 months </w:t>
      </w:r>
      <w:r>
        <w:rPr>
          <w:rFonts w:eastAsia="Times New Roman"/>
          <w:color w:val="000000"/>
          <w:sz w:val="20"/>
          <w:szCs w:val="20"/>
        </w:rPr>
        <w:t xml:space="preserve">from its ROU assets and lease liabilities. The Company records rent expense for short-term leases in its statements </w:t>
      </w:r>
    </w:p>
    <w:p w:rsidR="00000000" w:rsidRDefault="00FD7D3C">
      <w:pPr>
        <w:jc w:val="center"/>
        <w:divId w:val="1116488199"/>
        <w:rPr>
          <w:rFonts w:eastAsia="Times New Roman"/>
        </w:rPr>
      </w:pPr>
      <w:r>
        <w:rPr>
          <w:rFonts w:eastAsia="Times New Roman"/>
          <w:color w:val="000000"/>
          <w:sz w:val="20"/>
          <w:szCs w:val="20"/>
        </w:rPr>
        <w:t>119</w:t>
      </w:r>
    </w:p>
    <w:p w:rsidR="00000000" w:rsidRDefault="00FD7D3C">
      <w:pPr>
        <w:rPr>
          <w:rFonts w:eastAsia="Times New Roman"/>
        </w:rPr>
      </w:pPr>
      <w:r>
        <w:rPr>
          <w:rFonts w:eastAsia="Times New Roman"/>
        </w:rPr>
        <w:pict>
          <v:rect id="_x0000_i1172" style="width:0;height:1.5pt" o:hralign="center" o:hrstd="t" o:hr="t" fillcolor="#a0a0a0" stroked="f"/>
        </w:pict>
      </w:r>
    </w:p>
    <w:p w:rsidR="00000000" w:rsidRDefault="00FD7D3C">
      <w:pPr>
        <w:divId w:val="688874012"/>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divId w:val="1805804447"/>
        <w:rPr>
          <w:rFonts w:eastAsia="Times New Roman"/>
        </w:rPr>
      </w:pPr>
      <w:r>
        <w:rPr>
          <w:rFonts w:eastAsia="Times New Roman"/>
          <w:color w:val="000000"/>
          <w:sz w:val="20"/>
          <w:szCs w:val="20"/>
        </w:rPr>
        <w:t>of operations on a str</w:t>
      </w:r>
      <w:r>
        <w:rPr>
          <w:rFonts w:eastAsia="Times New Roman"/>
          <w:color w:val="000000"/>
          <w:sz w:val="20"/>
          <w:szCs w:val="20"/>
        </w:rPr>
        <w:t>aight-line basis over the lease term and records variable lease payments as incurred. The Company has also elected to not separate lease and non-lease components and, as a result, accounts for any lease and non-lease components as a single lease component.</w:t>
      </w:r>
    </w:p>
    <w:p w:rsidR="00000000" w:rsidRDefault="00FD7D3C">
      <w:pPr>
        <w:divId w:val="1636829801"/>
        <w:rPr>
          <w:rFonts w:eastAsia="Times New Roman"/>
        </w:rPr>
      </w:pPr>
      <w:r>
        <w:rPr>
          <w:rFonts w:eastAsia="Times New Roman"/>
          <w:b/>
          <w:bCs/>
          <w:i/>
          <w:iCs/>
          <w:color w:val="000000"/>
          <w:sz w:val="20"/>
          <w:szCs w:val="20"/>
        </w:rPr>
        <w:t>Impairment of Long-Lived Assets</w:t>
      </w:r>
    </w:p>
    <w:p w:rsidR="00000000" w:rsidRDefault="00FD7D3C">
      <w:pPr>
        <w:ind w:firstLine="720"/>
        <w:divId w:val="1804150795"/>
        <w:rPr>
          <w:rFonts w:eastAsia="Times New Roman"/>
        </w:rPr>
      </w:pPr>
      <w:r>
        <w:rPr>
          <w:rFonts w:eastAsia="Times New Roman"/>
          <w:color w:val="000000"/>
          <w:sz w:val="20"/>
          <w:szCs w:val="20"/>
        </w:rPr>
        <w:t>Long-lived assets are reviewed for impairment whenever events or changes in circumstances indicate that the carrying amount of an asset may not be recoverable. Recoverability of assets to be held and used is measured by a c</w:t>
      </w:r>
      <w:r>
        <w:rPr>
          <w:rFonts w:eastAsia="Times New Roman"/>
          <w:color w:val="000000"/>
          <w:sz w:val="20"/>
          <w:szCs w:val="20"/>
        </w:rPr>
        <w:t xml:space="preserve">omparison of the carrying amount of an asset to future net cash flows expected to be generated by the asset. If the carrying amount of an asset exceeds its estimated future cash flows, an impairment charge is recognized by the amount by which the carrying </w:t>
      </w:r>
      <w:r>
        <w:rPr>
          <w:rFonts w:eastAsia="Times New Roman"/>
          <w:color w:val="000000"/>
          <w:sz w:val="20"/>
          <w:szCs w:val="20"/>
        </w:rPr>
        <w:t>amount of the asset exceeds the fair value of the asset. There was no impairment of long-lived assets during the years ended December 31, 2021, 2020 and 2019.</w:t>
      </w:r>
    </w:p>
    <w:p w:rsidR="00000000" w:rsidRDefault="00FD7D3C">
      <w:pPr>
        <w:divId w:val="1192568575"/>
        <w:rPr>
          <w:rFonts w:eastAsia="Times New Roman"/>
        </w:rPr>
      </w:pPr>
      <w:r>
        <w:rPr>
          <w:rFonts w:eastAsia="Times New Roman"/>
          <w:b/>
          <w:bCs/>
          <w:i/>
          <w:iCs/>
          <w:color w:val="000000"/>
          <w:sz w:val="20"/>
          <w:szCs w:val="20"/>
        </w:rPr>
        <w:t>Redeemable Convertible Preferred Stock</w:t>
      </w:r>
    </w:p>
    <w:p w:rsidR="00000000" w:rsidRDefault="00FD7D3C">
      <w:pPr>
        <w:ind w:firstLine="720"/>
        <w:divId w:val="248127775"/>
        <w:rPr>
          <w:rFonts w:eastAsia="Times New Roman"/>
        </w:rPr>
      </w:pPr>
      <w:r>
        <w:rPr>
          <w:rFonts w:eastAsia="Times New Roman"/>
          <w:color w:val="000000"/>
          <w:sz w:val="20"/>
          <w:szCs w:val="20"/>
        </w:rPr>
        <w:t>All preferred stock was automatically converted into commo</w:t>
      </w:r>
      <w:r>
        <w:rPr>
          <w:rFonts w:eastAsia="Times New Roman"/>
          <w:color w:val="000000"/>
          <w:sz w:val="20"/>
          <w:szCs w:val="20"/>
        </w:rPr>
        <w:t>n stock upon the Company’s IPO in June 2020. Prior to this conversion, the Company classified redeemable convertible preferred stock outside of stockholders’ equity (deficit) because, upon the occurrence of certain change in control events that were outsid</w:t>
      </w:r>
      <w:r>
        <w:rPr>
          <w:rFonts w:eastAsia="Times New Roman"/>
          <w:color w:val="000000"/>
          <w:sz w:val="20"/>
          <w:szCs w:val="20"/>
        </w:rPr>
        <w:t>e the Company’s control, including liquidation, sale or transfer of the Company’s assets, holders of the redeemable convertible preferred stock could have caused redemption for cash. At any time on or after December 19, 2024, the holders of a majority of t</w:t>
      </w:r>
      <w:r>
        <w:rPr>
          <w:rFonts w:eastAsia="Times New Roman"/>
          <w:color w:val="000000"/>
          <w:sz w:val="20"/>
          <w:szCs w:val="20"/>
        </w:rPr>
        <w:t>he outstanding redeemable convertible preferred stock could also have required the Company to redeem the redeemable convertible preferred stock by providing the Company a written notice requesting such redemption. The Company recognized changes in the rede</w:t>
      </w:r>
      <w:r>
        <w:rPr>
          <w:rFonts w:eastAsia="Times New Roman"/>
          <w:color w:val="000000"/>
          <w:sz w:val="20"/>
          <w:szCs w:val="20"/>
        </w:rPr>
        <w:t>mption value immediately as they occurred, for example changes in fair value of preferred stock, and adjustments in the carrying amount of the redeemable convertible preferred stock to equal the redemption value at the end of each reporting period up throu</w:t>
      </w:r>
      <w:r>
        <w:rPr>
          <w:rFonts w:eastAsia="Times New Roman"/>
          <w:color w:val="000000"/>
          <w:sz w:val="20"/>
          <w:szCs w:val="20"/>
        </w:rPr>
        <w:t>gh December 19, 2019, when the Company entered into the Series C Preferred Stock Purchase Agreement. See Note 9 for further details. In the absence of retained earnings these accretion charges were recorded against additional paid in capital, if any, and t</w:t>
      </w:r>
      <w:r>
        <w:rPr>
          <w:rFonts w:eastAsia="Times New Roman"/>
          <w:color w:val="000000"/>
          <w:sz w:val="20"/>
          <w:szCs w:val="20"/>
        </w:rPr>
        <w:t>hen to accumulated deficit. The Company analyzed all embedded derivatives and beneficial conversion features for its redeemable convertible preferred stock and concluded that none required bifurcation.</w:t>
      </w:r>
    </w:p>
    <w:p w:rsidR="00000000" w:rsidRDefault="00FD7D3C">
      <w:pPr>
        <w:divId w:val="1091704421"/>
        <w:rPr>
          <w:rFonts w:eastAsia="Times New Roman"/>
        </w:rPr>
      </w:pPr>
      <w:r>
        <w:rPr>
          <w:rFonts w:eastAsia="Times New Roman"/>
          <w:b/>
          <w:bCs/>
          <w:i/>
          <w:iCs/>
          <w:color w:val="000000"/>
          <w:sz w:val="20"/>
          <w:szCs w:val="20"/>
        </w:rPr>
        <w:t>Research and Development Expenses</w:t>
      </w:r>
    </w:p>
    <w:p w:rsidR="00000000" w:rsidRDefault="00FD7D3C">
      <w:pPr>
        <w:ind w:firstLine="720"/>
        <w:divId w:val="831485934"/>
        <w:rPr>
          <w:rFonts w:eastAsia="Times New Roman"/>
        </w:rPr>
      </w:pPr>
      <w:r>
        <w:rPr>
          <w:rFonts w:eastAsia="Times New Roman"/>
          <w:color w:val="000000"/>
          <w:sz w:val="20"/>
          <w:szCs w:val="20"/>
        </w:rPr>
        <w:t>Research and develop</w:t>
      </w:r>
      <w:r>
        <w:rPr>
          <w:rFonts w:eastAsia="Times New Roman"/>
          <w:color w:val="000000"/>
          <w:sz w:val="20"/>
          <w:szCs w:val="20"/>
        </w:rPr>
        <w:t>ment costs are expensed as incurred. Research and development expenses consist primarily of personnel costs for the Company’s research and development employees. Also included are non-personnel costs such as fees paid to consultants and third parties for p</w:t>
      </w:r>
      <w:r>
        <w:rPr>
          <w:rFonts w:eastAsia="Times New Roman"/>
          <w:color w:val="000000"/>
          <w:sz w:val="20"/>
          <w:szCs w:val="20"/>
        </w:rPr>
        <w:t>reclinical and clinical studies, research and development services, laboratory supplies and equipment maintenance costs, license costs, contract manufacturing costs and allocations of facility related costs. The Company estimates preclinical and clinical s</w:t>
      </w:r>
      <w:r>
        <w:rPr>
          <w:rFonts w:eastAsia="Times New Roman"/>
          <w:color w:val="000000"/>
          <w:sz w:val="20"/>
          <w:szCs w:val="20"/>
        </w:rPr>
        <w:t>tudies and research expenses based on the services performed, pursuant to contracts with research institutions that conduct and manage preclinical and clinical studies and research services on its behalf. We estimate the amount of work completed through re</w:t>
      </w:r>
      <w:r>
        <w:rPr>
          <w:rFonts w:eastAsia="Times New Roman"/>
          <w:color w:val="000000"/>
          <w:sz w:val="20"/>
          <w:szCs w:val="20"/>
        </w:rPr>
        <w:t>view of detailed budgets and timelines included in our contracts and agreements, and update these estimates with information obtained from third-party service providers and internal personnel on a quarterly basis. If the actual timing of the performance of</w:t>
      </w:r>
      <w:r>
        <w:rPr>
          <w:rFonts w:eastAsia="Times New Roman"/>
          <w:color w:val="000000"/>
          <w:sz w:val="20"/>
          <w:szCs w:val="20"/>
        </w:rPr>
        <w:t xml:space="preserve"> services or the level of effort varies from the original estimates, the Company will adjust the accrual accordingly. Payments made to third parties under these arrangements in advance of the performance of the related services are recorded as prepaid expe</w:t>
      </w:r>
      <w:r>
        <w:rPr>
          <w:rFonts w:eastAsia="Times New Roman"/>
          <w:color w:val="000000"/>
          <w:sz w:val="20"/>
          <w:szCs w:val="20"/>
        </w:rPr>
        <w:t>nses and are expensed as services are rendered.</w:t>
      </w:r>
    </w:p>
    <w:p w:rsidR="00000000" w:rsidRDefault="00FD7D3C">
      <w:pPr>
        <w:ind w:firstLine="720"/>
        <w:divId w:val="12537069"/>
        <w:rPr>
          <w:rFonts w:eastAsia="Times New Roman"/>
        </w:rPr>
      </w:pPr>
      <w:r>
        <w:rPr>
          <w:rFonts w:eastAsia="Times New Roman"/>
          <w:color w:val="000000"/>
          <w:sz w:val="20"/>
          <w:szCs w:val="20"/>
        </w:rPr>
        <w:t>Payments associated with licensing agreements to acquire exclusive licenses to develop, use, manufacture and commercialize products that have not reached technological feasibility and do not have alternate co</w:t>
      </w:r>
      <w:r>
        <w:rPr>
          <w:rFonts w:eastAsia="Times New Roman"/>
          <w:color w:val="000000"/>
          <w:sz w:val="20"/>
          <w:szCs w:val="20"/>
        </w:rPr>
        <w:t>mmercial use are expensed as incurred.</w:t>
      </w:r>
    </w:p>
    <w:p w:rsidR="00000000" w:rsidRDefault="00FD7D3C">
      <w:pPr>
        <w:divId w:val="1134979370"/>
        <w:rPr>
          <w:rFonts w:eastAsia="Times New Roman"/>
        </w:rPr>
      </w:pPr>
      <w:r>
        <w:rPr>
          <w:rFonts w:eastAsia="Times New Roman"/>
          <w:b/>
          <w:bCs/>
          <w:i/>
          <w:iCs/>
          <w:color w:val="000000"/>
          <w:sz w:val="20"/>
          <w:szCs w:val="20"/>
        </w:rPr>
        <w:t>Stock-Based Compensation</w:t>
      </w:r>
    </w:p>
    <w:p w:rsidR="00000000" w:rsidRDefault="00FD7D3C">
      <w:pPr>
        <w:ind w:firstLine="720"/>
        <w:divId w:val="183714029"/>
        <w:rPr>
          <w:rFonts w:eastAsia="Times New Roman"/>
        </w:rPr>
      </w:pPr>
      <w:r>
        <w:rPr>
          <w:rFonts w:eastAsia="Times New Roman"/>
          <w:color w:val="000000"/>
          <w:sz w:val="20"/>
          <w:szCs w:val="20"/>
        </w:rPr>
        <w:t>The Company’s stock-based equity awards include restricted stock awards, stock options and shares that will be issued under the Company’s 2020 Employee Stock Purchase Plan (“ESPP”). Stock-base</w:t>
      </w:r>
      <w:r>
        <w:rPr>
          <w:rFonts w:eastAsia="Times New Roman"/>
          <w:color w:val="000000"/>
          <w:sz w:val="20"/>
          <w:szCs w:val="20"/>
        </w:rPr>
        <w:t>d compensation for awards that are granted to employees is accounted at fair value on the award grant date and the expense is recognized over the period the employee is required to provide service in exchange for the award, which is generally on a straight</w:t>
      </w:r>
      <w:r>
        <w:rPr>
          <w:rFonts w:eastAsia="Times New Roman"/>
          <w:color w:val="000000"/>
          <w:sz w:val="20"/>
          <w:szCs w:val="20"/>
        </w:rPr>
        <w:t>-line basis over the vesting period of the award. The expense is recorded in either research and development or general and administrative expenses in the statements of operations and comprehensive loss based on the function to which the related services a</w:t>
      </w:r>
      <w:r>
        <w:rPr>
          <w:rFonts w:eastAsia="Times New Roman"/>
          <w:color w:val="000000"/>
          <w:sz w:val="20"/>
          <w:szCs w:val="20"/>
        </w:rPr>
        <w:t>re provided. Forfeitures are accounted for as they occur.</w:t>
      </w:r>
    </w:p>
    <w:p w:rsidR="00000000" w:rsidRDefault="00FD7D3C">
      <w:pPr>
        <w:jc w:val="center"/>
        <w:divId w:val="1919823362"/>
        <w:rPr>
          <w:rFonts w:eastAsia="Times New Roman"/>
        </w:rPr>
      </w:pPr>
      <w:r>
        <w:rPr>
          <w:rFonts w:eastAsia="Times New Roman"/>
          <w:color w:val="000000"/>
          <w:sz w:val="20"/>
          <w:szCs w:val="20"/>
        </w:rPr>
        <w:t>120</w:t>
      </w:r>
    </w:p>
    <w:p w:rsidR="00000000" w:rsidRDefault="00FD7D3C">
      <w:pPr>
        <w:rPr>
          <w:rFonts w:eastAsia="Times New Roman"/>
        </w:rPr>
      </w:pPr>
      <w:r>
        <w:rPr>
          <w:rFonts w:eastAsia="Times New Roman"/>
        </w:rPr>
        <w:pict>
          <v:rect id="_x0000_i1173" style="width:0;height:1.5pt" o:hralign="center" o:hrstd="t" o:hr="t" fillcolor="#a0a0a0" stroked="f"/>
        </w:pict>
      </w:r>
    </w:p>
    <w:p w:rsidR="00000000" w:rsidRDefault="00FD7D3C">
      <w:pPr>
        <w:divId w:val="1248465798"/>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ind w:firstLine="720"/>
        <w:divId w:val="1648364118"/>
        <w:rPr>
          <w:rFonts w:eastAsia="Times New Roman"/>
        </w:rPr>
      </w:pPr>
      <w:r>
        <w:rPr>
          <w:rFonts w:eastAsia="Times New Roman"/>
          <w:color w:val="000000"/>
          <w:sz w:val="20"/>
          <w:szCs w:val="20"/>
        </w:rPr>
        <w:t>The Black-Scholes option-pricing model, used to estimate fair value of stock-based awards, requires the use of the following assumptions:</w:t>
      </w:r>
    </w:p>
    <w:p w:rsidR="00000000" w:rsidRDefault="00FD7D3C">
      <w:pPr>
        <w:ind w:hanging="720"/>
        <w:divId w:val="549609018"/>
        <w:rPr>
          <w:rFonts w:eastAsia="Times New Roman"/>
        </w:rPr>
      </w:pPr>
      <w:r>
        <w:rPr>
          <w:rFonts w:eastAsia="Times New Roman"/>
          <w:color w:val="000000"/>
          <w:sz w:val="20"/>
          <w:szCs w:val="20"/>
        </w:rPr>
        <w:t>•</w:t>
      </w:r>
      <w:r>
        <w:rPr>
          <w:rFonts w:eastAsia="Times New Roman"/>
          <w:i/>
          <w:iCs/>
          <w:color w:val="000000"/>
          <w:sz w:val="20"/>
          <w:szCs w:val="20"/>
        </w:rPr>
        <w:t>Expec</w:t>
      </w:r>
      <w:r>
        <w:rPr>
          <w:rFonts w:eastAsia="Times New Roman"/>
          <w:i/>
          <w:iCs/>
          <w:color w:val="000000"/>
          <w:sz w:val="20"/>
          <w:szCs w:val="20"/>
        </w:rPr>
        <w:t>ted term</w:t>
      </w:r>
      <w:r>
        <w:rPr>
          <w:rFonts w:eastAsia="Times New Roman"/>
          <w:color w:val="000000"/>
          <w:sz w:val="20"/>
          <w:szCs w:val="20"/>
        </w:rPr>
        <w:t>—The expected term represents the period that the stock-based awards are expected to be outstanding. The expected term for the Company’s stock options was calculated utilizing the simplified method, which represents the average of the weighted-aver</w:t>
      </w:r>
      <w:r>
        <w:rPr>
          <w:rFonts w:eastAsia="Times New Roman"/>
          <w:color w:val="000000"/>
          <w:sz w:val="20"/>
          <w:szCs w:val="20"/>
        </w:rPr>
        <w:t>age vesting term and the contract period of the awards. The expected term for the ESPP is the offering period.</w:t>
      </w:r>
    </w:p>
    <w:p w:rsidR="00000000" w:rsidRDefault="00FD7D3C">
      <w:pPr>
        <w:ind w:hanging="720"/>
        <w:divId w:val="1894074587"/>
        <w:rPr>
          <w:rFonts w:eastAsia="Times New Roman"/>
        </w:rPr>
      </w:pPr>
      <w:r>
        <w:rPr>
          <w:rFonts w:eastAsia="Times New Roman"/>
          <w:color w:val="000000"/>
          <w:sz w:val="20"/>
          <w:szCs w:val="20"/>
        </w:rPr>
        <w:t>•</w:t>
      </w:r>
      <w:r>
        <w:rPr>
          <w:rFonts w:eastAsia="Times New Roman"/>
          <w:i/>
          <w:iCs/>
          <w:color w:val="000000"/>
          <w:sz w:val="20"/>
          <w:szCs w:val="20"/>
        </w:rPr>
        <w:t>Expected volatility</w:t>
      </w:r>
      <w:r>
        <w:rPr>
          <w:rFonts w:eastAsia="Times New Roman"/>
          <w:color w:val="000000"/>
          <w:sz w:val="20"/>
          <w:szCs w:val="20"/>
        </w:rPr>
        <w:t>—Prior to the Company being public, the Company did not have any trading history for its common stock, the expected volatilit</w:t>
      </w:r>
      <w:r>
        <w:rPr>
          <w:rFonts w:eastAsia="Times New Roman"/>
          <w:color w:val="000000"/>
          <w:sz w:val="20"/>
          <w:szCs w:val="20"/>
        </w:rPr>
        <w:t xml:space="preserve">y was estimated based on the average historical volatilities of common stock of comparable publicly traded entities over a period equal to the expected term of the stock option grants. The comparable companies were chosen based on their size, stage in the </w:t>
      </w:r>
      <w:r>
        <w:rPr>
          <w:rFonts w:eastAsia="Times New Roman"/>
          <w:color w:val="000000"/>
          <w:sz w:val="20"/>
          <w:szCs w:val="20"/>
        </w:rPr>
        <w:t>life cycle or area of specialty. As the Company went public in June 2020, the Company will continue to apply this process for stock options and ESPP awards until enough historical information regarding the volatility of its stock price becomes available.</w:t>
      </w:r>
    </w:p>
    <w:p w:rsidR="00000000" w:rsidRDefault="00FD7D3C">
      <w:pPr>
        <w:ind w:hanging="720"/>
        <w:divId w:val="228804937"/>
        <w:rPr>
          <w:rFonts w:eastAsia="Times New Roman"/>
        </w:rPr>
      </w:pPr>
      <w:r>
        <w:rPr>
          <w:rFonts w:eastAsia="Times New Roman"/>
          <w:color w:val="000000"/>
          <w:sz w:val="20"/>
          <w:szCs w:val="20"/>
        </w:rPr>
        <w:t>•</w:t>
      </w:r>
      <w:r>
        <w:rPr>
          <w:rFonts w:eastAsia="Times New Roman"/>
          <w:i/>
          <w:iCs/>
          <w:color w:val="000000"/>
          <w:sz w:val="20"/>
          <w:szCs w:val="20"/>
        </w:rPr>
        <w:t>Risk-free interest rate</w:t>
      </w:r>
      <w:r>
        <w:rPr>
          <w:rFonts w:eastAsia="Times New Roman"/>
          <w:color w:val="000000"/>
          <w:sz w:val="20"/>
          <w:szCs w:val="20"/>
        </w:rPr>
        <w:t>—The risk-free interest rate is based on the U.S. Treasury yield in effect at the time of grant for zero-coupon U.S. Treasury notes with maturities approximately equal to the expected term of the awards.</w:t>
      </w:r>
    </w:p>
    <w:p w:rsidR="00000000" w:rsidRDefault="00FD7D3C">
      <w:pPr>
        <w:ind w:hanging="720"/>
        <w:divId w:val="376897952"/>
        <w:rPr>
          <w:rFonts w:eastAsia="Times New Roman"/>
        </w:rPr>
      </w:pPr>
      <w:r>
        <w:rPr>
          <w:rFonts w:eastAsia="Times New Roman"/>
          <w:color w:val="000000"/>
          <w:sz w:val="20"/>
          <w:szCs w:val="20"/>
        </w:rPr>
        <w:t>•</w:t>
      </w:r>
      <w:r>
        <w:rPr>
          <w:rFonts w:eastAsia="Times New Roman"/>
          <w:i/>
          <w:iCs/>
          <w:color w:val="000000"/>
          <w:sz w:val="20"/>
          <w:szCs w:val="20"/>
        </w:rPr>
        <w:t>Expected dividend</w:t>
      </w:r>
      <w:r>
        <w:rPr>
          <w:rFonts w:eastAsia="Times New Roman"/>
          <w:color w:val="000000"/>
          <w:sz w:val="20"/>
          <w:szCs w:val="20"/>
        </w:rPr>
        <w:t>—The Compan</w:t>
      </w:r>
      <w:r>
        <w:rPr>
          <w:rFonts w:eastAsia="Times New Roman"/>
          <w:color w:val="000000"/>
          <w:sz w:val="20"/>
          <w:szCs w:val="20"/>
        </w:rPr>
        <w:t>y has never paid dividends on the common stock and has no plans to pay dividends on the common stock. Therefore, the Company used an expected dividend yield of zero.</w:t>
      </w:r>
    </w:p>
    <w:p w:rsidR="00000000" w:rsidRDefault="00FD7D3C">
      <w:pPr>
        <w:ind w:firstLine="720"/>
        <w:divId w:val="1893416919"/>
        <w:rPr>
          <w:rFonts w:eastAsia="Times New Roman"/>
        </w:rPr>
      </w:pPr>
      <w:r>
        <w:rPr>
          <w:rFonts w:eastAsia="Times New Roman"/>
          <w:color w:val="000000"/>
          <w:sz w:val="20"/>
          <w:szCs w:val="20"/>
        </w:rPr>
        <w:t>Prior to our IPO, the fair value of our common stock has been determined using independent third-party valuations based on relevant valuation methodologies as outlined in the American Institute of Certified Public Accountants (AICPA) Practice Aid, </w:t>
      </w:r>
      <w:r>
        <w:rPr>
          <w:rFonts w:eastAsia="Times New Roman"/>
          <w:i/>
          <w:iCs/>
          <w:color w:val="000000"/>
          <w:sz w:val="20"/>
          <w:szCs w:val="20"/>
        </w:rPr>
        <w:t>“Valuati</w:t>
      </w:r>
      <w:r>
        <w:rPr>
          <w:rFonts w:eastAsia="Times New Roman"/>
          <w:i/>
          <w:iCs/>
          <w:color w:val="000000"/>
          <w:sz w:val="20"/>
          <w:szCs w:val="20"/>
        </w:rPr>
        <w:t>on of Privately-Held-Company Equity</w:t>
      </w:r>
      <w:r>
        <w:rPr>
          <w:rFonts w:eastAsia="Times New Roman"/>
          <w:color w:val="000000"/>
          <w:sz w:val="20"/>
          <w:szCs w:val="20"/>
        </w:rPr>
        <w:t> </w:t>
      </w:r>
      <w:r>
        <w:rPr>
          <w:rFonts w:eastAsia="Times New Roman"/>
          <w:i/>
          <w:iCs/>
          <w:color w:val="000000"/>
          <w:sz w:val="20"/>
          <w:szCs w:val="20"/>
        </w:rPr>
        <w:t>Securities Issued as Compensation</w:t>
      </w:r>
      <w:r>
        <w:rPr>
          <w:rFonts w:eastAsia="Times New Roman"/>
          <w:color w:val="000000"/>
          <w:sz w:val="20"/>
          <w:szCs w:val="20"/>
        </w:rPr>
        <w:t>”. The Company also considered the amount of time between the independent third-party valuation dates and the grant</w:t>
      </w:r>
      <w:r>
        <w:rPr>
          <w:rFonts w:eastAsia="Times New Roman"/>
          <w:i/>
          <w:iCs/>
          <w:color w:val="000000"/>
          <w:sz w:val="20"/>
          <w:szCs w:val="20"/>
        </w:rPr>
        <w:t> </w:t>
      </w:r>
      <w:r>
        <w:rPr>
          <w:rFonts w:eastAsia="Times New Roman"/>
          <w:color w:val="000000"/>
          <w:sz w:val="20"/>
          <w:szCs w:val="20"/>
        </w:rPr>
        <w:t>dates and used interpolation of the fair value between the two valuatio</w:t>
      </w:r>
      <w:r>
        <w:rPr>
          <w:rFonts w:eastAsia="Times New Roman"/>
          <w:color w:val="000000"/>
          <w:sz w:val="20"/>
          <w:szCs w:val="20"/>
        </w:rPr>
        <w:t>n dates to estimate common stock fair value at each grant date. This determination included an evaluation of whether the subsequent valuation indicated that any significant change in valuation had occurred between the previous valuation and the grant date.</w:t>
      </w:r>
      <w:r>
        <w:rPr>
          <w:rFonts w:eastAsia="Times New Roman"/>
          <w:color w:val="000000"/>
          <w:sz w:val="20"/>
          <w:szCs w:val="20"/>
        </w:rPr>
        <w:t xml:space="preserve"> Following our IPO, the Company uses our stock price traded on NASDAQ to determine its fair value.</w:t>
      </w:r>
    </w:p>
    <w:p w:rsidR="00000000" w:rsidRDefault="00FD7D3C">
      <w:pPr>
        <w:divId w:val="853348499"/>
        <w:rPr>
          <w:rFonts w:eastAsia="Times New Roman"/>
        </w:rPr>
      </w:pPr>
      <w:r>
        <w:rPr>
          <w:rFonts w:eastAsia="Times New Roman"/>
          <w:b/>
          <w:bCs/>
          <w:i/>
          <w:iCs/>
          <w:color w:val="000000"/>
          <w:sz w:val="20"/>
          <w:szCs w:val="20"/>
        </w:rPr>
        <w:t>Income Taxes</w:t>
      </w:r>
    </w:p>
    <w:p w:rsidR="00000000" w:rsidRDefault="00FD7D3C">
      <w:pPr>
        <w:ind w:firstLine="720"/>
        <w:divId w:val="1657340354"/>
        <w:rPr>
          <w:rFonts w:eastAsia="Times New Roman"/>
        </w:rPr>
      </w:pPr>
      <w:r>
        <w:rPr>
          <w:rFonts w:eastAsia="Times New Roman"/>
          <w:color w:val="000000"/>
          <w:sz w:val="20"/>
          <w:szCs w:val="20"/>
        </w:rPr>
        <w:t>The Company provides for income taxes under the asset and liability method. Current income tax expense or benefit represents the amount of incom</w:t>
      </w:r>
      <w:r>
        <w:rPr>
          <w:rFonts w:eastAsia="Times New Roman"/>
          <w:color w:val="000000"/>
          <w:sz w:val="20"/>
          <w:szCs w:val="20"/>
        </w:rPr>
        <w:t>e taxes expected to be payable or refundable for the current year. Deferred income tax assets and liabilities are determined based on differences between the financial statement reporting and tax basis of assets and liabilities and net operating loss and c</w:t>
      </w:r>
      <w:r>
        <w:rPr>
          <w:rFonts w:eastAsia="Times New Roman"/>
          <w:color w:val="000000"/>
          <w:sz w:val="20"/>
          <w:szCs w:val="20"/>
        </w:rPr>
        <w:t>redit carryforwards and are measured using the enacted tax rates and laws that will be in effect when such items are expected to reverse. Deferred income tax assets are reduced, as necessary, by a valuation allowance when management determines it is more l</w:t>
      </w:r>
      <w:r>
        <w:rPr>
          <w:rFonts w:eastAsia="Times New Roman"/>
          <w:color w:val="000000"/>
          <w:sz w:val="20"/>
          <w:szCs w:val="20"/>
        </w:rPr>
        <w:t>ikely than not that some or all the tax benefits will not be realized.</w:t>
      </w:r>
    </w:p>
    <w:p w:rsidR="00000000" w:rsidRDefault="00FD7D3C">
      <w:pPr>
        <w:ind w:firstLine="720"/>
        <w:divId w:val="1857227363"/>
        <w:rPr>
          <w:rFonts w:eastAsia="Times New Roman"/>
        </w:rPr>
      </w:pPr>
      <w:r>
        <w:rPr>
          <w:rFonts w:eastAsia="Times New Roman"/>
          <w:color w:val="000000"/>
          <w:sz w:val="20"/>
          <w:szCs w:val="20"/>
        </w:rPr>
        <w:t>The Company accounts for uncertain tax positions in accordance with ASC No. 740</w:t>
      </w:r>
      <w:r>
        <w:rPr>
          <w:rFonts w:eastAsia="Times New Roman"/>
          <w:i/>
          <w:iCs/>
          <w:color w:val="000000"/>
          <w:sz w:val="20"/>
          <w:szCs w:val="20"/>
        </w:rPr>
        <w:t>, Income Taxes</w:t>
      </w:r>
      <w:r>
        <w:rPr>
          <w:rFonts w:eastAsia="Times New Roman"/>
          <w:color w:val="000000"/>
          <w:sz w:val="20"/>
          <w:szCs w:val="20"/>
        </w:rPr>
        <w:t xml:space="preserve">. The Company assesses all material positions taken in any income tax return, including all </w:t>
      </w:r>
      <w:r>
        <w:rPr>
          <w:rFonts w:eastAsia="Times New Roman"/>
          <w:color w:val="000000"/>
          <w:sz w:val="20"/>
          <w:szCs w:val="20"/>
        </w:rPr>
        <w:t>significant uncertain positions, in all tax years that are still subject to assessment or challenge by relevant taxing authorities. Assessing an uncertain tax position begins with the initial determination of the position’s sustainability and is measured a</w:t>
      </w:r>
      <w:r>
        <w:rPr>
          <w:rFonts w:eastAsia="Times New Roman"/>
          <w:color w:val="000000"/>
          <w:sz w:val="20"/>
          <w:szCs w:val="20"/>
        </w:rPr>
        <w:t>t the largest amount of benefit that is greater than fifty percent likely of being realized upon ultimate settlement. As of each balance sheet date, unresolved uncertain tax positions must be reassessed, and the Company will determine whether (i) the facto</w:t>
      </w:r>
      <w:r>
        <w:rPr>
          <w:rFonts w:eastAsia="Times New Roman"/>
          <w:color w:val="000000"/>
          <w:sz w:val="20"/>
          <w:szCs w:val="20"/>
        </w:rPr>
        <w:t>rs underlying the sustainability assertion have changed and (ii) the amount of the recognized tax benefit is still appropriate. The recognition and measurement of tax benefits requires significant judgment. Judgments concerning the recognition and measurem</w:t>
      </w:r>
      <w:r>
        <w:rPr>
          <w:rFonts w:eastAsia="Times New Roman"/>
          <w:color w:val="000000"/>
          <w:sz w:val="20"/>
          <w:szCs w:val="20"/>
        </w:rPr>
        <w:t>ent of a tax benefit might change as new information becomes available.</w:t>
      </w:r>
    </w:p>
    <w:p w:rsidR="00000000" w:rsidRDefault="00FD7D3C">
      <w:pPr>
        <w:ind w:firstLine="720"/>
        <w:divId w:val="2067483193"/>
        <w:rPr>
          <w:rFonts w:eastAsia="Times New Roman"/>
        </w:rPr>
      </w:pPr>
      <w:r>
        <w:rPr>
          <w:rFonts w:eastAsia="Times New Roman"/>
          <w:color w:val="000000"/>
          <w:sz w:val="20"/>
          <w:szCs w:val="20"/>
        </w:rPr>
        <w:t>The Company includes any penalties and interest expense related to income taxes as a component of income tax expense, as necessary.</w:t>
      </w:r>
    </w:p>
    <w:p w:rsidR="00000000" w:rsidRDefault="00FD7D3C">
      <w:pPr>
        <w:divId w:val="204486450"/>
        <w:rPr>
          <w:rFonts w:eastAsia="Times New Roman"/>
        </w:rPr>
      </w:pPr>
      <w:r>
        <w:rPr>
          <w:rFonts w:eastAsia="Times New Roman"/>
          <w:b/>
          <w:bCs/>
          <w:i/>
          <w:iCs/>
          <w:color w:val="000000"/>
          <w:sz w:val="20"/>
          <w:szCs w:val="20"/>
        </w:rPr>
        <w:t>Comprehensive Loss</w:t>
      </w:r>
    </w:p>
    <w:p w:rsidR="00000000" w:rsidRDefault="00FD7D3C">
      <w:pPr>
        <w:ind w:firstLine="720"/>
        <w:divId w:val="450132743"/>
        <w:rPr>
          <w:rFonts w:eastAsia="Times New Roman"/>
        </w:rPr>
      </w:pPr>
      <w:r>
        <w:rPr>
          <w:rFonts w:eastAsia="Times New Roman"/>
          <w:color w:val="000000"/>
          <w:sz w:val="20"/>
          <w:szCs w:val="20"/>
        </w:rPr>
        <w:t>Comprehensive loss includes net l</w:t>
      </w:r>
      <w:r>
        <w:rPr>
          <w:rFonts w:eastAsia="Times New Roman"/>
          <w:color w:val="000000"/>
          <w:sz w:val="20"/>
          <w:szCs w:val="20"/>
        </w:rPr>
        <w:t xml:space="preserve">oss as well as other changes in stockholders' equity (deficit) that result from transactions and economic events other than those with stockholders. The Company's comprehensive loss represents unrealized losses on short-term investments. </w:t>
      </w:r>
    </w:p>
    <w:p w:rsidR="00000000" w:rsidRDefault="00FD7D3C">
      <w:pPr>
        <w:jc w:val="center"/>
        <w:divId w:val="2038308148"/>
        <w:rPr>
          <w:rFonts w:eastAsia="Times New Roman"/>
        </w:rPr>
      </w:pPr>
      <w:r>
        <w:rPr>
          <w:rFonts w:eastAsia="Times New Roman"/>
          <w:color w:val="000000"/>
          <w:sz w:val="20"/>
          <w:szCs w:val="20"/>
        </w:rPr>
        <w:t>121</w:t>
      </w:r>
    </w:p>
    <w:p w:rsidR="00000000" w:rsidRDefault="00FD7D3C">
      <w:pPr>
        <w:rPr>
          <w:rFonts w:eastAsia="Times New Roman"/>
        </w:rPr>
      </w:pPr>
      <w:r>
        <w:rPr>
          <w:rFonts w:eastAsia="Times New Roman"/>
        </w:rPr>
        <w:pict>
          <v:rect id="_x0000_i1174" style="width:0;height:1.5pt" o:hralign="center" o:hrstd="t" o:hr="t" fillcolor="#a0a0a0" stroked="f"/>
        </w:pict>
      </w:r>
    </w:p>
    <w:p w:rsidR="00000000" w:rsidRDefault="00FD7D3C">
      <w:pPr>
        <w:divId w:val="236017460"/>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divId w:val="1347751615"/>
        <w:rPr>
          <w:rFonts w:eastAsia="Times New Roman"/>
        </w:rPr>
      </w:pPr>
      <w:r>
        <w:rPr>
          <w:rFonts w:eastAsia="Times New Roman"/>
          <w:b/>
          <w:bCs/>
          <w:i/>
          <w:iCs/>
          <w:color w:val="000000"/>
          <w:sz w:val="20"/>
          <w:szCs w:val="20"/>
        </w:rPr>
        <w:t>Net Loss Per Share</w:t>
      </w:r>
    </w:p>
    <w:p w:rsidR="00000000" w:rsidRDefault="00FD7D3C">
      <w:pPr>
        <w:ind w:firstLine="720"/>
        <w:divId w:val="1361736826"/>
        <w:rPr>
          <w:rFonts w:eastAsia="Times New Roman"/>
        </w:rPr>
      </w:pPr>
      <w:r>
        <w:rPr>
          <w:rFonts w:eastAsia="Times New Roman"/>
          <w:color w:val="000000"/>
          <w:sz w:val="20"/>
          <w:szCs w:val="20"/>
        </w:rPr>
        <w:t>Basic net loss per share is computed by dividing net loss attributed to common stockholders by the weighted-average number of shares of c</w:t>
      </w:r>
      <w:r>
        <w:rPr>
          <w:rFonts w:eastAsia="Times New Roman"/>
          <w:color w:val="000000"/>
          <w:sz w:val="20"/>
          <w:szCs w:val="20"/>
        </w:rPr>
        <w:t>ommon stock outstanding during the period. Diluted net loss per share is computed using the weighted-average number of shares of common stock outstanding during the period and, if dilutive, the weighted-average number of potential shares of common stock.</w:t>
      </w:r>
    </w:p>
    <w:p w:rsidR="00000000" w:rsidRDefault="00FD7D3C">
      <w:pPr>
        <w:ind w:firstLine="720"/>
        <w:divId w:val="259073608"/>
        <w:rPr>
          <w:rFonts w:eastAsia="Times New Roman"/>
        </w:rPr>
      </w:pPr>
      <w:r>
        <w:rPr>
          <w:rFonts w:eastAsia="Times New Roman"/>
          <w:color w:val="000000"/>
          <w:sz w:val="20"/>
          <w:szCs w:val="20"/>
        </w:rPr>
        <w:t>Prior to the conversion of our preferred stock in our IPO, net loss or income per share attributable to common stockholders was calculated using the two-class method, which is based on an earnings allocation formula that determines net loss or income per s</w:t>
      </w:r>
      <w:r>
        <w:rPr>
          <w:rFonts w:eastAsia="Times New Roman"/>
          <w:color w:val="000000"/>
          <w:sz w:val="20"/>
          <w:szCs w:val="20"/>
        </w:rPr>
        <w:t>hare for the Company’s common stockholders and holders of participating securities. The holders of preferred stock were entitled to receive dividends prior and in preference to any declaration or payment of any dividend on the common stock. Under this meth</w:t>
      </w:r>
      <w:r>
        <w:rPr>
          <w:rFonts w:eastAsia="Times New Roman"/>
          <w:color w:val="000000"/>
          <w:sz w:val="20"/>
          <w:szCs w:val="20"/>
        </w:rPr>
        <w:t>od, net loss or income is increased or reduced by the amount of any dividends earned and accretion of redeemable convertible preferred stock to its redemption value, if any, during the period. The undistributed earnings are allocated to common stock and ea</w:t>
      </w:r>
      <w:r>
        <w:rPr>
          <w:rFonts w:eastAsia="Times New Roman"/>
          <w:color w:val="000000"/>
          <w:sz w:val="20"/>
          <w:szCs w:val="20"/>
        </w:rPr>
        <w:t>ch series of redeemable convertible preferred stock to the extent that each preferred security may share in the earnings as if all of the earnings for the period had been distributed. Net loss or income attributable to common stockholders and participating</w:t>
      </w:r>
      <w:r>
        <w:rPr>
          <w:rFonts w:eastAsia="Times New Roman"/>
          <w:color w:val="000000"/>
          <w:sz w:val="20"/>
          <w:szCs w:val="20"/>
        </w:rPr>
        <w:t xml:space="preserve"> preferred shares are allocated to each share on an as-converted basis as if all the earnings for the period had been distributed. The participating securities do not include a contractual obligation to share in losses of the Company and are not included i</w:t>
      </w:r>
      <w:r>
        <w:rPr>
          <w:rFonts w:eastAsia="Times New Roman"/>
          <w:color w:val="000000"/>
          <w:sz w:val="20"/>
          <w:szCs w:val="20"/>
        </w:rPr>
        <w:t>n the calculation of net loss per share in the periods in which a net loss is recorded. Diluted net loss or income per share is computed using the more dilutive of (a) the two-class method or (b) the as-converted method. The Company allocated earnings firs</w:t>
      </w:r>
      <w:r>
        <w:rPr>
          <w:rFonts w:eastAsia="Times New Roman"/>
          <w:color w:val="000000"/>
          <w:sz w:val="20"/>
          <w:szCs w:val="20"/>
        </w:rPr>
        <w:t xml:space="preserve">t to redeemable convertible preferred shares stockholders based on dividend rights and then to common and preferred stockholders based on ownership interests. The weighted-average number of shares of common stock included in the computation of diluted net </w:t>
      </w:r>
      <w:r>
        <w:rPr>
          <w:rFonts w:eastAsia="Times New Roman"/>
          <w:color w:val="000000"/>
          <w:sz w:val="20"/>
          <w:szCs w:val="20"/>
        </w:rPr>
        <w:t>loss or income gives effect to all potentially dilutive common equivalent shares, including outstanding stock options and preferred stock.</w:t>
      </w:r>
    </w:p>
    <w:p w:rsidR="00000000" w:rsidRDefault="00FD7D3C">
      <w:pPr>
        <w:ind w:firstLine="720"/>
        <w:divId w:val="684595807"/>
        <w:rPr>
          <w:rFonts w:eastAsia="Times New Roman"/>
        </w:rPr>
      </w:pPr>
      <w:r>
        <w:rPr>
          <w:rFonts w:eastAsia="Times New Roman"/>
          <w:color w:val="000000"/>
          <w:sz w:val="20"/>
          <w:szCs w:val="20"/>
        </w:rPr>
        <w:t>Common stock equivalent shares are excluded from the computation of diluted net loss or income per share if their eff</w:t>
      </w:r>
      <w:r>
        <w:rPr>
          <w:rFonts w:eastAsia="Times New Roman"/>
          <w:color w:val="000000"/>
          <w:sz w:val="20"/>
          <w:szCs w:val="20"/>
        </w:rPr>
        <w:t>ect is antidilutive. In periods in which the Company reports a net loss attributable to common stockholders, diluted net loss per share attributable to common stockholders is generally the same as basic net loss per share attributable to common stockholder</w:t>
      </w:r>
      <w:r>
        <w:rPr>
          <w:rFonts w:eastAsia="Times New Roman"/>
          <w:color w:val="000000"/>
          <w:sz w:val="20"/>
          <w:szCs w:val="20"/>
        </w:rPr>
        <w:t>s since dilutive common shares are not assumed to have been issued if their effect is antidilutive. The Company reported a net loss attributable to common stockholders during the years ended December 31, 2021, 2020 and 2019.</w:t>
      </w:r>
    </w:p>
    <w:p w:rsidR="00000000" w:rsidRDefault="00FD7D3C">
      <w:pPr>
        <w:divId w:val="887837518"/>
        <w:rPr>
          <w:rFonts w:eastAsia="Times New Roman"/>
        </w:rPr>
      </w:pPr>
      <w:r>
        <w:rPr>
          <w:rFonts w:eastAsia="Times New Roman"/>
          <w:b/>
          <w:bCs/>
          <w:i/>
          <w:iCs/>
          <w:color w:val="000000"/>
          <w:sz w:val="20"/>
          <w:szCs w:val="20"/>
        </w:rPr>
        <w:t>Recently Adopted Accounting Pro</w:t>
      </w:r>
      <w:r>
        <w:rPr>
          <w:rFonts w:eastAsia="Times New Roman"/>
          <w:b/>
          <w:bCs/>
          <w:i/>
          <w:iCs/>
          <w:color w:val="000000"/>
          <w:sz w:val="20"/>
          <w:szCs w:val="20"/>
        </w:rPr>
        <w:t>nouncements</w:t>
      </w:r>
    </w:p>
    <w:p w:rsidR="00000000" w:rsidRDefault="00FD7D3C">
      <w:pPr>
        <w:ind w:firstLine="720"/>
        <w:divId w:val="140772284"/>
        <w:rPr>
          <w:rFonts w:eastAsia="Times New Roman"/>
        </w:rPr>
      </w:pPr>
      <w:r>
        <w:rPr>
          <w:rFonts w:eastAsia="Times New Roman"/>
          <w:color w:val="000000"/>
          <w:sz w:val="20"/>
          <w:szCs w:val="20"/>
        </w:rPr>
        <w:t xml:space="preserve">In February 2016, the Financial Accounting Standards Board (“FASB”) issued Accounting Standard Update (“ASU”) No. 2016-2, </w:t>
      </w:r>
      <w:r>
        <w:rPr>
          <w:rFonts w:eastAsia="Times New Roman"/>
          <w:i/>
          <w:iCs/>
          <w:color w:val="000000"/>
          <w:sz w:val="20"/>
          <w:szCs w:val="20"/>
        </w:rPr>
        <w:t>Leases</w:t>
      </w:r>
      <w:r>
        <w:rPr>
          <w:rFonts w:eastAsia="Times New Roman"/>
          <w:color w:val="000000"/>
          <w:sz w:val="20"/>
          <w:szCs w:val="20"/>
        </w:rPr>
        <w:t xml:space="preserve"> (“Topic 842”), which requires an entity to recognize assets and liabilities arising from a lease for both financing</w:t>
      </w:r>
      <w:r>
        <w:rPr>
          <w:rFonts w:eastAsia="Times New Roman"/>
          <w:color w:val="000000"/>
          <w:sz w:val="20"/>
          <w:szCs w:val="20"/>
        </w:rPr>
        <w:t xml:space="preserve"> and operating leases. Subsequent to this, the FASB issued various amendments to ASC 842, which affected certain aspects of the previously issued guidance. One of the amendments included an additional transition option that allowed entities to apply the ne</w:t>
      </w:r>
      <w:r>
        <w:rPr>
          <w:rFonts w:eastAsia="Times New Roman"/>
          <w:color w:val="000000"/>
          <w:sz w:val="20"/>
          <w:szCs w:val="20"/>
        </w:rPr>
        <w:t>w standard on the adoption date and recognize a cumulative effect adjustment to the opening balance of retained earnings. These updates were effective for public companies for annual periods beginning after December 15, 2018, including interim periods ther</w:t>
      </w:r>
      <w:r>
        <w:rPr>
          <w:rFonts w:eastAsia="Times New Roman"/>
          <w:color w:val="000000"/>
          <w:sz w:val="20"/>
          <w:szCs w:val="20"/>
        </w:rPr>
        <w:t>ein. Because the Company lost its EGC status on December 31, 2021, the standard became effective for the Company for its annual period beginning January 1, 2021. Amounts prior to January 1, 2021 were not adjusted and continue to be reported in accordance w</w:t>
      </w:r>
      <w:r>
        <w:rPr>
          <w:rFonts w:eastAsia="Times New Roman"/>
          <w:color w:val="000000"/>
          <w:sz w:val="20"/>
          <w:szCs w:val="20"/>
        </w:rPr>
        <w:t xml:space="preserve">ith previous lease guidance, ASC Topic 840, </w:t>
      </w:r>
      <w:r>
        <w:rPr>
          <w:rFonts w:eastAsia="Times New Roman"/>
          <w:i/>
          <w:iCs/>
          <w:color w:val="000000"/>
          <w:sz w:val="20"/>
          <w:szCs w:val="20"/>
        </w:rPr>
        <w:t>Leases</w:t>
      </w:r>
      <w:r>
        <w:rPr>
          <w:rFonts w:eastAsia="Times New Roman"/>
          <w:color w:val="000000"/>
          <w:sz w:val="20"/>
          <w:szCs w:val="20"/>
        </w:rPr>
        <w:t>.</w:t>
      </w:r>
    </w:p>
    <w:p w:rsidR="00000000" w:rsidRDefault="00FD7D3C">
      <w:pPr>
        <w:ind w:firstLine="720"/>
        <w:divId w:val="1589463013"/>
        <w:rPr>
          <w:rFonts w:eastAsia="Times New Roman"/>
        </w:rPr>
      </w:pPr>
      <w:r>
        <w:rPr>
          <w:rFonts w:eastAsia="Times New Roman"/>
          <w:color w:val="000000"/>
          <w:sz w:val="20"/>
          <w:szCs w:val="20"/>
        </w:rPr>
        <w:t>The Company adopted ASC 842 and all related amendments effective January 1, 2021 using the modified retrospective transition approach. The Company elected the package of practical expedients upon adoption</w:t>
      </w:r>
      <w:r>
        <w:rPr>
          <w:rFonts w:eastAsia="Times New Roman"/>
          <w:color w:val="000000"/>
          <w:sz w:val="20"/>
          <w:szCs w:val="20"/>
        </w:rPr>
        <w:t>, which permitted the Company to not reassess under the new standard the Company's prior conclusions about lease identification, lease classification and initial direct costs. In addition, the Company elected the short-term lease exception policy, permitti</w:t>
      </w:r>
      <w:r>
        <w:rPr>
          <w:rFonts w:eastAsia="Times New Roman"/>
          <w:color w:val="000000"/>
          <w:sz w:val="20"/>
          <w:szCs w:val="20"/>
        </w:rPr>
        <w:t>ng it to exclude the recognition requirements of this standard from leases with initial terms of 12 months or less.</w:t>
      </w:r>
    </w:p>
    <w:p w:rsidR="00000000" w:rsidRDefault="00FD7D3C">
      <w:pPr>
        <w:ind w:firstLine="720"/>
        <w:divId w:val="1274631433"/>
        <w:rPr>
          <w:rFonts w:eastAsia="Times New Roman"/>
        </w:rPr>
      </w:pPr>
      <w:r>
        <w:rPr>
          <w:rFonts w:eastAsia="Times New Roman"/>
          <w:color w:val="000000"/>
          <w:sz w:val="20"/>
          <w:szCs w:val="20"/>
        </w:rPr>
        <w:t>The adoption of ASC 842 effective January 1, 2021 resulted in the recognition of operating lease ROU assets of $8.0 million and operating le</w:t>
      </w:r>
      <w:r>
        <w:rPr>
          <w:rFonts w:eastAsia="Times New Roman"/>
          <w:color w:val="000000"/>
          <w:sz w:val="20"/>
          <w:szCs w:val="20"/>
        </w:rPr>
        <w:t>ase liabilities of $8.9 million in the Company’s balance sheet. In connection with the adoption, pre-existing liabilities for deferred rent and lease incentives totaling $0.9 million were reclassified as an offset to the operating lease ROU assets. The Com</w:t>
      </w:r>
      <w:r>
        <w:rPr>
          <w:rFonts w:eastAsia="Times New Roman"/>
          <w:color w:val="000000"/>
          <w:sz w:val="20"/>
          <w:szCs w:val="20"/>
        </w:rPr>
        <w:t>pany’s financial position and operating results for reporting periods prior to January 1, 2021 have not been adjusted and continue to be presented in accordance with the accounting standard in effect at that time. The adoption of ASC 842 did not have a mat</w:t>
      </w:r>
      <w:r>
        <w:rPr>
          <w:rFonts w:eastAsia="Times New Roman"/>
          <w:color w:val="000000"/>
          <w:sz w:val="20"/>
          <w:szCs w:val="20"/>
        </w:rPr>
        <w:t xml:space="preserve">erial impact on the 2021 quarterly or annual results of operations or cash flows and had no impact on retained earnings. </w:t>
      </w:r>
    </w:p>
    <w:p w:rsidR="00000000" w:rsidRDefault="00FD7D3C">
      <w:pPr>
        <w:ind w:firstLine="720"/>
        <w:divId w:val="1732120498"/>
        <w:rPr>
          <w:rFonts w:eastAsia="Times New Roman"/>
        </w:rPr>
      </w:pPr>
      <w:r>
        <w:rPr>
          <w:rFonts w:eastAsia="Times New Roman"/>
          <w:color w:val="000000"/>
          <w:sz w:val="20"/>
          <w:szCs w:val="20"/>
        </w:rPr>
        <w:t>In 2016, the FASB issued ASU 2016-13, which requires entities to record expected credit losses for certain financial instruments, incl</w:t>
      </w:r>
      <w:r>
        <w:rPr>
          <w:rFonts w:eastAsia="Times New Roman"/>
          <w:color w:val="000000"/>
          <w:sz w:val="20"/>
          <w:szCs w:val="20"/>
        </w:rPr>
        <w:t xml:space="preserve">uding trade receivables, as an allowance that reflects the entity's current estimate of credit losses expected to be incurred. For available-for-sale debt securities in unrealized loss positions, ASU 2016-13 requires </w:t>
      </w:r>
    </w:p>
    <w:p w:rsidR="00000000" w:rsidRDefault="00FD7D3C">
      <w:pPr>
        <w:jc w:val="center"/>
        <w:divId w:val="522673246"/>
        <w:rPr>
          <w:rFonts w:eastAsia="Times New Roman"/>
        </w:rPr>
      </w:pPr>
      <w:r>
        <w:rPr>
          <w:rFonts w:eastAsia="Times New Roman"/>
          <w:color w:val="000000"/>
          <w:sz w:val="20"/>
          <w:szCs w:val="20"/>
        </w:rPr>
        <w:t>122</w:t>
      </w:r>
    </w:p>
    <w:p w:rsidR="00000000" w:rsidRDefault="00FD7D3C">
      <w:pPr>
        <w:rPr>
          <w:rFonts w:eastAsia="Times New Roman"/>
        </w:rPr>
      </w:pPr>
      <w:r>
        <w:rPr>
          <w:rFonts w:eastAsia="Times New Roman"/>
        </w:rPr>
        <w:pict>
          <v:rect id="_x0000_i1175" style="width:0;height:1.5pt" o:hralign="center" o:hrstd="t" o:hr="t" fillcolor="#a0a0a0" stroked="f"/>
        </w:pict>
      </w:r>
    </w:p>
    <w:p w:rsidR="00000000" w:rsidRDefault="00FD7D3C">
      <w:pPr>
        <w:divId w:val="284963840"/>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divId w:val="159665625"/>
        <w:rPr>
          <w:rFonts w:eastAsia="Times New Roman"/>
        </w:rPr>
      </w:pPr>
      <w:r>
        <w:rPr>
          <w:rFonts w:eastAsia="Times New Roman"/>
          <w:color w:val="000000"/>
          <w:sz w:val="20"/>
          <w:szCs w:val="20"/>
        </w:rPr>
        <w:t>allowances to be recorded instead of reducing the amortized cost of the investment. ASU 2016-13 became effective on January 1, 2021. The adoption of ASU 2016-13 did not have an i</w:t>
      </w:r>
      <w:r>
        <w:rPr>
          <w:rFonts w:eastAsia="Times New Roman"/>
          <w:color w:val="000000"/>
          <w:sz w:val="20"/>
          <w:szCs w:val="20"/>
        </w:rPr>
        <w:t>mpact on the Company’s financial statements.</w:t>
      </w:r>
    </w:p>
    <w:p w:rsidR="00000000" w:rsidRDefault="00FD7D3C">
      <w:pPr>
        <w:ind w:hanging="720"/>
        <w:divId w:val="344601391"/>
        <w:rPr>
          <w:rFonts w:eastAsia="Times New Roman"/>
        </w:rPr>
      </w:pPr>
      <w:r>
        <w:rPr>
          <w:rFonts w:eastAsia="Times New Roman"/>
          <w:b/>
          <w:bCs/>
          <w:color w:val="000000"/>
          <w:sz w:val="20"/>
          <w:szCs w:val="20"/>
        </w:rPr>
        <w:t>3.    Financial Instruments</w:t>
      </w:r>
    </w:p>
    <w:p w:rsidR="00000000" w:rsidRDefault="00FD7D3C">
      <w:pPr>
        <w:ind w:firstLine="720"/>
        <w:divId w:val="731345137"/>
        <w:rPr>
          <w:rFonts w:eastAsia="Times New Roman"/>
        </w:rPr>
      </w:pPr>
      <w:r>
        <w:rPr>
          <w:rFonts w:eastAsia="Times New Roman"/>
          <w:color w:val="000000"/>
          <w:sz w:val="20"/>
          <w:szCs w:val="20"/>
        </w:rPr>
        <w:t xml:space="preserve">The Company’s short-term investments consist of U.S. Treasury securities, U.S. Government agency securities and highly rated, investment-grade corporate debt securities with original </w:t>
      </w:r>
      <w:r>
        <w:rPr>
          <w:rFonts w:eastAsia="Times New Roman"/>
          <w:color w:val="000000"/>
          <w:sz w:val="20"/>
          <w:szCs w:val="20"/>
        </w:rPr>
        <w:t>maturities beyond three months at the date of purchase. The Company has classified and accounted for its short-term investments as available-for-sale securities as the Company may sell these securities at any time even prior to maturity and such investment</w:t>
      </w:r>
      <w:r>
        <w:rPr>
          <w:rFonts w:eastAsia="Times New Roman"/>
          <w:color w:val="000000"/>
          <w:sz w:val="20"/>
          <w:szCs w:val="20"/>
        </w:rPr>
        <w:t>s represent cash available for current operations. As a result, short-term investments may include securities with maturities beyond twelve months that are classified within current assets in the Balance Sheets. The Company’s short-term investments classif</w:t>
      </w:r>
      <w:r>
        <w:rPr>
          <w:rFonts w:eastAsia="Times New Roman"/>
          <w:color w:val="000000"/>
          <w:sz w:val="20"/>
          <w:szCs w:val="20"/>
        </w:rPr>
        <w:t>ied as available-for-sale are carried at fair market value with unrealized losses or income recognized in other comprehensive loss.</w:t>
      </w:r>
    </w:p>
    <w:p w:rsidR="00000000" w:rsidRDefault="00FD7D3C">
      <w:pPr>
        <w:ind w:firstLine="720"/>
        <w:divId w:val="2036498095"/>
        <w:rPr>
          <w:rFonts w:eastAsia="Times New Roman"/>
        </w:rPr>
      </w:pPr>
      <w:r>
        <w:rPr>
          <w:rFonts w:eastAsia="Times New Roman"/>
          <w:color w:val="000000"/>
          <w:sz w:val="20"/>
          <w:szCs w:val="20"/>
        </w:rPr>
        <w:t>Assets and liabilities recorded at fair value on a recurring basis in the Balance Sheets and assets and liabilities measured</w:t>
      </w:r>
      <w:r>
        <w:rPr>
          <w:rFonts w:eastAsia="Times New Roman"/>
          <w:color w:val="000000"/>
          <w:sz w:val="20"/>
          <w:szCs w:val="20"/>
        </w:rPr>
        <w:t xml:space="preserve"> at fair value on a non-recurring basis or disclosed at fair value, are categorized based upon the level of judgment associated with inputs used to measure their fair values. The accounting guidance for fair value provides a framework for measuring fair va</w:t>
      </w:r>
      <w:r>
        <w:rPr>
          <w:rFonts w:eastAsia="Times New Roman"/>
          <w:color w:val="000000"/>
          <w:sz w:val="20"/>
          <w:szCs w:val="20"/>
        </w:rPr>
        <w:t>lue and requires certain disclosures about how fair value is determined. Fair value is defined as the price that would be received upon the sale of an asset or paid to transfer a liability (an exit price) in an orderly transaction between market participan</w:t>
      </w:r>
      <w:r>
        <w:rPr>
          <w:rFonts w:eastAsia="Times New Roman"/>
          <w:color w:val="000000"/>
          <w:sz w:val="20"/>
          <w:szCs w:val="20"/>
        </w:rPr>
        <w:t xml:space="preserve">ts at the measurement date. The accounting guidance also establishes a three-level valuation hierarchy that prioritizes the inputs to valuation techniques used to measure fair value based upon whether such inputs are observable or unobservable. Observable </w:t>
      </w:r>
      <w:r>
        <w:rPr>
          <w:rFonts w:eastAsia="Times New Roman"/>
          <w:color w:val="000000"/>
          <w:sz w:val="20"/>
          <w:szCs w:val="20"/>
        </w:rPr>
        <w:t>inputs reflect market data obtained from independent sources, while unobservable inputs reflect market assumptions made by the reporting entity. The three-level hierarchy for the inputs to valuation techniques is briefly summarized as follows:</w:t>
      </w:r>
    </w:p>
    <w:p w:rsidR="00000000" w:rsidRDefault="00FD7D3C">
      <w:pPr>
        <w:ind w:hanging="720"/>
        <w:divId w:val="544173646"/>
        <w:rPr>
          <w:rFonts w:eastAsia="Times New Roman"/>
        </w:rPr>
      </w:pPr>
      <w:r>
        <w:rPr>
          <w:rFonts w:eastAsia="Times New Roman"/>
          <w:color w:val="000000"/>
          <w:sz w:val="20"/>
          <w:szCs w:val="20"/>
        </w:rPr>
        <w:t>•</w:t>
      </w:r>
      <w:r>
        <w:rPr>
          <w:rFonts w:eastAsia="Times New Roman"/>
          <w:i/>
          <w:iCs/>
          <w:color w:val="000000"/>
          <w:sz w:val="20"/>
          <w:szCs w:val="20"/>
        </w:rPr>
        <w:t>Level 1</w:t>
      </w:r>
      <w:r>
        <w:rPr>
          <w:rFonts w:eastAsia="Times New Roman"/>
          <w:color w:val="000000"/>
          <w:sz w:val="20"/>
          <w:szCs w:val="20"/>
        </w:rPr>
        <w:t>—Inp</w:t>
      </w:r>
      <w:r>
        <w:rPr>
          <w:rFonts w:eastAsia="Times New Roman"/>
          <w:color w:val="000000"/>
          <w:sz w:val="20"/>
          <w:szCs w:val="20"/>
        </w:rPr>
        <w:t>uts are unadjusted, quoted prices in active markets for identical assets or liabilities at the measurement date;</w:t>
      </w:r>
    </w:p>
    <w:p w:rsidR="00000000" w:rsidRDefault="00FD7D3C">
      <w:pPr>
        <w:ind w:hanging="720"/>
        <w:divId w:val="1448619444"/>
        <w:rPr>
          <w:rFonts w:eastAsia="Times New Roman"/>
        </w:rPr>
      </w:pPr>
      <w:r>
        <w:rPr>
          <w:rFonts w:eastAsia="Times New Roman"/>
          <w:color w:val="000000"/>
          <w:sz w:val="20"/>
          <w:szCs w:val="20"/>
        </w:rPr>
        <w:t>•</w:t>
      </w:r>
      <w:r>
        <w:rPr>
          <w:rFonts w:eastAsia="Times New Roman"/>
          <w:i/>
          <w:iCs/>
          <w:color w:val="000000"/>
          <w:sz w:val="20"/>
          <w:szCs w:val="20"/>
        </w:rPr>
        <w:t>Level 2</w:t>
      </w:r>
      <w:r>
        <w:rPr>
          <w:rFonts w:eastAsia="Times New Roman"/>
          <w:color w:val="000000"/>
          <w:sz w:val="20"/>
          <w:szCs w:val="20"/>
        </w:rPr>
        <w:t>—</w:t>
      </w:r>
      <w:r>
        <w:rPr>
          <w:rFonts w:eastAsia="Times New Roman"/>
          <w:color w:val="000000"/>
          <w:sz w:val="20"/>
          <w:szCs w:val="20"/>
        </w:rPr>
        <w:t>Inputs are observable, unadjusted quoted prices in active markets for similar assets or liabilities, unadjusted quoted prices for identical or similar assets or liabilities in markets that are not active, or other inputs that are observable or can be corro</w:t>
      </w:r>
      <w:r>
        <w:rPr>
          <w:rFonts w:eastAsia="Times New Roman"/>
          <w:color w:val="000000"/>
          <w:sz w:val="20"/>
          <w:szCs w:val="20"/>
        </w:rPr>
        <w:t>borated by observable market data for substantially the full term of the related assets or liabilities; and</w:t>
      </w:r>
    </w:p>
    <w:p w:rsidR="00000000" w:rsidRDefault="00FD7D3C">
      <w:pPr>
        <w:ind w:hanging="720"/>
        <w:divId w:val="1432317250"/>
        <w:rPr>
          <w:rFonts w:eastAsia="Times New Roman"/>
        </w:rPr>
      </w:pPr>
      <w:r>
        <w:rPr>
          <w:rFonts w:eastAsia="Times New Roman"/>
          <w:color w:val="000000"/>
          <w:sz w:val="20"/>
          <w:szCs w:val="20"/>
        </w:rPr>
        <w:t>•</w:t>
      </w:r>
      <w:r>
        <w:rPr>
          <w:rFonts w:eastAsia="Times New Roman"/>
          <w:i/>
          <w:iCs/>
          <w:color w:val="000000"/>
          <w:sz w:val="20"/>
          <w:szCs w:val="20"/>
        </w:rPr>
        <w:t>Level 3</w:t>
      </w:r>
      <w:r>
        <w:rPr>
          <w:rFonts w:eastAsia="Times New Roman"/>
          <w:color w:val="000000"/>
          <w:sz w:val="20"/>
          <w:szCs w:val="20"/>
        </w:rPr>
        <w:t>—Unobservable inputs that are significant to the measurement of the fair value of the assets or liabilities that are supported by little or </w:t>
      </w:r>
      <w:r>
        <w:rPr>
          <w:rFonts w:eastAsia="Times New Roman"/>
          <w:color w:val="000000"/>
          <w:sz w:val="20"/>
          <w:szCs w:val="20"/>
        </w:rPr>
        <w:t>no market data.</w:t>
      </w:r>
    </w:p>
    <w:p w:rsidR="00000000" w:rsidRDefault="00FD7D3C">
      <w:pPr>
        <w:ind w:firstLine="720"/>
        <w:divId w:val="371073634"/>
        <w:rPr>
          <w:rFonts w:eastAsia="Times New Roman"/>
        </w:rPr>
      </w:pPr>
      <w:r>
        <w:rPr>
          <w:rFonts w:eastAsia="Times New Roman"/>
          <w:color w:val="000000"/>
          <w:sz w:val="20"/>
          <w:szCs w:val="20"/>
        </w:rPr>
        <w:t>The Company’s cash equivalent Money Market Funds are classified as Level 1 because they are valued using quoted market prices. The fair value of the Company’s U.S. Treasury securities, U.S. government agency securities and corporate debt se</w:t>
      </w:r>
      <w:r>
        <w:rPr>
          <w:rFonts w:eastAsia="Times New Roman"/>
          <w:color w:val="000000"/>
          <w:sz w:val="20"/>
          <w:szCs w:val="20"/>
        </w:rPr>
        <w:t>curities are classified as Level 2 because they are valued using observable inputs to quoted market prices, benchmark yields, reported trades, broker/dealer quotes or alternative pricing sources with reasonable levels of price transparency and include U.S.</w:t>
      </w:r>
      <w:r>
        <w:rPr>
          <w:rFonts w:eastAsia="Times New Roman"/>
          <w:color w:val="000000"/>
          <w:sz w:val="20"/>
          <w:szCs w:val="20"/>
        </w:rPr>
        <w:t xml:space="preserve"> government agency securities, U.S. Treasury securities and corporate debt securities. These Level 2 instruments require more management judgment and subjectivity compared to Level 1 instruments which include determining which instruments are most similar </w:t>
      </w:r>
      <w:r>
        <w:rPr>
          <w:rFonts w:eastAsia="Times New Roman"/>
          <w:color w:val="000000"/>
          <w:sz w:val="20"/>
          <w:szCs w:val="20"/>
        </w:rPr>
        <w:t>to the instrument being priced, determining whether the market is active and determining which model-derived valuations are to be used when calculating fair value. The Company performs its analysis with the assistance of investment advisors.</w:t>
      </w:r>
    </w:p>
    <w:p w:rsidR="00000000" w:rsidRDefault="00FD7D3C">
      <w:pPr>
        <w:ind w:firstLine="720"/>
        <w:divId w:val="634331557"/>
        <w:rPr>
          <w:rFonts w:eastAsia="Times New Roman"/>
        </w:rPr>
      </w:pPr>
      <w:r>
        <w:rPr>
          <w:rFonts w:eastAsia="Times New Roman"/>
          <w:color w:val="000000"/>
          <w:sz w:val="20"/>
          <w:szCs w:val="20"/>
        </w:rPr>
        <w:t xml:space="preserve">There were no </w:t>
      </w:r>
      <w:r>
        <w:rPr>
          <w:rFonts w:eastAsia="Times New Roman"/>
          <w:color w:val="000000"/>
          <w:sz w:val="20"/>
          <w:szCs w:val="20"/>
        </w:rPr>
        <w:t>Level 3 assets or liabilities as of December 31, 2021 and 2020.</w:t>
      </w:r>
    </w:p>
    <w:p w:rsidR="00000000" w:rsidRDefault="00FD7D3C">
      <w:pPr>
        <w:jc w:val="center"/>
        <w:divId w:val="1121803078"/>
        <w:rPr>
          <w:rFonts w:eastAsia="Times New Roman"/>
        </w:rPr>
      </w:pPr>
      <w:r>
        <w:rPr>
          <w:rFonts w:eastAsia="Times New Roman"/>
          <w:color w:val="000000"/>
          <w:sz w:val="20"/>
          <w:szCs w:val="20"/>
        </w:rPr>
        <w:t>123</w:t>
      </w:r>
    </w:p>
    <w:p w:rsidR="00000000" w:rsidRDefault="00FD7D3C">
      <w:pPr>
        <w:rPr>
          <w:rFonts w:eastAsia="Times New Roman"/>
        </w:rPr>
      </w:pPr>
      <w:r>
        <w:rPr>
          <w:rFonts w:eastAsia="Times New Roman"/>
        </w:rPr>
        <w:pict>
          <v:rect id="_x0000_i1176" style="width:0;height:1.5pt" o:hralign="center" o:hrstd="t" o:hr="t" fillcolor="#a0a0a0" stroked="f"/>
        </w:pict>
      </w:r>
    </w:p>
    <w:p w:rsidR="00000000" w:rsidRDefault="00FD7D3C">
      <w:pPr>
        <w:divId w:val="2022199820"/>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ind w:firstLine="720"/>
        <w:divId w:val="2062171129"/>
        <w:rPr>
          <w:rFonts w:eastAsia="Times New Roman"/>
        </w:rPr>
      </w:pPr>
      <w:r>
        <w:rPr>
          <w:rFonts w:eastAsia="Times New Roman"/>
          <w:color w:val="000000"/>
          <w:sz w:val="20"/>
          <w:szCs w:val="20"/>
        </w:rPr>
        <w:t>The following tables show the Company’</w:t>
      </w:r>
      <w:r>
        <w:rPr>
          <w:rFonts w:eastAsia="Times New Roman"/>
          <w:color w:val="000000"/>
          <w:sz w:val="20"/>
          <w:szCs w:val="20"/>
        </w:rPr>
        <w:t>s cash and cash equivalents, Money Market Funds and short-term investments by significant investment category as of December 31, 2021 and 2020 (in thousands):</w:t>
      </w:r>
    </w:p>
    <w:tbl>
      <w:tblPr>
        <w:tblW w:w="5000" w:type="pct"/>
        <w:tblCellMar>
          <w:top w:w="15" w:type="dxa"/>
          <w:left w:w="15" w:type="dxa"/>
          <w:bottom w:w="15" w:type="dxa"/>
          <w:right w:w="15" w:type="dxa"/>
        </w:tblCellMar>
        <w:tblLook w:val="04A0" w:firstRow="1" w:lastRow="0" w:firstColumn="1" w:lastColumn="0" w:noHBand="0" w:noVBand="1"/>
      </w:tblPr>
      <w:tblGrid>
        <w:gridCol w:w="39"/>
        <w:gridCol w:w="3591"/>
        <w:gridCol w:w="37"/>
        <w:gridCol w:w="120"/>
        <w:gridCol w:w="953"/>
        <w:gridCol w:w="36"/>
        <w:gridCol w:w="36"/>
        <w:gridCol w:w="36"/>
        <w:gridCol w:w="36"/>
        <w:gridCol w:w="121"/>
        <w:gridCol w:w="912"/>
        <w:gridCol w:w="36"/>
        <w:gridCol w:w="36"/>
        <w:gridCol w:w="36"/>
        <w:gridCol w:w="36"/>
        <w:gridCol w:w="121"/>
        <w:gridCol w:w="912"/>
        <w:gridCol w:w="36"/>
        <w:gridCol w:w="36"/>
        <w:gridCol w:w="36"/>
        <w:gridCol w:w="36"/>
        <w:gridCol w:w="120"/>
        <w:gridCol w:w="912"/>
        <w:gridCol w:w="36"/>
      </w:tblGrid>
      <w:tr w:rsidR="00000000">
        <w:trPr>
          <w:divId w:val="1429541115"/>
        </w:trPr>
        <w:tc>
          <w:tcPr>
            <w:tcW w:w="50" w:type="pct"/>
            <w:vAlign w:val="center"/>
            <w:hideMark/>
          </w:tcPr>
          <w:p w:rsidR="00000000" w:rsidRDefault="00FD7D3C">
            <w:pPr>
              <w:ind w:firstLine="720"/>
              <w:rPr>
                <w:rFonts w:eastAsia="Times New Roman"/>
              </w:rPr>
            </w:pPr>
          </w:p>
        </w:tc>
        <w:tc>
          <w:tcPr>
            <w:tcW w:w="219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604"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27"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604"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27"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604"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27"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604"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r>
      <w:tr w:rsidR="00000000">
        <w:trPr>
          <w:divId w:val="1429541115"/>
        </w:trPr>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As of December 31, 2021</w:t>
            </w:r>
          </w:p>
        </w:tc>
      </w:tr>
      <w:tr w:rsidR="00000000">
        <w:trPr>
          <w:divId w:val="1429541115"/>
        </w:trPr>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Adjusted</w:t>
            </w:r>
            <w:r>
              <w:rPr>
                <w:rFonts w:eastAsia="Times New Roman"/>
                <w:b/>
                <w:bCs/>
                <w:color w:val="000000"/>
                <w:sz w:val="16"/>
                <w:szCs w:val="16"/>
              </w:rPr>
              <w:br/>
              <w:t>Cost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Unrealized</w:t>
            </w:r>
            <w:r>
              <w:rPr>
                <w:rFonts w:eastAsia="Times New Roman"/>
                <w:b/>
                <w:bCs/>
                <w:color w:val="000000"/>
                <w:sz w:val="16"/>
                <w:szCs w:val="16"/>
              </w:rPr>
              <w:br/>
              <w:t>Gains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Unrealized</w:t>
            </w:r>
            <w:r>
              <w:rPr>
                <w:rFonts w:eastAsia="Times New Roman"/>
                <w:b/>
                <w:bCs/>
                <w:color w:val="000000"/>
                <w:sz w:val="16"/>
                <w:szCs w:val="16"/>
              </w:rPr>
              <w:br/>
              <w:t>Losses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Market</w:t>
            </w:r>
            <w:r>
              <w:rPr>
                <w:rFonts w:eastAsia="Times New Roman"/>
                <w:b/>
                <w:bCs/>
                <w:color w:val="000000"/>
                <w:sz w:val="16"/>
                <w:szCs w:val="16"/>
              </w:rPr>
              <w:br/>
              <w:t>Value</w:t>
            </w:r>
          </w:p>
        </w:tc>
      </w:tr>
      <w:tr w:rsidR="00000000">
        <w:trPr>
          <w:divId w:val="1429541115"/>
        </w:trPr>
        <w:tc>
          <w:tcPr>
            <w:tcW w:w="0" w:type="auto"/>
            <w:gridSpan w:val="3"/>
            <w:shd w:val="clear" w:color="auto" w:fill="CCEEFF"/>
            <w:tcMar>
              <w:top w:w="30" w:type="dxa"/>
              <w:left w:w="20" w:type="dxa"/>
              <w:bottom w:w="30" w:type="dxa"/>
              <w:right w:w="20" w:type="dxa"/>
            </w:tcMar>
            <w:vAlign w:val="bottom"/>
            <w:hideMark/>
          </w:tcPr>
          <w:p w:rsidR="00000000" w:rsidRDefault="00FD7D3C">
            <w:pPr>
              <w:spacing w:after="100"/>
              <w:rPr>
                <w:rFonts w:eastAsia="Times New Roman"/>
              </w:rPr>
            </w:pPr>
            <w:r>
              <w:rPr>
                <w:rFonts w:eastAsia="Times New Roman"/>
                <w:color w:val="000000"/>
                <w:sz w:val="20"/>
                <w:szCs w:val="20"/>
              </w:rPr>
              <w:t>Level 1:</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000000">
        <w:trPr>
          <w:divId w:val="1429541115"/>
        </w:trPr>
        <w:tc>
          <w:tcPr>
            <w:tcW w:w="0" w:type="auto"/>
            <w:gridSpan w:val="3"/>
            <w:shd w:val="clear" w:color="auto" w:fill="FFFFFF"/>
            <w:tcMar>
              <w:top w:w="30" w:type="dxa"/>
              <w:left w:w="245" w:type="dxa"/>
              <w:bottom w:w="30" w:type="dxa"/>
              <w:right w:w="20" w:type="dxa"/>
            </w:tcMar>
            <w:vAlign w:val="bottom"/>
            <w:hideMark/>
          </w:tcPr>
          <w:p w:rsidR="00000000" w:rsidRDefault="00FD7D3C">
            <w:pPr>
              <w:spacing w:after="100"/>
              <w:rPr>
                <w:rFonts w:eastAsia="Times New Roman"/>
              </w:rPr>
            </w:pPr>
            <w:r>
              <w:rPr>
                <w:rFonts w:eastAsia="Times New Roman"/>
                <w:color w:val="000000"/>
                <w:sz w:val="20"/>
                <w:szCs w:val="20"/>
              </w:rPr>
              <w:t>Money Market Funds</w:t>
            </w:r>
          </w:p>
        </w:tc>
        <w:tc>
          <w:tcPr>
            <w:tcW w:w="0" w:type="auto"/>
            <w:shd w:val="clear" w:color="auto" w:fill="FFFF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15,329 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15,329 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1429541115"/>
        </w:trPr>
        <w:tc>
          <w:tcPr>
            <w:tcW w:w="0" w:type="auto"/>
            <w:gridSpan w:val="3"/>
            <w:shd w:val="clear" w:color="auto" w:fill="CCEEFF"/>
            <w:tcMar>
              <w:top w:w="30" w:type="dxa"/>
              <w:left w:w="20" w:type="dxa"/>
              <w:bottom w:w="30" w:type="dxa"/>
              <w:right w:w="20" w:type="dxa"/>
            </w:tcMar>
            <w:vAlign w:val="bottom"/>
            <w:hideMark/>
          </w:tcPr>
          <w:p w:rsidR="00000000" w:rsidRDefault="00FD7D3C">
            <w:pPr>
              <w:spacing w:after="100"/>
              <w:rPr>
                <w:rFonts w:eastAsia="Times New Roman"/>
              </w:rPr>
            </w:pPr>
            <w:r>
              <w:rPr>
                <w:rFonts w:eastAsia="Times New Roman"/>
                <w:color w:val="000000"/>
                <w:sz w:val="20"/>
                <w:szCs w:val="20"/>
              </w:rPr>
              <w:t>Level 2:</w:t>
            </w: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000000">
        <w:trPr>
          <w:divId w:val="1429541115"/>
        </w:trPr>
        <w:tc>
          <w:tcPr>
            <w:tcW w:w="0" w:type="auto"/>
            <w:gridSpan w:val="3"/>
            <w:shd w:val="clear" w:color="auto" w:fill="FFFFFF"/>
            <w:tcMar>
              <w:top w:w="30" w:type="dxa"/>
              <w:left w:w="20" w:type="dxa"/>
              <w:bottom w:w="30" w:type="dxa"/>
              <w:right w:w="20" w:type="dxa"/>
            </w:tcMar>
            <w:vAlign w:val="bottom"/>
            <w:hideMark/>
          </w:tcPr>
          <w:p w:rsidR="00000000" w:rsidRDefault="00FD7D3C">
            <w:pPr>
              <w:spacing w:after="100"/>
              <w:ind w:hanging="180"/>
              <w:divId w:val="1363432869"/>
              <w:rPr>
                <w:rFonts w:eastAsia="Times New Roman"/>
              </w:rPr>
            </w:pPr>
            <w:r>
              <w:rPr>
                <w:rFonts w:eastAsia="Times New Roman"/>
                <w:color w:val="000000"/>
                <w:sz w:val="20"/>
                <w:szCs w:val="20"/>
              </w:rPr>
              <w:t>U.S. government agency securities included in short-term investments</w:t>
            </w: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5,003 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5,003 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1429541115"/>
        </w:trPr>
        <w:tc>
          <w:tcPr>
            <w:tcW w:w="0" w:type="auto"/>
            <w:gridSpan w:val="3"/>
            <w:shd w:val="clear" w:color="auto" w:fill="CCEEFF"/>
            <w:tcMar>
              <w:top w:w="30" w:type="dxa"/>
              <w:left w:w="20" w:type="dxa"/>
              <w:bottom w:w="30" w:type="dxa"/>
              <w:right w:w="20" w:type="dxa"/>
            </w:tcMar>
            <w:vAlign w:val="bottom"/>
            <w:hideMark/>
          </w:tcPr>
          <w:p w:rsidR="00000000" w:rsidRDefault="00FD7D3C">
            <w:pPr>
              <w:spacing w:after="100"/>
              <w:ind w:hanging="180"/>
              <w:divId w:val="1078282177"/>
              <w:rPr>
                <w:rFonts w:eastAsia="Times New Roman"/>
              </w:rPr>
            </w:pPr>
            <w:r>
              <w:rPr>
                <w:rFonts w:eastAsia="Times New Roman"/>
                <w:color w:val="000000"/>
                <w:sz w:val="20"/>
                <w:szCs w:val="20"/>
              </w:rPr>
              <w:t>Corporate debt securities included in cash and cash equivalents and short-term investments</w:t>
            </w: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163,626 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(202)</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163,425 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1429541115"/>
        </w:trPr>
        <w:tc>
          <w:tcPr>
            <w:tcW w:w="0" w:type="auto"/>
            <w:gridSpan w:val="3"/>
            <w:shd w:val="clear" w:color="auto" w:fill="FFFFFF"/>
            <w:tcMar>
              <w:top w:w="30" w:type="dxa"/>
              <w:left w:w="20" w:type="dxa"/>
              <w:bottom w:w="30" w:type="dxa"/>
              <w:right w:w="20" w:type="dxa"/>
            </w:tcMar>
            <w:vAlign w:val="bottom"/>
            <w:hideMark/>
          </w:tcPr>
          <w:p w:rsidR="00000000" w:rsidRDefault="00FD7D3C">
            <w:pPr>
              <w:spacing w:after="100"/>
              <w:rPr>
                <w:rFonts w:eastAsia="Times New Roman"/>
              </w:rPr>
            </w:pPr>
            <w:r>
              <w:rPr>
                <w:rFonts w:eastAsia="Times New Roman"/>
                <w:color w:val="000000"/>
                <w:sz w:val="20"/>
                <w:szCs w:val="20"/>
              </w:rPr>
              <w:t>Total financial assets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183,958 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(202)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183,757 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r>
    </w:tbl>
    <w:p w:rsidR="00000000" w:rsidRDefault="00FD7D3C">
      <w:pPr>
        <w:divId w:val="1901398888"/>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3589"/>
        <w:gridCol w:w="38"/>
        <w:gridCol w:w="120"/>
        <w:gridCol w:w="953"/>
        <w:gridCol w:w="36"/>
        <w:gridCol w:w="36"/>
        <w:gridCol w:w="36"/>
        <w:gridCol w:w="36"/>
        <w:gridCol w:w="121"/>
        <w:gridCol w:w="912"/>
        <w:gridCol w:w="36"/>
        <w:gridCol w:w="36"/>
        <w:gridCol w:w="36"/>
        <w:gridCol w:w="36"/>
        <w:gridCol w:w="121"/>
        <w:gridCol w:w="912"/>
        <w:gridCol w:w="36"/>
        <w:gridCol w:w="36"/>
        <w:gridCol w:w="36"/>
        <w:gridCol w:w="36"/>
        <w:gridCol w:w="120"/>
        <w:gridCol w:w="912"/>
        <w:gridCol w:w="36"/>
      </w:tblGrid>
      <w:tr w:rsidR="00000000">
        <w:trPr>
          <w:divId w:val="1350911290"/>
        </w:trPr>
        <w:tc>
          <w:tcPr>
            <w:tcW w:w="50" w:type="pct"/>
            <w:vAlign w:val="center"/>
            <w:hideMark/>
          </w:tcPr>
          <w:p w:rsidR="00000000" w:rsidRDefault="00FD7D3C">
            <w:pPr>
              <w:rPr>
                <w:rFonts w:eastAsia="Times New Roman"/>
              </w:rPr>
            </w:pPr>
          </w:p>
        </w:tc>
        <w:tc>
          <w:tcPr>
            <w:tcW w:w="219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604"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27"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604"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27"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604"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27"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604"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r>
      <w:tr w:rsidR="00000000">
        <w:trPr>
          <w:divId w:val="1350911290"/>
        </w:trPr>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As of December 31, 2020</w:t>
            </w:r>
          </w:p>
        </w:tc>
      </w:tr>
      <w:tr w:rsidR="00000000">
        <w:trPr>
          <w:divId w:val="1350911290"/>
        </w:trPr>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Adjusted</w:t>
            </w:r>
            <w:r>
              <w:rPr>
                <w:rFonts w:eastAsia="Times New Roman"/>
                <w:b/>
                <w:bCs/>
                <w:color w:val="000000"/>
                <w:sz w:val="16"/>
                <w:szCs w:val="16"/>
              </w:rPr>
              <w:br/>
              <w:t>Cost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Unrealized</w:t>
            </w:r>
            <w:r>
              <w:rPr>
                <w:rFonts w:eastAsia="Times New Roman"/>
                <w:b/>
                <w:bCs/>
                <w:color w:val="000000"/>
                <w:sz w:val="16"/>
                <w:szCs w:val="16"/>
              </w:rPr>
              <w:br/>
              <w:t>Gains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Unrealized</w:t>
            </w:r>
            <w:r>
              <w:rPr>
                <w:rFonts w:eastAsia="Times New Roman"/>
                <w:b/>
                <w:bCs/>
                <w:color w:val="000000"/>
                <w:sz w:val="16"/>
                <w:szCs w:val="16"/>
              </w:rPr>
              <w:br/>
              <w:t>Losses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Market</w:t>
            </w:r>
            <w:r>
              <w:rPr>
                <w:rFonts w:eastAsia="Times New Roman"/>
                <w:b/>
                <w:bCs/>
                <w:color w:val="000000"/>
                <w:sz w:val="16"/>
                <w:szCs w:val="16"/>
              </w:rPr>
              <w:br/>
              <w:t>Value</w:t>
            </w:r>
          </w:p>
        </w:tc>
      </w:tr>
      <w:tr w:rsidR="00000000">
        <w:trPr>
          <w:divId w:val="1350911290"/>
        </w:trPr>
        <w:tc>
          <w:tcPr>
            <w:tcW w:w="0" w:type="auto"/>
            <w:gridSpan w:val="3"/>
            <w:shd w:val="clear" w:color="auto" w:fill="CCEEFF"/>
            <w:tcMar>
              <w:top w:w="30" w:type="dxa"/>
              <w:left w:w="20" w:type="dxa"/>
              <w:bottom w:w="30" w:type="dxa"/>
              <w:right w:w="20" w:type="dxa"/>
            </w:tcMar>
            <w:vAlign w:val="bottom"/>
            <w:hideMark/>
          </w:tcPr>
          <w:p w:rsidR="00000000" w:rsidRDefault="00FD7D3C">
            <w:pPr>
              <w:spacing w:after="100"/>
              <w:rPr>
                <w:rFonts w:eastAsia="Times New Roman"/>
              </w:rPr>
            </w:pPr>
            <w:r>
              <w:rPr>
                <w:rFonts w:eastAsia="Times New Roman"/>
                <w:color w:val="000000"/>
                <w:sz w:val="20"/>
                <w:szCs w:val="20"/>
              </w:rPr>
              <w:t>Level 1:</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000000">
        <w:trPr>
          <w:divId w:val="1350911290"/>
        </w:trPr>
        <w:tc>
          <w:tcPr>
            <w:tcW w:w="0" w:type="auto"/>
            <w:gridSpan w:val="3"/>
            <w:shd w:val="clear" w:color="auto" w:fill="FFFFFF"/>
            <w:tcMar>
              <w:top w:w="30" w:type="dxa"/>
              <w:left w:w="245" w:type="dxa"/>
              <w:bottom w:w="30" w:type="dxa"/>
              <w:right w:w="20" w:type="dxa"/>
            </w:tcMar>
            <w:vAlign w:val="bottom"/>
            <w:hideMark/>
          </w:tcPr>
          <w:p w:rsidR="00000000" w:rsidRDefault="00FD7D3C">
            <w:pPr>
              <w:spacing w:after="100"/>
              <w:rPr>
                <w:rFonts w:eastAsia="Times New Roman"/>
              </w:rPr>
            </w:pPr>
            <w:r>
              <w:rPr>
                <w:rFonts w:eastAsia="Times New Roman"/>
                <w:color w:val="000000"/>
                <w:sz w:val="20"/>
                <w:szCs w:val="20"/>
              </w:rPr>
              <w:t>Money Market Funds</w:t>
            </w:r>
          </w:p>
        </w:tc>
        <w:tc>
          <w:tcPr>
            <w:tcW w:w="0" w:type="auto"/>
            <w:shd w:val="clear" w:color="auto" w:fill="FFFF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27,686 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27,686 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1350911290"/>
        </w:trPr>
        <w:tc>
          <w:tcPr>
            <w:tcW w:w="0" w:type="auto"/>
            <w:gridSpan w:val="3"/>
            <w:shd w:val="clear" w:color="auto" w:fill="CCEEFF"/>
            <w:tcMar>
              <w:top w:w="30" w:type="dxa"/>
              <w:left w:w="20" w:type="dxa"/>
              <w:bottom w:w="30" w:type="dxa"/>
              <w:right w:w="20" w:type="dxa"/>
            </w:tcMar>
            <w:vAlign w:val="bottom"/>
            <w:hideMark/>
          </w:tcPr>
          <w:p w:rsidR="00000000" w:rsidRDefault="00FD7D3C">
            <w:pPr>
              <w:spacing w:after="100"/>
              <w:rPr>
                <w:rFonts w:eastAsia="Times New Roman"/>
              </w:rPr>
            </w:pPr>
            <w:r>
              <w:rPr>
                <w:rFonts w:eastAsia="Times New Roman"/>
                <w:color w:val="000000"/>
                <w:sz w:val="20"/>
                <w:szCs w:val="20"/>
              </w:rPr>
              <w:t>Level 2:</w:t>
            </w: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000000">
        <w:trPr>
          <w:divId w:val="1350911290"/>
        </w:trPr>
        <w:tc>
          <w:tcPr>
            <w:tcW w:w="0" w:type="auto"/>
            <w:gridSpan w:val="3"/>
            <w:shd w:val="clear" w:color="auto" w:fill="FFFFFF"/>
            <w:tcMar>
              <w:top w:w="30" w:type="dxa"/>
              <w:left w:w="20" w:type="dxa"/>
              <w:bottom w:w="30" w:type="dxa"/>
              <w:right w:w="20" w:type="dxa"/>
            </w:tcMar>
            <w:vAlign w:val="bottom"/>
            <w:hideMark/>
          </w:tcPr>
          <w:p w:rsidR="00000000" w:rsidRDefault="00FD7D3C">
            <w:pPr>
              <w:spacing w:after="100"/>
              <w:ind w:hanging="180"/>
              <w:divId w:val="411463853"/>
              <w:rPr>
                <w:rFonts w:eastAsia="Times New Roman"/>
              </w:rPr>
            </w:pPr>
            <w:r>
              <w:rPr>
                <w:rFonts w:eastAsia="Times New Roman"/>
                <w:color w:val="000000"/>
                <w:sz w:val="20"/>
                <w:szCs w:val="20"/>
              </w:rPr>
              <w:t>U.S. Treasury securities included in short-term investments</w:t>
            </w: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63,101 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63,104 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1350911290"/>
        </w:trPr>
        <w:tc>
          <w:tcPr>
            <w:tcW w:w="0" w:type="auto"/>
            <w:gridSpan w:val="3"/>
            <w:shd w:val="clear" w:color="auto" w:fill="CCEEFF"/>
            <w:tcMar>
              <w:top w:w="30" w:type="dxa"/>
              <w:left w:w="20" w:type="dxa"/>
              <w:bottom w:w="30" w:type="dxa"/>
              <w:right w:w="20" w:type="dxa"/>
            </w:tcMar>
            <w:vAlign w:val="bottom"/>
            <w:hideMark/>
          </w:tcPr>
          <w:p w:rsidR="00000000" w:rsidRDefault="00FD7D3C">
            <w:pPr>
              <w:spacing w:after="100"/>
              <w:ind w:hanging="180"/>
              <w:divId w:val="1403986020"/>
              <w:rPr>
                <w:rFonts w:eastAsia="Times New Roman"/>
              </w:rPr>
            </w:pPr>
            <w:r>
              <w:rPr>
                <w:rFonts w:eastAsia="Times New Roman"/>
                <w:color w:val="000000"/>
                <w:sz w:val="20"/>
                <w:szCs w:val="20"/>
              </w:rPr>
              <w:t>U.S. government agency securities included in short-term investments</w:t>
            </w: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54,183 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54,193 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1350911290"/>
        </w:trPr>
        <w:tc>
          <w:tcPr>
            <w:tcW w:w="0" w:type="auto"/>
            <w:gridSpan w:val="3"/>
            <w:shd w:val="clear" w:color="auto" w:fill="FFFFFF"/>
            <w:tcMar>
              <w:top w:w="30" w:type="dxa"/>
              <w:left w:w="260" w:type="dxa"/>
              <w:bottom w:w="30" w:type="dxa"/>
              <w:right w:w="20" w:type="dxa"/>
            </w:tcMar>
            <w:vAlign w:val="bottom"/>
            <w:hideMark/>
          </w:tcPr>
          <w:p w:rsidR="00000000" w:rsidRDefault="00FD7D3C">
            <w:pPr>
              <w:spacing w:after="100"/>
              <w:rPr>
                <w:rFonts w:eastAsia="Times New Roman"/>
              </w:rPr>
            </w:pPr>
            <w:r>
              <w:rPr>
                <w:rFonts w:eastAsia="Times New Roman"/>
                <w:color w:val="000000"/>
                <w:sz w:val="20"/>
                <w:szCs w:val="20"/>
              </w:rPr>
              <w:t>Corporate debt securities included in cash and cash</w:t>
            </w:r>
            <w:r>
              <w:rPr>
                <w:rFonts w:eastAsia="Times New Roman"/>
                <w:color w:val="000000"/>
                <w:sz w:val="20"/>
                <w:szCs w:val="20"/>
              </w:rPr>
              <w:br/>
              <w:t>   equivalents and short-term investments</w:t>
            </w: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118,759 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(46)</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118,714 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1350911290"/>
        </w:trPr>
        <w:tc>
          <w:tcPr>
            <w:tcW w:w="0" w:type="auto"/>
            <w:gridSpan w:val="3"/>
            <w:shd w:val="clear" w:color="auto" w:fill="CCEEFF"/>
            <w:tcMar>
              <w:top w:w="30" w:type="dxa"/>
              <w:left w:w="20" w:type="dxa"/>
              <w:bottom w:w="30" w:type="dxa"/>
              <w:right w:w="20" w:type="dxa"/>
            </w:tcMar>
            <w:vAlign w:val="bottom"/>
            <w:hideMark/>
          </w:tcPr>
          <w:p w:rsidR="00000000" w:rsidRDefault="00FD7D3C">
            <w:pPr>
              <w:spacing w:after="100"/>
              <w:rPr>
                <w:rFonts w:eastAsia="Times New Roman"/>
              </w:rPr>
            </w:pPr>
            <w:r>
              <w:rPr>
                <w:rFonts w:eastAsia="Times New Roman"/>
                <w:color w:val="000000"/>
                <w:sz w:val="20"/>
                <w:szCs w:val="20"/>
              </w:rPr>
              <w:t>Total financial assets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263,729 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(47)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263,697 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r>
    </w:tbl>
    <w:p w:rsidR="00000000" w:rsidRDefault="00FD7D3C">
      <w:pPr>
        <w:ind w:firstLine="720"/>
        <w:divId w:val="1555657054"/>
        <w:rPr>
          <w:rFonts w:eastAsia="Times New Roman"/>
        </w:rPr>
      </w:pPr>
      <w:r>
        <w:rPr>
          <w:rFonts w:eastAsia="Times New Roman"/>
          <w:color w:val="000000"/>
          <w:sz w:val="20"/>
          <w:szCs w:val="20"/>
        </w:rPr>
        <w:t>The Company may sell certain of its short-term securities prior to their stated maturities for reasons including, but not limited to, managing liquidity, credit risk, duration and asset allocation.</w:t>
      </w:r>
    </w:p>
    <w:p w:rsidR="00000000" w:rsidRDefault="00FD7D3C">
      <w:pPr>
        <w:ind w:firstLine="720"/>
        <w:divId w:val="1497110130"/>
        <w:rPr>
          <w:rFonts w:eastAsia="Times New Roman"/>
        </w:rPr>
      </w:pPr>
      <w:r>
        <w:rPr>
          <w:rFonts w:eastAsia="Times New Roman"/>
          <w:color w:val="000000"/>
          <w:sz w:val="20"/>
          <w:szCs w:val="20"/>
        </w:rPr>
        <w:t>The fol</w:t>
      </w:r>
      <w:r>
        <w:rPr>
          <w:rFonts w:eastAsia="Times New Roman"/>
          <w:color w:val="000000"/>
          <w:sz w:val="20"/>
          <w:szCs w:val="20"/>
        </w:rPr>
        <w:t>lowing summarizes the remaining contractual maturities of the Company’s short-term investments as of December 31, 2021:</w:t>
      </w:r>
    </w:p>
    <w:tbl>
      <w:tblPr>
        <w:tblW w:w="5000" w:type="pct"/>
        <w:tblCellMar>
          <w:top w:w="15" w:type="dxa"/>
          <w:left w:w="15" w:type="dxa"/>
          <w:bottom w:w="15" w:type="dxa"/>
          <w:right w:w="15" w:type="dxa"/>
        </w:tblCellMar>
        <w:tblLook w:val="04A0" w:firstRow="1" w:lastRow="0" w:firstColumn="1" w:lastColumn="0" w:noHBand="0" w:noVBand="1"/>
      </w:tblPr>
      <w:tblGrid>
        <w:gridCol w:w="40"/>
        <w:gridCol w:w="5920"/>
        <w:gridCol w:w="37"/>
        <w:gridCol w:w="120"/>
        <w:gridCol w:w="961"/>
        <w:gridCol w:w="36"/>
        <w:gridCol w:w="36"/>
        <w:gridCol w:w="36"/>
        <w:gridCol w:w="36"/>
        <w:gridCol w:w="120"/>
        <w:gridCol w:w="928"/>
        <w:gridCol w:w="36"/>
      </w:tblGrid>
      <w:tr w:rsidR="00000000">
        <w:trPr>
          <w:divId w:val="945817303"/>
        </w:trPr>
        <w:tc>
          <w:tcPr>
            <w:tcW w:w="50" w:type="pct"/>
            <w:vAlign w:val="center"/>
            <w:hideMark/>
          </w:tcPr>
          <w:p w:rsidR="00000000" w:rsidRDefault="00FD7D3C">
            <w:pPr>
              <w:ind w:firstLine="720"/>
              <w:rPr>
                <w:rFonts w:eastAsia="Times New Roman"/>
              </w:rPr>
            </w:pPr>
          </w:p>
        </w:tc>
        <w:tc>
          <w:tcPr>
            <w:tcW w:w="3588"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604"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27"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604"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r>
      <w:tr w:rsidR="00000000">
        <w:trPr>
          <w:divId w:val="945817303"/>
        </w:trPr>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Adjusted</w:t>
            </w:r>
            <w:r>
              <w:rPr>
                <w:rFonts w:eastAsia="Times New Roman"/>
                <w:b/>
                <w:bCs/>
                <w:color w:val="000000"/>
                <w:sz w:val="16"/>
                <w:szCs w:val="16"/>
              </w:rPr>
              <w:br/>
              <w:t>Cost</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Market</w:t>
            </w:r>
            <w:r>
              <w:rPr>
                <w:rFonts w:eastAsia="Times New Roman"/>
                <w:b/>
                <w:bCs/>
                <w:color w:val="000000"/>
                <w:sz w:val="16"/>
                <w:szCs w:val="16"/>
              </w:rPr>
              <w:br/>
              <w:t>Value</w:t>
            </w:r>
          </w:p>
        </w:tc>
      </w:tr>
      <w:tr w:rsidR="00000000">
        <w:trPr>
          <w:divId w:val="945817303"/>
        </w:trPr>
        <w:tc>
          <w:tcPr>
            <w:tcW w:w="0" w:type="auto"/>
            <w:gridSpan w:val="3"/>
            <w:shd w:val="clear" w:color="auto" w:fill="CCEEFF"/>
            <w:tcMar>
              <w:top w:w="30" w:type="dxa"/>
              <w:left w:w="20" w:type="dxa"/>
              <w:bottom w:w="30" w:type="dxa"/>
              <w:right w:w="20" w:type="dxa"/>
            </w:tcMar>
            <w:vAlign w:val="bottom"/>
            <w:hideMark/>
          </w:tcPr>
          <w:p w:rsidR="00000000" w:rsidRDefault="00FD7D3C">
            <w:pPr>
              <w:spacing w:after="100"/>
              <w:rPr>
                <w:rFonts w:eastAsia="Times New Roman"/>
              </w:rPr>
            </w:pPr>
            <w:r>
              <w:rPr>
                <w:rFonts w:eastAsia="Times New Roman"/>
                <w:color w:val="000000"/>
                <w:sz w:val="20"/>
                <w:szCs w:val="20"/>
              </w:rPr>
              <w:t>Mature in 1 year or less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114,076 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113,974 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945817303"/>
        </w:trPr>
        <w:tc>
          <w:tcPr>
            <w:tcW w:w="0" w:type="auto"/>
            <w:gridSpan w:val="3"/>
            <w:shd w:val="clear" w:color="auto" w:fill="FFFFFF"/>
            <w:tcMar>
              <w:top w:w="30" w:type="dxa"/>
              <w:left w:w="20" w:type="dxa"/>
              <w:bottom w:w="30" w:type="dxa"/>
              <w:right w:w="20" w:type="dxa"/>
            </w:tcMar>
            <w:vAlign w:val="bottom"/>
            <w:hideMark/>
          </w:tcPr>
          <w:p w:rsidR="00000000" w:rsidRDefault="00FD7D3C">
            <w:pPr>
              <w:spacing w:after="100"/>
              <w:rPr>
                <w:rFonts w:eastAsia="Times New Roman"/>
              </w:rPr>
            </w:pPr>
            <w:r>
              <w:rPr>
                <w:rFonts w:eastAsia="Times New Roman"/>
                <w:color w:val="000000"/>
                <w:sz w:val="20"/>
                <w:szCs w:val="20"/>
              </w:rPr>
              <w:t>Mature in 1 to 2 years</w:t>
            </w: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35,054 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34,956 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945817303"/>
        </w:trPr>
        <w:tc>
          <w:tcPr>
            <w:tcW w:w="0" w:type="auto"/>
            <w:gridSpan w:val="3"/>
            <w:shd w:val="clear" w:color="auto" w:fill="CCEEFF"/>
            <w:tcMar>
              <w:top w:w="30" w:type="dxa"/>
              <w:left w:w="245" w:type="dxa"/>
              <w:bottom w:w="30" w:type="dxa"/>
              <w:right w:w="20" w:type="dxa"/>
            </w:tcMar>
            <w:hideMark/>
          </w:tcPr>
          <w:p w:rsidR="00000000" w:rsidRDefault="00FD7D3C">
            <w:pPr>
              <w:spacing w:after="100"/>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149,130 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148,930 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r>
    </w:tbl>
    <w:p w:rsidR="00000000" w:rsidRDefault="00FD7D3C">
      <w:pPr>
        <w:ind w:firstLine="720"/>
        <w:divId w:val="2019038271"/>
        <w:rPr>
          <w:rFonts w:eastAsia="Times New Roman"/>
        </w:rPr>
      </w:pPr>
      <w:r>
        <w:rPr>
          <w:rFonts w:eastAsia="Times New Roman"/>
          <w:color w:val="000000"/>
          <w:sz w:val="20"/>
          <w:szCs w:val="20"/>
        </w:rPr>
        <w:t xml:space="preserve">There were no liabilities measured at fair value on a recurring basis as of December 31, 2021 and 2020. There have been no </w:t>
      </w:r>
      <w:r>
        <w:rPr>
          <w:rFonts w:eastAsia="Times New Roman"/>
          <w:color w:val="000000"/>
          <w:sz w:val="20"/>
          <w:szCs w:val="20"/>
        </w:rPr>
        <w:t>transfers between fair value measurement levels during the years ended December 31, 2021 and 2020. In addition, there were no assets or liabilities measured at fair value on a non-recurring basis as of December 31, 2021 and 2020.</w:t>
      </w:r>
    </w:p>
    <w:p w:rsidR="00000000" w:rsidRDefault="00FD7D3C">
      <w:pPr>
        <w:ind w:firstLine="720"/>
        <w:divId w:val="1256547621"/>
        <w:rPr>
          <w:rFonts w:eastAsia="Times New Roman"/>
        </w:rPr>
      </w:pPr>
      <w:r>
        <w:rPr>
          <w:rFonts w:eastAsia="Times New Roman"/>
          <w:color w:val="000000"/>
          <w:sz w:val="20"/>
          <w:szCs w:val="20"/>
        </w:rPr>
        <w:t>As of December 31, 2021, the Company had not recorded any impairment related to other-than-temporary declines in the fair value of short-term investments.</w:t>
      </w:r>
    </w:p>
    <w:p w:rsidR="00000000" w:rsidRDefault="00FD7D3C">
      <w:pPr>
        <w:ind w:firstLine="720"/>
        <w:divId w:val="1527325362"/>
        <w:rPr>
          <w:rFonts w:eastAsia="Times New Roman"/>
        </w:rPr>
      </w:pPr>
      <w:r>
        <w:rPr>
          <w:rFonts w:eastAsia="Times New Roman"/>
          <w:color w:val="000000"/>
          <w:sz w:val="20"/>
          <w:szCs w:val="20"/>
        </w:rPr>
        <w:t>The Company records interest income and accretion income earned on Money Market Funds and U.S. Treasu</w:t>
      </w:r>
      <w:r>
        <w:rPr>
          <w:rFonts w:eastAsia="Times New Roman"/>
          <w:color w:val="000000"/>
          <w:sz w:val="20"/>
          <w:szCs w:val="20"/>
        </w:rPr>
        <w:t>ry, U.S. government agency and corporate debt securities to interest and other income (expense), net in its statement of operations and comprehensive loss.</w:t>
      </w:r>
    </w:p>
    <w:p w:rsidR="00000000" w:rsidRDefault="00FD7D3C">
      <w:pPr>
        <w:jc w:val="center"/>
        <w:divId w:val="387726386"/>
        <w:rPr>
          <w:rFonts w:eastAsia="Times New Roman"/>
        </w:rPr>
      </w:pPr>
      <w:r>
        <w:rPr>
          <w:rFonts w:eastAsia="Times New Roman"/>
          <w:color w:val="000000"/>
          <w:sz w:val="20"/>
          <w:szCs w:val="20"/>
        </w:rPr>
        <w:t>124</w:t>
      </w:r>
    </w:p>
    <w:p w:rsidR="00000000" w:rsidRDefault="00FD7D3C">
      <w:pPr>
        <w:rPr>
          <w:rFonts w:eastAsia="Times New Roman"/>
        </w:rPr>
      </w:pPr>
      <w:r>
        <w:rPr>
          <w:rFonts w:eastAsia="Times New Roman"/>
        </w:rPr>
        <w:pict>
          <v:rect id="_x0000_i1177" style="width:0;height:1.5pt" o:hralign="center" o:hrstd="t" o:hr="t" fillcolor="#a0a0a0" stroked="f"/>
        </w:pict>
      </w:r>
    </w:p>
    <w:p w:rsidR="00000000" w:rsidRDefault="00FD7D3C">
      <w:pPr>
        <w:divId w:val="616179846"/>
        <w:rPr>
          <w:rFonts w:eastAsia="Times New Roman"/>
        </w:rPr>
      </w:pPr>
      <w:hyperlink w:anchor="i988625df783e4cc0a27bd76df388da57_7" w:history="1">
        <w:r>
          <w:rPr>
            <w:rStyle w:val="a3"/>
            <w:rFonts w:eastAsia="Times New Roman"/>
            <w:sz w:val="20"/>
            <w:szCs w:val="20"/>
          </w:rPr>
          <w:t>Ta</w:t>
        </w:r>
        <w:r>
          <w:rPr>
            <w:rStyle w:val="a3"/>
            <w:rFonts w:eastAsia="Times New Roman"/>
            <w:sz w:val="20"/>
            <w:szCs w:val="20"/>
          </w:rPr>
          <w:t>ble of Contents</w:t>
        </w:r>
      </w:hyperlink>
    </w:p>
    <w:p w:rsidR="00000000" w:rsidRDefault="00FD7D3C">
      <w:pPr>
        <w:ind w:hanging="720"/>
        <w:divId w:val="2123069831"/>
        <w:rPr>
          <w:rFonts w:eastAsia="Times New Roman"/>
        </w:rPr>
      </w:pPr>
      <w:r>
        <w:rPr>
          <w:rFonts w:eastAsia="Times New Roman"/>
          <w:b/>
          <w:bCs/>
          <w:color w:val="000000"/>
          <w:sz w:val="20"/>
          <w:szCs w:val="20"/>
        </w:rPr>
        <w:t>4.    Property and Equipment, net</w:t>
      </w:r>
    </w:p>
    <w:p w:rsidR="00000000" w:rsidRDefault="00FD7D3C">
      <w:pPr>
        <w:ind w:firstLine="720"/>
        <w:divId w:val="1312713360"/>
        <w:rPr>
          <w:rFonts w:eastAsia="Times New Roman"/>
        </w:rPr>
      </w:pPr>
      <w:r>
        <w:rPr>
          <w:rFonts w:eastAsia="Times New Roman"/>
          <w:color w:val="000000"/>
          <w:sz w:val="20"/>
          <w:szCs w:val="20"/>
        </w:rPr>
        <w:t>Property and equipment, net consisted of the following (in thousands):</w:t>
      </w:r>
    </w:p>
    <w:tbl>
      <w:tblPr>
        <w:tblW w:w="5000" w:type="pct"/>
        <w:tblCellMar>
          <w:top w:w="15" w:type="dxa"/>
          <w:left w:w="15" w:type="dxa"/>
          <w:bottom w:w="15" w:type="dxa"/>
          <w:right w:w="15" w:type="dxa"/>
        </w:tblCellMar>
        <w:tblLook w:val="04A0" w:firstRow="1" w:lastRow="0" w:firstColumn="1" w:lastColumn="0" w:noHBand="0" w:noVBand="1"/>
      </w:tblPr>
      <w:tblGrid>
        <w:gridCol w:w="40"/>
        <w:gridCol w:w="5920"/>
        <w:gridCol w:w="37"/>
        <w:gridCol w:w="120"/>
        <w:gridCol w:w="961"/>
        <w:gridCol w:w="36"/>
        <w:gridCol w:w="36"/>
        <w:gridCol w:w="36"/>
        <w:gridCol w:w="36"/>
        <w:gridCol w:w="120"/>
        <w:gridCol w:w="928"/>
        <w:gridCol w:w="36"/>
      </w:tblGrid>
      <w:tr w:rsidR="00000000">
        <w:trPr>
          <w:divId w:val="606935355"/>
        </w:trPr>
        <w:tc>
          <w:tcPr>
            <w:tcW w:w="50" w:type="pct"/>
            <w:vAlign w:val="center"/>
            <w:hideMark/>
          </w:tcPr>
          <w:p w:rsidR="00000000" w:rsidRDefault="00FD7D3C">
            <w:pPr>
              <w:ind w:firstLine="720"/>
              <w:rPr>
                <w:rFonts w:eastAsia="Times New Roman"/>
              </w:rPr>
            </w:pPr>
          </w:p>
        </w:tc>
        <w:tc>
          <w:tcPr>
            <w:tcW w:w="3588"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604"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27"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604"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r>
      <w:tr w:rsidR="00000000">
        <w:trPr>
          <w:divId w:val="606935355"/>
        </w:trPr>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December 31,</w:t>
            </w:r>
          </w:p>
        </w:tc>
      </w:tr>
      <w:tr w:rsidR="00000000">
        <w:trPr>
          <w:divId w:val="606935355"/>
        </w:trPr>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2020</w:t>
            </w:r>
          </w:p>
        </w:tc>
      </w:tr>
      <w:tr w:rsidR="00000000">
        <w:trPr>
          <w:divId w:val="606935355"/>
        </w:trPr>
        <w:tc>
          <w:tcPr>
            <w:tcW w:w="0" w:type="auto"/>
            <w:gridSpan w:val="3"/>
            <w:shd w:val="clear" w:color="auto" w:fill="CFF0FC"/>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Laboratory equipment</w:t>
            </w: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7,947 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6,540 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606935355"/>
        </w:trPr>
        <w:tc>
          <w:tcPr>
            <w:tcW w:w="0" w:type="auto"/>
            <w:gridSpan w:val="3"/>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Leasehold improvements</w:t>
            </w:r>
          </w:p>
        </w:tc>
        <w:tc>
          <w:tcPr>
            <w:tcW w:w="0" w:type="auto"/>
            <w:gridSpan w:val="2"/>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1,618 </w:t>
            </w:r>
          </w:p>
        </w:tc>
        <w:tc>
          <w:tcPr>
            <w:tcW w:w="0" w:type="auto"/>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947 </w:t>
            </w:r>
          </w:p>
        </w:tc>
        <w:tc>
          <w:tcPr>
            <w:tcW w:w="0" w:type="auto"/>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606935355"/>
        </w:trPr>
        <w:tc>
          <w:tcPr>
            <w:tcW w:w="0" w:type="auto"/>
            <w:gridSpan w:val="3"/>
            <w:shd w:val="clear" w:color="auto" w:fill="CFF0FC"/>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Construction-in-progress</w:t>
            </w:r>
          </w:p>
        </w:tc>
        <w:tc>
          <w:tcPr>
            <w:tcW w:w="0" w:type="auto"/>
            <w:gridSpan w:val="2"/>
            <w:shd w:val="clear" w:color="auto" w:fill="CFF0FC"/>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38 </w:t>
            </w:r>
          </w:p>
        </w:tc>
        <w:tc>
          <w:tcPr>
            <w:tcW w:w="0" w:type="auto"/>
            <w:shd w:val="clear" w:color="auto" w:fill="CFF0FC"/>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FF0FC"/>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300 </w:t>
            </w:r>
          </w:p>
        </w:tc>
        <w:tc>
          <w:tcPr>
            <w:tcW w:w="0" w:type="auto"/>
            <w:shd w:val="clear" w:color="auto" w:fill="CFF0FC"/>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606935355"/>
        </w:trPr>
        <w:tc>
          <w:tcPr>
            <w:tcW w:w="0" w:type="auto"/>
            <w:gridSpan w:val="3"/>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Computer equipment and software</w:t>
            </w:r>
          </w:p>
        </w:tc>
        <w:tc>
          <w:tcPr>
            <w:tcW w:w="0" w:type="auto"/>
            <w:gridSpan w:val="2"/>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22 </w:t>
            </w:r>
          </w:p>
        </w:tc>
        <w:tc>
          <w:tcPr>
            <w:tcW w:w="0" w:type="auto"/>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22 </w:t>
            </w:r>
          </w:p>
        </w:tc>
        <w:tc>
          <w:tcPr>
            <w:tcW w:w="0" w:type="auto"/>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606935355"/>
        </w:trPr>
        <w:tc>
          <w:tcPr>
            <w:tcW w:w="0" w:type="auto"/>
            <w:gridSpan w:val="3"/>
            <w:shd w:val="clear" w:color="auto" w:fill="CFF0FC"/>
            <w:tcMar>
              <w:top w:w="30" w:type="dxa"/>
              <w:left w:w="245" w:type="dxa"/>
              <w:bottom w:w="30" w:type="dxa"/>
              <w:right w:w="20" w:type="dxa"/>
            </w:tcMar>
            <w:hideMark/>
          </w:tcPr>
          <w:p w:rsidR="00000000" w:rsidRDefault="00FD7D3C">
            <w:pPr>
              <w:spacing w:after="100"/>
              <w:rPr>
                <w:rFonts w:eastAsia="Times New Roman"/>
              </w:rPr>
            </w:pPr>
            <w:r>
              <w:rPr>
                <w:rFonts w:eastAsia="Times New Roman"/>
                <w:color w:val="000000"/>
                <w:sz w:val="20"/>
                <w:szCs w:val="20"/>
              </w:rPr>
              <w:t>Total property and equipment</w:t>
            </w:r>
          </w:p>
        </w:tc>
        <w:tc>
          <w:tcPr>
            <w:tcW w:w="0" w:type="auto"/>
            <w:gridSpan w:val="2"/>
            <w:tcBorders>
              <w:top w:val="single" w:sz="8" w:space="0" w:color="000000"/>
            </w:tcBorders>
            <w:shd w:val="clear" w:color="auto" w:fill="CFF0FC"/>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9,625 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Borders>
              <w:top w:val="single" w:sz="8" w:space="0" w:color="000000"/>
            </w:tcBorders>
            <w:shd w:val="clear" w:color="auto" w:fill="CFF0FC"/>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7,809 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606935355"/>
        </w:trPr>
        <w:tc>
          <w:tcPr>
            <w:tcW w:w="0" w:type="auto"/>
            <w:gridSpan w:val="3"/>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Less: Accumulated depreciation</w:t>
            </w:r>
          </w:p>
        </w:tc>
        <w:tc>
          <w:tcPr>
            <w:tcW w:w="0" w:type="auto"/>
            <w:gridSpan w:val="2"/>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(5,019)</w:t>
            </w:r>
          </w:p>
        </w:tc>
        <w:tc>
          <w:tcPr>
            <w:tcW w:w="0" w:type="auto"/>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(3,488)</w:t>
            </w:r>
          </w:p>
        </w:tc>
        <w:tc>
          <w:tcPr>
            <w:tcW w:w="0" w:type="auto"/>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606935355"/>
        </w:trPr>
        <w:tc>
          <w:tcPr>
            <w:tcW w:w="0" w:type="auto"/>
            <w:gridSpan w:val="3"/>
            <w:shd w:val="clear" w:color="auto" w:fill="CFF0FC"/>
            <w:tcMar>
              <w:top w:w="30" w:type="dxa"/>
              <w:left w:w="245" w:type="dxa"/>
              <w:bottom w:w="30" w:type="dxa"/>
              <w:right w:w="20" w:type="dxa"/>
            </w:tcMar>
            <w:hideMark/>
          </w:tcPr>
          <w:p w:rsidR="00000000" w:rsidRDefault="00FD7D3C">
            <w:pPr>
              <w:spacing w:after="100"/>
              <w:rPr>
                <w:rFonts w:eastAsia="Times New Roman"/>
              </w:rPr>
            </w:pPr>
            <w:r>
              <w:rPr>
                <w:rFonts w:eastAsia="Times New Roman"/>
                <w:color w:val="000000"/>
                <w:sz w:val="20"/>
                <w:szCs w:val="20"/>
              </w:rPr>
              <w:t>Total property and equipment, net</w:t>
            </w:r>
          </w:p>
        </w:tc>
        <w:tc>
          <w:tcPr>
            <w:tcW w:w="0" w:type="auto"/>
            <w:tcBorders>
              <w:top w:val="single" w:sz="8" w:space="0" w:color="000000"/>
              <w:bottom w:val="double" w:sz="6" w:space="0" w:color="000000"/>
            </w:tcBorders>
            <w:shd w:val="clear" w:color="auto" w:fill="CFF0FC"/>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FF0FC"/>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4,606 </w:t>
            </w:r>
          </w:p>
        </w:tc>
        <w:tc>
          <w:tcPr>
            <w:tcW w:w="0" w:type="auto"/>
            <w:tcBorders>
              <w:top w:val="single" w:sz="8" w:space="0" w:color="000000"/>
              <w:bottom w:val="double" w:sz="6" w:space="0" w:color="000000"/>
            </w:tcBorders>
            <w:shd w:val="clear" w:color="auto" w:fill="CFF0FC"/>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FF0FC"/>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FF0FC"/>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4,321 </w:t>
            </w:r>
          </w:p>
        </w:tc>
        <w:tc>
          <w:tcPr>
            <w:tcW w:w="0" w:type="auto"/>
            <w:tcBorders>
              <w:top w:val="single" w:sz="8" w:space="0" w:color="000000"/>
              <w:bottom w:val="double" w:sz="6" w:space="0" w:color="000000"/>
            </w:tcBorders>
            <w:shd w:val="clear" w:color="auto" w:fill="CFF0FC"/>
            <w:tcMar>
              <w:top w:w="30" w:type="dxa"/>
              <w:left w:w="0" w:type="dxa"/>
              <w:bottom w:w="30" w:type="dxa"/>
              <w:right w:w="20" w:type="dxa"/>
            </w:tcMar>
            <w:vAlign w:val="bottom"/>
            <w:hideMark/>
          </w:tcPr>
          <w:p w:rsidR="00000000" w:rsidRDefault="00FD7D3C">
            <w:pPr>
              <w:spacing w:after="100"/>
              <w:jc w:val="right"/>
              <w:rPr>
                <w:rFonts w:eastAsia="Times New Roman"/>
              </w:rPr>
            </w:pPr>
          </w:p>
        </w:tc>
      </w:tr>
    </w:tbl>
    <w:p w:rsidR="00000000" w:rsidRDefault="00FD7D3C">
      <w:pPr>
        <w:ind w:firstLine="720"/>
        <w:divId w:val="1983845606"/>
        <w:rPr>
          <w:rFonts w:eastAsia="Times New Roman"/>
        </w:rPr>
      </w:pPr>
      <w:r>
        <w:rPr>
          <w:rFonts w:eastAsia="Times New Roman"/>
          <w:color w:val="000000"/>
          <w:sz w:val="20"/>
          <w:szCs w:val="20"/>
        </w:rPr>
        <w:t>Depreciation expense during the years ended December 31, 2021, 2020 and 2019 was $1.5 million, $1.3 million, $1.1 million, respectively.</w:t>
      </w:r>
    </w:p>
    <w:p w:rsidR="00000000" w:rsidRDefault="00FD7D3C">
      <w:pPr>
        <w:ind w:hanging="720"/>
        <w:divId w:val="1290360948"/>
        <w:rPr>
          <w:rFonts w:eastAsia="Times New Roman"/>
        </w:rPr>
      </w:pPr>
      <w:r>
        <w:rPr>
          <w:rFonts w:eastAsia="Times New Roman"/>
          <w:b/>
          <w:bCs/>
          <w:color w:val="000000"/>
          <w:sz w:val="20"/>
          <w:szCs w:val="20"/>
        </w:rPr>
        <w:t>5.    </w:t>
      </w:r>
      <w:r>
        <w:rPr>
          <w:rFonts w:eastAsia="Times New Roman"/>
          <w:b/>
          <w:bCs/>
          <w:color w:val="000000"/>
          <w:sz w:val="20"/>
          <w:szCs w:val="20"/>
        </w:rPr>
        <w:t>Prepaid expenses and other current assets</w:t>
      </w:r>
    </w:p>
    <w:p w:rsidR="00000000" w:rsidRDefault="00FD7D3C">
      <w:pPr>
        <w:divId w:val="2010937538"/>
        <w:rPr>
          <w:rFonts w:eastAsia="Times New Roman"/>
        </w:rPr>
      </w:pPr>
      <w:r>
        <w:rPr>
          <w:rFonts w:eastAsia="Times New Roman"/>
          <w:color w:val="000000"/>
          <w:sz w:val="20"/>
          <w:szCs w:val="20"/>
        </w:rPr>
        <w:t>Prepaid expenses and other current assets consisted of the following (in thousands):</w:t>
      </w:r>
    </w:p>
    <w:tbl>
      <w:tblPr>
        <w:tblW w:w="5000" w:type="pct"/>
        <w:tblCellMar>
          <w:top w:w="15" w:type="dxa"/>
          <w:left w:w="15" w:type="dxa"/>
          <w:bottom w:w="15" w:type="dxa"/>
          <w:right w:w="15" w:type="dxa"/>
        </w:tblCellMar>
        <w:tblLook w:val="04A0" w:firstRow="1" w:lastRow="0" w:firstColumn="1" w:lastColumn="0" w:noHBand="0" w:noVBand="1"/>
      </w:tblPr>
      <w:tblGrid>
        <w:gridCol w:w="41"/>
        <w:gridCol w:w="5920"/>
        <w:gridCol w:w="36"/>
        <w:gridCol w:w="120"/>
        <w:gridCol w:w="961"/>
        <w:gridCol w:w="36"/>
        <w:gridCol w:w="36"/>
        <w:gridCol w:w="36"/>
        <w:gridCol w:w="36"/>
        <w:gridCol w:w="120"/>
        <w:gridCol w:w="928"/>
        <w:gridCol w:w="36"/>
      </w:tblGrid>
      <w:tr w:rsidR="00000000">
        <w:trPr>
          <w:divId w:val="810095597"/>
        </w:trPr>
        <w:tc>
          <w:tcPr>
            <w:tcW w:w="50" w:type="pct"/>
            <w:vAlign w:val="center"/>
            <w:hideMark/>
          </w:tcPr>
          <w:p w:rsidR="00000000" w:rsidRDefault="00FD7D3C">
            <w:pPr>
              <w:rPr>
                <w:rFonts w:eastAsia="Times New Roman"/>
              </w:rPr>
            </w:pPr>
          </w:p>
        </w:tc>
        <w:tc>
          <w:tcPr>
            <w:tcW w:w="3588"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604"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27"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604"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r>
      <w:tr w:rsidR="00000000">
        <w:trPr>
          <w:divId w:val="810095597"/>
        </w:trPr>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December 31,</w:t>
            </w:r>
          </w:p>
        </w:tc>
      </w:tr>
      <w:tr w:rsidR="00000000">
        <w:trPr>
          <w:divId w:val="810095597"/>
        </w:trPr>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2020</w:t>
            </w:r>
          </w:p>
        </w:tc>
      </w:tr>
      <w:tr w:rsidR="00000000">
        <w:trPr>
          <w:divId w:val="810095597"/>
        </w:trPr>
        <w:tc>
          <w:tcPr>
            <w:tcW w:w="0" w:type="auto"/>
            <w:gridSpan w:val="3"/>
            <w:shd w:val="clear" w:color="auto" w:fill="CCEEFF"/>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Prepaid research and development</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2,819 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1,898 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810095597"/>
        </w:trPr>
        <w:tc>
          <w:tcPr>
            <w:tcW w:w="0" w:type="auto"/>
            <w:gridSpan w:val="3"/>
            <w:shd w:val="clear" w:color="auto" w:fill="FFFFFF"/>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Prepaid insurance</w:t>
            </w: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2,585 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1,459 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810095597"/>
        </w:trPr>
        <w:tc>
          <w:tcPr>
            <w:tcW w:w="0" w:type="auto"/>
            <w:gridSpan w:val="3"/>
            <w:shd w:val="clear" w:color="auto" w:fill="CCEEFF"/>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Prepaid licenses</w:t>
            </w: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819 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665 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810095597"/>
        </w:trPr>
        <w:tc>
          <w:tcPr>
            <w:tcW w:w="0" w:type="auto"/>
            <w:gridSpan w:val="3"/>
            <w:shd w:val="clear" w:color="auto" w:fill="FFFFFF"/>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Interest receivable</w:t>
            </w: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385 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386 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810095597"/>
        </w:trPr>
        <w:tc>
          <w:tcPr>
            <w:tcW w:w="0" w:type="auto"/>
            <w:gridSpan w:val="3"/>
            <w:shd w:val="clear" w:color="auto" w:fill="CCEEFF"/>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156 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90 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810095597"/>
        </w:trPr>
        <w:tc>
          <w:tcPr>
            <w:tcW w:w="0" w:type="auto"/>
            <w:gridSpan w:val="3"/>
            <w:shd w:val="clear" w:color="auto" w:fill="FFFFFF"/>
            <w:tcMar>
              <w:top w:w="30" w:type="dxa"/>
              <w:left w:w="260" w:type="dxa"/>
              <w:bottom w:w="30" w:type="dxa"/>
              <w:right w:w="20" w:type="dxa"/>
            </w:tcMar>
            <w:hideMark/>
          </w:tcPr>
          <w:p w:rsidR="00000000" w:rsidRDefault="00FD7D3C">
            <w:pPr>
              <w:spacing w:after="100"/>
              <w:rPr>
                <w:rFonts w:eastAsia="Times New Roman"/>
              </w:rPr>
            </w:pPr>
            <w:r>
              <w:rPr>
                <w:rFonts w:eastAsia="Times New Roman"/>
                <w:color w:val="000000"/>
                <w:sz w:val="20"/>
                <w:szCs w:val="20"/>
              </w:rPr>
              <w:t>Total prepaid expenses and other current assets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6,764 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4,498 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r>
    </w:tbl>
    <w:p w:rsidR="00000000" w:rsidRDefault="00FD7D3C">
      <w:pPr>
        <w:ind w:hanging="720"/>
        <w:divId w:val="1802528889"/>
        <w:rPr>
          <w:rFonts w:eastAsia="Times New Roman"/>
        </w:rPr>
      </w:pPr>
    </w:p>
    <w:p w:rsidR="00000000" w:rsidRDefault="00FD7D3C">
      <w:pPr>
        <w:ind w:hanging="720"/>
        <w:divId w:val="499780435"/>
        <w:rPr>
          <w:rFonts w:eastAsia="Times New Roman"/>
        </w:rPr>
      </w:pPr>
      <w:r>
        <w:rPr>
          <w:rFonts w:eastAsia="Times New Roman"/>
          <w:b/>
          <w:bCs/>
          <w:color w:val="000000"/>
          <w:sz w:val="20"/>
          <w:szCs w:val="20"/>
        </w:rPr>
        <w:t>6.    </w:t>
      </w:r>
      <w:r>
        <w:rPr>
          <w:rFonts w:eastAsia="Times New Roman"/>
          <w:b/>
          <w:bCs/>
          <w:color w:val="000000"/>
          <w:sz w:val="20"/>
          <w:szCs w:val="20"/>
        </w:rPr>
        <w:t>Accrued Liabilities and Other Long-Term Liabilities</w:t>
      </w:r>
    </w:p>
    <w:p w:rsidR="00000000" w:rsidRDefault="00FD7D3C">
      <w:pPr>
        <w:ind w:firstLine="720"/>
        <w:divId w:val="1915627135"/>
        <w:rPr>
          <w:rFonts w:eastAsia="Times New Roman"/>
        </w:rPr>
      </w:pPr>
      <w:r>
        <w:rPr>
          <w:rFonts w:eastAsia="Times New Roman"/>
          <w:b/>
          <w:bCs/>
          <w:i/>
          <w:iCs/>
          <w:color w:val="000000"/>
          <w:sz w:val="20"/>
          <w:szCs w:val="20"/>
        </w:rPr>
        <w:t>Accrued Liabilities</w:t>
      </w:r>
    </w:p>
    <w:p w:rsidR="00000000" w:rsidRDefault="00FD7D3C">
      <w:pPr>
        <w:ind w:firstLine="720"/>
        <w:divId w:val="1578202722"/>
        <w:rPr>
          <w:rFonts w:eastAsia="Times New Roman"/>
        </w:rPr>
      </w:pPr>
      <w:r>
        <w:rPr>
          <w:rFonts w:eastAsia="Times New Roman"/>
          <w:color w:val="000000"/>
          <w:sz w:val="20"/>
          <w:szCs w:val="20"/>
        </w:rPr>
        <w:t>Accrued liabilities consisted of the following (in thousands):</w:t>
      </w:r>
    </w:p>
    <w:tbl>
      <w:tblPr>
        <w:tblW w:w="5000" w:type="pct"/>
        <w:tblCellMar>
          <w:top w:w="15" w:type="dxa"/>
          <w:left w:w="15" w:type="dxa"/>
          <w:bottom w:w="15" w:type="dxa"/>
          <w:right w:w="15" w:type="dxa"/>
        </w:tblCellMar>
        <w:tblLook w:val="04A0" w:firstRow="1" w:lastRow="0" w:firstColumn="1" w:lastColumn="0" w:noHBand="0" w:noVBand="1"/>
      </w:tblPr>
      <w:tblGrid>
        <w:gridCol w:w="40"/>
        <w:gridCol w:w="5920"/>
        <w:gridCol w:w="37"/>
        <w:gridCol w:w="120"/>
        <w:gridCol w:w="961"/>
        <w:gridCol w:w="36"/>
        <w:gridCol w:w="36"/>
        <w:gridCol w:w="36"/>
        <w:gridCol w:w="36"/>
        <w:gridCol w:w="120"/>
        <w:gridCol w:w="928"/>
        <w:gridCol w:w="36"/>
      </w:tblGrid>
      <w:tr w:rsidR="00000000">
        <w:trPr>
          <w:divId w:val="721055961"/>
        </w:trPr>
        <w:tc>
          <w:tcPr>
            <w:tcW w:w="50" w:type="pct"/>
            <w:vAlign w:val="center"/>
            <w:hideMark/>
          </w:tcPr>
          <w:p w:rsidR="00000000" w:rsidRDefault="00FD7D3C">
            <w:pPr>
              <w:ind w:firstLine="720"/>
              <w:rPr>
                <w:rFonts w:eastAsia="Times New Roman"/>
              </w:rPr>
            </w:pPr>
          </w:p>
        </w:tc>
        <w:tc>
          <w:tcPr>
            <w:tcW w:w="3588"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604"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27"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604"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r>
      <w:tr w:rsidR="00000000">
        <w:trPr>
          <w:divId w:val="721055961"/>
        </w:trPr>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December 31,</w:t>
            </w:r>
          </w:p>
        </w:tc>
      </w:tr>
      <w:tr w:rsidR="00000000">
        <w:trPr>
          <w:divId w:val="721055961"/>
        </w:trPr>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2020</w:t>
            </w:r>
          </w:p>
        </w:tc>
      </w:tr>
      <w:tr w:rsidR="00000000">
        <w:trPr>
          <w:divId w:val="721055961"/>
        </w:trPr>
        <w:tc>
          <w:tcPr>
            <w:tcW w:w="0" w:type="auto"/>
            <w:gridSpan w:val="3"/>
            <w:shd w:val="clear" w:color="auto" w:fill="CCEEFF"/>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Accrued research and development expenses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5,868 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3,274 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721055961"/>
        </w:trPr>
        <w:tc>
          <w:tcPr>
            <w:tcW w:w="0" w:type="auto"/>
            <w:gridSpan w:val="3"/>
            <w:shd w:val="clear" w:color="auto" w:fill="FFFFFF"/>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Accrued compensation and benefits</w:t>
            </w: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5,216 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4,542 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721055961"/>
        </w:trPr>
        <w:tc>
          <w:tcPr>
            <w:tcW w:w="0" w:type="auto"/>
            <w:gridSpan w:val="3"/>
            <w:shd w:val="clear" w:color="auto" w:fill="CCEEFF"/>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Other accrued liabilities</w:t>
            </w: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907 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1,675 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721055961"/>
        </w:trPr>
        <w:tc>
          <w:tcPr>
            <w:tcW w:w="0" w:type="auto"/>
            <w:gridSpan w:val="3"/>
            <w:shd w:val="clear" w:color="auto" w:fill="FFFFFF"/>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Deferred rent</w:t>
            </w: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85 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721055961"/>
        </w:trPr>
        <w:tc>
          <w:tcPr>
            <w:tcW w:w="0" w:type="auto"/>
            <w:gridSpan w:val="3"/>
            <w:shd w:val="clear" w:color="auto" w:fill="CCEEFF"/>
            <w:tcMar>
              <w:top w:w="30" w:type="dxa"/>
              <w:left w:w="245" w:type="dxa"/>
              <w:bottom w:w="30" w:type="dxa"/>
              <w:right w:w="20" w:type="dxa"/>
            </w:tcMar>
            <w:hideMark/>
          </w:tcPr>
          <w:p w:rsidR="00000000" w:rsidRDefault="00FD7D3C">
            <w:pPr>
              <w:spacing w:after="100"/>
              <w:rPr>
                <w:rFonts w:eastAsia="Times New Roman"/>
              </w:rPr>
            </w:pPr>
            <w:r>
              <w:rPr>
                <w:rFonts w:eastAsia="Times New Roman"/>
                <w:color w:val="000000"/>
                <w:sz w:val="20"/>
                <w:szCs w:val="20"/>
              </w:rPr>
              <w:t>Total accrued liabilities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11,991 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9,576 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r>
    </w:tbl>
    <w:p w:rsidR="00000000" w:rsidRDefault="00FD7D3C">
      <w:pPr>
        <w:ind w:firstLine="720"/>
        <w:divId w:val="1825051393"/>
        <w:rPr>
          <w:rFonts w:eastAsia="Times New Roman"/>
        </w:rPr>
      </w:pPr>
      <w:r>
        <w:rPr>
          <w:rFonts w:eastAsia="Times New Roman"/>
          <w:color w:val="000000"/>
          <w:sz w:val="20"/>
          <w:szCs w:val="20"/>
        </w:rPr>
        <w:t>Accrued compensation and benefits consist primarily of accrued bonuses and accrued vacation.</w:t>
      </w:r>
    </w:p>
    <w:p w:rsidR="00000000" w:rsidRDefault="00FD7D3C">
      <w:pPr>
        <w:jc w:val="center"/>
        <w:divId w:val="467010735"/>
        <w:rPr>
          <w:rFonts w:eastAsia="Times New Roman"/>
        </w:rPr>
      </w:pPr>
      <w:r>
        <w:rPr>
          <w:rFonts w:eastAsia="Times New Roman"/>
          <w:color w:val="000000"/>
          <w:sz w:val="20"/>
          <w:szCs w:val="20"/>
        </w:rPr>
        <w:t>125</w:t>
      </w:r>
    </w:p>
    <w:p w:rsidR="00000000" w:rsidRDefault="00FD7D3C">
      <w:pPr>
        <w:rPr>
          <w:rFonts w:eastAsia="Times New Roman"/>
        </w:rPr>
      </w:pPr>
      <w:r>
        <w:rPr>
          <w:rFonts w:eastAsia="Times New Roman"/>
        </w:rPr>
        <w:pict>
          <v:rect id="_x0000_i1178" style="width:0;height:1.5pt" o:hralign="center" o:hrstd="t" o:hr="t" fillcolor="#a0a0a0" stroked="f"/>
        </w:pict>
      </w:r>
    </w:p>
    <w:p w:rsidR="00000000" w:rsidRDefault="00FD7D3C">
      <w:pPr>
        <w:divId w:val="1732997944"/>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ind w:firstLine="720"/>
        <w:divId w:val="1714767523"/>
        <w:rPr>
          <w:rFonts w:eastAsia="Times New Roman"/>
        </w:rPr>
      </w:pPr>
      <w:r>
        <w:rPr>
          <w:rFonts w:eastAsia="Times New Roman"/>
          <w:b/>
          <w:bCs/>
          <w:i/>
          <w:iCs/>
          <w:color w:val="000000"/>
          <w:sz w:val="20"/>
          <w:szCs w:val="20"/>
        </w:rPr>
        <w:t>Other Long-Term Liabilities</w:t>
      </w:r>
    </w:p>
    <w:p w:rsidR="00000000" w:rsidRDefault="00FD7D3C">
      <w:pPr>
        <w:ind w:firstLine="720"/>
        <w:divId w:val="1705522208"/>
        <w:rPr>
          <w:rFonts w:eastAsia="Times New Roman"/>
        </w:rPr>
      </w:pPr>
      <w:r>
        <w:rPr>
          <w:rFonts w:eastAsia="Times New Roman"/>
          <w:color w:val="000000"/>
          <w:sz w:val="20"/>
          <w:szCs w:val="20"/>
        </w:rPr>
        <w:t>Other long-term liabilities consisted of the following (in thousands):</w:t>
      </w:r>
    </w:p>
    <w:tbl>
      <w:tblPr>
        <w:tblW w:w="5000" w:type="pct"/>
        <w:tblCellMar>
          <w:top w:w="15" w:type="dxa"/>
          <w:left w:w="15" w:type="dxa"/>
          <w:bottom w:w="15" w:type="dxa"/>
          <w:right w:w="15" w:type="dxa"/>
        </w:tblCellMar>
        <w:tblLook w:val="04A0" w:firstRow="1" w:lastRow="0" w:firstColumn="1" w:lastColumn="0" w:noHBand="0" w:noVBand="1"/>
      </w:tblPr>
      <w:tblGrid>
        <w:gridCol w:w="40"/>
        <w:gridCol w:w="5919"/>
        <w:gridCol w:w="38"/>
        <w:gridCol w:w="120"/>
        <w:gridCol w:w="961"/>
        <w:gridCol w:w="36"/>
        <w:gridCol w:w="36"/>
        <w:gridCol w:w="36"/>
        <w:gridCol w:w="36"/>
        <w:gridCol w:w="120"/>
        <w:gridCol w:w="928"/>
        <w:gridCol w:w="36"/>
      </w:tblGrid>
      <w:tr w:rsidR="00000000">
        <w:trPr>
          <w:divId w:val="814906779"/>
        </w:trPr>
        <w:tc>
          <w:tcPr>
            <w:tcW w:w="50" w:type="pct"/>
            <w:vAlign w:val="center"/>
            <w:hideMark/>
          </w:tcPr>
          <w:p w:rsidR="00000000" w:rsidRDefault="00FD7D3C">
            <w:pPr>
              <w:ind w:firstLine="720"/>
              <w:rPr>
                <w:rFonts w:eastAsia="Times New Roman"/>
              </w:rPr>
            </w:pPr>
          </w:p>
        </w:tc>
        <w:tc>
          <w:tcPr>
            <w:tcW w:w="3588"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604"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27"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604"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r>
      <w:tr w:rsidR="00000000">
        <w:trPr>
          <w:divId w:val="814906779"/>
        </w:trPr>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December 31,</w:t>
            </w:r>
          </w:p>
        </w:tc>
      </w:tr>
      <w:tr w:rsidR="00000000">
        <w:trPr>
          <w:divId w:val="814906779"/>
        </w:trPr>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2020</w:t>
            </w:r>
          </w:p>
        </w:tc>
      </w:tr>
      <w:tr w:rsidR="00000000">
        <w:trPr>
          <w:divId w:val="814906779"/>
        </w:trPr>
        <w:tc>
          <w:tcPr>
            <w:tcW w:w="0" w:type="auto"/>
            <w:gridSpan w:val="3"/>
            <w:shd w:val="clear" w:color="auto" w:fill="CCEEFF"/>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Deferred rent</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581 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814906779"/>
        </w:trPr>
        <w:tc>
          <w:tcPr>
            <w:tcW w:w="0" w:type="auto"/>
            <w:gridSpan w:val="3"/>
            <w:shd w:val="clear" w:color="auto" w:fill="FFFFFF"/>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Leasehold incentive obligation</w:t>
            </w: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283 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814906779"/>
        </w:trPr>
        <w:tc>
          <w:tcPr>
            <w:tcW w:w="0" w:type="auto"/>
            <w:gridSpan w:val="3"/>
            <w:shd w:val="clear" w:color="auto" w:fill="CCEEFF"/>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Other liabilities — deposits</w:t>
            </w: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814906779"/>
        </w:trPr>
        <w:tc>
          <w:tcPr>
            <w:tcW w:w="0" w:type="auto"/>
            <w:gridSpan w:val="3"/>
            <w:shd w:val="clear" w:color="auto" w:fill="FFFFFF"/>
            <w:tcMar>
              <w:top w:w="30" w:type="dxa"/>
              <w:left w:w="245" w:type="dxa"/>
              <w:bottom w:w="30" w:type="dxa"/>
              <w:right w:w="20" w:type="dxa"/>
            </w:tcMar>
            <w:hideMark/>
          </w:tcPr>
          <w:p w:rsidR="00000000" w:rsidRDefault="00FD7D3C">
            <w:pPr>
              <w:spacing w:after="100"/>
              <w:rPr>
                <w:rFonts w:eastAsia="Times New Roman"/>
              </w:rPr>
            </w:pPr>
            <w:r>
              <w:rPr>
                <w:rFonts w:eastAsia="Times New Roman"/>
                <w:color w:val="000000"/>
                <w:sz w:val="20"/>
                <w:szCs w:val="20"/>
              </w:rPr>
              <w:t>Total other long-term liabilities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866 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r>
    </w:tbl>
    <w:p w:rsidR="00000000" w:rsidRDefault="00FD7D3C">
      <w:pPr>
        <w:divId w:val="1248615063"/>
        <w:rPr>
          <w:rFonts w:eastAsia="Times New Roman"/>
        </w:rPr>
      </w:pPr>
    </w:p>
    <w:p w:rsidR="00000000" w:rsidRDefault="00FD7D3C">
      <w:pPr>
        <w:ind w:hanging="720"/>
        <w:divId w:val="1703358218"/>
        <w:rPr>
          <w:rFonts w:eastAsia="Times New Roman"/>
        </w:rPr>
      </w:pPr>
      <w:r>
        <w:rPr>
          <w:rFonts w:eastAsia="Times New Roman"/>
          <w:b/>
          <w:bCs/>
          <w:color w:val="000000"/>
          <w:sz w:val="20"/>
          <w:szCs w:val="20"/>
        </w:rPr>
        <w:t>7.    </w:t>
      </w:r>
      <w:r>
        <w:rPr>
          <w:rFonts w:eastAsia="Times New Roman"/>
          <w:b/>
          <w:bCs/>
          <w:color w:val="000000"/>
          <w:sz w:val="20"/>
          <w:szCs w:val="20"/>
        </w:rPr>
        <w:t>Novartis Collaboration and License Agreement (the "Novartis Agreement")</w:t>
      </w:r>
    </w:p>
    <w:p w:rsidR="00000000" w:rsidRDefault="00FD7D3C">
      <w:pPr>
        <w:ind w:firstLine="720"/>
        <w:divId w:val="573782589"/>
        <w:rPr>
          <w:rFonts w:eastAsia="Times New Roman"/>
        </w:rPr>
      </w:pPr>
      <w:r>
        <w:rPr>
          <w:rFonts w:eastAsia="Times New Roman"/>
          <w:color w:val="000000"/>
          <w:sz w:val="20"/>
          <w:szCs w:val="20"/>
        </w:rPr>
        <w:t>In 2019, we entered into the Novartis Agreement, for the development and commercialization of our preclinical product candidate, PLN-1474 and up to three additional integrin research t</w:t>
      </w:r>
      <w:r>
        <w:rPr>
          <w:rFonts w:eastAsia="Times New Roman"/>
          <w:color w:val="000000"/>
          <w:sz w:val="20"/>
          <w:szCs w:val="20"/>
        </w:rPr>
        <w:t>argets. PLN-1474 is an internally discovered small molecule selective inhibitor of integrin αvβ1, currently being developed for the treatment of liver fibrosis associated with nonalcoholic steatohepatitis (“NASH”). Pursuant to the agreement, we received an</w:t>
      </w:r>
      <w:r>
        <w:rPr>
          <w:rFonts w:eastAsia="Times New Roman"/>
          <w:color w:val="000000"/>
          <w:sz w:val="20"/>
          <w:szCs w:val="20"/>
        </w:rPr>
        <w:t xml:space="preserve"> upfront, non-refundable license fee of $50.0 million and were eligible to receive additional payments of $416.0 million contingent upon achievement of specified research, development, regulatory and commercial events and royalties on world-wide net sales </w:t>
      </w:r>
      <w:r>
        <w:rPr>
          <w:rFonts w:eastAsia="Times New Roman"/>
          <w:color w:val="000000"/>
          <w:sz w:val="20"/>
          <w:szCs w:val="20"/>
        </w:rPr>
        <w:t>thereafter. Additionally, Novartis agreed to fund up to $19.6 million associated with research and development services for PLN-1474 and up to $13.4 million for research and development services on the integrin research targets.</w:t>
      </w:r>
    </w:p>
    <w:p w:rsidR="00000000" w:rsidRDefault="00FD7D3C">
      <w:pPr>
        <w:ind w:firstLine="720"/>
        <w:divId w:val="1326859930"/>
        <w:rPr>
          <w:rFonts w:eastAsia="Times New Roman"/>
        </w:rPr>
      </w:pPr>
      <w:r>
        <w:rPr>
          <w:rFonts w:eastAsia="Times New Roman"/>
          <w:color w:val="000000"/>
          <w:sz w:val="20"/>
          <w:szCs w:val="20"/>
        </w:rPr>
        <w:t>We assessed the Novartis Ag</w:t>
      </w:r>
      <w:r>
        <w:rPr>
          <w:rFonts w:eastAsia="Times New Roman"/>
          <w:color w:val="000000"/>
          <w:sz w:val="20"/>
          <w:szCs w:val="20"/>
        </w:rPr>
        <w:t>reement in accordance with ASC 606 and determined that Novartis is a customer and identified the following performance obligations: (1) to provide worldwide license rights to PLN-1474, (2) to provide research and development services for PLN-1474, (3) to p</w:t>
      </w:r>
      <w:r>
        <w:rPr>
          <w:rFonts w:eastAsia="Times New Roman"/>
          <w:color w:val="000000"/>
          <w:sz w:val="20"/>
          <w:szCs w:val="20"/>
        </w:rPr>
        <w:t xml:space="preserve">rovide non-exclusive license rights to integrin research targets, and (4) to provide research and development services on integrin research targets. </w:t>
      </w:r>
    </w:p>
    <w:p w:rsidR="00000000" w:rsidRDefault="00FD7D3C">
      <w:pPr>
        <w:ind w:firstLine="720"/>
        <w:divId w:val="277033688"/>
        <w:rPr>
          <w:rFonts w:eastAsia="Times New Roman"/>
        </w:rPr>
      </w:pPr>
      <w:r>
        <w:rPr>
          <w:rFonts w:eastAsia="Times New Roman"/>
          <w:color w:val="000000"/>
          <w:sz w:val="20"/>
          <w:szCs w:val="20"/>
        </w:rPr>
        <w:t>We determined that the license to PLN-1474 was functional intellectual property and distinct as Novartis i</w:t>
      </w:r>
      <w:r>
        <w:rPr>
          <w:rFonts w:eastAsia="Times New Roman"/>
          <w:color w:val="000000"/>
          <w:sz w:val="20"/>
          <w:szCs w:val="20"/>
        </w:rPr>
        <w:t>s capable to benefit from the license on its own or together with other resources that are readily available, and the research and development services we promise to deliver are not transformative in nature. Additionally, we concluded that the non-exclusiv</w:t>
      </w:r>
      <w:r>
        <w:rPr>
          <w:rFonts w:eastAsia="Times New Roman"/>
          <w:color w:val="000000"/>
          <w:sz w:val="20"/>
          <w:szCs w:val="20"/>
        </w:rPr>
        <w:t>e license rights to integrin research targets were not distinct in the context of the arrangement as the promised research and development services on integrin research targets were expected to significantly modify the license and Novartis could not benefi</w:t>
      </w:r>
      <w:r>
        <w:rPr>
          <w:rFonts w:eastAsia="Times New Roman"/>
          <w:color w:val="000000"/>
          <w:sz w:val="20"/>
          <w:szCs w:val="20"/>
        </w:rPr>
        <w:t xml:space="preserve">t from the non-exclusive license without such services. Therefore, the non-exclusive license rights and research and development services on integrin research targets were considered a single performance obligation. </w:t>
      </w:r>
    </w:p>
    <w:p w:rsidR="00000000" w:rsidRDefault="00FD7D3C">
      <w:pPr>
        <w:ind w:firstLine="720"/>
        <w:divId w:val="628098640"/>
        <w:rPr>
          <w:rFonts w:eastAsia="Times New Roman"/>
        </w:rPr>
      </w:pPr>
      <w:r>
        <w:rPr>
          <w:rFonts w:eastAsia="Times New Roman"/>
          <w:color w:val="000000"/>
          <w:sz w:val="20"/>
          <w:szCs w:val="20"/>
        </w:rPr>
        <w:t xml:space="preserve">We determined the transaction price of </w:t>
      </w:r>
      <w:r>
        <w:rPr>
          <w:rFonts w:eastAsia="Times New Roman"/>
          <w:color w:val="000000"/>
          <w:sz w:val="20"/>
          <w:szCs w:val="20"/>
        </w:rPr>
        <w:t>the PLN-1474 research and development services and integrin target research and development services was $20.0 million and $13.4 million, respectively, as of December 31, 2021, and the performance obligations associated with the aggregate unrecognized tran</w:t>
      </w:r>
      <w:r>
        <w:rPr>
          <w:rFonts w:eastAsia="Times New Roman"/>
          <w:color w:val="000000"/>
          <w:sz w:val="20"/>
          <w:szCs w:val="20"/>
        </w:rPr>
        <w:t>saction price of $2.0 million would be satisfied in 2022. As of December 31, 2021, variable consideration associated with specified research and development milestones totaling $391 million have been constrained from the transaction prices but remain eligi</w:t>
      </w:r>
      <w:r>
        <w:rPr>
          <w:rFonts w:eastAsia="Times New Roman"/>
          <w:color w:val="000000"/>
          <w:sz w:val="20"/>
          <w:szCs w:val="20"/>
        </w:rPr>
        <w:t xml:space="preserve">ble for achievement. </w:t>
      </w:r>
    </w:p>
    <w:p w:rsidR="00000000" w:rsidRDefault="00FD7D3C">
      <w:pPr>
        <w:ind w:firstLine="720"/>
        <w:divId w:val="882711281"/>
        <w:rPr>
          <w:rFonts w:eastAsia="Times New Roman"/>
        </w:rPr>
      </w:pPr>
      <w:r>
        <w:rPr>
          <w:rFonts w:eastAsia="Times New Roman"/>
          <w:color w:val="000000"/>
          <w:sz w:val="20"/>
          <w:szCs w:val="20"/>
        </w:rPr>
        <w:t>We are utilizing a cost-based input method to measure proportional performance and to calculate the corresponding amount of revenue to recognize. We believe this is the best measure of progress because other measures do not reflect ho</w:t>
      </w:r>
      <w:r>
        <w:rPr>
          <w:rFonts w:eastAsia="Times New Roman"/>
          <w:color w:val="000000"/>
          <w:sz w:val="20"/>
          <w:szCs w:val="20"/>
        </w:rPr>
        <w:t>w we transfer the performance obligation to our counterparty. In applying the cost-based input method of revenue recognition, we use actual costs incurred relative to budgeted costs to fulfill the performance obligation. These costs consist primarily of th</w:t>
      </w:r>
      <w:r>
        <w:rPr>
          <w:rFonts w:eastAsia="Times New Roman"/>
          <w:color w:val="000000"/>
          <w:sz w:val="20"/>
          <w:szCs w:val="20"/>
        </w:rPr>
        <w:t>ird-party contract costs and internal full-time equivalent effort. A cost-based input method of revenue recognition requires management to make estimates of costs to complete the performance obligations. The cumulative effect of revisions to estimated cost</w:t>
      </w:r>
      <w:r>
        <w:rPr>
          <w:rFonts w:eastAsia="Times New Roman"/>
          <w:color w:val="000000"/>
          <w:sz w:val="20"/>
          <w:szCs w:val="20"/>
        </w:rPr>
        <w:t xml:space="preserve">s to complete the performance obligations will be recorded in the period in which changes are identified and amounts can be reasonably estimated. A significant change in these assumptions and estimates could have a material impact on the timing and amount </w:t>
      </w:r>
      <w:r>
        <w:rPr>
          <w:rFonts w:eastAsia="Times New Roman"/>
          <w:color w:val="000000"/>
          <w:sz w:val="20"/>
          <w:szCs w:val="20"/>
        </w:rPr>
        <w:t>of revenue recognized in future periods.</w:t>
      </w:r>
    </w:p>
    <w:p w:rsidR="00000000" w:rsidRDefault="00FD7D3C">
      <w:pPr>
        <w:ind w:firstLine="720"/>
        <w:divId w:val="398482752"/>
        <w:rPr>
          <w:rFonts w:eastAsia="Times New Roman"/>
        </w:rPr>
      </w:pPr>
      <w:r>
        <w:rPr>
          <w:rFonts w:eastAsia="Times New Roman"/>
          <w:color w:val="000000"/>
          <w:sz w:val="20"/>
          <w:szCs w:val="20"/>
        </w:rPr>
        <w:t>During the year ended December 31, 2021, we recognized revenue of $7.6 million which consisted of revenue generated from research and development services. During the year ended December 31, 2020, we recognized reve</w:t>
      </w:r>
      <w:r>
        <w:rPr>
          <w:rFonts w:eastAsia="Times New Roman"/>
          <w:color w:val="000000"/>
          <w:sz w:val="20"/>
          <w:szCs w:val="20"/>
        </w:rPr>
        <w:t>nue of $41.8 million, which consisted of $25.0 million from the achievement of the first patient dosing milestone of the Novartis agreement in the first quarter of 2020 and $16.8 million of revenue generated from research and development services performed</w:t>
      </w:r>
      <w:r>
        <w:rPr>
          <w:rFonts w:eastAsia="Times New Roman"/>
          <w:color w:val="000000"/>
          <w:sz w:val="20"/>
          <w:szCs w:val="20"/>
        </w:rPr>
        <w:t xml:space="preserve"> during the year. During the year ended December 31, 2019, Company recognized revenue of $50.0 million related to the license fee and $7.1 million from research and development services.</w:t>
      </w:r>
    </w:p>
    <w:p w:rsidR="00000000" w:rsidRDefault="00FD7D3C">
      <w:pPr>
        <w:ind w:firstLine="720"/>
        <w:divId w:val="1995449460"/>
        <w:rPr>
          <w:rFonts w:eastAsia="Times New Roman"/>
        </w:rPr>
      </w:pPr>
      <w:r>
        <w:rPr>
          <w:rFonts w:eastAsia="Times New Roman"/>
          <w:color w:val="000000"/>
          <w:sz w:val="20"/>
          <w:szCs w:val="20"/>
        </w:rPr>
        <w:t>As of December 31, 2021 and 2020, there was a receivable of $2.0 mill</w:t>
      </w:r>
      <w:r>
        <w:rPr>
          <w:rFonts w:eastAsia="Times New Roman"/>
          <w:color w:val="000000"/>
          <w:sz w:val="20"/>
          <w:szCs w:val="20"/>
        </w:rPr>
        <w:t>ion and $9.3 million, respectively, related to the Novartis Agreement. There were no contract assets or contract liabilities as of December 31, 2021 and 2020.</w:t>
      </w:r>
    </w:p>
    <w:p w:rsidR="00000000" w:rsidRDefault="00FD7D3C">
      <w:pPr>
        <w:jc w:val="center"/>
        <w:divId w:val="336932612"/>
        <w:rPr>
          <w:rFonts w:eastAsia="Times New Roman"/>
        </w:rPr>
      </w:pPr>
      <w:r>
        <w:rPr>
          <w:rFonts w:eastAsia="Times New Roman"/>
          <w:color w:val="000000"/>
          <w:sz w:val="20"/>
          <w:szCs w:val="20"/>
        </w:rPr>
        <w:t>126</w:t>
      </w:r>
    </w:p>
    <w:p w:rsidR="00000000" w:rsidRDefault="00FD7D3C">
      <w:pPr>
        <w:rPr>
          <w:rFonts w:eastAsia="Times New Roman"/>
        </w:rPr>
      </w:pPr>
      <w:r>
        <w:rPr>
          <w:rFonts w:eastAsia="Times New Roman"/>
        </w:rPr>
        <w:pict>
          <v:rect id="_x0000_i1179" style="width:0;height:1.5pt" o:hralign="center" o:hrstd="t" o:hr="t" fillcolor="#a0a0a0" stroked="f"/>
        </w:pict>
      </w:r>
    </w:p>
    <w:p w:rsidR="00000000" w:rsidRDefault="00FD7D3C">
      <w:pPr>
        <w:divId w:val="510342320"/>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ind w:firstLine="720"/>
        <w:divId w:val="168956547"/>
        <w:rPr>
          <w:rFonts w:eastAsia="Times New Roman"/>
        </w:rPr>
      </w:pPr>
    </w:p>
    <w:p w:rsidR="00000000" w:rsidRDefault="00FD7D3C">
      <w:pPr>
        <w:ind w:hanging="720"/>
        <w:divId w:val="726144334"/>
        <w:rPr>
          <w:rFonts w:eastAsia="Times New Roman"/>
        </w:rPr>
      </w:pPr>
      <w:r>
        <w:rPr>
          <w:rFonts w:eastAsia="Times New Roman"/>
          <w:b/>
          <w:bCs/>
          <w:color w:val="000000"/>
          <w:sz w:val="20"/>
          <w:szCs w:val="20"/>
        </w:rPr>
        <w:t xml:space="preserve">8.    Regents of the University of California License Agreement (the “UC Agreement”) </w:t>
      </w:r>
    </w:p>
    <w:p w:rsidR="00000000" w:rsidRDefault="00FD7D3C">
      <w:pPr>
        <w:ind w:firstLine="720"/>
        <w:divId w:val="1393575768"/>
        <w:rPr>
          <w:rFonts w:eastAsia="Times New Roman"/>
        </w:rPr>
      </w:pPr>
      <w:r>
        <w:rPr>
          <w:rFonts w:eastAsia="Times New Roman"/>
          <w:color w:val="000000"/>
          <w:sz w:val="20"/>
          <w:szCs w:val="20"/>
        </w:rPr>
        <w:t xml:space="preserve">In 2015, we entered into the UC Agreement to obtain an exclusive, worldwide license relating to the use of certain patents and technology relating </w:t>
      </w:r>
      <w:r>
        <w:rPr>
          <w:rFonts w:eastAsia="Times New Roman"/>
          <w:color w:val="000000"/>
          <w:sz w:val="20"/>
          <w:szCs w:val="20"/>
        </w:rPr>
        <w:t>to αvß1 compound in fibrosis indications. Pursuant to the UC Agreement, we made a $2.4 million milestone payment upon the close of our IPO in June 2020. Subsequently, we determined the licensed technology was no longer relevant to the development of our pr</w:t>
      </w:r>
      <w:r>
        <w:rPr>
          <w:rFonts w:eastAsia="Times New Roman"/>
          <w:color w:val="000000"/>
          <w:sz w:val="20"/>
          <w:szCs w:val="20"/>
        </w:rPr>
        <w:t>oduct candidates and, therefore, we exercised our right to terminate the UC Agreement which became effective in the first quarter of 2021. No further obligations or financial commitments survive the termination.</w:t>
      </w:r>
    </w:p>
    <w:p w:rsidR="00000000" w:rsidRDefault="00FD7D3C">
      <w:pPr>
        <w:ind w:hanging="720"/>
        <w:divId w:val="497579623"/>
        <w:rPr>
          <w:rFonts w:eastAsia="Times New Roman"/>
        </w:rPr>
      </w:pPr>
      <w:r>
        <w:rPr>
          <w:rFonts w:eastAsia="Times New Roman"/>
          <w:b/>
          <w:bCs/>
          <w:color w:val="000000"/>
          <w:sz w:val="20"/>
          <w:szCs w:val="20"/>
        </w:rPr>
        <w:t>9.    Adimab Development and Option Agreemen</w:t>
      </w:r>
      <w:r>
        <w:rPr>
          <w:rFonts w:eastAsia="Times New Roman"/>
          <w:b/>
          <w:bCs/>
          <w:color w:val="000000"/>
          <w:sz w:val="20"/>
          <w:szCs w:val="20"/>
        </w:rPr>
        <w:t>t (the "Adimab Agreement")</w:t>
      </w:r>
    </w:p>
    <w:p w:rsidR="00000000" w:rsidRDefault="00FD7D3C">
      <w:pPr>
        <w:ind w:firstLine="720"/>
        <w:divId w:val="80104315"/>
        <w:rPr>
          <w:rFonts w:eastAsia="Times New Roman"/>
        </w:rPr>
      </w:pPr>
      <w:r>
        <w:rPr>
          <w:rFonts w:eastAsia="Times New Roman"/>
          <w:color w:val="000000"/>
          <w:sz w:val="20"/>
          <w:szCs w:val="20"/>
        </w:rPr>
        <w:t>In 2018, we entered into a development and option agreement with Adimab, LLC (“Adimab”) for the discovery and optimization of proprietary antibodies as potential therapeutic product candidates. Under the Adimab Agreement, we will</w:t>
      </w:r>
      <w:r>
        <w:rPr>
          <w:rFonts w:eastAsia="Times New Roman"/>
          <w:color w:val="000000"/>
          <w:sz w:val="20"/>
          <w:szCs w:val="20"/>
        </w:rPr>
        <w:t xml:space="preserve"> select biological targets against which Adimab will use its proprietary platform technology to research and develop antibody proteins using a mutually agreed upon research plan. We are required to pay Adimab an agreed upon rate for its full-time employees</w:t>
      </w:r>
      <w:r>
        <w:rPr>
          <w:rFonts w:eastAsia="Times New Roman"/>
          <w:color w:val="000000"/>
          <w:sz w:val="20"/>
          <w:szCs w:val="20"/>
        </w:rPr>
        <w:t xml:space="preserve"> during the discovery period while Adimab performs research on each target under the applicable research plan. We have an exclusive option to obtain a worldwide, royalty-bearing, sublicensable license under Adimab platform patents and other Adimab technolo</w:t>
      </w:r>
      <w:r>
        <w:rPr>
          <w:rFonts w:eastAsia="Times New Roman"/>
          <w:color w:val="000000"/>
          <w:sz w:val="20"/>
          <w:szCs w:val="20"/>
        </w:rPr>
        <w:t>gy to research, develop and commercialize up to 24 antibodies of our selection.</w:t>
      </w:r>
    </w:p>
    <w:p w:rsidR="00000000" w:rsidRDefault="00FD7D3C">
      <w:pPr>
        <w:ind w:firstLine="720"/>
        <w:divId w:val="1338338858"/>
        <w:rPr>
          <w:rFonts w:eastAsia="Times New Roman"/>
        </w:rPr>
      </w:pPr>
      <w:r>
        <w:rPr>
          <w:rFonts w:eastAsia="Times New Roman"/>
          <w:color w:val="000000"/>
          <w:sz w:val="20"/>
          <w:szCs w:val="20"/>
        </w:rPr>
        <w:t>During the years ended December 31, 2021, 2020 and 2019, we recognized research and development expenses associated with full-time employee costs of $28,000, $0.2 million and $</w:t>
      </w:r>
      <w:r>
        <w:rPr>
          <w:rFonts w:eastAsia="Times New Roman"/>
          <w:color w:val="000000"/>
          <w:sz w:val="20"/>
          <w:szCs w:val="20"/>
        </w:rPr>
        <w:t xml:space="preserve">0.2 million, respectively. </w:t>
      </w:r>
    </w:p>
    <w:p w:rsidR="00000000" w:rsidRDefault="00FD7D3C">
      <w:pPr>
        <w:ind w:hanging="720"/>
        <w:divId w:val="1887064169"/>
        <w:rPr>
          <w:rFonts w:eastAsia="Times New Roman"/>
        </w:rPr>
      </w:pPr>
      <w:r>
        <w:rPr>
          <w:rFonts w:eastAsia="Times New Roman"/>
          <w:b/>
          <w:bCs/>
          <w:color w:val="000000"/>
          <w:sz w:val="20"/>
          <w:szCs w:val="20"/>
        </w:rPr>
        <w:t>10.    Redeemable Convertible Preferred Stock</w:t>
      </w:r>
    </w:p>
    <w:p w:rsidR="00000000" w:rsidRDefault="00FD7D3C">
      <w:pPr>
        <w:ind w:firstLine="720"/>
        <w:divId w:val="1684890797"/>
        <w:rPr>
          <w:rFonts w:eastAsia="Times New Roman"/>
        </w:rPr>
      </w:pPr>
      <w:r>
        <w:rPr>
          <w:rFonts w:eastAsia="Times New Roman"/>
          <w:color w:val="000000"/>
          <w:sz w:val="20"/>
          <w:szCs w:val="20"/>
        </w:rPr>
        <w:t>Under the Company’s Amended and Restated Certificate of Incorporation (“Certificate of Incorporation”), the Company is authorized to issue two classes of shares: preferred and common</w:t>
      </w:r>
      <w:r>
        <w:rPr>
          <w:rFonts w:eastAsia="Times New Roman"/>
          <w:color w:val="000000"/>
          <w:sz w:val="20"/>
          <w:szCs w:val="20"/>
        </w:rPr>
        <w:t xml:space="preserve"> stock. The preferred stock may be issued in series, and the Company’s Board of Directors is authorized to determine the rights, preferences, and terms of each series. These rights preferences and terms could include dividend rights, conversion rights, vot</w:t>
      </w:r>
      <w:r>
        <w:rPr>
          <w:rFonts w:eastAsia="Times New Roman"/>
          <w:color w:val="000000"/>
          <w:sz w:val="20"/>
          <w:szCs w:val="20"/>
        </w:rPr>
        <w:t xml:space="preserve">ing rights, terms of redemptions, liquidation preferences and sinking fund terms. As a result of the IPO in June 2020, all then outstanding convertible preferred stock was converted into shares of common stock. There are no outstanding shares of preferred </w:t>
      </w:r>
      <w:r>
        <w:rPr>
          <w:rFonts w:eastAsia="Times New Roman"/>
          <w:color w:val="000000"/>
          <w:sz w:val="20"/>
          <w:szCs w:val="20"/>
        </w:rPr>
        <w:t>stock as of December 31, 2021.</w:t>
      </w:r>
    </w:p>
    <w:p w:rsidR="00000000" w:rsidRDefault="00FD7D3C">
      <w:pPr>
        <w:ind w:hanging="720"/>
        <w:divId w:val="1479105835"/>
        <w:rPr>
          <w:rFonts w:eastAsia="Times New Roman"/>
        </w:rPr>
      </w:pPr>
      <w:r>
        <w:rPr>
          <w:rFonts w:eastAsia="Times New Roman"/>
          <w:b/>
          <w:bCs/>
          <w:color w:val="000000"/>
          <w:sz w:val="20"/>
          <w:szCs w:val="20"/>
        </w:rPr>
        <w:t>11.    Common Stock</w:t>
      </w:r>
    </w:p>
    <w:p w:rsidR="00000000" w:rsidRDefault="00FD7D3C">
      <w:pPr>
        <w:ind w:firstLine="720"/>
        <w:divId w:val="1736971399"/>
        <w:rPr>
          <w:rFonts w:eastAsia="Times New Roman"/>
        </w:rPr>
      </w:pPr>
      <w:r>
        <w:rPr>
          <w:rFonts w:eastAsia="Times New Roman"/>
          <w:color w:val="000000"/>
          <w:sz w:val="20"/>
          <w:szCs w:val="20"/>
        </w:rPr>
        <w:t>As of December 31, 2021 and 2020, the Company had 300,000,000 authorized shares of common stock, at a par value of $0.0001 per share. The common stock has the following rights and privileges:</w:t>
      </w:r>
    </w:p>
    <w:p w:rsidR="00000000" w:rsidRDefault="00FD7D3C">
      <w:pPr>
        <w:divId w:val="331297847"/>
        <w:rPr>
          <w:rFonts w:eastAsia="Times New Roman"/>
        </w:rPr>
      </w:pPr>
      <w:r>
        <w:rPr>
          <w:rFonts w:eastAsia="Times New Roman"/>
          <w:b/>
          <w:bCs/>
          <w:i/>
          <w:iCs/>
          <w:color w:val="000000"/>
          <w:sz w:val="20"/>
          <w:szCs w:val="20"/>
        </w:rPr>
        <w:t>Voting</w:t>
      </w:r>
    </w:p>
    <w:p w:rsidR="00000000" w:rsidRDefault="00FD7D3C">
      <w:pPr>
        <w:ind w:firstLine="720"/>
        <w:divId w:val="869728800"/>
        <w:rPr>
          <w:rFonts w:eastAsia="Times New Roman"/>
        </w:rPr>
      </w:pPr>
      <w:r>
        <w:rPr>
          <w:rFonts w:eastAsia="Times New Roman"/>
          <w:color w:val="000000"/>
          <w:sz w:val="20"/>
          <w:szCs w:val="20"/>
        </w:rPr>
        <w:t>The ho</w:t>
      </w:r>
      <w:r>
        <w:rPr>
          <w:rFonts w:eastAsia="Times New Roman"/>
          <w:color w:val="000000"/>
          <w:sz w:val="20"/>
          <w:szCs w:val="20"/>
        </w:rPr>
        <w:t>lders of shares of common stock are entitled to one vote for each share of common stock held at any meeting of stockholders and at the time of any written action in lieu of a meeting.</w:t>
      </w:r>
    </w:p>
    <w:p w:rsidR="00000000" w:rsidRDefault="00FD7D3C">
      <w:pPr>
        <w:divId w:val="2104643752"/>
        <w:rPr>
          <w:rFonts w:eastAsia="Times New Roman"/>
        </w:rPr>
      </w:pPr>
      <w:r>
        <w:rPr>
          <w:rFonts w:eastAsia="Times New Roman"/>
          <w:b/>
          <w:bCs/>
          <w:i/>
          <w:iCs/>
          <w:color w:val="000000"/>
          <w:sz w:val="20"/>
          <w:szCs w:val="20"/>
        </w:rPr>
        <w:t>Dividends</w:t>
      </w:r>
    </w:p>
    <w:p w:rsidR="00000000" w:rsidRDefault="00FD7D3C">
      <w:pPr>
        <w:ind w:firstLine="720"/>
        <w:divId w:val="1240600362"/>
        <w:rPr>
          <w:rFonts w:eastAsia="Times New Roman"/>
        </w:rPr>
      </w:pPr>
      <w:r>
        <w:rPr>
          <w:rFonts w:eastAsia="Times New Roman"/>
          <w:color w:val="000000"/>
          <w:sz w:val="20"/>
          <w:szCs w:val="20"/>
        </w:rPr>
        <w:t xml:space="preserve">The holders of shares of common stock are entitled to receive </w:t>
      </w:r>
      <w:r>
        <w:rPr>
          <w:rFonts w:eastAsia="Times New Roman"/>
          <w:color w:val="000000"/>
          <w:sz w:val="20"/>
          <w:szCs w:val="20"/>
        </w:rPr>
        <w:t>dividends, when declared by the Company’s Board of Directors. Cash dividends may not be declared or paid to holders of shares of common stock until all unpaid dividends on the Preferred Stock have been paid in accordance with their terms. No dividends have</w:t>
      </w:r>
      <w:r>
        <w:rPr>
          <w:rFonts w:eastAsia="Times New Roman"/>
          <w:color w:val="000000"/>
          <w:sz w:val="20"/>
          <w:szCs w:val="20"/>
        </w:rPr>
        <w:t xml:space="preserve"> been declared or paid by the Company since its inception.</w:t>
      </w:r>
    </w:p>
    <w:p w:rsidR="00000000" w:rsidRDefault="00FD7D3C">
      <w:pPr>
        <w:divId w:val="1528104053"/>
        <w:rPr>
          <w:rFonts w:eastAsia="Times New Roman"/>
        </w:rPr>
      </w:pPr>
      <w:r>
        <w:rPr>
          <w:rFonts w:eastAsia="Times New Roman"/>
          <w:b/>
          <w:bCs/>
          <w:i/>
          <w:iCs/>
          <w:color w:val="000000"/>
          <w:sz w:val="20"/>
          <w:szCs w:val="20"/>
        </w:rPr>
        <w:t>Liquidation</w:t>
      </w:r>
    </w:p>
    <w:p w:rsidR="00000000" w:rsidRDefault="00FD7D3C">
      <w:pPr>
        <w:ind w:firstLine="720"/>
        <w:divId w:val="394748"/>
        <w:rPr>
          <w:rFonts w:eastAsia="Times New Roman"/>
        </w:rPr>
      </w:pPr>
      <w:r>
        <w:rPr>
          <w:rFonts w:eastAsia="Times New Roman"/>
          <w:color w:val="000000"/>
          <w:sz w:val="20"/>
          <w:szCs w:val="20"/>
        </w:rPr>
        <w:t>After payment of the respective liquidation preferences to the holders of shares of Preferred Stock, the holders of shares of common stock are entitled to share ratably in the Company’s</w:t>
      </w:r>
      <w:r>
        <w:rPr>
          <w:rFonts w:eastAsia="Times New Roman"/>
          <w:color w:val="000000"/>
          <w:sz w:val="20"/>
          <w:szCs w:val="20"/>
        </w:rPr>
        <w:t xml:space="preserve"> remaining assets available for distribution to its stockholders in the event of any voluntary or involuntary liquidation, dissolution or winding up of the Company or upon occurrence of a deemed liquidation event.</w:t>
      </w:r>
    </w:p>
    <w:p w:rsidR="00000000" w:rsidRDefault="00FD7D3C">
      <w:pPr>
        <w:jc w:val="center"/>
        <w:divId w:val="344746487"/>
        <w:rPr>
          <w:rFonts w:eastAsia="Times New Roman"/>
        </w:rPr>
      </w:pPr>
      <w:r>
        <w:rPr>
          <w:rFonts w:eastAsia="Times New Roman"/>
          <w:color w:val="000000"/>
          <w:sz w:val="20"/>
          <w:szCs w:val="20"/>
        </w:rPr>
        <w:t>127</w:t>
      </w:r>
    </w:p>
    <w:p w:rsidR="00000000" w:rsidRDefault="00FD7D3C">
      <w:pPr>
        <w:rPr>
          <w:rFonts w:eastAsia="Times New Roman"/>
        </w:rPr>
      </w:pPr>
      <w:r>
        <w:rPr>
          <w:rFonts w:eastAsia="Times New Roman"/>
        </w:rPr>
        <w:pict>
          <v:rect id="_x0000_i1180" style="width:0;height:1.5pt" o:hralign="center" o:hrstd="t" o:hr="t" fillcolor="#a0a0a0" stroked="f"/>
        </w:pict>
      </w:r>
    </w:p>
    <w:p w:rsidR="00000000" w:rsidRDefault="00FD7D3C">
      <w:pPr>
        <w:divId w:val="1867712289"/>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divId w:val="595863553"/>
        <w:rPr>
          <w:rFonts w:eastAsia="Times New Roman"/>
        </w:rPr>
      </w:pPr>
      <w:r>
        <w:rPr>
          <w:rFonts w:eastAsia="Times New Roman"/>
          <w:b/>
          <w:bCs/>
          <w:i/>
          <w:iCs/>
          <w:color w:val="000000"/>
          <w:sz w:val="20"/>
          <w:szCs w:val="20"/>
        </w:rPr>
        <w:t>Shares reserved for future issuance</w:t>
      </w:r>
    </w:p>
    <w:tbl>
      <w:tblPr>
        <w:tblW w:w="5000" w:type="pct"/>
        <w:tblCellMar>
          <w:top w:w="15" w:type="dxa"/>
          <w:left w:w="15" w:type="dxa"/>
          <w:bottom w:w="15" w:type="dxa"/>
          <w:right w:w="15" w:type="dxa"/>
        </w:tblCellMar>
        <w:tblLook w:val="04A0" w:firstRow="1" w:lastRow="0" w:firstColumn="1" w:lastColumn="0" w:noHBand="0" w:noVBand="1"/>
      </w:tblPr>
      <w:tblGrid>
        <w:gridCol w:w="63"/>
        <w:gridCol w:w="5942"/>
        <w:gridCol w:w="36"/>
        <w:gridCol w:w="67"/>
        <w:gridCol w:w="979"/>
        <w:gridCol w:w="37"/>
        <w:gridCol w:w="37"/>
        <w:gridCol w:w="37"/>
        <w:gridCol w:w="36"/>
        <w:gridCol w:w="67"/>
        <w:gridCol w:w="969"/>
        <w:gridCol w:w="36"/>
      </w:tblGrid>
      <w:tr w:rsidR="00000000">
        <w:trPr>
          <w:divId w:val="595863553"/>
        </w:trPr>
        <w:tc>
          <w:tcPr>
            <w:tcW w:w="50" w:type="pct"/>
            <w:vAlign w:val="center"/>
            <w:hideMark/>
          </w:tcPr>
          <w:p w:rsidR="00000000" w:rsidRDefault="00FD7D3C">
            <w:pPr>
              <w:rPr>
                <w:rFonts w:eastAsia="Times New Roman"/>
              </w:rPr>
            </w:pPr>
          </w:p>
        </w:tc>
        <w:tc>
          <w:tcPr>
            <w:tcW w:w="3588"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604"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27"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604"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r>
      <w:tr w:rsidR="00000000">
        <w:trPr>
          <w:divId w:val="595863553"/>
        </w:trPr>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December 31,</w:t>
            </w:r>
          </w:p>
        </w:tc>
      </w:tr>
      <w:tr w:rsidR="00000000">
        <w:trPr>
          <w:divId w:val="595863553"/>
        </w:trPr>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2020</w:t>
            </w:r>
          </w:p>
        </w:tc>
      </w:tr>
      <w:tr w:rsidR="00000000">
        <w:trPr>
          <w:divId w:val="595863553"/>
        </w:trPr>
        <w:tc>
          <w:tcPr>
            <w:tcW w:w="0" w:type="auto"/>
            <w:gridSpan w:val="3"/>
            <w:shd w:val="clear" w:color="auto" w:fill="CCEEFF"/>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Outstanding stock option awards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3,620,180 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2,993,855 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595863553"/>
        </w:trPr>
        <w:tc>
          <w:tcPr>
            <w:tcW w:w="0" w:type="auto"/>
            <w:gridSpan w:val="3"/>
            <w:shd w:val="clear" w:color="auto" w:fill="FFFFFF"/>
            <w:tcMar>
              <w:top w:w="30" w:type="dxa"/>
              <w:left w:w="200" w:type="dxa"/>
              <w:bottom w:w="30" w:type="dxa"/>
              <w:right w:w="20" w:type="dxa"/>
            </w:tcMar>
            <w:hideMark/>
          </w:tcPr>
          <w:p w:rsidR="00000000" w:rsidRDefault="00FD7D3C">
            <w:pPr>
              <w:spacing w:after="100"/>
              <w:ind w:hanging="180"/>
              <w:rPr>
                <w:rFonts w:eastAsia="Times New Roman"/>
              </w:rPr>
            </w:pPr>
            <w:r>
              <w:rPr>
                <w:rFonts w:eastAsia="Times New Roman"/>
                <w:color w:val="000000"/>
                <w:sz w:val="20"/>
                <w:szCs w:val="20"/>
              </w:rPr>
              <w:t>Shares of common stock available for future grants under the 2020 Stock Option and Incentive Plan</w:t>
            </w: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4,234,213 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3,644,459 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595863553"/>
        </w:trPr>
        <w:tc>
          <w:tcPr>
            <w:tcW w:w="0" w:type="auto"/>
            <w:gridSpan w:val="3"/>
            <w:shd w:val="clear" w:color="auto" w:fill="CCEEFF"/>
            <w:tcMar>
              <w:top w:w="30" w:type="dxa"/>
              <w:left w:w="200" w:type="dxa"/>
              <w:bottom w:w="30" w:type="dxa"/>
              <w:right w:w="20" w:type="dxa"/>
            </w:tcMar>
            <w:hideMark/>
          </w:tcPr>
          <w:p w:rsidR="00000000" w:rsidRDefault="00FD7D3C">
            <w:pPr>
              <w:spacing w:after="100"/>
              <w:ind w:hanging="180"/>
              <w:rPr>
                <w:rFonts w:eastAsia="Times New Roman"/>
              </w:rPr>
            </w:pPr>
            <w:r>
              <w:rPr>
                <w:rFonts w:eastAsia="Times New Roman"/>
                <w:color w:val="000000"/>
                <w:sz w:val="20"/>
                <w:szCs w:val="20"/>
              </w:rPr>
              <w:t>Shares of common stock available for future issuance under the 2020 Employee Stock Purchase Plan</w:t>
            </w: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613,098 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700,000 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595863553"/>
        </w:trPr>
        <w:tc>
          <w:tcPr>
            <w:tcW w:w="0" w:type="auto"/>
            <w:gridSpan w:val="3"/>
            <w:shd w:val="clear" w:color="auto" w:fill="FFFFFF"/>
            <w:tcMar>
              <w:top w:w="30" w:type="dxa"/>
              <w:left w:w="245" w:type="dxa"/>
              <w:bottom w:w="30" w:type="dxa"/>
              <w:right w:w="20" w:type="dxa"/>
            </w:tcMar>
            <w:hideMark/>
          </w:tcPr>
          <w:p w:rsidR="00000000" w:rsidRDefault="00FD7D3C">
            <w:pPr>
              <w:spacing w:after="100"/>
              <w:rPr>
                <w:rFonts w:eastAsia="Times New Roman"/>
              </w:rPr>
            </w:pPr>
            <w:r>
              <w:rPr>
                <w:rFonts w:eastAsia="Times New Roman"/>
                <w:color w:val="000000"/>
                <w:sz w:val="20"/>
                <w:szCs w:val="20"/>
              </w:rPr>
              <w:t>Total shares reserved for future issuance</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8,467,491 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7,338,314 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r>
    </w:tbl>
    <w:p w:rsidR="00000000" w:rsidRDefault="00FD7D3C">
      <w:pPr>
        <w:ind w:hanging="720"/>
        <w:divId w:val="1191335920"/>
        <w:rPr>
          <w:rFonts w:eastAsia="Times New Roman"/>
        </w:rPr>
      </w:pPr>
      <w:r>
        <w:rPr>
          <w:rFonts w:eastAsia="Times New Roman"/>
          <w:b/>
          <w:bCs/>
          <w:color w:val="000000"/>
          <w:sz w:val="20"/>
          <w:szCs w:val="20"/>
        </w:rPr>
        <w:t>12.    Stock-Based Compensation</w:t>
      </w:r>
    </w:p>
    <w:p w:rsidR="00000000" w:rsidRDefault="00FD7D3C">
      <w:pPr>
        <w:ind w:firstLine="720"/>
        <w:divId w:val="777681561"/>
        <w:rPr>
          <w:rFonts w:eastAsia="Times New Roman"/>
        </w:rPr>
      </w:pPr>
      <w:r>
        <w:rPr>
          <w:rFonts w:eastAsia="Times New Roman"/>
          <w:b/>
          <w:bCs/>
          <w:i/>
          <w:iCs/>
          <w:color w:val="000000"/>
          <w:sz w:val="20"/>
          <w:szCs w:val="20"/>
        </w:rPr>
        <w:t>Equity Incentive Plans</w:t>
      </w:r>
    </w:p>
    <w:p w:rsidR="00000000" w:rsidRDefault="00FD7D3C">
      <w:pPr>
        <w:ind w:firstLine="720"/>
        <w:divId w:val="1720856176"/>
        <w:rPr>
          <w:rFonts w:eastAsia="Times New Roman"/>
        </w:rPr>
      </w:pPr>
      <w:r>
        <w:rPr>
          <w:rFonts w:eastAsia="Times New Roman"/>
          <w:color w:val="000000"/>
          <w:sz w:val="20"/>
          <w:szCs w:val="20"/>
        </w:rPr>
        <w:t>In 2015, the Company's Board of Directors adopted the 2015 Equity Incentive Plan, as amended in 2018, 2019 and 2020 (the “2015 Plan”), which provided for the grant of incentive stock options, nonqualified stock options or other awards including stock appre</w:t>
      </w:r>
      <w:r>
        <w:rPr>
          <w:rFonts w:eastAsia="Times New Roman"/>
          <w:color w:val="000000"/>
          <w:sz w:val="20"/>
          <w:szCs w:val="20"/>
        </w:rPr>
        <w:t>ciation rights and restricted stock awards to the Company’s employees, officers, directors, advisors, and consultants. In May 2020, the Board of Directors adopted the 2020 Stock Option and Incentive Plan (the “2020 Plan”) and suspended the 2015 Plan. Award</w:t>
      </w:r>
      <w:r>
        <w:rPr>
          <w:rFonts w:eastAsia="Times New Roman"/>
          <w:color w:val="000000"/>
          <w:sz w:val="20"/>
          <w:szCs w:val="20"/>
        </w:rPr>
        <w:t>s outstanding under either the 2015 Plan or 2020 Plan that are cancelled, expire or otherwise terminated subsequent to May 2020 will become available for issuance as common stock under the 2020 Plan. Additionally, the 2020 Plan is subject to automatic incr</w:t>
      </w:r>
      <w:r>
        <w:rPr>
          <w:rFonts w:eastAsia="Times New Roman"/>
          <w:color w:val="000000"/>
          <w:sz w:val="20"/>
          <w:szCs w:val="20"/>
        </w:rPr>
        <w:t>eases on January 1 of each year beginning January 1, 2021. The number of shares added each January 1 will be equal to the lesser of: (i) 5% of the outstanding shares on the immediately preceding December 31 or (ii) such amount as determined by the administ</w:t>
      </w:r>
      <w:r>
        <w:rPr>
          <w:rFonts w:eastAsia="Times New Roman"/>
          <w:color w:val="000000"/>
          <w:sz w:val="20"/>
          <w:szCs w:val="20"/>
        </w:rPr>
        <w:t>rator of the 2020 Plan, which is the compensation committee of the Board of Directors of the Company.</w:t>
      </w:r>
    </w:p>
    <w:p w:rsidR="00000000" w:rsidRDefault="00FD7D3C">
      <w:pPr>
        <w:ind w:firstLine="720"/>
        <w:divId w:val="245766657"/>
        <w:rPr>
          <w:rFonts w:eastAsia="Times New Roman"/>
        </w:rPr>
      </w:pPr>
      <w:r>
        <w:rPr>
          <w:rFonts w:eastAsia="Times New Roman"/>
          <w:color w:val="000000"/>
          <w:sz w:val="20"/>
          <w:szCs w:val="20"/>
        </w:rPr>
        <w:t>The 2020 Plan provides for the grant of incentive stock options, nonqualified stock options or other awards including stock appreciation rights, restricte</w:t>
      </w:r>
      <w:r>
        <w:rPr>
          <w:rFonts w:eastAsia="Times New Roman"/>
          <w:color w:val="000000"/>
          <w:sz w:val="20"/>
          <w:szCs w:val="20"/>
        </w:rPr>
        <w:t xml:space="preserve">d stock awards and restricted stock units to the Company’s employees, officers, directors, advisors, and consultants. As of December 31, 2021, the 2020 Plan had 4,234,213 shares of common stock available for future issuance. </w:t>
      </w:r>
    </w:p>
    <w:p w:rsidR="00000000" w:rsidRDefault="00FD7D3C">
      <w:pPr>
        <w:ind w:firstLine="720"/>
        <w:divId w:val="508327495"/>
        <w:rPr>
          <w:rFonts w:eastAsia="Times New Roman"/>
        </w:rPr>
      </w:pPr>
      <w:r>
        <w:rPr>
          <w:rFonts w:eastAsia="Times New Roman"/>
          <w:color w:val="000000"/>
          <w:sz w:val="20"/>
          <w:szCs w:val="20"/>
        </w:rPr>
        <w:t>Options under the 2020 Plan may be granted for periods of up to 10 years and at prices no less than the market price of the Company’s common stock on the date of grant, provided, however, that the exercise price of an incentive stock option granted to a 10</w:t>
      </w:r>
      <w:r>
        <w:rPr>
          <w:rFonts w:eastAsia="Times New Roman"/>
          <w:color w:val="000000"/>
          <w:sz w:val="20"/>
          <w:szCs w:val="20"/>
        </w:rPr>
        <w:t>% shareholder shall not be less than 110% of the estimated fair value of the shares on the date of grant and the option is not exercisable after the expiration of five years from the date of grant.</w:t>
      </w:r>
    </w:p>
    <w:p w:rsidR="00000000" w:rsidRDefault="00FD7D3C">
      <w:pPr>
        <w:ind w:firstLine="720"/>
        <w:divId w:val="758018374"/>
        <w:rPr>
          <w:rFonts w:eastAsia="Times New Roman"/>
        </w:rPr>
      </w:pPr>
      <w:r>
        <w:rPr>
          <w:rFonts w:eastAsia="Times New Roman"/>
          <w:b/>
          <w:bCs/>
          <w:i/>
          <w:iCs/>
          <w:color w:val="000000"/>
          <w:sz w:val="20"/>
          <w:szCs w:val="20"/>
        </w:rPr>
        <w:t>Restricted Common Stock Awards</w:t>
      </w:r>
    </w:p>
    <w:p w:rsidR="00000000" w:rsidRDefault="00FD7D3C">
      <w:pPr>
        <w:ind w:firstLine="720"/>
        <w:divId w:val="643774185"/>
        <w:rPr>
          <w:rFonts w:eastAsia="Times New Roman"/>
        </w:rPr>
      </w:pPr>
      <w:r>
        <w:rPr>
          <w:rFonts w:eastAsia="Times New Roman"/>
          <w:color w:val="000000"/>
          <w:sz w:val="20"/>
          <w:szCs w:val="20"/>
        </w:rPr>
        <w:t>The Company granted restric</w:t>
      </w:r>
      <w:r>
        <w:rPr>
          <w:rFonts w:eastAsia="Times New Roman"/>
          <w:color w:val="000000"/>
          <w:sz w:val="20"/>
          <w:szCs w:val="20"/>
        </w:rPr>
        <w:t>ted stock awards under the 2015 Plan. The purchase price of the restricted common stock awards was the estimated fair value as determined by the Company's Board of Directors at the issuance date. The shares vest from</w:t>
      </w:r>
      <w:r>
        <w:rPr>
          <w:rFonts w:eastAsia="Times New Roman"/>
          <w:color w:val="000000"/>
          <w:sz w:val="20"/>
          <w:szCs w:val="20"/>
        </w:rPr>
        <w:t xml:space="preserve"> </w:t>
      </w:r>
      <w:r>
        <w:rPr>
          <w:rFonts w:eastAsia="Times New Roman"/>
          <w:color w:val="000000"/>
          <w:sz w:val="20"/>
          <w:szCs w:val="20"/>
        </w:rPr>
        <w:t>on</w:t>
      </w:r>
      <w:r>
        <w:rPr>
          <w:rFonts w:eastAsia="Times New Roman"/>
          <w:color w:val="000000"/>
          <w:sz w:val="20"/>
          <w:szCs w:val="20"/>
        </w:rPr>
        <w:t>e</w:t>
      </w:r>
      <w:r>
        <w:rPr>
          <w:rFonts w:eastAsia="Times New Roman"/>
          <w:color w:val="000000"/>
          <w:sz w:val="20"/>
          <w:szCs w:val="20"/>
        </w:rPr>
        <w:t xml:space="preserve"> to four years and vesting could be </w:t>
      </w:r>
      <w:r>
        <w:rPr>
          <w:rFonts w:eastAsia="Times New Roman"/>
          <w:color w:val="000000"/>
          <w:sz w:val="20"/>
          <w:szCs w:val="20"/>
        </w:rPr>
        <w:t>accelerated upon a change in control. A holder of an award may pay a total purchase price or a part of the purchase price for granted shares at any time during the vesting periods. Upon termination of employment, the Company has the right to repurchase any</w:t>
      </w:r>
      <w:r>
        <w:rPr>
          <w:rFonts w:eastAsia="Times New Roman"/>
          <w:color w:val="000000"/>
          <w:sz w:val="20"/>
          <w:szCs w:val="20"/>
        </w:rPr>
        <w:t xml:space="preserve"> unvested restricted shares. The repurchase price for unvested shares of common stock will be the lower of (i) the fair market value on the date of repurchase or (ii) their original purchase price. During the vesting term, holders of restricted stock award</w:t>
      </w:r>
      <w:r>
        <w:rPr>
          <w:rFonts w:eastAsia="Times New Roman"/>
          <w:color w:val="000000"/>
          <w:sz w:val="20"/>
          <w:szCs w:val="20"/>
        </w:rPr>
        <w:t>s are deemed to be common stock shareholders and have dividends and voting rights.</w:t>
      </w:r>
    </w:p>
    <w:p w:rsidR="00000000" w:rsidRDefault="00FD7D3C">
      <w:pPr>
        <w:ind w:firstLine="720"/>
        <w:divId w:val="232738894"/>
        <w:rPr>
          <w:rFonts w:eastAsia="Times New Roman"/>
        </w:rPr>
      </w:pPr>
      <w:r>
        <w:rPr>
          <w:rFonts w:eastAsia="Times New Roman"/>
          <w:color w:val="000000"/>
          <w:sz w:val="20"/>
          <w:szCs w:val="20"/>
        </w:rPr>
        <w:t>The Company accounted for restricted stock awards as early exercised options and recognized a liability in other liabilities when cash was received for the purchase of share</w:t>
      </w:r>
      <w:r>
        <w:rPr>
          <w:rFonts w:eastAsia="Times New Roman"/>
          <w:color w:val="000000"/>
          <w:sz w:val="20"/>
          <w:szCs w:val="20"/>
        </w:rPr>
        <w:t>s of restricted stock. As shares of restricted stock vested, the Company reclassified the liability to common stock and additional paid in capital. As of December 31, 2021 and 2020, the Company recorded a liability included in accrued expenses and other li</w:t>
      </w:r>
      <w:r>
        <w:rPr>
          <w:rFonts w:eastAsia="Times New Roman"/>
          <w:color w:val="000000"/>
          <w:sz w:val="20"/>
          <w:szCs w:val="20"/>
        </w:rPr>
        <w:t>abilities of $2,000 and $10,000, respectively.</w:t>
      </w:r>
    </w:p>
    <w:p w:rsidR="00000000" w:rsidRDefault="00FD7D3C">
      <w:pPr>
        <w:ind w:firstLine="720"/>
        <w:divId w:val="1917938958"/>
        <w:rPr>
          <w:rFonts w:eastAsia="Times New Roman"/>
        </w:rPr>
      </w:pPr>
      <w:r>
        <w:rPr>
          <w:rFonts w:eastAsia="Times New Roman"/>
          <w:color w:val="000000"/>
          <w:sz w:val="20"/>
          <w:szCs w:val="20"/>
        </w:rPr>
        <w:t>There were no grants of restricted stock awards during the years ended December 31, 2021 and 2020.</w:t>
      </w:r>
    </w:p>
    <w:p w:rsidR="00000000" w:rsidRDefault="00FD7D3C">
      <w:pPr>
        <w:jc w:val="center"/>
        <w:divId w:val="1493597379"/>
        <w:rPr>
          <w:rFonts w:eastAsia="Times New Roman"/>
        </w:rPr>
      </w:pPr>
      <w:r>
        <w:rPr>
          <w:rFonts w:eastAsia="Times New Roman"/>
          <w:color w:val="000000"/>
          <w:sz w:val="20"/>
          <w:szCs w:val="20"/>
        </w:rPr>
        <w:t>128</w:t>
      </w:r>
    </w:p>
    <w:p w:rsidR="00000000" w:rsidRDefault="00FD7D3C">
      <w:pPr>
        <w:rPr>
          <w:rFonts w:eastAsia="Times New Roman"/>
        </w:rPr>
      </w:pPr>
      <w:r>
        <w:rPr>
          <w:rFonts w:eastAsia="Times New Roman"/>
        </w:rPr>
        <w:pict>
          <v:rect id="_x0000_i1181" style="width:0;height:1.5pt" o:hralign="center" o:hrstd="t" o:hr="t" fillcolor="#a0a0a0" stroked="f"/>
        </w:pict>
      </w:r>
    </w:p>
    <w:p w:rsidR="00000000" w:rsidRDefault="00FD7D3C">
      <w:pPr>
        <w:divId w:val="243035761"/>
        <w:rPr>
          <w:rFonts w:eastAsia="Times New Roman"/>
        </w:rPr>
      </w:pPr>
      <w:hyperlink w:anchor="i988625df783e4cc0a27bd76df388da57_7" w:history="1">
        <w:r>
          <w:rPr>
            <w:rStyle w:val="a3"/>
            <w:rFonts w:eastAsia="Times New Roman"/>
            <w:sz w:val="20"/>
            <w:szCs w:val="20"/>
          </w:rPr>
          <w:t>Table of Con</w:t>
        </w:r>
        <w:r>
          <w:rPr>
            <w:rStyle w:val="a3"/>
            <w:rFonts w:eastAsia="Times New Roman"/>
            <w:sz w:val="20"/>
            <w:szCs w:val="20"/>
          </w:rPr>
          <w:t>tents</w:t>
        </w:r>
      </w:hyperlink>
    </w:p>
    <w:p w:rsidR="00000000" w:rsidRDefault="00FD7D3C">
      <w:pPr>
        <w:ind w:firstLine="720"/>
        <w:divId w:val="2097052131"/>
        <w:rPr>
          <w:rFonts w:eastAsia="Times New Roman"/>
        </w:rPr>
      </w:pPr>
      <w:r>
        <w:rPr>
          <w:rFonts w:eastAsia="Times New Roman"/>
          <w:color w:val="000000"/>
          <w:sz w:val="20"/>
          <w:szCs w:val="20"/>
        </w:rPr>
        <w:t>The following table summarizes restricted stock activity during the year ended December 31, 2021:</w:t>
      </w:r>
    </w:p>
    <w:tbl>
      <w:tblPr>
        <w:tblW w:w="5000" w:type="pct"/>
        <w:tblCellMar>
          <w:top w:w="15" w:type="dxa"/>
          <w:left w:w="15" w:type="dxa"/>
          <w:bottom w:w="15" w:type="dxa"/>
          <w:right w:w="15" w:type="dxa"/>
        </w:tblCellMar>
        <w:tblLook w:val="04A0" w:firstRow="1" w:lastRow="0" w:firstColumn="1" w:lastColumn="0" w:noHBand="0" w:noVBand="1"/>
      </w:tblPr>
      <w:tblGrid>
        <w:gridCol w:w="53"/>
        <w:gridCol w:w="5933"/>
        <w:gridCol w:w="37"/>
        <w:gridCol w:w="62"/>
        <w:gridCol w:w="966"/>
        <w:gridCol w:w="36"/>
        <w:gridCol w:w="36"/>
        <w:gridCol w:w="36"/>
        <w:gridCol w:w="36"/>
        <w:gridCol w:w="121"/>
        <w:gridCol w:w="954"/>
        <w:gridCol w:w="36"/>
      </w:tblGrid>
      <w:tr w:rsidR="00000000">
        <w:trPr>
          <w:divId w:val="1032535159"/>
        </w:trPr>
        <w:tc>
          <w:tcPr>
            <w:tcW w:w="50" w:type="pct"/>
            <w:vAlign w:val="center"/>
            <w:hideMark/>
          </w:tcPr>
          <w:p w:rsidR="00000000" w:rsidRDefault="00FD7D3C">
            <w:pPr>
              <w:ind w:firstLine="720"/>
              <w:rPr>
                <w:rFonts w:eastAsia="Times New Roman"/>
              </w:rPr>
            </w:pPr>
          </w:p>
        </w:tc>
        <w:tc>
          <w:tcPr>
            <w:tcW w:w="3588"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604"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27"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604"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r>
      <w:tr w:rsidR="00000000">
        <w:trPr>
          <w:divId w:val="1032535159"/>
        </w:trPr>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Number</w:t>
            </w:r>
            <w:r>
              <w:rPr>
                <w:rFonts w:eastAsia="Times New Roman"/>
                <w:b/>
                <w:bCs/>
                <w:color w:val="000000"/>
                <w:sz w:val="16"/>
                <w:szCs w:val="16"/>
              </w:rPr>
              <w:br/>
              <w:t>of Shares</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Grant Date</w:t>
            </w:r>
            <w:r>
              <w:rPr>
                <w:rFonts w:eastAsia="Times New Roman"/>
                <w:b/>
                <w:bCs/>
                <w:color w:val="000000"/>
                <w:sz w:val="16"/>
                <w:szCs w:val="16"/>
              </w:rPr>
              <w:br/>
              <w:t>fair value</w:t>
            </w:r>
          </w:p>
        </w:tc>
      </w:tr>
      <w:tr w:rsidR="00000000">
        <w:trPr>
          <w:divId w:val="1032535159"/>
        </w:trPr>
        <w:tc>
          <w:tcPr>
            <w:tcW w:w="0" w:type="auto"/>
            <w:gridSpan w:val="3"/>
            <w:shd w:val="clear" w:color="auto" w:fill="CCEEFF"/>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Outstanding and unvested, as of December 31, 2020</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126,522 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1032535159"/>
        </w:trPr>
        <w:tc>
          <w:tcPr>
            <w:tcW w:w="0" w:type="auto"/>
            <w:gridSpan w:val="3"/>
            <w:shd w:val="clear" w:color="auto" w:fill="FFFFFF"/>
            <w:tcMar>
              <w:top w:w="30" w:type="dxa"/>
              <w:left w:w="245" w:type="dxa"/>
              <w:bottom w:w="30" w:type="dxa"/>
              <w:right w:w="20" w:type="dxa"/>
            </w:tcMar>
            <w:hideMark/>
          </w:tcPr>
          <w:p w:rsidR="00000000" w:rsidRDefault="00FD7D3C">
            <w:pPr>
              <w:spacing w:after="100"/>
              <w:rPr>
                <w:rFonts w:eastAsia="Times New Roman"/>
              </w:rPr>
            </w:pPr>
            <w:r>
              <w:rPr>
                <w:rFonts w:eastAsia="Times New Roman"/>
                <w:color w:val="000000"/>
                <w:sz w:val="20"/>
                <w:szCs w:val="20"/>
              </w:rPr>
              <w:t>Issued</w:t>
            </w: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1032535159"/>
        </w:trPr>
        <w:tc>
          <w:tcPr>
            <w:tcW w:w="0" w:type="auto"/>
            <w:gridSpan w:val="3"/>
            <w:shd w:val="clear" w:color="auto" w:fill="CCEEFF"/>
            <w:tcMar>
              <w:top w:w="30" w:type="dxa"/>
              <w:left w:w="245" w:type="dxa"/>
              <w:bottom w:w="30" w:type="dxa"/>
              <w:right w:w="20" w:type="dxa"/>
            </w:tcMar>
            <w:hideMark/>
          </w:tcPr>
          <w:p w:rsidR="00000000" w:rsidRDefault="00FD7D3C">
            <w:pPr>
              <w:spacing w:after="100"/>
              <w:rPr>
                <w:rFonts w:eastAsia="Times New Roman"/>
              </w:rPr>
            </w:pPr>
            <w:r>
              <w:rPr>
                <w:rFonts w:eastAsia="Times New Roman"/>
                <w:color w:val="000000"/>
                <w:sz w:val="20"/>
                <w:szCs w:val="20"/>
              </w:rPr>
              <w:t>Vested</w:t>
            </w: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(103,164)</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1.78 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1032535159"/>
        </w:trPr>
        <w:tc>
          <w:tcPr>
            <w:tcW w:w="0" w:type="auto"/>
            <w:gridSpan w:val="3"/>
            <w:shd w:val="clear" w:color="auto" w:fill="FFFFFF"/>
            <w:tcMar>
              <w:top w:w="30" w:type="dxa"/>
              <w:left w:w="245" w:type="dxa"/>
              <w:bottom w:w="30" w:type="dxa"/>
              <w:right w:w="20" w:type="dxa"/>
            </w:tcMar>
            <w:hideMark/>
          </w:tcPr>
          <w:p w:rsidR="00000000" w:rsidRDefault="00FD7D3C">
            <w:pPr>
              <w:spacing w:after="100"/>
              <w:rPr>
                <w:rFonts w:eastAsia="Times New Roman"/>
              </w:rPr>
            </w:pPr>
            <w:r>
              <w:rPr>
                <w:rFonts w:eastAsia="Times New Roman"/>
                <w:color w:val="000000"/>
                <w:sz w:val="20"/>
                <w:szCs w:val="20"/>
              </w:rPr>
              <w:t>Repurchases</w:t>
            </w: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(1,517)</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2.12 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1032535159"/>
        </w:trPr>
        <w:tc>
          <w:tcPr>
            <w:tcW w:w="0" w:type="auto"/>
            <w:gridSpan w:val="3"/>
            <w:shd w:val="clear" w:color="auto" w:fill="CCEEFF"/>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Outstanding and unvested, as of December 31, 2021</w:t>
            </w:r>
          </w:p>
        </w:tc>
        <w:tc>
          <w:tcPr>
            <w:tcW w:w="0" w:type="auto"/>
            <w:gridSpan w:val="2"/>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21,841 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2.16 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r>
    </w:tbl>
    <w:p w:rsidR="00000000" w:rsidRDefault="00FD7D3C">
      <w:pPr>
        <w:ind w:firstLine="720"/>
        <w:divId w:val="756168129"/>
        <w:rPr>
          <w:rFonts w:eastAsia="Times New Roman"/>
        </w:rPr>
      </w:pPr>
      <w:r>
        <w:rPr>
          <w:rFonts w:eastAsia="Times New Roman"/>
          <w:color w:val="000000"/>
          <w:sz w:val="20"/>
          <w:szCs w:val="20"/>
        </w:rPr>
        <w:t>The aggregate fair value of restricted stock awards vested during the years ended December 31, 2021 and 2020 was $0.2 million each year. Total intrinsic value of outstanding unvested restricted stock awards as of December 31, 2021 and 2020 was $0.3 million</w:t>
      </w:r>
      <w:r>
        <w:rPr>
          <w:rFonts w:eastAsia="Times New Roman"/>
          <w:color w:val="000000"/>
          <w:sz w:val="20"/>
          <w:szCs w:val="20"/>
        </w:rPr>
        <w:t xml:space="preserve"> and $2.9 million, respectively.</w:t>
      </w:r>
    </w:p>
    <w:p w:rsidR="00000000" w:rsidRDefault="00FD7D3C">
      <w:pPr>
        <w:divId w:val="1021709287"/>
        <w:rPr>
          <w:rFonts w:eastAsia="Times New Roman"/>
        </w:rPr>
      </w:pPr>
      <w:r>
        <w:rPr>
          <w:rFonts w:eastAsia="Times New Roman"/>
          <w:b/>
          <w:bCs/>
          <w:i/>
          <w:iCs/>
          <w:color w:val="000000"/>
          <w:sz w:val="20"/>
          <w:szCs w:val="20"/>
        </w:rPr>
        <w:t>Incentive Stock Options and Nonqualified Stock Options</w:t>
      </w:r>
    </w:p>
    <w:p w:rsidR="00000000" w:rsidRDefault="00FD7D3C">
      <w:pPr>
        <w:ind w:firstLine="720"/>
        <w:divId w:val="839471771"/>
        <w:rPr>
          <w:rFonts w:eastAsia="Times New Roman"/>
        </w:rPr>
      </w:pPr>
      <w:r>
        <w:rPr>
          <w:rFonts w:eastAsia="Times New Roman"/>
          <w:color w:val="000000"/>
          <w:sz w:val="20"/>
          <w:szCs w:val="20"/>
        </w:rPr>
        <w:t>Stock options issued under either the 2015 Plan or the 2020 Plan generally vest over</w:t>
      </w:r>
      <w:r>
        <w:rPr>
          <w:rFonts w:eastAsia="Times New Roman"/>
          <w:color w:val="000000"/>
          <w:sz w:val="20"/>
          <w:szCs w:val="20"/>
        </w:rPr>
        <w:t xml:space="preserve"> </w:t>
      </w:r>
      <w:r>
        <w:rPr>
          <w:rFonts w:eastAsia="Times New Roman"/>
          <w:color w:val="000000"/>
          <w:sz w:val="20"/>
          <w:szCs w:val="20"/>
        </w:rPr>
        <w:t>fou</w:t>
      </w:r>
      <w:r>
        <w:rPr>
          <w:rFonts w:eastAsia="Times New Roman"/>
          <w:color w:val="000000"/>
          <w:sz w:val="20"/>
          <w:szCs w:val="20"/>
        </w:rPr>
        <w:t>r</w:t>
      </w:r>
      <w:r>
        <w:rPr>
          <w:rFonts w:eastAsia="Times New Roman"/>
          <w:color w:val="000000"/>
          <w:sz w:val="20"/>
          <w:szCs w:val="20"/>
        </w:rPr>
        <w:t xml:space="preserve"> years and expire ten years from the date of grant. Certain options provide for</w:t>
      </w:r>
      <w:r>
        <w:rPr>
          <w:rFonts w:eastAsia="Times New Roman"/>
          <w:color w:val="000000"/>
          <w:sz w:val="20"/>
          <w:szCs w:val="20"/>
        </w:rPr>
        <w:t xml:space="preserve"> accelerated vesting if there is a change in control, as defined in the respective plans.</w:t>
      </w:r>
    </w:p>
    <w:p w:rsidR="00000000" w:rsidRDefault="00FD7D3C">
      <w:pPr>
        <w:ind w:firstLine="720"/>
        <w:divId w:val="717508732"/>
        <w:rPr>
          <w:rFonts w:eastAsia="Times New Roman"/>
        </w:rPr>
      </w:pPr>
      <w:r>
        <w:rPr>
          <w:rFonts w:eastAsia="Times New Roman"/>
          <w:color w:val="000000"/>
          <w:sz w:val="20"/>
          <w:szCs w:val="20"/>
        </w:rPr>
        <w:t>The Company used Black-Scholes option pricing model to estimate stock-based compensation expense for stock option awards with the following assumptions:</w:t>
      </w:r>
    </w:p>
    <w:tbl>
      <w:tblPr>
        <w:tblW w:w="4507" w:type="pct"/>
        <w:jc w:val="center"/>
        <w:tblCellMar>
          <w:top w:w="15" w:type="dxa"/>
          <w:left w:w="15" w:type="dxa"/>
          <w:bottom w:w="15" w:type="dxa"/>
          <w:right w:w="15" w:type="dxa"/>
        </w:tblCellMar>
        <w:tblLook w:val="04A0" w:firstRow="1" w:lastRow="0" w:firstColumn="1" w:lastColumn="0" w:noHBand="0" w:noVBand="1"/>
      </w:tblPr>
      <w:tblGrid>
        <w:gridCol w:w="38"/>
        <w:gridCol w:w="2633"/>
        <w:gridCol w:w="37"/>
        <w:gridCol w:w="74"/>
        <w:gridCol w:w="576"/>
        <w:gridCol w:w="37"/>
        <w:gridCol w:w="37"/>
        <w:gridCol w:w="37"/>
        <w:gridCol w:w="37"/>
        <w:gridCol w:w="74"/>
        <w:gridCol w:w="576"/>
        <w:gridCol w:w="37"/>
        <w:gridCol w:w="36"/>
        <w:gridCol w:w="36"/>
        <w:gridCol w:w="36"/>
        <w:gridCol w:w="74"/>
        <w:gridCol w:w="576"/>
        <w:gridCol w:w="37"/>
        <w:gridCol w:w="37"/>
        <w:gridCol w:w="37"/>
        <w:gridCol w:w="37"/>
        <w:gridCol w:w="74"/>
        <w:gridCol w:w="576"/>
        <w:gridCol w:w="37"/>
        <w:gridCol w:w="36"/>
        <w:gridCol w:w="36"/>
        <w:gridCol w:w="36"/>
        <w:gridCol w:w="74"/>
        <w:gridCol w:w="576"/>
        <w:gridCol w:w="37"/>
        <w:gridCol w:w="37"/>
        <w:gridCol w:w="37"/>
        <w:gridCol w:w="37"/>
        <w:gridCol w:w="74"/>
        <w:gridCol w:w="576"/>
        <w:gridCol w:w="37"/>
        <w:gridCol w:w="36"/>
        <w:gridCol w:w="36"/>
        <w:gridCol w:w="36"/>
      </w:tblGrid>
      <w:tr w:rsidR="00000000">
        <w:trPr>
          <w:divId w:val="186022206"/>
          <w:jc w:val="center"/>
        </w:trPr>
        <w:tc>
          <w:tcPr>
            <w:tcW w:w="50" w:type="pct"/>
            <w:vAlign w:val="center"/>
            <w:hideMark/>
          </w:tcPr>
          <w:p w:rsidR="00000000" w:rsidRDefault="00FD7D3C">
            <w:pPr>
              <w:ind w:firstLine="720"/>
              <w:rPr>
                <w:rFonts w:eastAsia="Times New Roman"/>
              </w:rPr>
            </w:pPr>
          </w:p>
        </w:tc>
        <w:tc>
          <w:tcPr>
            <w:tcW w:w="1852"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390"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82"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390"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32"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390"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90"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390"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32"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390"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90"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390"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32"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r>
      <w:tr w:rsidR="00000000">
        <w:trPr>
          <w:divId w:val="186022206"/>
          <w:jc w:val="center"/>
        </w:trPr>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Year Ended December 31,</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r>
      <w:tr w:rsidR="00000000">
        <w:trPr>
          <w:divId w:val="186022206"/>
          <w:jc w:val="center"/>
        </w:trPr>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2019</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r>
      <w:tr w:rsidR="00000000">
        <w:trPr>
          <w:divId w:val="186022206"/>
          <w:jc w:val="center"/>
        </w:trPr>
        <w:tc>
          <w:tcPr>
            <w:tcW w:w="0" w:type="auto"/>
            <w:gridSpan w:val="3"/>
            <w:shd w:val="clear" w:color="auto" w:fill="CCEEFF"/>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Expected volatility</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color w:val="000000"/>
                <w:sz w:val="20"/>
                <w:szCs w:val="20"/>
              </w:rPr>
              <w:t>74.83%</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color w:val="000000"/>
                <w:sz w:val="20"/>
                <w:szCs w:val="20"/>
              </w:rPr>
              <w:t>-</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color w:val="000000"/>
                <w:sz w:val="20"/>
                <w:szCs w:val="20"/>
              </w:rPr>
              <w:t>76.31%</w:t>
            </w: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color w:val="000000"/>
                <w:sz w:val="20"/>
                <w:szCs w:val="20"/>
              </w:rPr>
              <w:t>72.10%</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color w:val="000000"/>
                <w:sz w:val="20"/>
                <w:szCs w:val="20"/>
              </w:rPr>
              <w:t>-</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color w:val="000000"/>
                <w:sz w:val="20"/>
                <w:szCs w:val="20"/>
              </w:rPr>
              <w:t>77.50%</w:t>
            </w: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color w:val="000000"/>
                <w:sz w:val="20"/>
                <w:szCs w:val="20"/>
              </w:rPr>
              <w:t>74.80%</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color w:val="000000"/>
                <w:sz w:val="20"/>
                <w:szCs w:val="20"/>
              </w:rPr>
              <w:t>-</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color w:val="000000"/>
                <w:sz w:val="20"/>
                <w:szCs w:val="20"/>
              </w:rPr>
              <w:t>82.53%</w:t>
            </w: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center"/>
              <w:rPr>
                <w:rFonts w:eastAsia="Times New Roman"/>
              </w:rPr>
            </w:pPr>
          </w:p>
        </w:tc>
      </w:tr>
      <w:tr w:rsidR="00000000">
        <w:trPr>
          <w:divId w:val="186022206"/>
          <w:jc w:val="center"/>
        </w:trPr>
        <w:tc>
          <w:tcPr>
            <w:tcW w:w="0" w:type="auto"/>
            <w:gridSpan w:val="3"/>
            <w:shd w:val="clear" w:color="auto" w:fill="FFFFFF"/>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Risk-free interest rate</w:t>
            </w:r>
          </w:p>
        </w:tc>
        <w:tc>
          <w:tcPr>
            <w:tcW w:w="0" w:type="auto"/>
            <w:gridSpan w:val="3"/>
            <w:shd w:val="clear" w:color="auto" w:fill="FFFFFF"/>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color w:val="000000"/>
                <w:sz w:val="20"/>
                <w:szCs w:val="20"/>
              </w:rPr>
              <w:t>0.61 %</w:t>
            </w:r>
          </w:p>
        </w:tc>
        <w:tc>
          <w:tcPr>
            <w:tcW w:w="0" w:type="auto"/>
            <w:gridSpan w:val="3"/>
            <w:shd w:val="clear" w:color="auto" w:fill="FFFFFF"/>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color w:val="000000"/>
                <w:sz w:val="20"/>
                <w:szCs w:val="20"/>
              </w:rPr>
              <w:t>1.39 %</w:t>
            </w: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color w:val="000000"/>
                <w:sz w:val="20"/>
                <w:szCs w:val="20"/>
              </w:rPr>
              <w:t>0.27 %</w:t>
            </w:r>
          </w:p>
        </w:tc>
        <w:tc>
          <w:tcPr>
            <w:tcW w:w="0" w:type="auto"/>
            <w:gridSpan w:val="3"/>
            <w:shd w:val="clear" w:color="auto" w:fill="FFFFFF"/>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color w:val="000000"/>
                <w:sz w:val="20"/>
                <w:szCs w:val="20"/>
              </w:rPr>
              <w:t>0.82 %</w:t>
            </w: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color w:val="000000"/>
                <w:sz w:val="20"/>
                <w:szCs w:val="20"/>
              </w:rPr>
              <w:t>1.43%</w:t>
            </w:r>
          </w:p>
        </w:tc>
        <w:tc>
          <w:tcPr>
            <w:tcW w:w="0" w:type="auto"/>
            <w:gridSpan w:val="3"/>
            <w:shd w:val="clear" w:color="auto" w:fill="FFFFFF"/>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color w:val="000000"/>
                <w:sz w:val="20"/>
                <w:szCs w:val="20"/>
              </w:rPr>
              <w:t>2.59%</w:t>
            </w: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center"/>
              <w:rPr>
                <w:rFonts w:eastAsia="Times New Roman"/>
              </w:rPr>
            </w:pPr>
          </w:p>
        </w:tc>
      </w:tr>
      <w:tr w:rsidR="00000000">
        <w:trPr>
          <w:divId w:val="186022206"/>
          <w:jc w:val="center"/>
        </w:trPr>
        <w:tc>
          <w:tcPr>
            <w:tcW w:w="0" w:type="auto"/>
            <w:gridSpan w:val="3"/>
            <w:shd w:val="clear" w:color="auto" w:fill="CCEEFF"/>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Expected dividend</w:t>
            </w:r>
          </w:p>
        </w:tc>
        <w:tc>
          <w:tcPr>
            <w:tcW w:w="0" w:type="auto"/>
            <w:gridSpan w:val="9"/>
            <w:shd w:val="clear" w:color="auto" w:fill="CCEEFF"/>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9"/>
            <w:shd w:val="clear" w:color="auto" w:fill="CCEEFF"/>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9"/>
            <w:shd w:val="clear" w:color="auto" w:fill="CCEEFF"/>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center"/>
              <w:rPr>
                <w:rFonts w:eastAsia="Times New Roman"/>
              </w:rPr>
            </w:pPr>
          </w:p>
        </w:tc>
      </w:tr>
      <w:tr w:rsidR="00000000">
        <w:trPr>
          <w:divId w:val="186022206"/>
          <w:jc w:val="center"/>
        </w:trPr>
        <w:tc>
          <w:tcPr>
            <w:tcW w:w="0" w:type="auto"/>
            <w:gridSpan w:val="3"/>
            <w:shd w:val="clear" w:color="auto" w:fill="FFFFFF"/>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Expected term (in years)</w:t>
            </w:r>
          </w:p>
        </w:tc>
        <w:tc>
          <w:tcPr>
            <w:tcW w:w="0" w:type="auto"/>
            <w:gridSpan w:val="3"/>
            <w:shd w:val="clear" w:color="auto" w:fill="FFFFFF"/>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color w:val="000000"/>
                <w:sz w:val="20"/>
                <w:szCs w:val="20"/>
              </w:rPr>
              <w:t>5.44</w:t>
            </w:r>
          </w:p>
        </w:tc>
        <w:tc>
          <w:tcPr>
            <w:tcW w:w="0" w:type="auto"/>
            <w:gridSpan w:val="3"/>
            <w:shd w:val="clear" w:color="auto" w:fill="FFFFFF"/>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color w:val="000000"/>
                <w:sz w:val="20"/>
                <w:szCs w:val="20"/>
              </w:rPr>
              <w:t>6.08</w:t>
            </w: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color w:val="000000"/>
                <w:sz w:val="20"/>
                <w:szCs w:val="20"/>
              </w:rPr>
              <w:t>5.26</w:t>
            </w:r>
          </w:p>
        </w:tc>
        <w:tc>
          <w:tcPr>
            <w:tcW w:w="0" w:type="auto"/>
            <w:gridSpan w:val="3"/>
            <w:shd w:val="clear" w:color="auto" w:fill="FFFFFF"/>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color w:val="000000"/>
                <w:sz w:val="20"/>
                <w:szCs w:val="20"/>
              </w:rPr>
              <w:t>6.75</w:t>
            </w: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color w:val="000000"/>
                <w:sz w:val="20"/>
                <w:szCs w:val="20"/>
              </w:rPr>
              <w:t>5</w:t>
            </w:r>
          </w:p>
        </w:tc>
        <w:tc>
          <w:tcPr>
            <w:tcW w:w="0" w:type="auto"/>
            <w:gridSpan w:val="3"/>
            <w:shd w:val="clear" w:color="auto" w:fill="FFFFFF"/>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color w:val="000000"/>
                <w:sz w:val="20"/>
                <w:szCs w:val="20"/>
              </w:rPr>
              <w:t>6.08</w:t>
            </w: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center"/>
              <w:rPr>
                <w:rFonts w:eastAsia="Times New Roman"/>
              </w:rPr>
            </w:pPr>
          </w:p>
        </w:tc>
      </w:tr>
      <w:tr w:rsidR="00000000">
        <w:trPr>
          <w:divId w:val="186022206"/>
          <w:jc w:val="center"/>
        </w:trPr>
        <w:tc>
          <w:tcPr>
            <w:tcW w:w="0" w:type="auto"/>
            <w:gridSpan w:val="3"/>
            <w:shd w:val="clear" w:color="auto" w:fill="CCEEFF"/>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Underlying common stock fair value</w:t>
            </w:r>
          </w:p>
        </w:tc>
        <w:tc>
          <w:tcPr>
            <w:tcW w:w="0" w:type="auto"/>
            <w:gridSpan w:val="3"/>
            <w:shd w:val="clear" w:color="auto" w:fill="CCEEFF"/>
            <w:tcMar>
              <w:top w:w="30" w:type="dxa"/>
              <w:left w:w="20" w:type="dxa"/>
              <w:bottom w:w="30" w:type="dxa"/>
              <w:right w:w="20" w:type="dxa"/>
            </w:tcMar>
            <w:vAlign w:val="center"/>
            <w:hideMark/>
          </w:tcPr>
          <w:p w:rsidR="00000000" w:rsidRDefault="00FD7D3C">
            <w:pPr>
              <w:spacing w:after="100"/>
              <w:jc w:val="center"/>
              <w:rPr>
                <w:rFonts w:eastAsia="Times New Roman"/>
              </w:rPr>
            </w:pPr>
            <w:r>
              <w:rPr>
                <w:rFonts w:eastAsia="Times New Roman"/>
                <w:color w:val="000000"/>
                <w:sz w:val="20"/>
                <w:szCs w:val="20"/>
              </w:rPr>
              <w:t>15.2</w:t>
            </w:r>
          </w:p>
        </w:tc>
        <w:tc>
          <w:tcPr>
            <w:tcW w:w="0" w:type="auto"/>
            <w:gridSpan w:val="3"/>
            <w:shd w:val="clear" w:color="auto" w:fill="CCEEFF"/>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color w:val="000000"/>
                <w:sz w:val="20"/>
                <w:szCs w:val="20"/>
              </w:rPr>
              <w:t>-</w:t>
            </w:r>
          </w:p>
        </w:tc>
        <w:tc>
          <w:tcPr>
            <w:tcW w:w="0" w:type="auto"/>
            <w:gridSpan w:val="3"/>
            <w:shd w:val="clear" w:color="auto" w:fill="CCEEFF"/>
            <w:tcMar>
              <w:top w:w="30" w:type="dxa"/>
              <w:left w:w="20" w:type="dxa"/>
              <w:bottom w:w="30" w:type="dxa"/>
              <w:right w:w="20" w:type="dxa"/>
            </w:tcMar>
            <w:vAlign w:val="center"/>
            <w:hideMark/>
          </w:tcPr>
          <w:p w:rsidR="00000000" w:rsidRDefault="00FD7D3C">
            <w:pPr>
              <w:spacing w:after="100"/>
              <w:jc w:val="center"/>
              <w:rPr>
                <w:rFonts w:eastAsia="Times New Roman"/>
              </w:rPr>
            </w:pPr>
            <w:r>
              <w:rPr>
                <w:rFonts w:eastAsia="Times New Roman"/>
                <w:color w:val="000000"/>
                <w:sz w:val="20"/>
                <w:szCs w:val="20"/>
              </w:rPr>
              <w:t>38.23</w:t>
            </w: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color w:val="000000"/>
                <w:sz w:val="20"/>
                <w:szCs w:val="20"/>
              </w:rPr>
              <w:t>6.22</w:t>
            </w:r>
          </w:p>
        </w:tc>
        <w:tc>
          <w:tcPr>
            <w:tcW w:w="0" w:type="auto"/>
            <w:gridSpan w:val="3"/>
            <w:shd w:val="clear" w:color="auto" w:fill="CCEEFF"/>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color w:val="000000"/>
                <w:sz w:val="20"/>
                <w:szCs w:val="20"/>
              </w:rPr>
              <w:t>-</w:t>
            </w:r>
          </w:p>
        </w:tc>
        <w:tc>
          <w:tcPr>
            <w:tcW w:w="0" w:type="auto"/>
            <w:gridSpan w:val="3"/>
            <w:shd w:val="clear" w:color="auto" w:fill="CCEEFF"/>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color w:val="000000"/>
                <w:sz w:val="20"/>
                <w:szCs w:val="20"/>
              </w:rPr>
              <w:t>28.79</w:t>
            </w: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color w:val="000000"/>
                <w:sz w:val="20"/>
                <w:szCs w:val="20"/>
              </w:rPr>
              <w:t>5.15</w:t>
            </w:r>
          </w:p>
        </w:tc>
        <w:tc>
          <w:tcPr>
            <w:tcW w:w="0" w:type="auto"/>
            <w:gridSpan w:val="3"/>
            <w:shd w:val="clear" w:color="auto" w:fill="CCEEFF"/>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color w:val="000000"/>
                <w:sz w:val="20"/>
                <w:szCs w:val="20"/>
              </w:rPr>
              <w:t>-</w:t>
            </w:r>
          </w:p>
        </w:tc>
        <w:tc>
          <w:tcPr>
            <w:tcW w:w="0" w:type="auto"/>
            <w:gridSpan w:val="3"/>
            <w:shd w:val="clear" w:color="auto" w:fill="CCEEFF"/>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color w:val="000000"/>
                <w:sz w:val="20"/>
                <w:szCs w:val="20"/>
              </w:rPr>
              <w:t>7.08</w:t>
            </w: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center"/>
              <w:rPr>
                <w:rFonts w:eastAsia="Times New Roman"/>
              </w:rPr>
            </w:pPr>
          </w:p>
        </w:tc>
      </w:tr>
    </w:tbl>
    <w:p w:rsidR="00000000" w:rsidRDefault="00FD7D3C">
      <w:pPr>
        <w:ind w:firstLine="720"/>
        <w:divId w:val="1693729528"/>
        <w:rPr>
          <w:rFonts w:eastAsia="Times New Roman"/>
        </w:rPr>
      </w:pPr>
      <w:r>
        <w:rPr>
          <w:rFonts w:eastAsia="Times New Roman"/>
          <w:color w:val="000000"/>
          <w:sz w:val="20"/>
          <w:szCs w:val="20"/>
        </w:rPr>
        <w:t>A summary of option activity under the 2015 Plan and the 2020 Plan is 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3558"/>
        <w:gridCol w:w="36"/>
        <w:gridCol w:w="67"/>
        <w:gridCol w:w="883"/>
        <w:gridCol w:w="36"/>
        <w:gridCol w:w="36"/>
        <w:gridCol w:w="36"/>
        <w:gridCol w:w="36"/>
        <w:gridCol w:w="121"/>
        <w:gridCol w:w="1124"/>
        <w:gridCol w:w="36"/>
        <w:gridCol w:w="36"/>
        <w:gridCol w:w="36"/>
        <w:gridCol w:w="36"/>
        <w:gridCol w:w="87"/>
        <w:gridCol w:w="1047"/>
        <w:gridCol w:w="36"/>
        <w:gridCol w:w="36"/>
        <w:gridCol w:w="36"/>
        <w:gridCol w:w="36"/>
        <w:gridCol w:w="120"/>
        <w:gridCol w:w="758"/>
        <w:gridCol w:w="36"/>
      </w:tblGrid>
      <w:tr w:rsidR="00000000">
        <w:trPr>
          <w:divId w:val="48577415"/>
        </w:trPr>
        <w:tc>
          <w:tcPr>
            <w:tcW w:w="50" w:type="pct"/>
            <w:vAlign w:val="center"/>
            <w:hideMark/>
          </w:tcPr>
          <w:p w:rsidR="00000000" w:rsidRDefault="00FD7D3C">
            <w:pPr>
              <w:ind w:firstLine="720"/>
              <w:rPr>
                <w:rFonts w:eastAsia="Times New Roman"/>
              </w:rPr>
            </w:pPr>
          </w:p>
        </w:tc>
        <w:tc>
          <w:tcPr>
            <w:tcW w:w="219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604"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27"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604"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27"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604"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27"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604"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r>
      <w:tr w:rsidR="00000000">
        <w:trPr>
          <w:divId w:val="48577415"/>
        </w:trPr>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Number</w:t>
            </w:r>
            <w:r>
              <w:rPr>
                <w:rFonts w:eastAsia="Times New Roman"/>
                <w:b/>
                <w:bCs/>
                <w:color w:val="000000"/>
                <w:sz w:val="16"/>
                <w:szCs w:val="16"/>
              </w:rPr>
              <w:br/>
              <w:t>of</w:t>
            </w:r>
            <w:r>
              <w:rPr>
                <w:rFonts w:eastAsia="Times New Roman"/>
                <w:b/>
                <w:bCs/>
                <w:color w:val="000000"/>
                <w:sz w:val="16"/>
                <w:szCs w:val="16"/>
              </w:rPr>
              <w:br/>
              <w:t>Options</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 Exercise</w:t>
            </w:r>
            <w:r>
              <w:rPr>
                <w:rFonts w:eastAsia="Times New Roman"/>
                <w:b/>
                <w:bCs/>
                <w:color w:val="000000"/>
                <w:sz w:val="16"/>
                <w:szCs w:val="16"/>
              </w:rPr>
              <w:br/>
              <w:t>Price per Share</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Remaining</w:t>
            </w:r>
            <w:r>
              <w:rPr>
                <w:rFonts w:eastAsia="Times New Roman"/>
                <w:b/>
                <w:bCs/>
                <w:color w:val="000000"/>
                <w:sz w:val="16"/>
                <w:szCs w:val="16"/>
              </w:rPr>
              <w:br/>
              <w:t>Contractual</w:t>
            </w:r>
            <w:r>
              <w:rPr>
                <w:rFonts w:eastAsia="Times New Roman"/>
                <w:b/>
                <w:bCs/>
                <w:color w:val="000000"/>
                <w:sz w:val="16"/>
                <w:szCs w:val="16"/>
              </w:rPr>
              <w:br/>
              <w:t>Term (in Years)</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Aggregate</w:t>
            </w:r>
            <w:r>
              <w:rPr>
                <w:rFonts w:eastAsia="Times New Roman"/>
                <w:b/>
                <w:bCs/>
                <w:color w:val="000000"/>
                <w:sz w:val="16"/>
                <w:szCs w:val="16"/>
              </w:rPr>
              <w:br/>
              <w:t>Intrinsic</w:t>
            </w:r>
            <w:r>
              <w:rPr>
                <w:rFonts w:eastAsia="Times New Roman"/>
                <w:b/>
                <w:bCs/>
                <w:color w:val="000000"/>
                <w:sz w:val="16"/>
                <w:szCs w:val="16"/>
              </w:rPr>
              <w:br/>
              <w:t>Value</w:t>
            </w:r>
          </w:p>
        </w:tc>
      </w:tr>
      <w:tr w:rsidR="00000000">
        <w:trPr>
          <w:divId w:val="48577415"/>
        </w:trPr>
        <w:tc>
          <w:tcPr>
            <w:tcW w:w="0" w:type="auto"/>
            <w:gridSpan w:val="3"/>
            <w:shd w:val="clear" w:color="auto" w:fill="CFF0FC"/>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Outstanding as of December 31, 2020</w:t>
            </w:r>
          </w:p>
        </w:tc>
        <w:tc>
          <w:tcPr>
            <w:tcW w:w="0" w:type="auto"/>
            <w:gridSpan w:val="2"/>
            <w:tcBorders>
              <w:top w:val="single" w:sz="8" w:space="0" w:color="000000"/>
            </w:tcBorders>
            <w:shd w:val="clear" w:color="auto" w:fill="CFF0FC"/>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2,993,855 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8.18 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3"/>
            <w:tcBorders>
              <w:top w:val="single" w:sz="8" w:space="0" w:color="000000"/>
            </w:tcBorders>
            <w:shd w:val="clear" w:color="auto" w:fill="CFF0FC"/>
            <w:tcMar>
              <w:top w:w="30" w:type="dxa"/>
              <w:left w:w="20" w:type="dxa"/>
              <w:bottom w:w="30" w:type="dxa"/>
              <w:right w:w="20" w:type="dxa"/>
            </w:tcMar>
            <w:vAlign w:val="bottom"/>
            <w:hideMark/>
          </w:tcPr>
          <w:p w:rsidR="00000000" w:rsidRDefault="00FD7D3C">
            <w:pPr>
              <w:spacing w:after="100"/>
              <w:jc w:val="right"/>
              <w:rPr>
                <w:rFonts w:eastAsia="Times New Roman"/>
              </w:rPr>
            </w:pPr>
            <w:r>
              <w:rPr>
                <w:rFonts w:eastAsia="Times New Roman"/>
                <w:color w:val="000000"/>
                <w:sz w:val="20"/>
                <w:szCs w:val="20"/>
              </w:rPr>
              <w:t>8.84</w:t>
            </w:r>
          </w:p>
        </w:tc>
        <w:tc>
          <w:tcPr>
            <w:tcW w:w="0" w:type="auto"/>
            <w:gridSpan w:val="3"/>
            <w:shd w:val="clear" w:color="auto" w:fill="CFF0FC"/>
            <w:tcMar>
              <w:top w:w="0" w:type="dxa"/>
              <w:left w:w="20" w:type="dxa"/>
              <w:bottom w:w="0" w:type="dxa"/>
              <w:right w:w="20" w:type="dxa"/>
            </w:tcMar>
            <w:vAlign w:val="center"/>
            <w:hideMark/>
          </w:tcPr>
          <w:p w:rsidR="00000000" w:rsidRDefault="00FD7D3C">
            <w:pPr>
              <w:spacing w:after="100"/>
              <w:jc w:val="right"/>
              <w:rPr>
                <w:rFonts w:eastAsia="Times New Roman"/>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43,890 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48577415"/>
        </w:trPr>
        <w:tc>
          <w:tcPr>
            <w:tcW w:w="0" w:type="auto"/>
            <w:gridSpan w:val="3"/>
            <w:tcMar>
              <w:top w:w="30" w:type="dxa"/>
              <w:left w:w="245" w:type="dxa"/>
              <w:bottom w:w="30" w:type="dxa"/>
              <w:right w:w="20" w:type="dxa"/>
            </w:tcMar>
            <w:hideMark/>
          </w:tcPr>
          <w:p w:rsidR="00000000" w:rsidRDefault="00FD7D3C">
            <w:pPr>
              <w:spacing w:after="100"/>
              <w:rPr>
                <w:rFonts w:eastAsia="Times New Roman"/>
              </w:rPr>
            </w:pPr>
            <w:r>
              <w:rPr>
                <w:rFonts w:eastAsia="Times New Roman"/>
                <w:color w:val="000000"/>
                <w:sz w:val="20"/>
                <w:szCs w:val="20"/>
              </w:rPr>
              <w:t>Granted</w:t>
            </w:r>
          </w:p>
        </w:tc>
        <w:tc>
          <w:tcPr>
            <w:tcW w:w="0" w:type="auto"/>
            <w:gridSpan w:val="2"/>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1,520,391 </w:t>
            </w:r>
          </w:p>
        </w:tc>
        <w:tc>
          <w:tcPr>
            <w:tcW w:w="0" w:type="auto"/>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26.03 </w:t>
            </w:r>
          </w:p>
        </w:tc>
        <w:tc>
          <w:tcPr>
            <w:tcW w:w="0" w:type="auto"/>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000000">
        <w:trPr>
          <w:divId w:val="48577415"/>
        </w:trPr>
        <w:tc>
          <w:tcPr>
            <w:tcW w:w="0" w:type="auto"/>
            <w:gridSpan w:val="3"/>
            <w:shd w:val="clear" w:color="auto" w:fill="CFF0FC"/>
            <w:tcMar>
              <w:top w:w="30" w:type="dxa"/>
              <w:left w:w="245" w:type="dxa"/>
              <w:bottom w:w="30" w:type="dxa"/>
              <w:right w:w="20" w:type="dxa"/>
            </w:tcMar>
            <w:hideMark/>
          </w:tcPr>
          <w:p w:rsidR="00000000" w:rsidRDefault="00FD7D3C">
            <w:pPr>
              <w:spacing w:after="100"/>
              <w:rPr>
                <w:rFonts w:eastAsia="Times New Roman"/>
              </w:rPr>
            </w:pPr>
            <w:r>
              <w:rPr>
                <w:rFonts w:eastAsia="Times New Roman"/>
                <w:color w:val="000000"/>
                <w:sz w:val="20"/>
                <w:szCs w:val="20"/>
              </w:rPr>
              <w:t>Exercised</w:t>
            </w:r>
          </w:p>
        </w:tc>
        <w:tc>
          <w:tcPr>
            <w:tcW w:w="0" w:type="auto"/>
            <w:gridSpan w:val="2"/>
            <w:shd w:val="clear" w:color="auto" w:fill="CFF0FC"/>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(336,340)</w:t>
            </w:r>
          </w:p>
        </w:tc>
        <w:tc>
          <w:tcPr>
            <w:tcW w:w="0" w:type="auto"/>
            <w:shd w:val="clear" w:color="auto" w:fill="CFF0FC"/>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shd w:val="clear" w:color="auto" w:fill="CFF0FC"/>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shd w:val="clear" w:color="auto" w:fill="CFF0FC"/>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5.21 </w:t>
            </w:r>
          </w:p>
        </w:tc>
        <w:tc>
          <w:tcPr>
            <w:tcW w:w="0" w:type="auto"/>
            <w:shd w:val="clear" w:color="auto" w:fill="CFF0FC"/>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3"/>
            <w:shd w:val="clear" w:color="auto" w:fill="CFF0FC"/>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shd w:val="clear" w:color="auto" w:fill="CFF0FC"/>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shd w:val="clear" w:color="auto" w:fill="CFF0FC"/>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000000">
        <w:trPr>
          <w:divId w:val="48577415"/>
        </w:trPr>
        <w:tc>
          <w:tcPr>
            <w:tcW w:w="0" w:type="auto"/>
            <w:gridSpan w:val="3"/>
            <w:tcMar>
              <w:top w:w="30" w:type="dxa"/>
              <w:left w:w="245" w:type="dxa"/>
              <w:bottom w:w="30" w:type="dxa"/>
              <w:right w:w="20" w:type="dxa"/>
            </w:tcMar>
            <w:hideMark/>
          </w:tcPr>
          <w:p w:rsidR="00000000" w:rsidRDefault="00FD7D3C">
            <w:pPr>
              <w:spacing w:after="100"/>
              <w:rPr>
                <w:rFonts w:eastAsia="Times New Roman"/>
              </w:rPr>
            </w:pPr>
            <w:r>
              <w:rPr>
                <w:rFonts w:eastAsia="Times New Roman"/>
                <w:color w:val="000000"/>
                <w:sz w:val="20"/>
                <w:szCs w:val="20"/>
              </w:rPr>
              <w:t>Forfeited</w:t>
            </w:r>
          </w:p>
        </w:tc>
        <w:tc>
          <w:tcPr>
            <w:tcW w:w="0" w:type="auto"/>
            <w:gridSpan w:val="2"/>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(557,726)</w:t>
            </w:r>
          </w:p>
        </w:tc>
        <w:tc>
          <w:tcPr>
            <w:tcW w:w="0" w:type="auto"/>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16.4 </w:t>
            </w:r>
          </w:p>
        </w:tc>
        <w:tc>
          <w:tcPr>
            <w:tcW w:w="0" w:type="auto"/>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000000">
        <w:trPr>
          <w:divId w:val="48577415"/>
        </w:trPr>
        <w:tc>
          <w:tcPr>
            <w:tcW w:w="0" w:type="auto"/>
            <w:gridSpan w:val="3"/>
            <w:shd w:val="clear" w:color="auto" w:fill="CFF0FC"/>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Outstanding as of December 31, 2021</w:t>
            </w:r>
          </w:p>
        </w:tc>
        <w:tc>
          <w:tcPr>
            <w:tcW w:w="0" w:type="auto"/>
            <w:gridSpan w:val="2"/>
            <w:tcBorders>
              <w:top w:val="single" w:sz="8" w:space="0" w:color="000000"/>
            </w:tcBorders>
            <w:shd w:val="clear" w:color="auto" w:fill="CFF0FC"/>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3,620,180 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shd w:val="clear" w:color="auto" w:fill="CFF0FC"/>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shd w:val="clear" w:color="auto" w:fill="CFF0FC"/>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14.56 </w:t>
            </w:r>
          </w:p>
        </w:tc>
        <w:tc>
          <w:tcPr>
            <w:tcW w:w="0" w:type="auto"/>
            <w:shd w:val="clear" w:color="auto" w:fill="CFF0FC"/>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3"/>
            <w:shd w:val="clear" w:color="auto" w:fill="CFF0FC"/>
            <w:tcMar>
              <w:top w:w="30" w:type="dxa"/>
              <w:left w:w="20" w:type="dxa"/>
              <w:bottom w:w="30" w:type="dxa"/>
              <w:right w:w="20" w:type="dxa"/>
            </w:tcMar>
            <w:vAlign w:val="bottom"/>
            <w:hideMark/>
          </w:tcPr>
          <w:p w:rsidR="00000000" w:rsidRDefault="00FD7D3C">
            <w:pPr>
              <w:spacing w:after="100"/>
              <w:jc w:val="right"/>
              <w:rPr>
                <w:rFonts w:eastAsia="Times New Roman"/>
              </w:rPr>
            </w:pPr>
            <w:r>
              <w:rPr>
                <w:rFonts w:eastAsia="Times New Roman"/>
                <w:color w:val="000000"/>
                <w:sz w:val="20"/>
                <w:szCs w:val="20"/>
              </w:rPr>
              <w:t>8.25</w:t>
            </w:r>
          </w:p>
        </w:tc>
        <w:tc>
          <w:tcPr>
            <w:tcW w:w="0" w:type="auto"/>
            <w:gridSpan w:val="3"/>
            <w:shd w:val="clear" w:color="auto" w:fill="CFF0FC"/>
            <w:tcMar>
              <w:top w:w="0" w:type="dxa"/>
              <w:left w:w="20" w:type="dxa"/>
              <w:bottom w:w="0" w:type="dxa"/>
              <w:right w:w="20" w:type="dxa"/>
            </w:tcMar>
            <w:vAlign w:val="center"/>
            <w:hideMark/>
          </w:tcPr>
          <w:p w:rsidR="00000000" w:rsidRDefault="00FD7D3C">
            <w:pPr>
              <w:spacing w:after="100"/>
              <w:jc w:val="right"/>
              <w:rPr>
                <w:rFonts w:eastAsia="Times New Roman"/>
              </w:rPr>
            </w:pPr>
          </w:p>
        </w:tc>
        <w:tc>
          <w:tcPr>
            <w:tcW w:w="0" w:type="auto"/>
            <w:shd w:val="clear" w:color="auto" w:fill="CFF0FC"/>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shd w:val="clear" w:color="auto" w:fill="CFF0FC"/>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16,735 </w:t>
            </w:r>
          </w:p>
        </w:tc>
        <w:tc>
          <w:tcPr>
            <w:tcW w:w="0" w:type="auto"/>
            <w:shd w:val="clear" w:color="auto" w:fill="CFF0FC"/>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48577415"/>
        </w:trPr>
        <w:tc>
          <w:tcPr>
            <w:tcW w:w="0" w:type="auto"/>
            <w:gridSpan w:val="3"/>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Exercisable as of December 31, 2021</w:t>
            </w:r>
          </w:p>
        </w:tc>
        <w:tc>
          <w:tcPr>
            <w:tcW w:w="0" w:type="auto"/>
            <w:gridSpan w:val="2"/>
            <w:tcBorders>
              <w:top w:val="double" w:sz="6" w:space="0" w:color="000000"/>
            </w:tcBorders>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1,368,543 </w:t>
            </w:r>
          </w:p>
        </w:tc>
        <w:tc>
          <w:tcPr>
            <w:tcW w:w="0" w:type="auto"/>
            <w:tcBorders>
              <w:top w:val="double" w:sz="6" w:space="0" w:color="000000"/>
            </w:tcBorders>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9.76 </w:t>
            </w:r>
          </w:p>
        </w:tc>
        <w:tc>
          <w:tcPr>
            <w:tcW w:w="0" w:type="auto"/>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FD7D3C">
            <w:pPr>
              <w:spacing w:after="100"/>
              <w:jc w:val="right"/>
              <w:rPr>
                <w:rFonts w:eastAsia="Times New Roman"/>
              </w:rPr>
            </w:pPr>
            <w:r>
              <w:rPr>
                <w:rFonts w:eastAsia="Times New Roman"/>
                <w:color w:val="000000"/>
                <w:sz w:val="20"/>
                <w:szCs w:val="20"/>
              </w:rPr>
              <w:t>7.66</w:t>
            </w:r>
          </w:p>
        </w:tc>
        <w:tc>
          <w:tcPr>
            <w:tcW w:w="0" w:type="auto"/>
            <w:gridSpan w:val="3"/>
            <w:tcMar>
              <w:top w:w="0" w:type="dxa"/>
              <w:left w:w="20" w:type="dxa"/>
              <w:bottom w:w="0" w:type="dxa"/>
              <w:right w:w="20" w:type="dxa"/>
            </w:tcMar>
            <w:vAlign w:val="center"/>
            <w:hideMark/>
          </w:tcPr>
          <w:p w:rsidR="00000000" w:rsidRDefault="00FD7D3C">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9,426 </w:t>
            </w:r>
          </w:p>
        </w:tc>
        <w:tc>
          <w:tcPr>
            <w:tcW w:w="0" w:type="auto"/>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48577415"/>
        </w:trPr>
        <w:tc>
          <w:tcPr>
            <w:tcW w:w="0" w:type="auto"/>
            <w:gridSpan w:val="3"/>
            <w:shd w:val="clear" w:color="auto" w:fill="CFF0FC"/>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Vested and expected to vest as of December 31, 2021</w:t>
            </w:r>
          </w:p>
        </w:tc>
        <w:tc>
          <w:tcPr>
            <w:tcW w:w="0" w:type="auto"/>
            <w:gridSpan w:val="2"/>
            <w:tcBorders>
              <w:top w:val="double" w:sz="6" w:space="0" w:color="000000"/>
              <w:bottom w:val="double" w:sz="6" w:space="0" w:color="000000"/>
            </w:tcBorders>
            <w:shd w:val="clear" w:color="auto" w:fill="CFF0FC"/>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3,620,180 </w:t>
            </w:r>
          </w:p>
        </w:tc>
        <w:tc>
          <w:tcPr>
            <w:tcW w:w="0" w:type="auto"/>
            <w:tcBorders>
              <w:top w:val="double" w:sz="6" w:space="0" w:color="000000"/>
              <w:bottom w:val="double" w:sz="6" w:space="0" w:color="000000"/>
            </w:tcBorders>
            <w:shd w:val="clear" w:color="auto" w:fill="CFF0FC"/>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shd w:val="clear" w:color="auto" w:fill="CFF0FC"/>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shd w:val="clear" w:color="auto" w:fill="CFF0FC"/>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14.56 </w:t>
            </w:r>
          </w:p>
        </w:tc>
        <w:tc>
          <w:tcPr>
            <w:tcW w:w="0" w:type="auto"/>
            <w:shd w:val="clear" w:color="auto" w:fill="CFF0FC"/>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3"/>
            <w:shd w:val="clear" w:color="auto" w:fill="CFF0FC"/>
            <w:tcMar>
              <w:top w:w="30" w:type="dxa"/>
              <w:left w:w="20" w:type="dxa"/>
              <w:bottom w:w="30" w:type="dxa"/>
              <w:right w:w="20" w:type="dxa"/>
            </w:tcMar>
            <w:vAlign w:val="bottom"/>
            <w:hideMark/>
          </w:tcPr>
          <w:p w:rsidR="00000000" w:rsidRDefault="00FD7D3C">
            <w:pPr>
              <w:spacing w:after="100"/>
              <w:jc w:val="right"/>
              <w:rPr>
                <w:rFonts w:eastAsia="Times New Roman"/>
              </w:rPr>
            </w:pPr>
            <w:r>
              <w:rPr>
                <w:rFonts w:eastAsia="Times New Roman"/>
                <w:color w:val="000000"/>
                <w:sz w:val="20"/>
                <w:szCs w:val="20"/>
              </w:rPr>
              <w:t>7.66</w:t>
            </w:r>
          </w:p>
        </w:tc>
        <w:tc>
          <w:tcPr>
            <w:tcW w:w="0" w:type="auto"/>
            <w:gridSpan w:val="3"/>
            <w:shd w:val="clear" w:color="auto" w:fill="CFF0FC"/>
            <w:tcMar>
              <w:top w:w="0" w:type="dxa"/>
              <w:left w:w="20" w:type="dxa"/>
              <w:bottom w:w="0" w:type="dxa"/>
              <w:right w:w="20" w:type="dxa"/>
            </w:tcMar>
            <w:vAlign w:val="center"/>
            <w:hideMark/>
          </w:tcPr>
          <w:p w:rsidR="00000000" w:rsidRDefault="00FD7D3C">
            <w:pPr>
              <w:spacing w:after="100"/>
              <w:jc w:val="right"/>
              <w:rPr>
                <w:rFonts w:eastAsia="Times New Roman"/>
              </w:rPr>
            </w:pPr>
          </w:p>
        </w:tc>
        <w:tc>
          <w:tcPr>
            <w:tcW w:w="0" w:type="auto"/>
            <w:shd w:val="clear" w:color="auto" w:fill="CFF0FC"/>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shd w:val="clear" w:color="auto" w:fill="CFF0FC"/>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16,735 </w:t>
            </w:r>
          </w:p>
        </w:tc>
        <w:tc>
          <w:tcPr>
            <w:tcW w:w="0" w:type="auto"/>
            <w:shd w:val="clear" w:color="auto" w:fill="CFF0FC"/>
            <w:tcMar>
              <w:top w:w="30" w:type="dxa"/>
              <w:left w:w="0" w:type="dxa"/>
              <w:bottom w:w="30" w:type="dxa"/>
              <w:right w:w="20" w:type="dxa"/>
            </w:tcMar>
            <w:vAlign w:val="bottom"/>
            <w:hideMark/>
          </w:tcPr>
          <w:p w:rsidR="00000000" w:rsidRDefault="00FD7D3C">
            <w:pPr>
              <w:spacing w:after="100"/>
              <w:jc w:val="right"/>
              <w:rPr>
                <w:rFonts w:eastAsia="Times New Roman"/>
              </w:rPr>
            </w:pPr>
          </w:p>
        </w:tc>
      </w:tr>
    </w:tbl>
    <w:p w:rsidR="00000000" w:rsidRDefault="00FD7D3C">
      <w:pPr>
        <w:ind w:firstLine="720"/>
        <w:divId w:val="1232502178"/>
        <w:rPr>
          <w:rFonts w:eastAsia="Times New Roman"/>
        </w:rPr>
      </w:pPr>
      <w:r>
        <w:rPr>
          <w:rFonts w:eastAsia="Times New Roman"/>
          <w:color w:val="000000"/>
          <w:sz w:val="20"/>
          <w:szCs w:val="20"/>
        </w:rPr>
        <w:t>Aggregate intrinsic value represents the difference between the fair value of the underlying common stock and the exercise price as of December </w:t>
      </w:r>
      <w:r>
        <w:rPr>
          <w:rFonts w:eastAsia="Times New Roman"/>
          <w:color w:val="000000"/>
          <w:sz w:val="20"/>
          <w:szCs w:val="20"/>
        </w:rPr>
        <w:t>31, 2021 and 2020. The weighted-average grant date fair value of options granted during years ended December 31, 2021 and 2020 was $16.94 per share and $7.27 per share, respectively.</w:t>
      </w:r>
    </w:p>
    <w:p w:rsidR="00000000" w:rsidRDefault="00FD7D3C">
      <w:pPr>
        <w:divId w:val="1458180394"/>
        <w:rPr>
          <w:rFonts w:eastAsia="Times New Roman"/>
        </w:rPr>
      </w:pPr>
      <w:r>
        <w:rPr>
          <w:rFonts w:eastAsia="Times New Roman"/>
          <w:b/>
          <w:bCs/>
          <w:i/>
          <w:iCs/>
          <w:color w:val="000000"/>
          <w:sz w:val="20"/>
          <w:szCs w:val="20"/>
        </w:rPr>
        <w:t>2020 Employee Stock Purchase Plan</w:t>
      </w:r>
    </w:p>
    <w:p w:rsidR="00000000" w:rsidRDefault="00FD7D3C">
      <w:pPr>
        <w:ind w:firstLine="720"/>
        <w:divId w:val="110370059"/>
        <w:rPr>
          <w:rFonts w:eastAsia="Times New Roman"/>
        </w:rPr>
      </w:pPr>
      <w:r>
        <w:rPr>
          <w:rFonts w:eastAsia="Times New Roman"/>
          <w:color w:val="000000"/>
          <w:sz w:val="20"/>
          <w:szCs w:val="20"/>
        </w:rPr>
        <w:t xml:space="preserve">In June 2020, the Company adopted the Company's 2020 Employee Stock Purchase Plan (the "2020 ESPP"). The Company reserved 700,000 shares of common stock for future issuance under the plan. The 2020 ESPP provides that the </w:t>
      </w:r>
    </w:p>
    <w:p w:rsidR="00000000" w:rsidRDefault="00FD7D3C">
      <w:pPr>
        <w:jc w:val="center"/>
        <w:divId w:val="783306213"/>
        <w:rPr>
          <w:rFonts w:eastAsia="Times New Roman"/>
        </w:rPr>
      </w:pPr>
      <w:r>
        <w:rPr>
          <w:rFonts w:eastAsia="Times New Roman"/>
          <w:color w:val="000000"/>
          <w:sz w:val="20"/>
          <w:szCs w:val="20"/>
        </w:rPr>
        <w:t>129</w:t>
      </w:r>
    </w:p>
    <w:p w:rsidR="00000000" w:rsidRDefault="00FD7D3C">
      <w:pPr>
        <w:rPr>
          <w:rFonts w:eastAsia="Times New Roman"/>
        </w:rPr>
      </w:pPr>
      <w:r>
        <w:rPr>
          <w:rFonts w:eastAsia="Times New Roman"/>
        </w:rPr>
        <w:pict>
          <v:rect id="_x0000_i1182" style="width:0;height:1.5pt" o:hralign="center" o:hrstd="t" o:hr="t" fillcolor="#a0a0a0" stroked="f"/>
        </w:pict>
      </w:r>
    </w:p>
    <w:p w:rsidR="00000000" w:rsidRDefault="00FD7D3C">
      <w:pPr>
        <w:divId w:val="2055537134"/>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divId w:val="890963361"/>
        <w:rPr>
          <w:rFonts w:eastAsia="Times New Roman"/>
        </w:rPr>
      </w:pPr>
      <w:r>
        <w:rPr>
          <w:rFonts w:eastAsia="Times New Roman"/>
          <w:color w:val="000000"/>
          <w:sz w:val="20"/>
          <w:szCs w:val="20"/>
        </w:rPr>
        <w:t xml:space="preserve">number of shares reserved and available for issuance will automatically increase on January 1 of each calendar year, beginning January 1, 2021, </w:t>
      </w:r>
      <w:r>
        <w:rPr>
          <w:rFonts w:eastAsia="Times New Roman"/>
          <w:color w:val="000000"/>
          <w:sz w:val="20"/>
          <w:szCs w:val="20"/>
        </w:rPr>
        <w:t>by the least of (i) 1.0% of the total number of shares of common stock outstanding on December 31 of the preceding calendar year, (ii) 700,000 shares or (iii) such lesser amount as determined by the administrator of the 2020 ESPP, which is the compensation</w:t>
      </w:r>
      <w:r>
        <w:rPr>
          <w:rFonts w:eastAsia="Times New Roman"/>
          <w:color w:val="000000"/>
          <w:sz w:val="20"/>
          <w:szCs w:val="20"/>
        </w:rPr>
        <w:t xml:space="preserve"> committee of the Board of Directors of the Company.</w:t>
      </w:r>
    </w:p>
    <w:p w:rsidR="00000000" w:rsidRDefault="00FD7D3C">
      <w:pPr>
        <w:ind w:firstLine="720"/>
        <w:divId w:val="1810593106"/>
        <w:rPr>
          <w:rFonts w:eastAsia="Times New Roman"/>
        </w:rPr>
      </w:pPr>
      <w:r>
        <w:rPr>
          <w:rFonts w:eastAsia="Times New Roman"/>
          <w:color w:val="000000"/>
          <w:sz w:val="20"/>
          <w:szCs w:val="20"/>
        </w:rPr>
        <w:t>Under the 2020 ESPP, eligible employees may purchase shares of our common stock through payroll deductions that cannot exceed 15% of each employee’s salary. The 2020 ESPP provides for a six-month offerin</w:t>
      </w:r>
      <w:r>
        <w:rPr>
          <w:rFonts w:eastAsia="Times New Roman"/>
          <w:color w:val="000000"/>
          <w:sz w:val="20"/>
          <w:szCs w:val="20"/>
        </w:rPr>
        <w:t>g period. At the end of the purchase period, eligible employees are permitted to purchase shares of common stock at the lower of 85% of the fair market value at the beginning of the offering period or 85% of the fair market value at the end of the purchase</w:t>
      </w:r>
      <w:r>
        <w:rPr>
          <w:rFonts w:eastAsia="Times New Roman"/>
          <w:color w:val="000000"/>
          <w:sz w:val="20"/>
          <w:szCs w:val="20"/>
        </w:rPr>
        <w:t xml:space="preserve"> period, subject to tax limitations on the total value of the purchase. The 2020 ESPP is considered a compensatory plan, and the Company recorded $0.5 million, $0.5 million and nil in stock-based compensation expense for year ended December 31, 2021, 2020 </w:t>
      </w:r>
      <w:r>
        <w:rPr>
          <w:rFonts w:eastAsia="Times New Roman"/>
          <w:color w:val="000000"/>
          <w:sz w:val="20"/>
          <w:szCs w:val="20"/>
        </w:rPr>
        <w:t>and 2019. As of December 31, 2021, 86,902 shares of common stock were issued under the 2020 ESPP. The Company used Black-Scholes option pricing model to estimate stock-based compensation expense for the 2020 ESPP with the following assumptions:</w:t>
      </w:r>
    </w:p>
    <w:tbl>
      <w:tblPr>
        <w:tblW w:w="4878" w:type="pct"/>
        <w:jc w:val="center"/>
        <w:tblCellMar>
          <w:top w:w="15" w:type="dxa"/>
          <w:left w:w="15" w:type="dxa"/>
          <w:bottom w:w="15" w:type="dxa"/>
          <w:right w:w="15" w:type="dxa"/>
        </w:tblCellMar>
        <w:tblLook w:val="04A0" w:firstRow="1" w:lastRow="0" w:firstColumn="1" w:lastColumn="0" w:noHBand="0" w:noVBand="1"/>
      </w:tblPr>
      <w:tblGrid>
        <w:gridCol w:w="58"/>
        <w:gridCol w:w="4207"/>
        <w:gridCol w:w="37"/>
        <w:gridCol w:w="58"/>
        <w:gridCol w:w="1183"/>
        <w:gridCol w:w="39"/>
        <w:gridCol w:w="37"/>
        <w:gridCol w:w="37"/>
        <w:gridCol w:w="37"/>
        <w:gridCol w:w="46"/>
        <w:gridCol w:w="1055"/>
        <w:gridCol w:w="38"/>
        <w:gridCol w:w="36"/>
        <w:gridCol w:w="36"/>
        <w:gridCol w:w="36"/>
        <w:gridCol w:w="44"/>
        <w:gridCol w:w="1082"/>
        <w:gridCol w:w="37"/>
      </w:tblGrid>
      <w:tr w:rsidR="00000000">
        <w:trPr>
          <w:divId w:val="1381519505"/>
          <w:jc w:val="center"/>
        </w:trPr>
        <w:tc>
          <w:tcPr>
            <w:tcW w:w="50" w:type="pct"/>
            <w:vAlign w:val="center"/>
            <w:hideMark/>
          </w:tcPr>
          <w:p w:rsidR="00000000" w:rsidRDefault="00FD7D3C">
            <w:pPr>
              <w:ind w:firstLine="720"/>
              <w:rPr>
                <w:rFonts w:eastAsia="Times New Roman"/>
              </w:rPr>
            </w:pPr>
          </w:p>
        </w:tc>
        <w:tc>
          <w:tcPr>
            <w:tcW w:w="2608"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744"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28"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667"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28"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682"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r>
      <w:tr w:rsidR="00000000">
        <w:trPr>
          <w:divId w:val="1381519505"/>
          <w:jc w:val="center"/>
        </w:trPr>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Year Ended December 31,</w:t>
            </w:r>
          </w:p>
        </w:tc>
      </w:tr>
      <w:tr w:rsidR="00000000">
        <w:trPr>
          <w:divId w:val="1381519505"/>
          <w:jc w:val="center"/>
        </w:trPr>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2019</w:t>
            </w:r>
          </w:p>
        </w:tc>
      </w:tr>
      <w:tr w:rsidR="00000000">
        <w:trPr>
          <w:divId w:val="1381519505"/>
          <w:jc w:val="center"/>
        </w:trPr>
        <w:tc>
          <w:tcPr>
            <w:tcW w:w="0" w:type="auto"/>
            <w:gridSpan w:val="3"/>
            <w:shd w:val="clear" w:color="auto" w:fill="CFF0FC"/>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Risk-free interest rate</w:t>
            </w:r>
          </w:p>
        </w:tc>
        <w:tc>
          <w:tcPr>
            <w:tcW w:w="0" w:type="auto"/>
            <w:gridSpan w:val="3"/>
            <w:shd w:val="clear" w:color="auto" w:fill="CCEEFF"/>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color w:val="000000"/>
                <w:sz w:val="20"/>
                <w:szCs w:val="20"/>
              </w:rPr>
              <w:t>0.06% - 0.07%</w:t>
            </w:r>
          </w:p>
        </w:tc>
        <w:tc>
          <w:tcPr>
            <w:tcW w:w="0" w:type="auto"/>
            <w:gridSpan w:val="3"/>
            <w:shd w:val="clear" w:color="auto" w:fill="CFF0FC"/>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top w:val="single" w:sz="8" w:space="0" w:color="000000"/>
            </w:tcBorders>
            <w:shd w:val="clear" w:color="auto" w:fill="CFF0FC"/>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color w:val="000000"/>
                <w:sz w:val="20"/>
                <w:szCs w:val="20"/>
              </w:rPr>
              <w:t>0.11%</w:t>
            </w:r>
          </w:p>
        </w:tc>
        <w:tc>
          <w:tcPr>
            <w:tcW w:w="0" w:type="auto"/>
            <w:gridSpan w:val="3"/>
            <w:shd w:val="clear" w:color="auto" w:fill="CFF0FC"/>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color w:val="000000"/>
                <w:sz w:val="16"/>
                <w:szCs w:val="16"/>
              </w:rPr>
              <w:t>—</w:t>
            </w:r>
          </w:p>
        </w:tc>
      </w:tr>
      <w:tr w:rsidR="00000000">
        <w:trPr>
          <w:divId w:val="1381519505"/>
          <w:jc w:val="center"/>
        </w:trPr>
        <w:tc>
          <w:tcPr>
            <w:tcW w:w="0" w:type="auto"/>
            <w:gridSpan w:val="3"/>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Expected term of options (in years)</w:t>
            </w:r>
          </w:p>
        </w:tc>
        <w:tc>
          <w:tcPr>
            <w:tcW w:w="0" w:type="auto"/>
            <w:gridSpan w:val="3"/>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color w:val="000000"/>
                <w:sz w:val="20"/>
                <w:szCs w:val="20"/>
              </w:rPr>
              <w:t>0.50</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color w:val="000000"/>
                <w:sz w:val="20"/>
                <w:szCs w:val="20"/>
              </w:rPr>
              <w:t>0.58</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color w:val="000000"/>
                <w:sz w:val="16"/>
                <w:szCs w:val="16"/>
              </w:rPr>
              <w:t>—</w:t>
            </w:r>
          </w:p>
        </w:tc>
      </w:tr>
      <w:tr w:rsidR="00000000">
        <w:trPr>
          <w:divId w:val="1381519505"/>
          <w:jc w:val="center"/>
        </w:trPr>
        <w:tc>
          <w:tcPr>
            <w:tcW w:w="0" w:type="auto"/>
            <w:gridSpan w:val="3"/>
            <w:shd w:val="clear" w:color="auto" w:fill="CFF0FC"/>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Expected stock price volatility</w:t>
            </w:r>
          </w:p>
        </w:tc>
        <w:tc>
          <w:tcPr>
            <w:tcW w:w="0" w:type="auto"/>
            <w:gridSpan w:val="3"/>
            <w:shd w:val="clear" w:color="auto" w:fill="CCEEFF"/>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color w:val="000000"/>
                <w:sz w:val="20"/>
                <w:szCs w:val="20"/>
              </w:rPr>
              <w:t>67.16% - 89.51%</w:t>
            </w:r>
          </w:p>
        </w:tc>
        <w:tc>
          <w:tcPr>
            <w:tcW w:w="0" w:type="auto"/>
            <w:gridSpan w:val="3"/>
            <w:shd w:val="clear" w:color="auto" w:fill="CFF0FC"/>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color w:val="000000"/>
                <w:sz w:val="20"/>
                <w:szCs w:val="20"/>
              </w:rPr>
              <w:t>83.72%</w:t>
            </w: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color w:val="000000"/>
                <w:sz w:val="16"/>
                <w:szCs w:val="16"/>
              </w:rPr>
              <w:t>—</w:t>
            </w:r>
          </w:p>
        </w:tc>
      </w:tr>
      <w:tr w:rsidR="00000000">
        <w:trPr>
          <w:divId w:val="1381519505"/>
          <w:jc w:val="center"/>
        </w:trPr>
        <w:tc>
          <w:tcPr>
            <w:tcW w:w="0" w:type="auto"/>
            <w:gridSpan w:val="3"/>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Expected dividends</w:t>
            </w:r>
          </w:p>
        </w:tc>
        <w:tc>
          <w:tcPr>
            <w:tcW w:w="0" w:type="auto"/>
            <w:gridSpan w:val="3"/>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color w:val="000000"/>
                <w:sz w:val="16"/>
                <w:szCs w:val="16"/>
              </w:rPr>
              <w:t>—</w:t>
            </w:r>
          </w:p>
        </w:tc>
      </w:tr>
    </w:tbl>
    <w:p w:rsidR="00000000" w:rsidRDefault="00FD7D3C">
      <w:pPr>
        <w:divId w:val="1875578137"/>
        <w:rPr>
          <w:rFonts w:eastAsia="Times New Roman"/>
        </w:rPr>
      </w:pPr>
      <w:r>
        <w:rPr>
          <w:rFonts w:eastAsia="Times New Roman"/>
          <w:b/>
          <w:bCs/>
          <w:i/>
          <w:iCs/>
          <w:color w:val="000000"/>
          <w:sz w:val="20"/>
          <w:szCs w:val="20"/>
        </w:rPr>
        <w:t>Stock-Based Compensation Expense</w:t>
      </w:r>
    </w:p>
    <w:p w:rsidR="00000000" w:rsidRDefault="00FD7D3C">
      <w:pPr>
        <w:ind w:firstLine="720"/>
        <w:divId w:val="2011444318"/>
        <w:rPr>
          <w:rFonts w:eastAsia="Times New Roman"/>
        </w:rPr>
      </w:pPr>
      <w:r>
        <w:rPr>
          <w:rFonts w:eastAsia="Times New Roman"/>
          <w:color w:val="000000"/>
          <w:sz w:val="20"/>
          <w:szCs w:val="20"/>
        </w:rPr>
        <w:t>The following table presents the classification of stock-based compensation expense during the years ended December 31, 2021 and 2020 (in thousands):</w:t>
      </w:r>
    </w:p>
    <w:tbl>
      <w:tblPr>
        <w:tblW w:w="4954" w:type="pct"/>
        <w:jc w:val="center"/>
        <w:tblCellMar>
          <w:top w:w="15" w:type="dxa"/>
          <w:left w:w="15" w:type="dxa"/>
          <w:bottom w:w="15" w:type="dxa"/>
          <w:right w:w="15" w:type="dxa"/>
        </w:tblCellMar>
        <w:tblLook w:val="04A0" w:firstRow="1" w:lastRow="0" w:firstColumn="1" w:lastColumn="0" w:noHBand="0" w:noVBand="1"/>
      </w:tblPr>
      <w:tblGrid>
        <w:gridCol w:w="39"/>
        <w:gridCol w:w="4677"/>
        <w:gridCol w:w="38"/>
        <w:gridCol w:w="120"/>
        <w:gridCol w:w="956"/>
        <w:gridCol w:w="36"/>
        <w:gridCol w:w="36"/>
        <w:gridCol w:w="36"/>
        <w:gridCol w:w="36"/>
        <w:gridCol w:w="120"/>
        <w:gridCol w:w="918"/>
        <w:gridCol w:w="36"/>
        <w:gridCol w:w="36"/>
        <w:gridCol w:w="36"/>
        <w:gridCol w:w="36"/>
        <w:gridCol w:w="120"/>
        <w:gridCol w:w="918"/>
        <w:gridCol w:w="36"/>
      </w:tblGrid>
      <w:tr w:rsidR="00000000">
        <w:trPr>
          <w:divId w:val="620889009"/>
          <w:jc w:val="center"/>
        </w:trPr>
        <w:tc>
          <w:tcPr>
            <w:tcW w:w="50" w:type="pct"/>
            <w:vAlign w:val="center"/>
            <w:hideMark/>
          </w:tcPr>
          <w:p w:rsidR="00000000" w:rsidRDefault="00FD7D3C">
            <w:pPr>
              <w:ind w:firstLine="720"/>
              <w:rPr>
                <w:rFonts w:eastAsia="Times New Roman"/>
              </w:rPr>
            </w:pPr>
          </w:p>
        </w:tc>
        <w:tc>
          <w:tcPr>
            <w:tcW w:w="2873"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610"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28"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610"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28"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610"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r>
      <w:tr w:rsidR="00000000">
        <w:trPr>
          <w:divId w:val="620889009"/>
          <w:jc w:val="center"/>
        </w:trPr>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Year Ended December 31,</w:t>
            </w:r>
          </w:p>
        </w:tc>
      </w:tr>
      <w:tr w:rsidR="00000000">
        <w:trPr>
          <w:divId w:val="620889009"/>
          <w:jc w:val="center"/>
        </w:trPr>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2019</w:t>
            </w:r>
          </w:p>
        </w:tc>
      </w:tr>
      <w:tr w:rsidR="00000000">
        <w:trPr>
          <w:divId w:val="620889009"/>
          <w:jc w:val="center"/>
        </w:trPr>
        <w:tc>
          <w:tcPr>
            <w:tcW w:w="0" w:type="auto"/>
            <w:gridSpan w:val="3"/>
            <w:shd w:val="clear" w:color="auto" w:fill="CFF0FC"/>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Research and development expenses</w:t>
            </w: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3,928 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1,719 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584 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620889009"/>
          <w:jc w:val="center"/>
        </w:trPr>
        <w:tc>
          <w:tcPr>
            <w:tcW w:w="0" w:type="auto"/>
            <w:gridSpan w:val="3"/>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General and administrative expenses</w:t>
            </w:r>
          </w:p>
        </w:tc>
        <w:tc>
          <w:tcPr>
            <w:tcW w:w="0" w:type="auto"/>
            <w:gridSpan w:val="2"/>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6,509 </w:t>
            </w:r>
          </w:p>
        </w:tc>
        <w:tc>
          <w:tcPr>
            <w:tcW w:w="0" w:type="auto"/>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2,176 </w:t>
            </w:r>
          </w:p>
        </w:tc>
        <w:tc>
          <w:tcPr>
            <w:tcW w:w="0" w:type="auto"/>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1,245 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620889009"/>
          <w:jc w:val="center"/>
        </w:trPr>
        <w:tc>
          <w:tcPr>
            <w:tcW w:w="0" w:type="auto"/>
            <w:gridSpan w:val="3"/>
            <w:shd w:val="clear" w:color="auto" w:fill="CFF0FC"/>
            <w:tcMar>
              <w:top w:w="30" w:type="dxa"/>
              <w:left w:w="245" w:type="dxa"/>
              <w:bottom w:w="30" w:type="dxa"/>
              <w:right w:w="20" w:type="dxa"/>
            </w:tcMar>
            <w:hideMark/>
          </w:tcPr>
          <w:p w:rsidR="00000000" w:rsidRDefault="00FD7D3C">
            <w:pPr>
              <w:spacing w:after="100"/>
              <w:rPr>
                <w:rFonts w:eastAsia="Times New Roman"/>
              </w:rPr>
            </w:pPr>
            <w:r>
              <w:rPr>
                <w:rFonts w:eastAsia="Times New Roman"/>
                <w:color w:val="000000"/>
                <w:sz w:val="20"/>
                <w:szCs w:val="20"/>
              </w:rPr>
              <w:t>Total stock-based compensation expense</w:t>
            </w:r>
          </w:p>
        </w:tc>
        <w:tc>
          <w:tcPr>
            <w:tcW w:w="0" w:type="auto"/>
            <w:tcBorders>
              <w:top w:val="single" w:sz="8" w:space="0" w:color="000000"/>
              <w:bottom w:val="double" w:sz="6" w:space="0" w:color="000000"/>
            </w:tcBorders>
            <w:shd w:val="clear" w:color="auto" w:fill="CFF0FC"/>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FF0FC"/>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10,437 </w:t>
            </w:r>
          </w:p>
        </w:tc>
        <w:tc>
          <w:tcPr>
            <w:tcW w:w="0" w:type="auto"/>
            <w:tcBorders>
              <w:top w:val="single" w:sz="8" w:space="0" w:color="000000"/>
              <w:bottom w:val="double" w:sz="6" w:space="0" w:color="000000"/>
            </w:tcBorders>
            <w:shd w:val="clear" w:color="auto" w:fill="CFF0FC"/>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FF0FC"/>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FF0FC"/>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3,895 </w:t>
            </w:r>
          </w:p>
        </w:tc>
        <w:tc>
          <w:tcPr>
            <w:tcW w:w="0" w:type="auto"/>
            <w:tcBorders>
              <w:top w:val="single" w:sz="8" w:space="0" w:color="000000"/>
              <w:bottom w:val="double" w:sz="6" w:space="0" w:color="000000"/>
            </w:tcBorders>
            <w:shd w:val="clear" w:color="auto" w:fill="CFF0FC"/>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1,829 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r>
    </w:tbl>
    <w:p w:rsidR="00000000" w:rsidRDefault="00FD7D3C">
      <w:pPr>
        <w:ind w:firstLine="720"/>
        <w:divId w:val="430012973"/>
        <w:rPr>
          <w:rFonts w:eastAsia="Times New Roman"/>
        </w:rPr>
      </w:pPr>
      <w:r>
        <w:rPr>
          <w:rFonts w:eastAsia="Times New Roman"/>
          <w:color w:val="000000"/>
          <w:sz w:val="20"/>
          <w:szCs w:val="20"/>
        </w:rPr>
        <w:t xml:space="preserve">As of December 31, 2021, there was $37,000 </w:t>
      </w:r>
      <w:r>
        <w:rPr>
          <w:rFonts w:eastAsia="Times New Roman"/>
          <w:color w:val="000000"/>
          <w:sz w:val="20"/>
          <w:szCs w:val="20"/>
        </w:rPr>
        <w:t>of unrecognized compensation costs that is expected to be recognized over the weighted-average periods of 0.38 years related to restricted stock awards. As of December 31, 2021, there was $24.2 million of unrecognized compensation costs that is expected to</w:t>
      </w:r>
      <w:r>
        <w:rPr>
          <w:rFonts w:eastAsia="Times New Roman"/>
          <w:color w:val="000000"/>
          <w:sz w:val="20"/>
          <w:szCs w:val="20"/>
        </w:rPr>
        <w:t xml:space="preserve"> be recognized over the weighted-average periods of 2.5 years related to stock options.</w:t>
      </w:r>
    </w:p>
    <w:p w:rsidR="00000000" w:rsidRDefault="00FD7D3C">
      <w:pPr>
        <w:divId w:val="1173909350"/>
        <w:rPr>
          <w:rFonts w:eastAsia="Times New Roman"/>
        </w:rPr>
      </w:pPr>
    </w:p>
    <w:p w:rsidR="00000000" w:rsidRDefault="00FD7D3C">
      <w:pPr>
        <w:ind w:hanging="720"/>
        <w:divId w:val="928855904"/>
        <w:rPr>
          <w:rFonts w:eastAsia="Times New Roman"/>
        </w:rPr>
      </w:pPr>
      <w:r>
        <w:rPr>
          <w:rFonts w:eastAsia="Times New Roman"/>
          <w:b/>
          <w:bCs/>
          <w:color w:val="000000"/>
          <w:sz w:val="20"/>
          <w:szCs w:val="20"/>
        </w:rPr>
        <w:t>13.    Income Taxes</w:t>
      </w:r>
    </w:p>
    <w:p w:rsidR="00000000" w:rsidRDefault="00FD7D3C">
      <w:pPr>
        <w:ind w:firstLine="720"/>
        <w:divId w:val="102237729"/>
        <w:rPr>
          <w:rFonts w:eastAsia="Times New Roman"/>
        </w:rPr>
      </w:pPr>
      <w:r>
        <w:rPr>
          <w:rFonts w:eastAsia="Times New Roman"/>
          <w:color w:val="000000"/>
          <w:sz w:val="20"/>
          <w:szCs w:val="20"/>
        </w:rPr>
        <w:t>The Company had a pre-tax U.S. book loss of $97.3 million, $41.5 million, and $0.6 million for the years ended December 31, 2021, 2020 and 2019 re</w:t>
      </w:r>
      <w:r>
        <w:rPr>
          <w:rFonts w:eastAsia="Times New Roman"/>
          <w:color w:val="000000"/>
          <w:sz w:val="20"/>
          <w:szCs w:val="20"/>
        </w:rPr>
        <w:t>spectively. During the years ended December 31, 2021, 2020 and 2019, the Company did not record an income tax provision. The Company will continue to maintain a 100% valuation allowance on total deferred tax assets. The Company believes it is more likely t</w:t>
      </w:r>
      <w:r>
        <w:rPr>
          <w:rFonts w:eastAsia="Times New Roman"/>
          <w:color w:val="000000"/>
          <w:sz w:val="20"/>
          <w:szCs w:val="20"/>
        </w:rPr>
        <w:t>han not that the related deferred tax assets will not be realized.</w:t>
      </w:r>
    </w:p>
    <w:p w:rsidR="00000000" w:rsidRDefault="00FD7D3C">
      <w:pPr>
        <w:jc w:val="center"/>
        <w:divId w:val="521867862"/>
        <w:rPr>
          <w:rFonts w:eastAsia="Times New Roman"/>
        </w:rPr>
      </w:pPr>
      <w:r>
        <w:rPr>
          <w:rFonts w:eastAsia="Times New Roman"/>
          <w:color w:val="000000"/>
          <w:sz w:val="20"/>
          <w:szCs w:val="20"/>
        </w:rPr>
        <w:t>130</w:t>
      </w:r>
    </w:p>
    <w:p w:rsidR="00000000" w:rsidRDefault="00FD7D3C">
      <w:pPr>
        <w:rPr>
          <w:rFonts w:eastAsia="Times New Roman"/>
        </w:rPr>
      </w:pPr>
      <w:r>
        <w:rPr>
          <w:rFonts w:eastAsia="Times New Roman"/>
        </w:rPr>
        <w:pict>
          <v:rect id="_x0000_i1183" style="width:0;height:1.5pt" o:hralign="center" o:hrstd="t" o:hr="t" fillcolor="#a0a0a0" stroked="f"/>
        </w:pict>
      </w:r>
    </w:p>
    <w:p w:rsidR="00000000" w:rsidRDefault="00FD7D3C">
      <w:pPr>
        <w:divId w:val="948387975"/>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ind w:firstLine="720"/>
        <w:divId w:val="1350446161"/>
        <w:rPr>
          <w:rFonts w:eastAsia="Times New Roman"/>
        </w:rPr>
      </w:pPr>
      <w:r>
        <w:rPr>
          <w:rFonts w:eastAsia="Times New Roman"/>
          <w:color w:val="000000"/>
          <w:sz w:val="20"/>
          <w:szCs w:val="20"/>
          <w:shd w:val="clear" w:color="auto" w:fill="FFFFFF"/>
        </w:rPr>
        <w:t>A reconciliation of the U.S. federal statutory income tax rate to the Co</w:t>
      </w:r>
      <w:r>
        <w:rPr>
          <w:rFonts w:eastAsia="Times New Roman"/>
          <w:color w:val="000000"/>
          <w:sz w:val="20"/>
          <w:szCs w:val="20"/>
          <w:shd w:val="clear" w:color="auto" w:fill="FFFFFF"/>
        </w:rPr>
        <w:t>mpany’s effective income tax rate is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4753"/>
        <w:gridCol w:w="37"/>
        <w:gridCol w:w="39"/>
        <w:gridCol w:w="911"/>
        <w:gridCol w:w="188"/>
        <w:gridCol w:w="36"/>
        <w:gridCol w:w="36"/>
        <w:gridCol w:w="36"/>
        <w:gridCol w:w="39"/>
        <w:gridCol w:w="853"/>
        <w:gridCol w:w="188"/>
        <w:gridCol w:w="36"/>
        <w:gridCol w:w="36"/>
        <w:gridCol w:w="36"/>
        <w:gridCol w:w="48"/>
        <w:gridCol w:w="808"/>
        <w:gridCol w:w="188"/>
      </w:tblGrid>
      <w:tr w:rsidR="00000000">
        <w:trPr>
          <w:divId w:val="318272393"/>
        </w:trPr>
        <w:tc>
          <w:tcPr>
            <w:tcW w:w="50" w:type="pct"/>
            <w:vAlign w:val="center"/>
            <w:hideMark/>
          </w:tcPr>
          <w:p w:rsidR="00000000" w:rsidRDefault="00FD7D3C">
            <w:pPr>
              <w:ind w:firstLine="720"/>
              <w:rPr>
                <w:rFonts w:eastAsia="Times New Roman"/>
              </w:rPr>
            </w:pPr>
          </w:p>
        </w:tc>
        <w:tc>
          <w:tcPr>
            <w:tcW w:w="2914"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604"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27"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604"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27"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581"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r>
      <w:tr w:rsidR="00000000">
        <w:trPr>
          <w:divId w:val="318272393"/>
        </w:trPr>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Year Ended December 31,</w:t>
            </w:r>
          </w:p>
        </w:tc>
      </w:tr>
      <w:tr w:rsidR="00000000">
        <w:trPr>
          <w:divId w:val="318272393"/>
        </w:trPr>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2019</w:t>
            </w:r>
          </w:p>
        </w:tc>
      </w:tr>
      <w:tr w:rsidR="00000000">
        <w:trPr>
          <w:divId w:val="318272393"/>
        </w:trPr>
        <w:tc>
          <w:tcPr>
            <w:tcW w:w="0" w:type="auto"/>
            <w:gridSpan w:val="3"/>
            <w:shd w:val="clear" w:color="auto" w:fill="CCEEFF"/>
            <w:tcMar>
              <w:top w:w="30" w:type="dxa"/>
              <w:left w:w="20" w:type="dxa"/>
              <w:bottom w:w="30" w:type="dxa"/>
              <w:right w:w="20" w:type="dxa"/>
            </w:tcMar>
            <w:vAlign w:val="center"/>
            <w:hideMark/>
          </w:tcPr>
          <w:p w:rsidR="00000000" w:rsidRDefault="00FD7D3C">
            <w:pPr>
              <w:spacing w:after="100"/>
              <w:rPr>
                <w:rFonts w:eastAsia="Times New Roman"/>
              </w:rPr>
            </w:pPr>
            <w:r>
              <w:rPr>
                <w:rFonts w:eastAsia="Times New Roman"/>
                <w:color w:val="000000"/>
                <w:sz w:val="20"/>
                <w:szCs w:val="20"/>
              </w:rPr>
              <w:t>Income tax computed at federal statutory rate</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FD7D3C">
            <w:pPr>
              <w:spacing w:after="100"/>
              <w:jc w:val="right"/>
              <w:rPr>
                <w:rFonts w:eastAsia="Times New Roman"/>
              </w:rPr>
            </w:pPr>
            <w:r>
              <w:rPr>
                <w:rFonts w:eastAsia="Times New Roman"/>
                <w:color w:val="000000"/>
                <w:sz w:val="20"/>
                <w:szCs w:val="20"/>
              </w:rPr>
              <w:t>21.0 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FD7D3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r>
              <w:rPr>
                <w:rFonts w:eastAsia="Times New Roman"/>
                <w:color w:val="000000"/>
                <w:sz w:val="20"/>
                <w:szCs w:val="20"/>
              </w:rPr>
              <w:t>%</w:t>
            </w:r>
          </w:p>
        </w:tc>
      </w:tr>
      <w:tr w:rsidR="00000000">
        <w:trPr>
          <w:divId w:val="318272393"/>
        </w:trPr>
        <w:tc>
          <w:tcPr>
            <w:tcW w:w="0" w:type="auto"/>
            <w:gridSpan w:val="3"/>
            <w:shd w:val="clear" w:color="auto" w:fill="FFFFFF"/>
            <w:tcMar>
              <w:top w:w="30" w:type="dxa"/>
              <w:left w:w="20" w:type="dxa"/>
              <w:bottom w:w="30" w:type="dxa"/>
              <w:right w:w="20" w:type="dxa"/>
            </w:tcMar>
            <w:vAlign w:val="center"/>
            <w:hideMark/>
          </w:tcPr>
          <w:p w:rsidR="00000000" w:rsidRDefault="00FD7D3C">
            <w:pPr>
              <w:spacing w:after="100"/>
              <w:rPr>
                <w:rFonts w:eastAsia="Times New Roman"/>
              </w:rPr>
            </w:pPr>
            <w:r>
              <w:rPr>
                <w:rFonts w:eastAsia="Times New Roman"/>
                <w:color w:val="000000"/>
                <w:sz w:val="20"/>
                <w:szCs w:val="20"/>
              </w:rPr>
              <w:t>State taxes, net of federal tax benefit</w:t>
            </w: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7.7 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7.4 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r>
              <w:rPr>
                <w:rFonts w:eastAsia="Times New Roman"/>
                <w:color w:val="000000"/>
                <w:sz w:val="20"/>
                <w:szCs w:val="20"/>
              </w:rPr>
              <w:t>%</w:t>
            </w:r>
          </w:p>
        </w:tc>
      </w:tr>
      <w:tr w:rsidR="00000000">
        <w:trPr>
          <w:divId w:val="318272393"/>
        </w:trPr>
        <w:tc>
          <w:tcPr>
            <w:tcW w:w="0" w:type="auto"/>
            <w:gridSpan w:val="3"/>
            <w:shd w:val="clear" w:color="auto" w:fill="CCEEFF"/>
            <w:tcMar>
              <w:top w:w="30" w:type="dxa"/>
              <w:left w:w="20" w:type="dxa"/>
              <w:bottom w:w="30" w:type="dxa"/>
              <w:right w:w="20" w:type="dxa"/>
            </w:tcMar>
            <w:vAlign w:val="center"/>
            <w:hideMark/>
          </w:tcPr>
          <w:p w:rsidR="00000000" w:rsidRDefault="00FD7D3C">
            <w:pPr>
              <w:spacing w:after="100"/>
              <w:rPr>
                <w:rFonts w:eastAsia="Times New Roman"/>
              </w:rPr>
            </w:pPr>
            <w:r>
              <w:rPr>
                <w:rFonts w:eastAsia="Times New Roman"/>
                <w:color w:val="000000"/>
                <w:sz w:val="20"/>
                <w:szCs w:val="20"/>
              </w:rPr>
              <w:t>General business credit—federal</w:t>
            </w: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5.3 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5.3 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295.9 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r>
              <w:rPr>
                <w:rFonts w:eastAsia="Times New Roman"/>
                <w:color w:val="000000"/>
                <w:sz w:val="20"/>
                <w:szCs w:val="20"/>
              </w:rPr>
              <w:t>%</w:t>
            </w:r>
          </w:p>
        </w:tc>
      </w:tr>
      <w:tr w:rsidR="00000000">
        <w:trPr>
          <w:divId w:val="318272393"/>
        </w:trPr>
        <w:tc>
          <w:tcPr>
            <w:tcW w:w="0" w:type="auto"/>
            <w:gridSpan w:val="3"/>
            <w:shd w:val="clear" w:color="auto" w:fill="FFFFFF"/>
            <w:tcMar>
              <w:top w:w="30" w:type="dxa"/>
              <w:left w:w="20" w:type="dxa"/>
              <w:bottom w:w="30" w:type="dxa"/>
              <w:right w:w="20" w:type="dxa"/>
            </w:tcMar>
            <w:vAlign w:val="center"/>
            <w:hideMark/>
          </w:tcPr>
          <w:p w:rsidR="00000000" w:rsidRDefault="00FD7D3C">
            <w:pPr>
              <w:spacing w:after="100"/>
              <w:rPr>
                <w:rFonts w:eastAsia="Times New Roman"/>
              </w:rPr>
            </w:pPr>
            <w:r>
              <w:rPr>
                <w:rFonts w:eastAsia="Times New Roman"/>
                <w:color w:val="000000"/>
                <w:sz w:val="20"/>
                <w:szCs w:val="20"/>
              </w:rPr>
              <w:t>Stock-based compensation</w:t>
            </w: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(0.7)</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(1.0)</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(50.0)</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r>
              <w:rPr>
                <w:rFonts w:eastAsia="Times New Roman"/>
                <w:color w:val="000000"/>
                <w:sz w:val="20"/>
                <w:szCs w:val="20"/>
              </w:rPr>
              <w:t>%</w:t>
            </w:r>
          </w:p>
        </w:tc>
      </w:tr>
      <w:tr w:rsidR="00000000">
        <w:trPr>
          <w:divId w:val="318272393"/>
        </w:trPr>
        <w:tc>
          <w:tcPr>
            <w:tcW w:w="0" w:type="auto"/>
            <w:gridSpan w:val="3"/>
            <w:shd w:val="clear" w:color="auto" w:fill="CCEEFF"/>
            <w:tcMar>
              <w:top w:w="30" w:type="dxa"/>
              <w:left w:w="20" w:type="dxa"/>
              <w:bottom w:w="30" w:type="dxa"/>
              <w:right w:w="20" w:type="dxa"/>
            </w:tcMar>
            <w:vAlign w:val="center"/>
            <w:hideMark/>
          </w:tcPr>
          <w:p w:rsidR="00000000" w:rsidRDefault="00FD7D3C">
            <w:pPr>
              <w:spacing w:after="100"/>
              <w:rPr>
                <w:rFonts w:eastAsia="Times New Roman"/>
              </w:rPr>
            </w:pPr>
            <w:r>
              <w:rPr>
                <w:rFonts w:eastAsia="Times New Roman"/>
                <w:color w:val="000000"/>
                <w:sz w:val="20"/>
                <w:szCs w:val="20"/>
              </w:rPr>
              <w:t>Other permanent differences</w:t>
            </w: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(0.1)</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(0.1)</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(2.4)</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r>
              <w:rPr>
                <w:rFonts w:eastAsia="Times New Roman"/>
                <w:color w:val="000000"/>
                <w:sz w:val="20"/>
                <w:szCs w:val="20"/>
              </w:rPr>
              <w:t>%</w:t>
            </w:r>
          </w:p>
        </w:tc>
      </w:tr>
      <w:tr w:rsidR="00000000">
        <w:trPr>
          <w:divId w:val="318272393"/>
        </w:trPr>
        <w:tc>
          <w:tcPr>
            <w:tcW w:w="0" w:type="auto"/>
            <w:gridSpan w:val="3"/>
            <w:shd w:val="clear" w:color="auto" w:fill="FFFFFF"/>
            <w:tcMar>
              <w:top w:w="30" w:type="dxa"/>
              <w:left w:w="20" w:type="dxa"/>
              <w:bottom w:w="30" w:type="dxa"/>
              <w:right w:w="20" w:type="dxa"/>
            </w:tcMar>
            <w:vAlign w:val="center"/>
            <w:hideMark/>
          </w:tcPr>
          <w:p w:rsidR="00000000" w:rsidRDefault="00FD7D3C">
            <w:pPr>
              <w:spacing w:after="100"/>
              <w:rPr>
                <w:rFonts w:eastAsia="Times New Roman"/>
              </w:rPr>
            </w:pPr>
            <w:r>
              <w:rPr>
                <w:rFonts w:eastAsia="Times New Roman"/>
                <w:color w:val="000000"/>
                <w:sz w:val="20"/>
                <w:szCs w:val="20"/>
              </w:rPr>
              <w:t>Change in valuation allowance</w:t>
            </w: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(33.2)</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(32.6)</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(267.7)</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r>
              <w:rPr>
                <w:rFonts w:eastAsia="Times New Roman"/>
                <w:color w:val="000000"/>
                <w:sz w:val="20"/>
                <w:szCs w:val="20"/>
              </w:rPr>
              <w:t>%</w:t>
            </w:r>
          </w:p>
        </w:tc>
      </w:tr>
      <w:tr w:rsidR="00000000">
        <w:trPr>
          <w:divId w:val="318272393"/>
        </w:trPr>
        <w:tc>
          <w:tcPr>
            <w:tcW w:w="0" w:type="auto"/>
            <w:gridSpan w:val="3"/>
            <w:shd w:val="clear" w:color="auto" w:fill="CCEEFF"/>
            <w:tcMar>
              <w:top w:w="30" w:type="dxa"/>
              <w:left w:w="245" w:type="dxa"/>
              <w:bottom w:w="30" w:type="dxa"/>
              <w:right w:w="20" w:type="dxa"/>
            </w:tcMar>
            <w:vAlign w:val="center"/>
            <w:hideMark/>
          </w:tcPr>
          <w:p w:rsidR="00000000" w:rsidRDefault="00FD7D3C">
            <w:pPr>
              <w:spacing w:after="100"/>
              <w:rPr>
                <w:rFonts w:eastAsia="Times New Roman"/>
              </w:rPr>
            </w:pPr>
            <w:r>
              <w:rPr>
                <w:rFonts w:eastAsia="Times New Roman"/>
                <w:color w:val="000000"/>
                <w:sz w:val="20"/>
                <w:szCs w:val="20"/>
              </w:rPr>
              <w:t>Effective income tax rate</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(0.5)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r>
              <w:rPr>
                <w:rFonts w:eastAsia="Times New Roman"/>
                <w:color w:val="000000"/>
                <w:sz w:val="20"/>
                <w:szCs w:val="20"/>
              </w:rPr>
              <w:t>%</w:t>
            </w:r>
          </w:p>
        </w:tc>
      </w:tr>
    </w:tbl>
    <w:p w:rsidR="00000000" w:rsidRDefault="00FD7D3C">
      <w:pPr>
        <w:ind w:firstLine="720"/>
        <w:divId w:val="2050714349"/>
        <w:rPr>
          <w:rFonts w:eastAsia="Times New Roman"/>
        </w:rPr>
      </w:pPr>
      <w:r>
        <w:rPr>
          <w:rFonts w:eastAsia="Times New Roman"/>
          <w:color w:val="000000"/>
          <w:sz w:val="20"/>
          <w:szCs w:val="20"/>
        </w:rPr>
        <w:t>Net deferred tax assets and liabilities consisted of the following (in thousands):</w:t>
      </w:r>
    </w:p>
    <w:tbl>
      <w:tblPr>
        <w:tblW w:w="5000" w:type="pct"/>
        <w:tblCellMar>
          <w:top w:w="15" w:type="dxa"/>
          <w:left w:w="15" w:type="dxa"/>
          <w:bottom w:w="15" w:type="dxa"/>
          <w:right w:w="15" w:type="dxa"/>
        </w:tblCellMar>
        <w:tblLook w:val="04A0" w:firstRow="1" w:lastRow="0" w:firstColumn="1" w:lastColumn="0" w:noHBand="0" w:noVBand="1"/>
      </w:tblPr>
      <w:tblGrid>
        <w:gridCol w:w="40"/>
        <w:gridCol w:w="5919"/>
        <w:gridCol w:w="39"/>
        <w:gridCol w:w="120"/>
        <w:gridCol w:w="960"/>
        <w:gridCol w:w="36"/>
        <w:gridCol w:w="36"/>
        <w:gridCol w:w="36"/>
        <w:gridCol w:w="36"/>
        <w:gridCol w:w="120"/>
        <w:gridCol w:w="928"/>
        <w:gridCol w:w="36"/>
      </w:tblGrid>
      <w:tr w:rsidR="00000000">
        <w:trPr>
          <w:divId w:val="1490053159"/>
        </w:trPr>
        <w:tc>
          <w:tcPr>
            <w:tcW w:w="50" w:type="pct"/>
            <w:vAlign w:val="center"/>
            <w:hideMark/>
          </w:tcPr>
          <w:p w:rsidR="00000000" w:rsidRDefault="00FD7D3C">
            <w:pPr>
              <w:ind w:firstLine="720"/>
              <w:rPr>
                <w:rFonts w:eastAsia="Times New Roman"/>
              </w:rPr>
            </w:pPr>
          </w:p>
        </w:tc>
        <w:tc>
          <w:tcPr>
            <w:tcW w:w="3588"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604"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27"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604"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r>
      <w:tr w:rsidR="00000000">
        <w:trPr>
          <w:divId w:val="1490053159"/>
        </w:trPr>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December 31,</w:t>
            </w:r>
          </w:p>
        </w:tc>
      </w:tr>
      <w:tr w:rsidR="00000000">
        <w:trPr>
          <w:divId w:val="1490053159"/>
        </w:trPr>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2020</w:t>
            </w:r>
          </w:p>
        </w:tc>
      </w:tr>
      <w:tr w:rsidR="00000000">
        <w:trPr>
          <w:divId w:val="1490053159"/>
        </w:trPr>
        <w:tc>
          <w:tcPr>
            <w:tcW w:w="0" w:type="auto"/>
            <w:gridSpan w:val="3"/>
            <w:shd w:val="clear" w:color="auto" w:fill="CFF0FC"/>
            <w:tcMar>
              <w:top w:w="30" w:type="dxa"/>
              <w:left w:w="20" w:type="dxa"/>
              <w:bottom w:w="30" w:type="dxa"/>
              <w:right w:w="20" w:type="dxa"/>
            </w:tcMar>
            <w:vAlign w:val="center"/>
            <w:hideMark/>
          </w:tcPr>
          <w:p w:rsidR="00000000" w:rsidRDefault="00FD7D3C">
            <w:pPr>
              <w:spacing w:after="100"/>
              <w:rPr>
                <w:rFonts w:eastAsia="Times New Roman"/>
              </w:rPr>
            </w:pPr>
            <w:r>
              <w:rPr>
                <w:rFonts w:eastAsia="Times New Roman"/>
                <w:color w:val="000000"/>
                <w:sz w:val="20"/>
                <w:szCs w:val="20"/>
              </w:rPr>
              <w:t>Deferred tax assets:</w:t>
            </w:r>
          </w:p>
        </w:tc>
        <w:tc>
          <w:tcPr>
            <w:tcW w:w="0" w:type="auto"/>
            <w:gridSpan w:val="3"/>
            <w:tcBorders>
              <w:top w:val="single" w:sz="8" w:space="0" w:color="000000"/>
            </w:tcBorders>
            <w:shd w:val="clear" w:color="auto" w:fill="CFF0FC"/>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Borders>
              <w:top w:val="single" w:sz="8" w:space="0" w:color="000000"/>
            </w:tcBorders>
            <w:shd w:val="clear" w:color="auto" w:fill="CFF0FC"/>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000000">
        <w:trPr>
          <w:divId w:val="1490053159"/>
        </w:trPr>
        <w:tc>
          <w:tcPr>
            <w:tcW w:w="0" w:type="auto"/>
            <w:gridSpan w:val="3"/>
            <w:tcMar>
              <w:top w:w="30" w:type="dxa"/>
              <w:left w:w="245" w:type="dxa"/>
              <w:bottom w:w="30" w:type="dxa"/>
              <w:right w:w="20" w:type="dxa"/>
            </w:tcMar>
            <w:vAlign w:val="center"/>
            <w:hideMark/>
          </w:tcPr>
          <w:p w:rsidR="00000000" w:rsidRDefault="00FD7D3C">
            <w:pPr>
              <w:spacing w:after="100"/>
              <w:rPr>
                <w:rFonts w:eastAsia="Times New Roman"/>
              </w:rPr>
            </w:pPr>
            <w:r>
              <w:rPr>
                <w:rFonts w:eastAsia="Times New Roman"/>
                <w:color w:val="000000"/>
                <w:sz w:val="20"/>
                <w:szCs w:val="20"/>
              </w:rPr>
              <w:t>Net operating losses</w:t>
            </w:r>
          </w:p>
        </w:tc>
        <w:tc>
          <w:tcPr>
            <w:tcW w:w="0" w:type="auto"/>
            <w:tcMar>
              <w:top w:w="30" w:type="dxa"/>
              <w:left w:w="20" w:type="dxa"/>
              <w:bottom w:w="30" w:type="dxa"/>
              <w:right w:w="0" w:type="dxa"/>
            </w:tcMar>
            <w:vAlign w:val="center"/>
            <w:hideMark/>
          </w:tcPr>
          <w:p w:rsidR="00000000" w:rsidRDefault="00FD7D3C">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center"/>
            <w:hideMark/>
          </w:tcPr>
          <w:p w:rsidR="00000000" w:rsidRDefault="00FD7D3C">
            <w:pPr>
              <w:spacing w:after="100"/>
              <w:jc w:val="right"/>
              <w:rPr>
                <w:rFonts w:eastAsia="Times New Roman"/>
              </w:rPr>
            </w:pPr>
            <w:r>
              <w:rPr>
                <w:rFonts w:eastAsia="Times New Roman"/>
                <w:color w:val="000000"/>
                <w:sz w:val="20"/>
                <w:szCs w:val="20"/>
              </w:rPr>
              <w:t>51,554 </w:t>
            </w:r>
          </w:p>
        </w:tc>
        <w:tc>
          <w:tcPr>
            <w:tcW w:w="0" w:type="auto"/>
            <w:tcMar>
              <w:top w:w="30" w:type="dxa"/>
              <w:left w:w="0" w:type="dxa"/>
              <w:bottom w:w="30" w:type="dxa"/>
              <w:right w:w="20" w:type="dxa"/>
            </w:tcMar>
            <w:vAlign w:val="center"/>
            <w:hideMark/>
          </w:tcPr>
          <w:p w:rsidR="00000000" w:rsidRDefault="00FD7D3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Mar>
              <w:top w:w="30" w:type="dxa"/>
              <w:left w:w="20" w:type="dxa"/>
              <w:bottom w:w="30" w:type="dxa"/>
              <w:right w:w="0" w:type="dxa"/>
            </w:tcMar>
            <w:vAlign w:val="center"/>
            <w:hideMark/>
          </w:tcPr>
          <w:p w:rsidR="00000000" w:rsidRDefault="00FD7D3C">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center"/>
            <w:hideMark/>
          </w:tcPr>
          <w:p w:rsidR="00000000" w:rsidRDefault="00FD7D3C">
            <w:pPr>
              <w:spacing w:after="100"/>
              <w:jc w:val="right"/>
              <w:rPr>
                <w:rFonts w:eastAsia="Times New Roman"/>
              </w:rPr>
            </w:pPr>
            <w:r>
              <w:rPr>
                <w:rFonts w:eastAsia="Times New Roman"/>
                <w:color w:val="000000"/>
                <w:sz w:val="20"/>
                <w:szCs w:val="20"/>
              </w:rPr>
              <w:t>27,047 </w:t>
            </w:r>
          </w:p>
        </w:tc>
        <w:tc>
          <w:tcPr>
            <w:tcW w:w="0" w:type="auto"/>
            <w:tcMar>
              <w:top w:w="30" w:type="dxa"/>
              <w:left w:w="0" w:type="dxa"/>
              <w:bottom w:w="30" w:type="dxa"/>
              <w:right w:w="20" w:type="dxa"/>
            </w:tcMar>
            <w:vAlign w:val="center"/>
            <w:hideMark/>
          </w:tcPr>
          <w:p w:rsidR="00000000" w:rsidRDefault="00FD7D3C">
            <w:pPr>
              <w:spacing w:after="100"/>
              <w:jc w:val="right"/>
              <w:rPr>
                <w:rFonts w:eastAsia="Times New Roman"/>
              </w:rPr>
            </w:pPr>
          </w:p>
        </w:tc>
      </w:tr>
      <w:tr w:rsidR="00000000">
        <w:trPr>
          <w:divId w:val="1490053159"/>
        </w:trPr>
        <w:tc>
          <w:tcPr>
            <w:tcW w:w="0" w:type="auto"/>
            <w:gridSpan w:val="3"/>
            <w:shd w:val="clear" w:color="auto" w:fill="CFF0FC"/>
            <w:tcMar>
              <w:top w:w="30" w:type="dxa"/>
              <w:left w:w="245" w:type="dxa"/>
              <w:bottom w:w="30" w:type="dxa"/>
              <w:right w:w="20" w:type="dxa"/>
            </w:tcMar>
            <w:vAlign w:val="center"/>
            <w:hideMark/>
          </w:tcPr>
          <w:p w:rsidR="00000000" w:rsidRDefault="00FD7D3C">
            <w:pPr>
              <w:spacing w:after="100"/>
              <w:rPr>
                <w:rFonts w:eastAsia="Times New Roman"/>
              </w:rPr>
            </w:pPr>
            <w:r>
              <w:rPr>
                <w:rFonts w:eastAsia="Times New Roman"/>
                <w:color w:val="000000"/>
                <w:sz w:val="20"/>
                <w:szCs w:val="20"/>
              </w:rPr>
              <w:t>Research and development credits</w:t>
            </w:r>
          </w:p>
        </w:tc>
        <w:tc>
          <w:tcPr>
            <w:tcW w:w="0" w:type="auto"/>
            <w:gridSpan w:val="2"/>
            <w:shd w:val="clear" w:color="auto" w:fill="CFF0FC"/>
            <w:tcMar>
              <w:top w:w="30" w:type="dxa"/>
              <w:left w:w="20" w:type="dxa"/>
              <w:bottom w:w="30" w:type="dxa"/>
              <w:right w:w="0" w:type="dxa"/>
            </w:tcMar>
            <w:vAlign w:val="center"/>
            <w:hideMark/>
          </w:tcPr>
          <w:p w:rsidR="00000000" w:rsidRDefault="00FD7D3C">
            <w:pPr>
              <w:spacing w:after="100"/>
              <w:jc w:val="right"/>
              <w:rPr>
                <w:rFonts w:eastAsia="Times New Roman"/>
              </w:rPr>
            </w:pPr>
            <w:r>
              <w:rPr>
                <w:rFonts w:eastAsia="Times New Roman"/>
                <w:color w:val="000000"/>
                <w:sz w:val="20"/>
                <w:szCs w:val="20"/>
              </w:rPr>
              <w:t>13,989 </w:t>
            </w:r>
          </w:p>
        </w:tc>
        <w:tc>
          <w:tcPr>
            <w:tcW w:w="0" w:type="auto"/>
            <w:shd w:val="clear" w:color="auto" w:fill="CFF0FC"/>
            <w:tcMar>
              <w:top w:w="30" w:type="dxa"/>
              <w:left w:w="0" w:type="dxa"/>
              <w:bottom w:w="30" w:type="dxa"/>
              <w:right w:w="20" w:type="dxa"/>
            </w:tcMar>
            <w:vAlign w:val="center"/>
            <w:hideMark/>
          </w:tcPr>
          <w:p w:rsidR="00000000" w:rsidRDefault="00FD7D3C">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FF0FC"/>
            <w:tcMar>
              <w:top w:w="30" w:type="dxa"/>
              <w:left w:w="20" w:type="dxa"/>
              <w:bottom w:w="30" w:type="dxa"/>
              <w:right w:w="0" w:type="dxa"/>
            </w:tcMar>
            <w:vAlign w:val="center"/>
            <w:hideMark/>
          </w:tcPr>
          <w:p w:rsidR="00000000" w:rsidRDefault="00FD7D3C">
            <w:pPr>
              <w:spacing w:after="100"/>
              <w:jc w:val="right"/>
              <w:rPr>
                <w:rFonts w:eastAsia="Times New Roman"/>
              </w:rPr>
            </w:pPr>
            <w:r>
              <w:rPr>
                <w:rFonts w:eastAsia="Times New Roman"/>
                <w:color w:val="000000"/>
                <w:sz w:val="20"/>
                <w:szCs w:val="20"/>
              </w:rPr>
              <w:t>7,617 </w:t>
            </w:r>
          </w:p>
        </w:tc>
        <w:tc>
          <w:tcPr>
            <w:tcW w:w="0" w:type="auto"/>
            <w:shd w:val="clear" w:color="auto" w:fill="CFF0FC"/>
            <w:tcMar>
              <w:top w:w="30" w:type="dxa"/>
              <w:left w:w="0" w:type="dxa"/>
              <w:bottom w:w="30" w:type="dxa"/>
              <w:right w:w="20" w:type="dxa"/>
            </w:tcMar>
            <w:vAlign w:val="center"/>
            <w:hideMark/>
          </w:tcPr>
          <w:p w:rsidR="00000000" w:rsidRDefault="00FD7D3C">
            <w:pPr>
              <w:spacing w:after="100"/>
              <w:jc w:val="right"/>
              <w:rPr>
                <w:rFonts w:eastAsia="Times New Roman"/>
              </w:rPr>
            </w:pPr>
          </w:p>
        </w:tc>
      </w:tr>
      <w:tr w:rsidR="00000000">
        <w:trPr>
          <w:divId w:val="1490053159"/>
        </w:trPr>
        <w:tc>
          <w:tcPr>
            <w:tcW w:w="0" w:type="auto"/>
            <w:gridSpan w:val="3"/>
            <w:tcMar>
              <w:top w:w="30" w:type="dxa"/>
              <w:left w:w="245" w:type="dxa"/>
              <w:bottom w:w="30" w:type="dxa"/>
              <w:right w:w="20" w:type="dxa"/>
            </w:tcMar>
            <w:vAlign w:val="center"/>
            <w:hideMark/>
          </w:tcPr>
          <w:p w:rsidR="00000000" w:rsidRDefault="00FD7D3C">
            <w:pPr>
              <w:spacing w:after="100"/>
              <w:rPr>
                <w:rFonts w:eastAsia="Times New Roman"/>
              </w:rPr>
            </w:pPr>
            <w:r>
              <w:rPr>
                <w:rFonts w:eastAsia="Times New Roman"/>
                <w:color w:val="000000"/>
                <w:sz w:val="20"/>
                <w:szCs w:val="20"/>
              </w:rPr>
              <w:t>Accrued expenses</w:t>
            </w:r>
          </w:p>
        </w:tc>
        <w:tc>
          <w:tcPr>
            <w:tcW w:w="0" w:type="auto"/>
            <w:gridSpan w:val="2"/>
            <w:tcMar>
              <w:top w:w="30" w:type="dxa"/>
              <w:left w:w="20" w:type="dxa"/>
              <w:bottom w:w="30" w:type="dxa"/>
              <w:right w:w="0" w:type="dxa"/>
            </w:tcMar>
            <w:vAlign w:val="center"/>
            <w:hideMark/>
          </w:tcPr>
          <w:p w:rsidR="00000000" w:rsidRDefault="00FD7D3C">
            <w:pPr>
              <w:spacing w:after="100"/>
              <w:jc w:val="right"/>
              <w:rPr>
                <w:rFonts w:eastAsia="Times New Roman"/>
              </w:rPr>
            </w:pPr>
            <w:r>
              <w:rPr>
                <w:rFonts w:eastAsia="Times New Roman"/>
                <w:color w:val="000000"/>
                <w:sz w:val="20"/>
                <w:szCs w:val="20"/>
              </w:rPr>
              <w:t>292 </w:t>
            </w:r>
          </w:p>
        </w:tc>
        <w:tc>
          <w:tcPr>
            <w:tcW w:w="0" w:type="auto"/>
            <w:tcMar>
              <w:top w:w="30" w:type="dxa"/>
              <w:left w:w="0" w:type="dxa"/>
              <w:bottom w:w="30" w:type="dxa"/>
              <w:right w:w="20" w:type="dxa"/>
            </w:tcMar>
            <w:vAlign w:val="center"/>
            <w:hideMark/>
          </w:tcPr>
          <w:p w:rsidR="00000000" w:rsidRDefault="00FD7D3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FD7D3C">
            <w:pPr>
              <w:spacing w:after="100"/>
              <w:jc w:val="right"/>
              <w:rPr>
                <w:rFonts w:eastAsia="Times New Roman"/>
              </w:rPr>
            </w:pPr>
            <w:r>
              <w:rPr>
                <w:rFonts w:eastAsia="Times New Roman"/>
                <w:color w:val="000000"/>
                <w:sz w:val="20"/>
                <w:szCs w:val="20"/>
              </w:rPr>
              <w:t>291 </w:t>
            </w:r>
          </w:p>
        </w:tc>
        <w:tc>
          <w:tcPr>
            <w:tcW w:w="0" w:type="auto"/>
            <w:tcMar>
              <w:top w:w="30" w:type="dxa"/>
              <w:left w:w="0" w:type="dxa"/>
              <w:bottom w:w="30" w:type="dxa"/>
              <w:right w:w="20" w:type="dxa"/>
            </w:tcMar>
            <w:vAlign w:val="center"/>
            <w:hideMark/>
          </w:tcPr>
          <w:p w:rsidR="00000000" w:rsidRDefault="00FD7D3C">
            <w:pPr>
              <w:spacing w:after="100"/>
              <w:jc w:val="right"/>
              <w:rPr>
                <w:rFonts w:eastAsia="Times New Roman"/>
              </w:rPr>
            </w:pPr>
          </w:p>
        </w:tc>
      </w:tr>
      <w:tr w:rsidR="00000000">
        <w:trPr>
          <w:divId w:val="1490053159"/>
        </w:trPr>
        <w:tc>
          <w:tcPr>
            <w:tcW w:w="0" w:type="auto"/>
            <w:gridSpan w:val="3"/>
            <w:shd w:val="clear" w:color="auto" w:fill="CFF0FC"/>
            <w:tcMar>
              <w:top w:w="30" w:type="dxa"/>
              <w:left w:w="245" w:type="dxa"/>
              <w:bottom w:w="30" w:type="dxa"/>
              <w:right w:w="20" w:type="dxa"/>
            </w:tcMar>
            <w:vAlign w:val="center"/>
            <w:hideMark/>
          </w:tcPr>
          <w:p w:rsidR="00000000" w:rsidRDefault="00FD7D3C">
            <w:pPr>
              <w:spacing w:after="100"/>
              <w:rPr>
                <w:rFonts w:eastAsia="Times New Roman"/>
              </w:rPr>
            </w:pPr>
            <w:r>
              <w:rPr>
                <w:rFonts w:eastAsia="Times New Roman"/>
                <w:color w:val="000000"/>
                <w:sz w:val="20"/>
                <w:szCs w:val="20"/>
              </w:rPr>
              <w:t>Other</w:t>
            </w:r>
          </w:p>
        </w:tc>
        <w:tc>
          <w:tcPr>
            <w:tcW w:w="0" w:type="auto"/>
            <w:gridSpan w:val="2"/>
            <w:shd w:val="clear" w:color="auto" w:fill="CFF0FC"/>
            <w:tcMar>
              <w:top w:w="30" w:type="dxa"/>
              <w:left w:w="20" w:type="dxa"/>
              <w:bottom w:w="30" w:type="dxa"/>
              <w:right w:w="0" w:type="dxa"/>
            </w:tcMar>
            <w:vAlign w:val="center"/>
            <w:hideMark/>
          </w:tcPr>
          <w:p w:rsidR="00000000" w:rsidRDefault="00FD7D3C">
            <w:pPr>
              <w:spacing w:after="100"/>
              <w:jc w:val="right"/>
              <w:rPr>
                <w:rFonts w:eastAsia="Times New Roman"/>
              </w:rPr>
            </w:pPr>
            <w:r>
              <w:rPr>
                <w:rFonts w:eastAsia="Times New Roman"/>
                <w:color w:val="000000"/>
                <w:sz w:val="20"/>
                <w:szCs w:val="20"/>
              </w:rPr>
              <w:t>775 </w:t>
            </w:r>
          </w:p>
        </w:tc>
        <w:tc>
          <w:tcPr>
            <w:tcW w:w="0" w:type="auto"/>
            <w:shd w:val="clear" w:color="auto" w:fill="CFF0FC"/>
            <w:tcMar>
              <w:top w:w="30" w:type="dxa"/>
              <w:left w:w="0" w:type="dxa"/>
              <w:bottom w:w="30" w:type="dxa"/>
              <w:right w:w="20" w:type="dxa"/>
            </w:tcMar>
            <w:vAlign w:val="center"/>
            <w:hideMark/>
          </w:tcPr>
          <w:p w:rsidR="00000000" w:rsidRDefault="00FD7D3C">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FF0FC"/>
            <w:tcMar>
              <w:top w:w="30" w:type="dxa"/>
              <w:left w:w="20" w:type="dxa"/>
              <w:bottom w:w="30" w:type="dxa"/>
              <w:right w:w="0" w:type="dxa"/>
            </w:tcMar>
            <w:vAlign w:val="center"/>
            <w:hideMark/>
          </w:tcPr>
          <w:p w:rsidR="00000000" w:rsidRDefault="00FD7D3C">
            <w:pPr>
              <w:spacing w:after="100"/>
              <w:jc w:val="right"/>
              <w:rPr>
                <w:rFonts w:eastAsia="Times New Roman"/>
              </w:rPr>
            </w:pPr>
            <w:r>
              <w:rPr>
                <w:rFonts w:eastAsia="Times New Roman"/>
                <w:color w:val="000000"/>
                <w:sz w:val="20"/>
                <w:szCs w:val="20"/>
              </w:rPr>
              <w:t>474 </w:t>
            </w:r>
          </w:p>
        </w:tc>
        <w:tc>
          <w:tcPr>
            <w:tcW w:w="0" w:type="auto"/>
            <w:shd w:val="clear" w:color="auto" w:fill="CFF0FC"/>
            <w:tcMar>
              <w:top w:w="30" w:type="dxa"/>
              <w:left w:w="0" w:type="dxa"/>
              <w:bottom w:w="30" w:type="dxa"/>
              <w:right w:w="20" w:type="dxa"/>
            </w:tcMar>
            <w:vAlign w:val="center"/>
            <w:hideMark/>
          </w:tcPr>
          <w:p w:rsidR="00000000" w:rsidRDefault="00FD7D3C">
            <w:pPr>
              <w:spacing w:after="100"/>
              <w:jc w:val="right"/>
              <w:rPr>
                <w:rFonts w:eastAsia="Times New Roman"/>
              </w:rPr>
            </w:pPr>
          </w:p>
        </w:tc>
      </w:tr>
      <w:tr w:rsidR="00000000">
        <w:trPr>
          <w:divId w:val="1490053159"/>
        </w:trPr>
        <w:tc>
          <w:tcPr>
            <w:tcW w:w="0" w:type="auto"/>
            <w:gridSpan w:val="3"/>
            <w:tcMar>
              <w:top w:w="30" w:type="dxa"/>
              <w:left w:w="245" w:type="dxa"/>
              <w:bottom w:w="30" w:type="dxa"/>
              <w:right w:w="20" w:type="dxa"/>
            </w:tcMar>
            <w:vAlign w:val="center"/>
            <w:hideMark/>
          </w:tcPr>
          <w:p w:rsidR="00000000" w:rsidRDefault="00FD7D3C">
            <w:pPr>
              <w:spacing w:after="100"/>
              <w:rPr>
                <w:rFonts w:eastAsia="Times New Roman"/>
              </w:rPr>
            </w:pPr>
            <w:r>
              <w:rPr>
                <w:rFonts w:eastAsia="Times New Roman"/>
                <w:color w:val="000000"/>
                <w:sz w:val="20"/>
                <w:szCs w:val="20"/>
              </w:rPr>
              <w:t>Deferred rent</w:t>
            </w:r>
          </w:p>
        </w:tc>
        <w:tc>
          <w:tcPr>
            <w:tcW w:w="0" w:type="auto"/>
            <w:gridSpan w:val="2"/>
            <w:tcMar>
              <w:top w:w="30" w:type="dxa"/>
              <w:left w:w="20" w:type="dxa"/>
              <w:bottom w:w="30" w:type="dxa"/>
              <w:right w:w="0" w:type="dxa"/>
            </w:tcMar>
            <w:vAlign w:val="center"/>
            <w:hideMark/>
          </w:tcPr>
          <w:p w:rsidR="00000000" w:rsidRDefault="00FD7D3C">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center"/>
            <w:hideMark/>
          </w:tcPr>
          <w:p w:rsidR="00000000" w:rsidRDefault="00FD7D3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FD7D3C">
            <w:pPr>
              <w:spacing w:after="100"/>
              <w:jc w:val="right"/>
              <w:rPr>
                <w:rFonts w:eastAsia="Times New Roman"/>
              </w:rPr>
            </w:pPr>
            <w:r>
              <w:rPr>
                <w:rFonts w:eastAsia="Times New Roman"/>
                <w:color w:val="000000"/>
                <w:sz w:val="20"/>
                <w:szCs w:val="20"/>
              </w:rPr>
              <w:t>266 </w:t>
            </w:r>
          </w:p>
        </w:tc>
        <w:tc>
          <w:tcPr>
            <w:tcW w:w="0" w:type="auto"/>
            <w:tcMar>
              <w:top w:w="30" w:type="dxa"/>
              <w:left w:w="0" w:type="dxa"/>
              <w:bottom w:w="30" w:type="dxa"/>
              <w:right w:w="20" w:type="dxa"/>
            </w:tcMar>
            <w:vAlign w:val="center"/>
            <w:hideMark/>
          </w:tcPr>
          <w:p w:rsidR="00000000" w:rsidRDefault="00FD7D3C">
            <w:pPr>
              <w:spacing w:after="100"/>
              <w:jc w:val="right"/>
              <w:rPr>
                <w:rFonts w:eastAsia="Times New Roman"/>
              </w:rPr>
            </w:pPr>
          </w:p>
        </w:tc>
      </w:tr>
      <w:tr w:rsidR="00000000">
        <w:trPr>
          <w:divId w:val="1490053159"/>
        </w:trPr>
        <w:tc>
          <w:tcPr>
            <w:tcW w:w="0" w:type="auto"/>
            <w:gridSpan w:val="3"/>
            <w:shd w:val="clear" w:color="auto" w:fill="CCEEFF"/>
            <w:tcMar>
              <w:top w:w="30" w:type="dxa"/>
              <w:left w:w="245" w:type="dxa"/>
              <w:bottom w:w="30" w:type="dxa"/>
              <w:right w:w="20" w:type="dxa"/>
            </w:tcMar>
            <w:vAlign w:val="center"/>
            <w:hideMark/>
          </w:tcPr>
          <w:p w:rsidR="00000000" w:rsidRDefault="00FD7D3C">
            <w:pPr>
              <w:spacing w:after="100"/>
              <w:rPr>
                <w:rFonts w:eastAsia="Times New Roman"/>
              </w:rPr>
            </w:pPr>
            <w:r>
              <w:rPr>
                <w:rFonts w:eastAsia="Times New Roman"/>
                <w:color w:val="000000"/>
                <w:sz w:val="20"/>
                <w:szCs w:val="20"/>
              </w:rPr>
              <w:t>Lease liability</w:t>
            </w:r>
          </w:p>
        </w:tc>
        <w:tc>
          <w:tcPr>
            <w:tcW w:w="0" w:type="auto"/>
            <w:gridSpan w:val="2"/>
            <w:shd w:val="clear" w:color="auto" w:fill="CCEEFF"/>
            <w:tcMar>
              <w:top w:w="30" w:type="dxa"/>
              <w:left w:w="20" w:type="dxa"/>
              <w:bottom w:w="30" w:type="dxa"/>
              <w:right w:w="0" w:type="dxa"/>
            </w:tcMar>
            <w:vAlign w:val="center"/>
            <w:hideMark/>
          </w:tcPr>
          <w:p w:rsidR="00000000" w:rsidRDefault="00FD7D3C">
            <w:pPr>
              <w:spacing w:after="100"/>
              <w:jc w:val="right"/>
              <w:rPr>
                <w:rFonts w:eastAsia="Times New Roman"/>
              </w:rPr>
            </w:pPr>
            <w:r>
              <w:rPr>
                <w:rFonts w:eastAsia="Times New Roman"/>
                <w:color w:val="000000"/>
                <w:sz w:val="20"/>
                <w:szCs w:val="20"/>
              </w:rPr>
              <w:t>2,000 </w:t>
            </w:r>
          </w:p>
        </w:tc>
        <w:tc>
          <w:tcPr>
            <w:tcW w:w="0" w:type="auto"/>
            <w:shd w:val="clear" w:color="auto" w:fill="CCEEFF"/>
            <w:tcMar>
              <w:top w:w="30" w:type="dxa"/>
              <w:left w:w="0" w:type="dxa"/>
              <w:bottom w:w="30" w:type="dxa"/>
              <w:right w:w="20" w:type="dxa"/>
            </w:tcMar>
            <w:vAlign w:val="center"/>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FD7D3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FD7D3C">
            <w:pPr>
              <w:spacing w:after="100"/>
              <w:jc w:val="right"/>
              <w:rPr>
                <w:rFonts w:eastAsia="Times New Roman"/>
              </w:rPr>
            </w:pPr>
          </w:p>
        </w:tc>
      </w:tr>
      <w:tr w:rsidR="00000000">
        <w:trPr>
          <w:divId w:val="1490053159"/>
        </w:trPr>
        <w:tc>
          <w:tcPr>
            <w:tcW w:w="0" w:type="auto"/>
            <w:gridSpan w:val="3"/>
            <w:tcMar>
              <w:top w:w="30" w:type="dxa"/>
              <w:left w:w="245" w:type="dxa"/>
              <w:bottom w:w="30" w:type="dxa"/>
              <w:right w:w="20" w:type="dxa"/>
            </w:tcMar>
            <w:vAlign w:val="center"/>
            <w:hideMark/>
          </w:tcPr>
          <w:p w:rsidR="00000000" w:rsidRDefault="00FD7D3C">
            <w:pPr>
              <w:spacing w:after="100"/>
              <w:rPr>
                <w:rFonts w:eastAsia="Times New Roman"/>
              </w:rPr>
            </w:pPr>
            <w:r>
              <w:rPr>
                <w:rFonts w:eastAsia="Times New Roman"/>
                <w:color w:val="000000"/>
                <w:sz w:val="20"/>
                <w:szCs w:val="20"/>
              </w:rPr>
              <w:t>Stock based compensation</w:t>
            </w:r>
          </w:p>
        </w:tc>
        <w:tc>
          <w:tcPr>
            <w:tcW w:w="0" w:type="auto"/>
            <w:gridSpan w:val="2"/>
            <w:tcMar>
              <w:top w:w="30" w:type="dxa"/>
              <w:left w:w="20" w:type="dxa"/>
              <w:bottom w:w="30" w:type="dxa"/>
              <w:right w:w="0" w:type="dxa"/>
            </w:tcMar>
            <w:vAlign w:val="center"/>
            <w:hideMark/>
          </w:tcPr>
          <w:p w:rsidR="00000000" w:rsidRDefault="00FD7D3C">
            <w:pPr>
              <w:spacing w:after="100"/>
              <w:jc w:val="right"/>
              <w:rPr>
                <w:rFonts w:eastAsia="Times New Roman"/>
              </w:rPr>
            </w:pPr>
            <w:r>
              <w:rPr>
                <w:rFonts w:eastAsia="Times New Roman"/>
                <w:color w:val="000000"/>
                <w:sz w:val="20"/>
                <w:szCs w:val="20"/>
              </w:rPr>
              <w:t>1,816 </w:t>
            </w:r>
          </w:p>
        </w:tc>
        <w:tc>
          <w:tcPr>
            <w:tcW w:w="0" w:type="auto"/>
            <w:tcMar>
              <w:top w:w="30" w:type="dxa"/>
              <w:left w:w="0" w:type="dxa"/>
              <w:bottom w:w="30" w:type="dxa"/>
              <w:right w:w="20" w:type="dxa"/>
            </w:tcMar>
            <w:vAlign w:val="center"/>
            <w:hideMark/>
          </w:tcPr>
          <w:p w:rsidR="00000000" w:rsidRDefault="00FD7D3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FD7D3C">
            <w:pPr>
              <w:spacing w:after="100"/>
              <w:jc w:val="right"/>
              <w:rPr>
                <w:rFonts w:eastAsia="Times New Roman"/>
              </w:rPr>
            </w:pPr>
            <w:r>
              <w:rPr>
                <w:rFonts w:eastAsia="Times New Roman"/>
                <w:color w:val="000000"/>
                <w:sz w:val="20"/>
                <w:szCs w:val="20"/>
              </w:rPr>
              <w:t>428 </w:t>
            </w:r>
          </w:p>
        </w:tc>
        <w:tc>
          <w:tcPr>
            <w:tcW w:w="0" w:type="auto"/>
            <w:tcMar>
              <w:top w:w="30" w:type="dxa"/>
              <w:left w:w="0" w:type="dxa"/>
              <w:bottom w:w="30" w:type="dxa"/>
              <w:right w:w="20" w:type="dxa"/>
            </w:tcMar>
            <w:vAlign w:val="center"/>
            <w:hideMark/>
          </w:tcPr>
          <w:p w:rsidR="00000000" w:rsidRDefault="00FD7D3C">
            <w:pPr>
              <w:spacing w:after="100"/>
              <w:jc w:val="right"/>
              <w:rPr>
                <w:rFonts w:eastAsia="Times New Roman"/>
              </w:rPr>
            </w:pPr>
          </w:p>
        </w:tc>
      </w:tr>
      <w:tr w:rsidR="00000000">
        <w:trPr>
          <w:divId w:val="1490053159"/>
        </w:trPr>
        <w:tc>
          <w:tcPr>
            <w:tcW w:w="0" w:type="auto"/>
            <w:gridSpan w:val="3"/>
            <w:shd w:val="clear" w:color="auto" w:fill="CCEEFF"/>
            <w:tcMar>
              <w:top w:w="30" w:type="dxa"/>
              <w:left w:w="515" w:type="dxa"/>
              <w:bottom w:w="30" w:type="dxa"/>
              <w:right w:w="20" w:type="dxa"/>
            </w:tcMar>
            <w:vAlign w:val="center"/>
            <w:hideMark/>
          </w:tcPr>
          <w:p w:rsidR="00000000" w:rsidRDefault="00FD7D3C">
            <w:pPr>
              <w:spacing w:after="100"/>
              <w:rPr>
                <w:rFonts w:eastAsia="Times New Roman"/>
              </w:rPr>
            </w:pPr>
            <w:r>
              <w:rPr>
                <w:rFonts w:eastAsia="Times New Roman"/>
                <w:color w:val="000000"/>
                <w:sz w:val="20"/>
                <w:szCs w:val="20"/>
              </w:rPr>
              <w:t>Total deferred tax assets</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FD7D3C">
            <w:pPr>
              <w:spacing w:after="100"/>
              <w:jc w:val="right"/>
              <w:rPr>
                <w:rFonts w:eastAsia="Times New Roman"/>
              </w:rPr>
            </w:pPr>
            <w:r>
              <w:rPr>
                <w:rFonts w:eastAsia="Times New Roman"/>
                <w:color w:val="000000"/>
                <w:sz w:val="20"/>
                <w:szCs w:val="20"/>
              </w:rPr>
              <w:t>70,426 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FD7D3C">
            <w:pPr>
              <w:spacing w:after="100"/>
              <w:jc w:val="right"/>
              <w:rPr>
                <w:rFonts w:eastAsia="Times New Roman"/>
              </w:rPr>
            </w:pPr>
            <w:r>
              <w:rPr>
                <w:rFonts w:eastAsia="Times New Roman"/>
                <w:color w:val="000000"/>
                <w:sz w:val="20"/>
                <w:szCs w:val="20"/>
              </w:rPr>
              <w:t>36,123 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FD7D3C">
            <w:pPr>
              <w:spacing w:after="100"/>
              <w:jc w:val="right"/>
              <w:rPr>
                <w:rFonts w:eastAsia="Times New Roman"/>
              </w:rPr>
            </w:pPr>
          </w:p>
        </w:tc>
      </w:tr>
      <w:tr w:rsidR="00000000">
        <w:trPr>
          <w:divId w:val="1490053159"/>
        </w:trPr>
        <w:tc>
          <w:tcPr>
            <w:tcW w:w="0" w:type="auto"/>
            <w:gridSpan w:val="3"/>
            <w:tcMar>
              <w:top w:w="30" w:type="dxa"/>
              <w:left w:w="20" w:type="dxa"/>
              <w:bottom w:w="30" w:type="dxa"/>
              <w:right w:w="20" w:type="dxa"/>
            </w:tcMar>
            <w:vAlign w:val="center"/>
            <w:hideMark/>
          </w:tcPr>
          <w:p w:rsidR="00000000" w:rsidRDefault="00FD7D3C">
            <w:pPr>
              <w:spacing w:after="100"/>
              <w:rPr>
                <w:rFonts w:eastAsia="Times New Roman"/>
              </w:rPr>
            </w:pPr>
            <w:r>
              <w:rPr>
                <w:rFonts w:eastAsia="Times New Roman"/>
                <w:color w:val="000000"/>
                <w:sz w:val="20"/>
                <w:szCs w:val="20"/>
              </w:rPr>
              <w:t>Deferred tax liabilities:</w:t>
            </w: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000000">
        <w:trPr>
          <w:divId w:val="1490053159"/>
        </w:trPr>
        <w:tc>
          <w:tcPr>
            <w:tcW w:w="0" w:type="auto"/>
            <w:gridSpan w:val="3"/>
            <w:shd w:val="clear" w:color="auto" w:fill="CCEEFF"/>
            <w:tcMar>
              <w:top w:w="30" w:type="dxa"/>
              <w:left w:w="245" w:type="dxa"/>
              <w:bottom w:w="30" w:type="dxa"/>
              <w:right w:w="20" w:type="dxa"/>
            </w:tcMar>
            <w:vAlign w:val="center"/>
            <w:hideMark/>
          </w:tcPr>
          <w:p w:rsidR="00000000" w:rsidRDefault="00FD7D3C">
            <w:pPr>
              <w:spacing w:after="100"/>
              <w:rPr>
                <w:rFonts w:eastAsia="Times New Roman"/>
              </w:rPr>
            </w:pPr>
            <w:r>
              <w:rPr>
                <w:rFonts w:eastAsia="Times New Roman"/>
                <w:color w:val="000000"/>
                <w:sz w:val="20"/>
                <w:szCs w:val="20"/>
              </w:rPr>
              <w:t>Fixed asset basis</w:t>
            </w:r>
          </w:p>
        </w:tc>
        <w:tc>
          <w:tcPr>
            <w:tcW w:w="0" w:type="auto"/>
            <w:shd w:val="clear" w:color="auto" w:fill="CCEEFF"/>
            <w:tcMar>
              <w:top w:w="30" w:type="dxa"/>
              <w:left w:w="20" w:type="dxa"/>
              <w:bottom w:w="30" w:type="dxa"/>
              <w:right w:w="0" w:type="dxa"/>
            </w:tcMar>
            <w:vAlign w:val="center"/>
            <w:hideMark/>
          </w:tcPr>
          <w:p w:rsidR="00000000" w:rsidRDefault="00FD7D3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FD7D3C">
            <w:pPr>
              <w:spacing w:after="100"/>
              <w:jc w:val="right"/>
              <w:rPr>
                <w:rFonts w:eastAsia="Times New Roman"/>
              </w:rPr>
            </w:pPr>
            <w:r>
              <w:rPr>
                <w:rFonts w:eastAsia="Times New Roman"/>
                <w:color w:val="000000"/>
                <w:sz w:val="20"/>
                <w:szCs w:val="20"/>
              </w:rPr>
              <w:t>(61)</w:t>
            </w:r>
          </w:p>
        </w:tc>
        <w:tc>
          <w:tcPr>
            <w:tcW w:w="0" w:type="auto"/>
            <w:shd w:val="clear" w:color="auto" w:fill="CCEEFF"/>
            <w:tcMar>
              <w:top w:w="30" w:type="dxa"/>
              <w:left w:w="0" w:type="dxa"/>
              <w:bottom w:w="30" w:type="dxa"/>
              <w:right w:w="20" w:type="dxa"/>
            </w:tcMar>
            <w:vAlign w:val="center"/>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FD7D3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FD7D3C">
            <w:pPr>
              <w:spacing w:after="100"/>
              <w:jc w:val="right"/>
              <w:rPr>
                <w:rFonts w:eastAsia="Times New Roman"/>
              </w:rPr>
            </w:pPr>
            <w:r>
              <w:rPr>
                <w:rFonts w:eastAsia="Times New Roman"/>
                <w:color w:val="000000"/>
                <w:sz w:val="20"/>
                <w:szCs w:val="20"/>
              </w:rPr>
              <w:t>(124)</w:t>
            </w:r>
          </w:p>
        </w:tc>
        <w:tc>
          <w:tcPr>
            <w:tcW w:w="0" w:type="auto"/>
            <w:shd w:val="clear" w:color="auto" w:fill="CCEEFF"/>
            <w:tcMar>
              <w:top w:w="30" w:type="dxa"/>
              <w:left w:w="0" w:type="dxa"/>
              <w:bottom w:w="30" w:type="dxa"/>
              <w:right w:w="20" w:type="dxa"/>
            </w:tcMar>
            <w:vAlign w:val="center"/>
            <w:hideMark/>
          </w:tcPr>
          <w:p w:rsidR="00000000" w:rsidRDefault="00FD7D3C">
            <w:pPr>
              <w:spacing w:after="100"/>
              <w:jc w:val="right"/>
              <w:rPr>
                <w:rFonts w:eastAsia="Times New Roman"/>
              </w:rPr>
            </w:pPr>
          </w:p>
        </w:tc>
      </w:tr>
      <w:tr w:rsidR="00000000">
        <w:trPr>
          <w:divId w:val="1490053159"/>
        </w:trPr>
        <w:tc>
          <w:tcPr>
            <w:tcW w:w="0" w:type="auto"/>
            <w:gridSpan w:val="3"/>
            <w:tcMar>
              <w:top w:w="30" w:type="dxa"/>
              <w:left w:w="245" w:type="dxa"/>
              <w:bottom w:w="30" w:type="dxa"/>
              <w:right w:w="20" w:type="dxa"/>
            </w:tcMar>
            <w:vAlign w:val="center"/>
            <w:hideMark/>
          </w:tcPr>
          <w:p w:rsidR="00000000" w:rsidRDefault="00FD7D3C">
            <w:pPr>
              <w:spacing w:after="100"/>
              <w:rPr>
                <w:rFonts w:eastAsia="Times New Roman"/>
              </w:rPr>
            </w:pPr>
            <w:r>
              <w:rPr>
                <w:rFonts w:eastAsia="Times New Roman"/>
                <w:color w:val="000000"/>
                <w:sz w:val="20"/>
                <w:szCs w:val="20"/>
              </w:rPr>
              <w:t>Prepaid expenses</w:t>
            </w:r>
          </w:p>
        </w:tc>
        <w:tc>
          <w:tcPr>
            <w:tcW w:w="0" w:type="auto"/>
            <w:gridSpan w:val="2"/>
            <w:tcMar>
              <w:top w:w="30" w:type="dxa"/>
              <w:left w:w="20" w:type="dxa"/>
              <w:bottom w:w="30" w:type="dxa"/>
              <w:right w:w="0" w:type="dxa"/>
            </w:tcMar>
            <w:vAlign w:val="center"/>
            <w:hideMark/>
          </w:tcPr>
          <w:p w:rsidR="00000000" w:rsidRDefault="00FD7D3C">
            <w:pPr>
              <w:spacing w:after="100"/>
              <w:jc w:val="right"/>
              <w:rPr>
                <w:rFonts w:eastAsia="Times New Roman"/>
              </w:rPr>
            </w:pPr>
            <w:r>
              <w:rPr>
                <w:rFonts w:eastAsia="Times New Roman"/>
                <w:color w:val="000000"/>
                <w:sz w:val="20"/>
                <w:szCs w:val="20"/>
              </w:rPr>
              <w:t>(921)</w:t>
            </w:r>
          </w:p>
        </w:tc>
        <w:tc>
          <w:tcPr>
            <w:tcW w:w="0" w:type="auto"/>
            <w:tcMar>
              <w:top w:w="30" w:type="dxa"/>
              <w:left w:w="0" w:type="dxa"/>
              <w:bottom w:w="30" w:type="dxa"/>
              <w:right w:w="20" w:type="dxa"/>
            </w:tcMar>
            <w:vAlign w:val="center"/>
            <w:hideMark/>
          </w:tcPr>
          <w:p w:rsidR="00000000" w:rsidRDefault="00FD7D3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FD7D3C">
            <w:pPr>
              <w:spacing w:after="100"/>
              <w:jc w:val="right"/>
              <w:rPr>
                <w:rFonts w:eastAsia="Times New Roman"/>
              </w:rPr>
            </w:pPr>
            <w:r>
              <w:rPr>
                <w:rFonts w:eastAsia="Times New Roman"/>
                <w:color w:val="000000"/>
                <w:sz w:val="20"/>
                <w:szCs w:val="20"/>
              </w:rPr>
              <w:t>(558)</w:t>
            </w:r>
          </w:p>
        </w:tc>
        <w:tc>
          <w:tcPr>
            <w:tcW w:w="0" w:type="auto"/>
            <w:tcMar>
              <w:top w:w="30" w:type="dxa"/>
              <w:left w:w="0" w:type="dxa"/>
              <w:bottom w:w="30" w:type="dxa"/>
              <w:right w:w="20" w:type="dxa"/>
            </w:tcMar>
            <w:vAlign w:val="center"/>
            <w:hideMark/>
          </w:tcPr>
          <w:p w:rsidR="00000000" w:rsidRDefault="00FD7D3C">
            <w:pPr>
              <w:spacing w:after="100"/>
              <w:jc w:val="right"/>
              <w:rPr>
                <w:rFonts w:eastAsia="Times New Roman"/>
              </w:rPr>
            </w:pPr>
          </w:p>
        </w:tc>
      </w:tr>
      <w:tr w:rsidR="00000000">
        <w:trPr>
          <w:divId w:val="1490053159"/>
        </w:trPr>
        <w:tc>
          <w:tcPr>
            <w:tcW w:w="0" w:type="auto"/>
            <w:gridSpan w:val="3"/>
            <w:shd w:val="clear" w:color="auto" w:fill="CCEEFF"/>
            <w:tcMar>
              <w:top w:w="30" w:type="dxa"/>
              <w:left w:w="515" w:type="dxa"/>
              <w:bottom w:w="30" w:type="dxa"/>
              <w:right w:w="20" w:type="dxa"/>
            </w:tcMar>
            <w:vAlign w:val="center"/>
            <w:hideMark/>
          </w:tcPr>
          <w:p w:rsidR="00000000" w:rsidRDefault="00FD7D3C">
            <w:pPr>
              <w:spacing w:after="100"/>
              <w:rPr>
                <w:rFonts w:eastAsia="Times New Roman"/>
              </w:rPr>
            </w:pPr>
            <w:r>
              <w:rPr>
                <w:rFonts w:eastAsia="Times New Roman"/>
                <w:color w:val="000000"/>
                <w:sz w:val="20"/>
                <w:szCs w:val="20"/>
              </w:rPr>
              <w:t>Right of use asset</w:t>
            </w:r>
          </w:p>
        </w:tc>
        <w:tc>
          <w:tcPr>
            <w:tcW w:w="0" w:type="auto"/>
            <w:gridSpan w:val="2"/>
            <w:shd w:val="clear" w:color="auto" w:fill="CCEEFF"/>
            <w:tcMar>
              <w:top w:w="30" w:type="dxa"/>
              <w:left w:w="20" w:type="dxa"/>
              <w:bottom w:w="30" w:type="dxa"/>
              <w:right w:w="0" w:type="dxa"/>
            </w:tcMar>
            <w:vAlign w:val="center"/>
            <w:hideMark/>
          </w:tcPr>
          <w:p w:rsidR="00000000" w:rsidRDefault="00FD7D3C">
            <w:pPr>
              <w:spacing w:after="100"/>
              <w:jc w:val="right"/>
              <w:rPr>
                <w:rFonts w:eastAsia="Times New Roman"/>
              </w:rPr>
            </w:pPr>
            <w:r>
              <w:rPr>
                <w:rFonts w:eastAsia="Times New Roman"/>
                <w:color w:val="000000"/>
                <w:sz w:val="20"/>
                <w:szCs w:val="20"/>
              </w:rPr>
              <w:t>(1,760)</w:t>
            </w:r>
          </w:p>
        </w:tc>
        <w:tc>
          <w:tcPr>
            <w:tcW w:w="0" w:type="auto"/>
            <w:shd w:val="clear" w:color="auto" w:fill="CCEEFF"/>
            <w:tcMar>
              <w:top w:w="30" w:type="dxa"/>
              <w:left w:w="0" w:type="dxa"/>
              <w:bottom w:w="30" w:type="dxa"/>
              <w:right w:w="20" w:type="dxa"/>
            </w:tcMar>
            <w:vAlign w:val="center"/>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FD7D3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FD7D3C">
            <w:pPr>
              <w:spacing w:after="100"/>
              <w:jc w:val="right"/>
              <w:rPr>
                <w:rFonts w:eastAsia="Times New Roman"/>
              </w:rPr>
            </w:pPr>
          </w:p>
        </w:tc>
      </w:tr>
      <w:tr w:rsidR="00000000">
        <w:trPr>
          <w:divId w:val="1490053159"/>
        </w:trPr>
        <w:tc>
          <w:tcPr>
            <w:tcW w:w="0" w:type="auto"/>
            <w:gridSpan w:val="3"/>
            <w:tcMar>
              <w:top w:w="30" w:type="dxa"/>
              <w:left w:w="515" w:type="dxa"/>
              <w:bottom w:w="30" w:type="dxa"/>
              <w:right w:w="20" w:type="dxa"/>
            </w:tcMar>
            <w:vAlign w:val="center"/>
            <w:hideMark/>
          </w:tcPr>
          <w:p w:rsidR="00000000" w:rsidRDefault="00FD7D3C">
            <w:pPr>
              <w:spacing w:after="100"/>
              <w:rPr>
                <w:rFonts w:eastAsia="Times New Roman"/>
              </w:rPr>
            </w:pPr>
            <w:r>
              <w:rPr>
                <w:rFonts w:eastAsia="Times New Roman"/>
                <w:color w:val="000000"/>
                <w:sz w:val="20"/>
                <w:szCs w:val="20"/>
              </w:rPr>
              <w:t>Total deferred tax liabilities</w:t>
            </w:r>
          </w:p>
        </w:tc>
        <w:tc>
          <w:tcPr>
            <w:tcW w:w="0" w:type="auto"/>
            <w:gridSpan w:val="2"/>
            <w:tcMar>
              <w:top w:w="30" w:type="dxa"/>
              <w:left w:w="20" w:type="dxa"/>
              <w:bottom w:w="30" w:type="dxa"/>
              <w:right w:w="0" w:type="dxa"/>
            </w:tcMar>
            <w:vAlign w:val="center"/>
            <w:hideMark/>
          </w:tcPr>
          <w:p w:rsidR="00000000" w:rsidRDefault="00FD7D3C">
            <w:pPr>
              <w:spacing w:after="100"/>
              <w:jc w:val="right"/>
              <w:rPr>
                <w:rFonts w:eastAsia="Times New Roman"/>
              </w:rPr>
            </w:pPr>
            <w:r>
              <w:rPr>
                <w:rFonts w:eastAsia="Times New Roman"/>
                <w:color w:val="000000"/>
                <w:sz w:val="20"/>
                <w:szCs w:val="20"/>
              </w:rPr>
              <w:t>(2,742)</w:t>
            </w:r>
          </w:p>
        </w:tc>
        <w:tc>
          <w:tcPr>
            <w:tcW w:w="0" w:type="auto"/>
            <w:tcMar>
              <w:top w:w="30" w:type="dxa"/>
              <w:left w:w="0" w:type="dxa"/>
              <w:bottom w:w="30" w:type="dxa"/>
              <w:right w:w="20" w:type="dxa"/>
            </w:tcMar>
            <w:vAlign w:val="center"/>
            <w:hideMark/>
          </w:tcPr>
          <w:p w:rsidR="00000000" w:rsidRDefault="00FD7D3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FD7D3C">
            <w:pPr>
              <w:spacing w:after="100"/>
              <w:jc w:val="right"/>
              <w:rPr>
                <w:rFonts w:eastAsia="Times New Roman"/>
              </w:rPr>
            </w:pPr>
            <w:r>
              <w:rPr>
                <w:rFonts w:eastAsia="Times New Roman"/>
                <w:color w:val="000000"/>
                <w:sz w:val="20"/>
                <w:szCs w:val="20"/>
              </w:rPr>
              <w:t>(682)</w:t>
            </w:r>
          </w:p>
        </w:tc>
        <w:tc>
          <w:tcPr>
            <w:tcW w:w="0" w:type="auto"/>
            <w:tcMar>
              <w:top w:w="30" w:type="dxa"/>
              <w:left w:w="0" w:type="dxa"/>
              <w:bottom w:w="30" w:type="dxa"/>
              <w:right w:w="20" w:type="dxa"/>
            </w:tcMar>
            <w:vAlign w:val="center"/>
            <w:hideMark/>
          </w:tcPr>
          <w:p w:rsidR="00000000" w:rsidRDefault="00FD7D3C">
            <w:pPr>
              <w:spacing w:after="100"/>
              <w:jc w:val="right"/>
              <w:rPr>
                <w:rFonts w:eastAsia="Times New Roman"/>
              </w:rPr>
            </w:pPr>
          </w:p>
        </w:tc>
      </w:tr>
      <w:tr w:rsidR="00000000">
        <w:trPr>
          <w:divId w:val="1490053159"/>
        </w:trPr>
        <w:tc>
          <w:tcPr>
            <w:tcW w:w="0" w:type="auto"/>
            <w:gridSpan w:val="3"/>
            <w:shd w:val="clear" w:color="auto" w:fill="CCEEFF"/>
            <w:tcMar>
              <w:top w:w="30" w:type="dxa"/>
              <w:left w:w="245" w:type="dxa"/>
              <w:bottom w:w="30" w:type="dxa"/>
              <w:right w:w="20" w:type="dxa"/>
            </w:tcMar>
            <w:vAlign w:val="center"/>
            <w:hideMark/>
          </w:tcPr>
          <w:p w:rsidR="00000000" w:rsidRDefault="00FD7D3C">
            <w:pPr>
              <w:spacing w:after="100"/>
              <w:rPr>
                <w:rFonts w:eastAsia="Times New Roman"/>
              </w:rPr>
            </w:pPr>
            <w:r>
              <w:rPr>
                <w:rFonts w:eastAsia="Times New Roman"/>
                <w:color w:val="000000"/>
                <w:sz w:val="20"/>
                <w:szCs w:val="20"/>
              </w:rPr>
              <w:t>Valuation allowance</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FD7D3C">
            <w:pPr>
              <w:spacing w:after="100"/>
              <w:jc w:val="right"/>
              <w:rPr>
                <w:rFonts w:eastAsia="Times New Roman"/>
              </w:rPr>
            </w:pPr>
            <w:r>
              <w:rPr>
                <w:rFonts w:eastAsia="Times New Roman"/>
                <w:color w:val="000000"/>
                <w:sz w:val="20"/>
                <w:szCs w:val="20"/>
              </w:rPr>
              <w:t>67,684 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FD7D3C">
            <w:pPr>
              <w:spacing w:after="100"/>
              <w:jc w:val="right"/>
              <w:rPr>
                <w:rFonts w:eastAsia="Times New Roman"/>
              </w:rPr>
            </w:pPr>
            <w:r>
              <w:rPr>
                <w:rFonts w:eastAsia="Times New Roman"/>
                <w:color w:val="000000"/>
                <w:sz w:val="20"/>
                <w:szCs w:val="20"/>
              </w:rPr>
              <w:t>35,441 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FD7D3C">
            <w:pPr>
              <w:spacing w:after="100"/>
              <w:jc w:val="right"/>
              <w:rPr>
                <w:rFonts w:eastAsia="Times New Roman"/>
              </w:rPr>
            </w:pPr>
          </w:p>
        </w:tc>
      </w:tr>
      <w:tr w:rsidR="00000000">
        <w:trPr>
          <w:divId w:val="1490053159"/>
        </w:trPr>
        <w:tc>
          <w:tcPr>
            <w:tcW w:w="0" w:type="auto"/>
            <w:gridSpan w:val="3"/>
            <w:tcMar>
              <w:top w:w="30" w:type="dxa"/>
              <w:left w:w="20" w:type="dxa"/>
              <w:bottom w:w="30" w:type="dxa"/>
              <w:right w:w="20" w:type="dxa"/>
            </w:tcMar>
            <w:vAlign w:val="center"/>
            <w:hideMark/>
          </w:tcPr>
          <w:p w:rsidR="00000000" w:rsidRDefault="00FD7D3C">
            <w:pPr>
              <w:spacing w:after="100"/>
              <w:rPr>
                <w:rFonts w:eastAsia="Times New Roman"/>
              </w:rPr>
            </w:pPr>
            <w:r>
              <w:rPr>
                <w:rFonts w:eastAsia="Times New Roman"/>
                <w:color w:val="000000"/>
                <w:sz w:val="20"/>
                <w:szCs w:val="20"/>
              </w:rPr>
              <w:t>Net deferred taxes</w:t>
            </w:r>
          </w:p>
        </w:tc>
        <w:tc>
          <w:tcPr>
            <w:tcW w:w="0" w:type="auto"/>
            <w:tcBorders>
              <w:bottom w:val="double" w:sz="6" w:space="0" w:color="000000"/>
            </w:tcBorders>
            <w:tcMar>
              <w:top w:w="30" w:type="dxa"/>
              <w:left w:w="20" w:type="dxa"/>
              <w:bottom w:w="30" w:type="dxa"/>
              <w:right w:w="0" w:type="dxa"/>
            </w:tcMar>
            <w:vAlign w:val="center"/>
            <w:hideMark/>
          </w:tcPr>
          <w:p w:rsidR="00000000" w:rsidRDefault="00FD7D3C">
            <w:pPr>
              <w:spacing w:after="100"/>
              <w:rPr>
                <w:rFonts w:eastAsia="Times New Roman"/>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center"/>
            <w:hideMark/>
          </w:tcPr>
          <w:p w:rsidR="00000000" w:rsidRDefault="00FD7D3C">
            <w:pPr>
              <w:spacing w:after="100"/>
              <w:jc w:val="right"/>
              <w:rPr>
                <w:rFonts w:eastAsia="Times New Roman"/>
              </w:rPr>
            </w:pPr>
            <w:r>
              <w:rPr>
                <w:rFonts w:eastAsia="Times New Roman"/>
                <w:color w:val="000000"/>
                <w:sz w:val="20"/>
                <w:szCs w:val="20"/>
              </w:rPr>
              <w:t>— </w:t>
            </w:r>
          </w:p>
        </w:tc>
        <w:tc>
          <w:tcPr>
            <w:tcW w:w="0" w:type="auto"/>
            <w:tcBorders>
              <w:bottom w:val="double" w:sz="6" w:space="0" w:color="000000"/>
            </w:tcBorders>
            <w:tcMar>
              <w:top w:w="30" w:type="dxa"/>
              <w:left w:w="0" w:type="dxa"/>
              <w:bottom w:w="30" w:type="dxa"/>
              <w:right w:w="20" w:type="dxa"/>
            </w:tcMar>
            <w:vAlign w:val="center"/>
            <w:hideMark/>
          </w:tcPr>
          <w:p w:rsidR="00000000" w:rsidRDefault="00FD7D3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bottom w:val="double" w:sz="6" w:space="0" w:color="000000"/>
            </w:tcBorders>
            <w:tcMar>
              <w:top w:w="30" w:type="dxa"/>
              <w:left w:w="20" w:type="dxa"/>
              <w:bottom w:w="30" w:type="dxa"/>
              <w:right w:w="0" w:type="dxa"/>
            </w:tcMar>
            <w:vAlign w:val="center"/>
            <w:hideMark/>
          </w:tcPr>
          <w:p w:rsidR="00000000" w:rsidRDefault="00FD7D3C">
            <w:pPr>
              <w:spacing w:after="100"/>
              <w:rPr>
                <w:rFonts w:eastAsia="Times New Roman"/>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center"/>
            <w:hideMark/>
          </w:tcPr>
          <w:p w:rsidR="00000000" w:rsidRDefault="00FD7D3C">
            <w:pPr>
              <w:spacing w:after="100"/>
              <w:jc w:val="right"/>
              <w:rPr>
                <w:rFonts w:eastAsia="Times New Roman"/>
              </w:rPr>
            </w:pPr>
            <w:r>
              <w:rPr>
                <w:rFonts w:eastAsia="Times New Roman"/>
                <w:color w:val="000000"/>
                <w:sz w:val="20"/>
                <w:szCs w:val="20"/>
              </w:rPr>
              <w:t>— </w:t>
            </w:r>
          </w:p>
        </w:tc>
        <w:tc>
          <w:tcPr>
            <w:tcW w:w="0" w:type="auto"/>
            <w:tcBorders>
              <w:bottom w:val="double" w:sz="6" w:space="0" w:color="000000"/>
            </w:tcBorders>
            <w:tcMar>
              <w:top w:w="30" w:type="dxa"/>
              <w:left w:w="0" w:type="dxa"/>
              <w:bottom w:w="30" w:type="dxa"/>
              <w:right w:w="20" w:type="dxa"/>
            </w:tcMar>
            <w:vAlign w:val="center"/>
            <w:hideMark/>
          </w:tcPr>
          <w:p w:rsidR="00000000" w:rsidRDefault="00FD7D3C">
            <w:pPr>
              <w:spacing w:after="100"/>
              <w:jc w:val="right"/>
              <w:rPr>
                <w:rFonts w:eastAsia="Times New Roman"/>
              </w:rPr>
            </w:pPr>
          </w:p>
        </w:tc>
      </w:tr>
    </w:tbl>
    <w:p w:rsidR="00000000" w:rsidRDefault="00FD7D3C">
      <w:pPr>
        <w:ind w:firstLine="720"/>
        <w:divId w:val="1445658879"/>
        <w:rPr>
          <w:rFonts w:eastAsia="Times New Roman"/>
        </w:rPr>
      </w:pPr>
      <w:r>
        <w:rPr>
          <w:rFonts w:eastAsia="Times New Roman"/>
          <w:color w:val="000000"/>
          <w:sz w:val="20"/>
          <w:szCs w:val="20"/>
        </w:rPr>
        <w:t>Net operating losses and tax credit carryforwards were as follows (in thousands):</w:t>
      </w:r>
    </w:p>
    <w:tbl>
      <w:tblPr>
        <w:tblW w:w="5000" w:type="pct"/>
        <w:tblCellMar>
          <w:top w:w="15" w:type="dxa"/>
          <w:left w:w="15" w:type="dxa"/>
          <w:bottom w:w="15" w:type="dxa"/>
          <w:right w:w="15" w:type="dxa"/>
        </w:tblCellMar>
        <w:tblLook w:val="04A0" w:firstRow="1" w:lastRow="0" w:firstColumn="1" w:lastColumn="0" w:noHBand="0" w:noVBand="1"/>
      </w:tblPr>
      <w:tblGrid>
        <w:gridCol w:w="54"/>
        <w:gridCol w:w="5933"/>
        <w:gridCol w:w="36"/>
        <w:gridCol w:w="120"/>
        <w:gridCol w:w="974"/>
        <w:gridCol w:w="36"/>
        <w:gridCol w:w="36"/>
        <w:gridCol w:w="36"/>
        <w:gridCol w:w="36"/>
        <w:gridCol w:w="60"/>
        <w:gridCol w:w="949"/>
        <w:gridCol w:w="36"/>
      </w:tblGrid>
      <w:tr w:rsidR="00000000">
        <w:trPr>
          <w:divId w:val="1577980824"/>
        </w:trPr>
        <w:tc>
          <w:tcPr>
            <w:tcW w:w="50" w:type="pct"/>
            <w:vAlign w:val="center"/>
            <w:hideMark/>
          </w:tcPr>
          <w:p w:rsidR="00000000" w:rsidRDefault="00FD7D3C">
            <w:pPr>
              <w:ind w:firstLine="720"/>
              <w:rPr>
                <w:rFonts w:eastAsia="Times New Roman"/>
              </w:rPr>
            </w:pPr>
          </w:p>
        </w:tc>
        <w:tc>
          <w:tcPr>
            <w:tcW w:w="3588"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604"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27"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604"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r>
      <w:tr w:rsidR="00000000">
        <w:trPr>
          <w:divId w:val="1577980824"/>
        </w:trPr>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December 31, 2021</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Expiration Year</w:t>
            </w:r>
          </w:p>
        </w:tc>
      </w:tr>
      <w:tr w:rsidR="00000000">
        <w:trPr>
          <w:divId w:val="1577980824"/>
        </w:trPr>
        <w:tc>
          <w:tcPr>
            <w:tcW w:w="0" w:type="auto"/>
            <w:gridSpan w:val="3"/>
            <w:shd w:val="clear" w:color="auto" w:fill="CFF0FC"/>
            <w:tcMar>
              <w:top w:w="30" w:type="dxa"/>
              <w:left w:w="20" w:type="dxa"/>
              <w:bottom w:w="30" w:type="dxa"/>
              <w:right w:w="20" w:type="dxa"/>
            </w:tcMar>
            <w:vAlign w:val="center"/>
            <w:hideMark/>
          </w:tcPr>
          <w:p w:rsidR="00000000" w:rsidRDefault="00FD7D3C">
            <w:pPr>
              <w:spacing w:after="100"/>
              <w:rPr>
                <w:rFonts w:eastAsia="Times New Roman"/>
              </w:rPr>
            </w:pPr>
            <w:r>
              <w:rPr>
                <w:rFonts w:eastAsia="Times New Roman"/>
                <w:color w:val="000000"/>
                <w:sz w:val="20"/>
                <w:szCs w:val="20"/>
              </w:rPr>
              <w:t>Net operating losses, federal (starting from January 1, 2018)</w:t>
            </w: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155,231 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3"/>
            <w:tcBorders>
              <w:top w:val="single" w:sz="8" w:space="0" w:color="000000"/>
            </w:tcBorders>
            <w:shd w:val="clear" w:color="auto" w:fill="CFF0FC"/>
            <w:tcMar>
              <w:top w:w="30" w:type="dxa"/>
              <w:left w:w="20" w:type="dxa"/>
              <w:bottom w:w="30" w:type="dxa"/>
              <w:right w:w="20" w:type="dxa"/>
            </w:tcMar>
            <w:vAlign w:val="center"/>
            <w:hideMark/>
          </w:tcPr>
          <w:p w:rsidR="00000000" w:rsidRDefault="00FD7D3C">
            <w:pPr>
              <w:spacing w:after="100"/>
              <w:jc w:val="center"/>
              <w:rPr>
                <w:rFonts w:eastAsia="Times New Roman"/>
              </w:rPr>
            </w:pPr>
            <w:r>
              <w:rPr>
                <w:rFonts w:eastAsia="Times New Roman"/>
                <w:color w:val="000000"/>
                <w:sz w:val="20"/>
                <w:szCs w:val="20"/>
              </w:rPr>
              <w:t>Does not expire</w:t>
            </w:r>
          </w:p>
        </w:tc>
      </w:tr>
      <w:tr w:rsidR="00000000">
        <w:trPr>
          <w:divId w:val="1577980824"/>
        </w:trPr>
        <w:tc>
          <w:tcPr>
            <w:tcW w:w="0" w:type="auto"/>
            <w:gridSpan w:val="3"/>
            <w:tcMar>
              <w:top w:w="30" w:type="dxa"/>
              <w:left w:w="20" w:type="dxa"/>
              <w:bottom w:w="30" w:type="dxa"/>
              <w:right w:w="20" w:type="dxa"/>
            </w:tcMar>
            <w:vAlign w:val="center"/>
            <w:hideMark/>
          </w:tcPr>
          <w:p w:rsidR="00000000" w:rsidRDefault="00FD7D3C">
            <w:pPr>
              <w:spacing w:after="100"/>
              <w:rPr>
                <w:rFonts w:eastAsia="Times New Roman"/>
              </w:rPr>
            </w:pPr>
            <w:r>
              <w:rPr>
                <w:rFonts w:eastAsia="Times New Roman"/>
                <w:color w:val="000000"/>
                <w:sz w:val="20"/>
                <w:szCs w:val="20"/>
              </w:rPr>
              <w:t>Net operating losses, federal (before January 1, 2018)</w:t>
            </w:r>
          </w:p>
        </w:tc>
        <w:tc>
          <w:tcPr>
            <w:tcW w:w="0" w:type="auto"/>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29,486 </w:t>
            </w:r>
          </w:p>
        </w:tc>
        <w:tc>
          <w:tcPr>
            <w:tcW w:w="0" w:type="auto"/>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FD7D3C">
            <w:pPr>
              <w:spacing w:after="100"/>
              <w:jc w:val="center"/>
              <w:rPr>
                <w:rFonts w:eastAsia="Times New Roman"/>
              </w:rPr>
            </w:pPr>
            <w:r>
              <w:rPr>
                <w:rFonts w:eastAsia="Times New Roman"/>
                <w:color w:val="000000"/>
                <w:sz w:val="20"/>
                <w:szCs w:val="20"/>
              </w:rPr>
              <w:t>2035-2037</w:t>
            </w:r>
          </w:p>
        </w:tc>
      </w:tr>
      <w:tr w:rsidR="00000000">
        <w:trPr>
          <w:divId w:val="1577980824"/>
        </w:trPr>
        <w:tc>
          <w:tcPr>
            <w:tcW w:w="0" w:type="auto"/>
            <w:gridSpan w:val="3"/>
            <w:shd w:val="clear" w:color="auto" w:fill="CFF0FC"/>
            <w:tcMar>
              <w:top w:w="30" w:type="dxa"/>
              <w:left w:w="20" w:type="dxa"/>
              <w:bottom w:w="30" w:type="dxa"/>
              <w:right w:w="20" w:type="dxa"/>
            </w:tcMar>
            <w:vAlign w:val="center"/>
            <w:hideMark/>
          </w:tcPr>
          <w:p w:rsidR="00000000" w:rsidRDefault="00FD7D3C">
            <w:pPr>
              <w:spacing w:after="100"/>
              <w:rPr>
                <w:rFonts w:eastAsia="Times New Roman"/>
              </w:rPr>
            </w:pPr>
            <w:r>
              <w:rPr>
                <w:rFonts w:eastAsia="Times New Roman"/>
                <w:color w:val="000000"/>
                <w:sz w:val="20"/>
                <w:szCs w:val="20"/>
              </w:rPr>
              <w:t>Net operating losses, state</w:t>
            </w:r>
          </w:p>
        </w:tc>
        <w:tc>
          <w:tcPr>
            <w:tcW w:w="0" w:type="auto"/>
            <w:shd w:val="clear" w:color="auto" w:fill="CFF0FC"/>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shd w:val="clear" w:color="auto" w:fill="CFF0FC"/>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182,964 </w:t>
            </w:r>
          </w:p>
        </w:tc>
        <w:tc>
          <w:tcPr>
            <w:tcW w:w="0" w:type="auto"/>
            <w:shd w:val="clear" w:color="auto" w:fill="CFF0FC"/>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3"/>
            <w:shd w:val="clear" w:color="auto" w:fill="CFF0FC"/>
            <w:tcMar>
              <w:top w:w="30" w:type="dxa"/>
              <w:left w:w="20" w:type="dxa"/>
              <w:bottom w:w="30" w:type="dxa"/>
              <w:right w:w="20" w:type="dxa"/>
            </w:tcMar>
            <w:vAlign w:val="center"/>
            <w:hideMark/>
          </w:tcPr>
          <w:p w:rsidR="00000000" w:rsidRDefault="00FD7D3C">
            <w:pPr>
              <w:spacing w:after="100"/>
              <w:jc w:val="center"/>
              <w:rPr>
                <w:rFonts w:eastAsia="Times New Roman"/>
              </w:rPr>
            </w:pPr>
            <w:r>
              <w:rPr>
                <w:rFonts w:eastAsia="Times New Roman"/>
                <w:color w:val="000000"/>
                <w:sz w:val="20"/>
                <w:szCs w:val="20"/>
              </w:rPr>
              <w:t>2035-2041</w:t>
            </w:r>
          </w:p>
        </w:tc>
      </w:tr>
      <w:tr w:rsidR="00000000">
        <w:trPr>
          <w:divId w:val="1577980824"/>
        </w:trPr>
        <w:tc>
          <w:tcPr>
            <w:tcW w:w="0" w:type="auto"/>
            <w:gridSpan w:val="3"/>
            <w:tcMar>
              <w:top w:w="30" w:type="dxa"/>
              <w:left w:w="20" w:type="dxa"/>
              <w:bottom w:w="30" w:type="dxa"/>
              <w:right w:w="20" w:type="dxa"/>
            </w:tcMar>
            <w:vAlign w:val="center"/>
            <w:hideMark/>
          </w:tcPr>
          <w:p w:rsidR="00000000" w:rsidRDefault="00FD7D3C">
            <w:pPr>
              <w:spacing w:after="100"/>
              <w:rPr>
                <w:rFonts w:eastAsia="Times New Roman"/>
              </w:rPr>
            </w:pPr>
            <w:r>
              <w:rPr>
                <w:rFonts w:eastAsia="Times New Roman"/>
                <w:color w:val="000000"/>
                <w:sz w:val="20"/>
                <w:szCs w:val="20"/>
              </w:rPr>
              <w:t>Tax credits, federal</w:t>
            </w:r>
          </w:p>
        </w:tc>
        <w:tc>
          <w:tcPr>
            <w:tcW w:w="0" w:type="auto"/>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14,094 </w:t>
            </w:r>
          </w:p>
        </w:tc>
        <w:tc>
          <w:tcPr>
            <w:tcW w:w="0" w:type="auto"/>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FD7D3C">
            <w:pPr>
              <w:spacing w:after="100"/>
              <w:jc w:val="center"/>
              <w:rPr>
                <w:rFonts w:eastAsia="Times New Roman"/>
              </w:rPr>
            </w:pPr>
            <w:r>
              <w:rPr>
                <w:rFonts w:eastAsia="Times New Roman"/>
                <w:color w:val="000000"/>
                <w:sz w:val="20"/>
                <w:szCs w:val="20"/>
              </w:rPr>
              <w:t>2036-2041</w:t>
            </w:r>
          </w:p>
        </w:tc>
      </w:tr>
      <w:tr w:rsidR="00000000">
        <w:trPr>
          <w:divId w:val="1577980824"/>
        </w:trPr>
        <w:tc>
          <w:tcPr>
            <w:tcW w:w="0" w:type="auto"/>
            <w:gridSpan w:val="3"/>
            <w:shd w:val="clear" w:color="auto" w:fill="CFF0FC"/>
            <w:tcMar>
              <w:top w:w="30" w:type="dxa"/>
              <w:left w:w="20" w:type="dxa"/>
              <w:bottom w:w="30" w:type="dxa"/>
              <w:right w:w="20" w:type="dxa"/>
            </w:tcMar>
            <w:vAlign w:val="bottom"/>
            <w:hideMark/>
          </w:tcPr>
          <w:p w:rsidR="00000000" w:rsidRDefault="00FD7D3C">
            <w:pPr>
              <w:spacing w:after="100"/>
              <w:rPr>
                <w:rFonts w:eastAsia="Times New Roman"/>
              </w:rPr>
            </w:pPr>
            <w:r>
              <w:rPr>
                <w:rFonts w:eastAsia="Times New Roman"/>
                <w:color w:val="000000"/>
                <w:sz w:val="20"/>
                <w:szCs w:val="20"/>
              </w:rPr>
              <w:t>Tax credits, state</w:t>
            </w:r>
          </w:p>
        </w:tc>
        <w:tc>
          <w:tcPr>
            <w:tcW w:w="0" w:type="auto"/>
            <w:shd w:val="clear" w:color="auto" w:fill="CFF0FC"/>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shd w:val="clear" w:color="auto" w:fill="CFF0FC"/>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4,069 </w:t>
            </w:r>
          </w:p>
        </w:tc>
        <w:tc>
          <w:tcPr>
            <w:tcW w:w="0" w:type="auto"/>
            <w:shd w:val="clear" w:color="auto" w:fill="CFF0FC"/>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3"/>
            <w:shd w:val="clear" w:color="auto" w:fill="CFF0FC"/>
            <w:tcMar>
              <w:top w:w="30" w:type="dxa"/>
              <w:left w:w="20" w:type="dxa"/>
              <w:bottom w:w="30" w:type="dxa"/>
              <w:right w:w="20" w:type="dxa"/>
            </w:tcMar>
            <w:vAlign w:val="center"/>
            <w:hideMark/>
          </w:tcPr>
          <w:p w:rsidR="00000000" w:rsidRDefault="00FD7D3C">
            <w:pPr>
              <w:spacing w:after="100"/>
              <w:jc w:val="center"/>
              <w:rPr>
                <w:rFonts w:eastAsia="Times New Roman"/>
              </w:rPr>
            </w:pPr>
            <w:r>
              <w:rPr>
                <w:rFonts w:eastAsia="Times New Roman"/>
                <w:color w:val="000000"/>
                <w:sz w:val="20"/>
                <w:szCs w:val="20"/>
              </w:rPr>
              <w:t>Does not expire</w:t>
            </w:r>
          </w:p>
        </w:tc>
      </w:tr>
    </w:tbl>
    <w:p w:rsidR="00000000" w:rsidRDefault="00FD7D3C">
      <w:pPr>
        <w:ind w:firstLine="720"/>
        <w:divId w:val="999775559"/>
        <w:rPr>
          <w:rFonts w:eastAsia="Times New Roman"/>
        </w:rPr>
      </w:pPr>
      <w:r>
        <w:rPr>
          <w:rFonts w:eastAsia="Times New Roman"/>
          <w:color w:val="000000"/>
          <w:sz w:val="20"/>
          <w:szCs w:val="20"/>
        </w:rPr>
        <w:t>Utilization of the net operating loss carryforwards and research credit carryforwards may be subject to an annual limitation due to the ownership percentage change limitations provided by the Internal Revenue Code (“IRC”) and similar state provisions. Annu</w:t>
      </w:r>
      <w:r>
        <w:rPr>
          <w:rFonts w:eastAsia="Times New Roman"/>
          <w:color w:val="000000"/>
          <w:sz w:val="20"/>
          <w:szCs w:val="20"/>
        </w:rPr>
        <w:t xml:space="preserve">al limitations may result in the expiration of the net operating losses and tax credit carryforwards before they are utilized. The Company performed a IRC Section 382 analysis through December 31, 2021 and does not expect any previous ownership changes to </w:t>
      </w:r>
      <w:r>
        <w:rPr>
          <w:rFonts w:eastAsia="Times New Roman"/>
          <w:color w:val="000000"/>
          <w:sz w:val="20"/>
          <w:szCs w:val="20"/>
        </w:rPr>
        <w:t xml:space="preserve">result in a limitation that will reduce the total amount of net operating loss and </w:t>
      </w:r>
    </w:p>
    <w:p w:rsidR="00000000" w:rsidRDefault="00FD7D3C">
      <w:pPr>
        <w:jc w:val="center"/>
        <w:divId w:val="232811132"/>
        <w:rPr>
          <w:rFonts w:eastAsia="Times New Roman"/>
        </w:rPr>
      </w:pPr>
      <w:r>
        <w:rPr>
          <w:rFonts w:eastAsia="Times New Roman"/>
          <w:color w:val="000000"/>
          <w:sz w:val="20"/>
          <w:szCs w:val="20"/>
        </w:rPr>
        <w:t>131</w:t>
      </w:r>
    </w:p>
    <w:p w:rsidR="00000000" w:rsidRDefault="00FD7D3C">
      <w:pPr>
        <w:rPr>
          <w:rFonts w:eastAsia="Times New Roman"/>
        </w:rPr>
      </w:pPr>
      <w:r>
        <w:rPr>
          <w:rFonts w:eastAsia="Times New Roman"/>
        </w:rPr>
        <w:pict>
          <v:rect id="_x0000_i1184" style="width:0;height:1.5pt" o:hralign="center" o:hrstd="t" o:hr="t" fillcolor="#a0a0a0" stroked="f"/>
        </w:pict>
      </w:r>
    </w:p>
    <w:p w:rsidR="00000000" w:rsidRDefault="00FD7D3C">
      <w:pPr>
        <w:divId w:val="1995335212"/>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divId w:val="637154402"/>
        <w:rPr>
          <w:rFonts w:eastAsia="Times New Roman"/>
        </w:rPr>
      </w:pPr>
      <w:r>
        <w:rPr>
          <w:rFonts w:eastAsia="Times New Roman"/>
          <w:color w:val="000000"/>
          <w:sz w:val="20"/>
          <w:szCs w:val="20"/>
        </w:rPr>
        <w:t>tax credit carryforwards disclosed that can be utilized. Subsequent ownership changes may affect the limitation in future years.</w:t>
      </w:r>
    </w:p>
    <w:p w:rsidR="00000000" w:rsidRDefault="00FD7D3C">
      <w:pPr>
        <w:ind w:firstLine="720"/>
        <w:divId w:val="988755274"/>
        <w:rPr>
          <w:rFonts w:eastAsia="Times New Roman"/>
        </w:rPr>
      </w:pPr>
      <w:r>
        <w:rPr>
          <w:rFonts w:eastAsia="Times New Roman"/>
          <w:color w:val="000000"/>
          <w:sz w:val="20"/>
          <w:szCs w:val="20"/>
        </w:rPr>
        <w:t>During the years ended December 31, 2021 and 2020, the Company recorded a full valuation allowance on federal and state deferre</w:t>
      </w:r>
      <w:r>
        <w:rPr>
          <w:rFonts w:eastAsia="Times New Roman"/>
          <w:color w:val="000000"/>
          <w:sz w:val="20"/>
          <w:szCs w:val="20"/>
        </w:rPr>
        <w:t xml:space="preserve">d balances since management does not forecast the Company to be in a profitable position in the near future. Changes in the valuation allowance for deferred tax assets during the years ended December 31, 2021 and 2020 related primarily to the increases in </w:t>
      </w:r>
      <w:r>
        <w:rPr>
          <w:rFonts w:eastAsia="Times New Roman"/>
          <w:color w:val="000000"/>
          <w:sz w:val="20"/>
          <w:szCs w:val="20"/>
        </w:rPr>
        <w:t>net operating loss carryforwards and research and development tax credit carryforwards and were as follows (in thousands):</w:t>
      </w:r>
    </w:p>
    <w:tbl>
      <w:tblPr>
        <w:tblW w:w="5000" w:type="pct"/>
        <w:tblCellMar>
          <w:top w:w="15" w:type="dxa"/>
          <w:left w:w="15" w:type="dxa"/>
          <w:bottom w:w="15" w:type="dxa"/>
          <w:right w:w="15" w:type="dxa"/>
        </w:tblCellMar>
        <w:tblLook w:val="04A0" w:firstRow="1" w:lastRow="0" w:firstColumn="1" w:lastColumn="0" w:noHBand="0" w:noVBand="1"/>
      </w:tblPr>
      <w:tblGrid>
        <w:gridCol w:w="41"/>
        <w:gridCol w:w="5920"/>
        <w:gridCol w:w="36"/>
        <w:gridCol w:w="120"/>
        <w:gridCol w:w="961"/>
        <w:gridCol w:w="36"/>
        <w:gridCol w:w="36"/>
        <w:gridCol w:w="36"/>
        <w:gridCol w:w="36"/>
        <w:gridCol w:w="120"/>
        <w:gridCol w:w="928"/>
        <w:gridCol w:w="36"/>
      </w:tblGrid>
      <w:tr w:rsidR="00000000">
        <w:trPr>
          <w:divId w:val="144707020"/>
        </w:trPr>
        <w:tc>
          <w:tcPr>
            <w:tcW w:w="50" w:type="pct"/>
            <w:vAlign w:val="center"/>
            <w:hideMark/>
          </w:tcPr>
          <w:p w:rsidR="00000000" w:rsidRDefault="00FD7D3C">
            <w:pPr>
              <w:ind w:firstLine="720"/>
              <w:rPr>
                <w:rFonts w:eastAsia="Times New Roman"/>
              </w:rPr>
            </w:pPr>
          </w:p>
        </w:tc>
        <w:tc>
          <w:tcPr>
            <w:tcW w:w="3588"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604"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27"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604"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r>
      <w:tr w:rsidR="00000000">
        <w:trPr>
          <w:divId w:val="144707020"/>
        </w:trPr>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Year Ended December 31,</w:t>
            </w:r>
          </w:p>
        </w:tc>
      </w:tr>
      <w:tr w:rsidR="00000000">
        <w:trPr>
          <w:divId w:val="144707020"/>
        </w:trPr>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2020</w:t>
            </w:r>
          </w:p>
        </w:tc>
      </w:tr>
      <w:tr w:rsidR="00000000">
        <w:trPr>
          <w:divId w:val="144707020"/>
        </w:trPr>
        <w:tc>
          <w:tcPr>
            <w:tcW w:w="0" w:type="auto"/>
            <w:gridSpan w:val="3"/>
            <w:shd w:val="clear" w:color="auto" w:fill="CCEEFF"/>
            <w:tcMar>
              <w:top w:w="30" w:type="dxa"/>
              <w:left w:w="20" w:type="dxa"/>
              <w:bottom w:w="30" w:type="dxa"/>
              <w:right w:w="20" w:type="dxa"/>
            </w:tcMar>
            <w:vAlign w:val="center"/>
            <w:hideMark/>
          </w:tcPr>
          <w:p w:rsidR="00000000" w:rsidRDefault="00FD7D3C">
            <w:pPr>
              <w:spacing w:after="100"/>
              <w:rPr>
                <w:rFonts w:eastAsia="Times New Roman"/>
              </w:rPr>
            </w:pPr>
            <w:r>
              <w:rPr>
                <w:rFonts w:eastAsia="Times New Roman"/>
                <w:color w:val="000000"/>
                <w:sz w:val="20"/>
                <w:szCs w:val="20"/>
              </w:rPr>
              <w:t>Valuation allowance at the beginning of the year</w:t>
            </w: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FD7D3C">
            <w:pPr>
              <w:spacing w:after="100"/>
              <w:jc w:val="right"/>
              <w:rPr>
                <w:rFonts w:eastAsia="Times New Roman"/>
              </w:rPr>
            </w:pPr>
            <w:r>
              <w:rPr>
                <w:rFonts w:eastAsia="Times New Roman"/>
                <w:color w:val="000000"/>
                <w:sz w:val="20"/>
                <w:szCs w:val="20"/>
              </w:rPr>
              <w:t>35,441 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FD7D3C">
            <w:pPr>
              <w:spacing w:after="100"/>
              <w:jc w:val="right"/>
              <w:rPr>
                <w:rFonts w:eastAsia="Times New Roman"/>
              </w:rPr>
            </w:pPr>
            <w:r>
              <w:rPr>
                <w:rFonts w:eastAsia="Times New Roman"/>
                <w:color w:val="000000"/>
                <w:sz w:val="20"/>
                <w:szCs w:val="20"/>
              </w:rPr>
              <w:t>21,929 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FD7D3C">
            <w:pPr>
              <w:spacing w:after="100"/>
              <w:jc w:val="right"/>
              <w:rPr>
                <w:rFonts w:eastAsia="Times New Roman"/>
              </w:rPr>
            </w:pPr>
          </w:p>
        </w:tc>
      </w:tr>
      <w:tr w:rsidR="00000000">
        <w:trPr>
          <w:divId w:val="144707020"/>
        </w:trPr>
        <w:tc>
          <w:tcPr>
            <w:tcW w:w="0" w:type="auto"/>
            <w:gridSpan w:val="3"/>
            <w:shd w:val="clear" w:color="auto" w:fill="FFFFFF"/>
            <w:tcMar>
              <w:top w:w="30" w:type="dxa"/>
              <w:left w:w="20" w:type="dxa"/>
              <w:bottom w:w="30" w:type="dxa"/>
              <w:right w:w="20" w:type="dxa"/>
            </w:tcMar>
            <w:vAlign w:val="center"/>
            <w:hideMark/>
          </w:tcPr>
          <w:p w:rsidR="00000000" w:rsidRDefault="00FD7D3C">
            <w:pPr>
              <w:spacing w:after="100"/>
              <w:rPr>
                <w:rFonts w:eastAsia="Times New Roman"/>
              </w:rPr>
            </w:pPr>
            <w:r>
              <w:rPr>
                <w:rFonts w:eastAsia="Times New Roman"/>
                <w:color w:val="000000"/>
                <w:sz w:val="20"/>
                <w:szCs w:val="20"/>
              </w:rPr>
              <w:t>Increases recorded to income tax provision</w:t>
            </w:r>
          </w:p>
        </w:tc>
        <w:tc>
          <w:tcPr>
            <w:tcW w:w="0" w:type="auto"/>
            <w:gridSpan w:val="2"/>
            <w:shd w:val="clear" w:color="auto" w:fill="FFFFFF"/>
            <w:tcMar>
              <w:top w:w="30" w:type="dxa"/>
              <w:left w:w="20" w:type="dxa"/>
              <w:bottom w:w="30" w:type="dxa"/>
              <w:right w:w="0" w:type="dxa"/>
            </w:tcMar>
            <w:vAlign w:val="center"/>
            <w:hideMark/>
          </w:tcPr>
          <w:p w:rsidR="00000000" w:rsidRDefault="00FD7D3C">
            <w:pPr>
              <w:spacing w:after="100"/>
              <w:jc w:val="right"/>
              <w:rPr>
                <w:rFonts w:eastAsia="Times New Roman"/>
              </w:rPr>
            </w:pPr>
            <w:r>
              <w:rPr>
                <w:rFonts w:eastAsia="Times New Roman"/>
                <w:color w:val="000000"/>
                <w:sz w:val="20"/>
                <w:szCs w:val="20"/>
              </w:rPr>
              <w:t>32,243 </w:t>
            </w:r>
          </w:p>
        </w:tc>
        <w:tc>
          <w:tcPr>
            <w:tcW w:w="0" w:type="auto"/>
            <w:shd w:val="clear" w:color="auto" w:fill="FFFFFF"/>
            <w:tcMar>
              <w:top w:w="30" w:type="dxa"/>
              <w:left w:w="0" w:type="dxa"/>
              <w:bottom w:w="30" w:type="dxa"/>
              <w:right w:w="20" w:type="dxa"/>
            </w:tcMar>
            <w:vAlign w:val="center"/>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FD7D3C">
            <w:pPr>
              <w:spacing w:after="100"/>
              <w:jc w:val="right"/>
              <w:rPr>
                <w:rFonts w:eastAsia="Times New Roman"/>
              </w:rPr>
            </w:pPr>
            <w:r>
              <w:rPr>
                <w:rFonts w:eastAsia="Times New Roman"/>
                <w:color w:val="000000"/>
                <w:sz w:val="20"/>
                <w:szCs w:val="20"/>
              </w:rPr>
              <w:t>13,512 </w:t>
            </w:r>
          </w:p>
        </w:tc>
        <w:tc>
          <w:tcPr>
            <w:tcW w:w="0" w:type="auto"/>
            <w:shd w:val="clear" w:color="auto" w:fill="FFFFFF"/>
            <w:tcMar>
              <w:top w:w="30" w:type="dxa"/>
              <w:left w:w="0" w:type="dxa"/>
              <w:bottom w:w="30" w:type="dxa"/>
              <w:right w:w="20" w:type="dxa"/>
            </w:tcMar>
            <w:vAlign w:val="center"/>
            <w:hideMark/>
          </w:tcPr>
          <w:p w:rsidR="00000000" w:rsidRDefault="00FD7D3C">
            <w:pPr>
              <w:spacing w:after="100"/>
              <w:jc w:val="right"/>
              <w:rPr>
                <w:rFonts w:eastAsia="Times New Roman"/>
              </w:rPr>
            </w:pPr>
          </w:p>
        </w:tc>
      </w:tr>
      <w:tr w:rsidR="00000000">
        <w:trPr>
          <w:divId w:val="144707020"/>
        </w:trPr>
        <w:tc>
          <w:tcPr>
            <w:tcW w:w="0" w:type="auto"/>
            <w:gridSpan w:val="3"/>
            <w:shd w:val="clear" w:color="auto" w:fill="CCEEFF"/>
            <w:tcMar>
              <w:top w:w="30" w:type="dxa"/>
              <w:left w:w="20" w:type="dxa"/>
              <w:bottom w:w="30" w:type="dxa"/>
              <w:right w:w="20" w:type="dxa"/>
            </w:tcMar>
            <w:vAlign w:val="center"/>
            <w:hideMark/>
          </w:tcPr>
          <w:p w:rsidR="00000000" w:rsidRDefault="00FD7D3C">
            <w:pPr>
              <w:spacing w:after="100"/>
              <w:rPr>
                <w:rFonts w:eastAsia="Times New Roman"/>
              </w:rPr>
            </w:pPr>
            <w:r>
              <w:rPr>
                <w:rFonts w:eastAsia="Times New Roman"/>
                <w:color w:val="000000"/>
                <w:sz w:val="20"/>
                <w:szCs w:val="20"/>
              </w:rPr>
              <w:t>Valuation allowance at the end of the year</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FD7D3C">
            <w:pPr>
              <w:spacing w:after="100"/>
              <w:jc w:val="right"/>
              <w:rPr>
                <w:rFonts w:eastAsia="Times New Roman"/>
              </w:rPr>
            </w:pPr>
            <w:r>
              <w:rPr>
                <w:rFonts w:eastAsia="Times New Roman"/>
                <w:color w:val="000000"/>
                <w:sz w:val="20"/>
                <w:szCs w:val="20"/>
              </w:rPr>
              <w:t>67,684 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FD7D3C">
            <w:pPr>
              <w:spacing w:after="100"/>
              <w:jc w:val="right"/>
              <w:rPr>
                <w:rFonts w:eastAsia="Times New Roman"/>
              </w:rPr>
            </w:pPr>
            <w:r>
              <w:rPr>
                <w:rFonts w:eastAsia="Times New Roman"/>
                <w:color w:val="000000"/>
                <w:sz w:val="20"/>
                <w:szCs w:val="20"/>
              </w:rPr>
              <w:t>35,441 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FD7D3C">
            <w:pPr>
              <w:spacing w:after="100"/>
              <w:jc w:val="right"/>
              <w:rPr>
                <w:rFonts w:eastAsia="Times New Roman"/>
              </w:rPr>
            </w:pPr>
          </w:p>
        </w:tc>
      </w:tr>
    </w:tbl>
    <w:p w:rsidR="00000000" w:rsidRDefault="00FD7D3C">
      <w:pPr>
        <w:ind w:firstLine="720"/>
        <w:divId w:val="1348097812"/>
        <w:rPr>
          <w:rFonts w:eastAsia="Times New Roman"/>
        </w:rPr>
      </w:pPr>
      <w:r>
        <w:rPr>
          <w:rFonts w:eastAsia="Times New Roman"/>
          <w:color w:val="000000"/>
          <w:sz w:val="20"/>
          <w:szCs w:val="20"/>
        </w:rPr>
        <w:t>The Company’</w:t>
      </w:r>
      <w:r>
        <w:rPr>
          <w:rFonts w:eastAsia="Times New Roman"/>
          <w:color w:val="000000"/>
          <w:sz w:val="20"/>
          <w:szCs w:val="20"/>
        </w:rPr>
        <w:t>s U.S. federal and state income tax returns are generally subject to tax examinations for the tax years ended December 31, 2017 through December 31, 2021. There are currently no pending income tax examinations. To the extent the Company has tax attribute c</w:t>
      </w:r>
      <w:r>
        <w:rPr>
          <w:rFonts w:eastAsia="Times New Roman"/>
          <w:color w:val="000000"/>
          <w:sz w:val="20"/>
          <w:szCs w:val="20"/>
        </w:rPr>
        <w:t>arryforwards, the tax years in which the attribute was generated may still be adjusted upon examination by the Internal Revenue Service and state tax authorities to the extent utilized in a future period.</w:t>
      </w:r>
    </w:p>
    <w:p w:rsidR="00000000" w:rsidRDefault="00FD7D3C">
      <w:pPr>
        <w:ind w:firstLine="720"/>
        <w:divId w:val="952518682"/>
        <w:rPr>
          <w:rFonts w:eastAsia="Times New Roman"/>
        </w:rPr>
      </w:pPr>
      <w:r>
        <w:rPr>
          <w:rFonts w:eastAsia="Times New Roman"/>
          <w:color w:val="000000"/>
          <w:sz w:val="20"/>
          <w:szCs w:val="20"/>
        </w:rPr>
        <w:t xml:space="preserve">The entire amount of the unrecognized tax benefits </w:t>
      </w:r>
      <w:r>
        <w:rPr>
          <w:rFonts w:eastAsia="Times New Roman"/>
          <w:color w:val="000000"/>
          <w:sz w:val="20"/>
          <w:szCs w:val="20"/>
        </w:rPr>
        <w:t>would not impact the Company’s effective tax rate if recognized. The Company's accounting policy is to include interest and penalties as a component of tax expense. During the years ended December 31, 2021, 2020 and 2019, the Company did not recognize accr</w:t>
      </w:r>
      <w:r>
        <w:rPr>
          <w:rFonts w:eastAsia="Times New Roman"/>
          <w:color w:val="000000"/>
          <w:sz w:val="20"/>
          <w:szCs w:val="20"/>
        </w:rPr>
        <w:t>ued interest and penalties related to unrecognized tax benefits. The Company does not anticipate that the amount of existing unrecognized tax benefits will significantly increase or decrease during the next 12 months.</w:t>
      </w:r>
    </w:p>
    <w:p w:rsidR="00000000" w:rsidRDefault="00FD7D3C">
      <w:pPr>
        <w:ind w:firstLine="720"/>
        <w:divId w:val="925186680"/>
        <w:rPr>
          <w:rFonts w:eastAsia="Times New Roman"/>
        </w:rPr>
      </w:pPr>
      <w:r>
        <w:rPr>
          <w:rFonts w:eastAsia="Times New Roman"/>
          <w:color w:val="000000"/>
          <w:sz w:val="20"/>
          <w:szCs w:val="20"/>
        </w:rPr>
        <w:t>A reconciliation of the beginning and ending amount of unrecognized tax benefits is as follows (in thousands):</w:t>
      </w:r>
    </w:p>
    <w:tbl>
      <w:tblPr>
        <w:tblW w:w="5000" w:type="pct"/>
        <w:tblCellMar>
          <w:top w:w="15" w:type="dxa"/>
          <w:left w:w="15" w:type="dxa"/>
          <w:bottom w:w="15" w:type="dxa"/>
          <w:right w:w="15" w:type="dxa"/>
        </w:tblCellMar>
        <w:tblLook w:val="04A0" w:firstRow="1" w:lastRow="0" w:firstColumn="1" w:lastColumn="0" w:noHBand="0" w:noVBand="1"/>
      </w:tblPr>
      <w:tblGrid>
        <w:gridCol w:w="39"/>
        <w:gridCol w:w="4749"/>
        <w:gridCol w:w="37"/>
        <w:gridCol w:w="120"/>
        <w:gridCol w:w="947"/>
        <w:gridCol w:w="36"/>
        <w:gridCol w:w="36"/>
        <w:gridCol w:w="36"/>
        <w:gridCol w:w="36"/>
        <w:gridCol w:w="120"/>
        <w:gridCol w:w="902"/>
        <w:gridCol w:w="36"/>
        <w:gridCol w:w="36"/>
        <w:gridCol w:w="36"/>
        <w:gridCol w:w="36"/>
        <w:gridCol w:w="120"/>
        <w:gridCol w:w="948"/>
        <w:gridCol w:w="36"/>
      </w:tblGrid>
      <w:tr w:rsidR="00000000">
        <w:trPr>
          <w:divId w:val="1407269136"/>
        </w:trPr>
        <w:tc>
          <w:tcPr>
            <w:tcW w:w="50" w:type="pct"/>
            <w:vAlign w:val="center"/>
            <w:hideMark/>
          </w:tcPr>
          <w:p w:rsidR="00000000" w:rsidRDefault="00FD7D3C">
            <w:pPr>
              <w:ind w:firstLine="720"/>
              <w:rPr>
                <w:rFonts w:eastAsia="Times New Roman"/>
              </w:rPr>
            </w:pPr>
          </w:p>
        </w:tc>
        <w:tc>
          <w:tcPr>
            <w:tcW w:w="2899"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604"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27"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604"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20"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604"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r>
      <w:tr w:rsidR="00000000">
        <w:trPr>
          <w:divId w:val="1407269136"/>
        </w:trPr>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Year Ended December 31,</w:t>
            </w:r>
          </w:p>
        </w:tc>
      </w:tr>
      <w:tr w:rsidR="00000000">
        <w:trPr>
          <w:divId w:val="1407269136"/>
        </w:trPr>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2019</w:t>
            </w:r>
          </w:p>
        </w:tc>
      </w:tr>
      <w:tr w:rsidR="00000000">
        <w:trPr>
          <w:divId w:val="1407269136"/>
        </w:trPr>
        <w:tc>
          <w:tcPr>
            <w:tcW w:w="0" w:type="auto"/>
            <w:gridSpan w:val="3"/>
            <w:shd w:val="clear" w:color="auto" w:fill="CCEEFF"/>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January 1</w:t>
            </w: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FD7D3C">
            <w:pPr>
              <w:spacing w:after="100"/>
              <w:jc w:val="right"/>
              <w:rPr>
                <w:rFonts w:eastAsia="Times New Roman"/>
              </w:rPr>
            </w:pPr>
            <w:r>
              <w:rPr>
                <w:rFonts w:eastAsia="Times New Roman"/>
                <w:color w:val="000000"/>
                <w:sz w:val="20"/>
                <w:szCs w:val="20"/>
              </w:rPr>
              <w:t>2,007 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FD7D3C">
            <w:pPr>
              <w:spacing w:after="100"/>
              <w:jc w:val="right"/>
              <w:rPr>
                <w:rFonts w:eastAsia="Times New Roman"/>
              </w:rPr>
            </w:pPr>
            <w:r>
              <w:rPr>
                <w:rFonts w:eastAsia="Times New Roman"/>
                <w:color w:val="000000"/>
                <w:sz w:val="20"/>
                <w:szCs w:val="20"/>
              </w:rPr>
              <w:t>1,355 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FD7D3C">
            <w:pPr>
              <w:spacing w:after="100"/>
              <w:jc w:val="right"/>
              <w:rPr>
                <w:rFonts w:eastAsia="Times New Roman"/>
              </w:rPr>
            </w:pPr>
            <w:r>
              <w:rPr>
                <w:rFonts w:eastAsia="Times New Roman"/>
                <w:color w:val="000000"/>
                <w:sz w:val="20"/>
                <w:szCs w:val="20"/>
              </w:rPr>
              <w:t>855 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FD7D3C">
            <w:pPr>
              <w:spacing w:after="100"/>
              <w:jc w:val="right"/>
              <w:rPr>
                <w:rFonts w:eastAsia="Times New Roman"/>
              </w:rPr>
            </w:pPr>
          </w:p>
        </w:tc>
      </w:tr>
      <w:tr w:rsidR="00000000">
        <w:trPr>
          <w:divId w:val="1407269136"/>
        </w:trPr>
        <w:tc>
          <w:tcPr>
            <w:tcW w:w="0" w:type="auto"/>
            <w:gridSpan w:val="3"/>
            <w:shd w:val="clear" w:color="auto" w:fill="FFFFFF"/>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Additions based on tax positions related to current year</w:t>
            </w:r>
          </w:p>
        </w:tc>
        <w:tc>
          <w:tcPr>
            <w:tcW w:w="0" w:type="auto"/>
            <w:gridSpan w:val="2"/>
            <w:shd w:val="clear" w:color="auto" w:fill="FFFFFF"/>
            <w:tcMar>
              <w:top w:w="30" w:type="dxa"/>
              <w:left w:w="20" w:type="dxa"/>
              <w:bottom w:w="30" w:type="dxa"/>
              <w:right w:w="0" w:type="dxa"/>
            </w:tcMar>
            <w:vAlign w:val="center"/>
            <w:hideMark/>
          </w:tcPr>
          <w:p w:rsidR="00000000" w:rsidRDefault="00FD7D3C">
            <w:pPr>
              <w:spacing w:after="100"/>
              <w:jc w:val="right"/>
              <w:rPr>
                <w:rFonts w:eastAsia="Times New Roman"/>
              </w:rPr>
            </w:pPr>
            <w:r>
              <w:rPr>
                <w:rFonts w:eastAsia="Times New Roman"/>
                <w:color w:val="000000"/>
                <w:sz w:val="20"/>
                <w:szCs w:val="20"/>
              </w:rPr>
              <w:t>1,081 </w:t>
            </w:r>
          </w:p>
        </w:tc>
        <w:tc>
          <w:tcPr>
            <w:tcW w:w="0" w:type="auto"/>
            <w:shd w:val="clear" w:color="auto" w:fill="FFFFFF"/>
            <w:tcMar>
              <w:top w:w="30" w:type="dxa"/>
              <w:left w:w="0" w:type="dxa"/>
              <w:bottom w:w="30" w:type="dxa"/>
              <w:right w:w="20" w:type="dxa"/>
            </w:tcMar>
            <w:vAlign w:val="center"/>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FD7D3C">
            <w:pPr>
              <w:spacing w:after="100"/>
              <w:jc w:val="right"/>
              <w:rPr>
                <w:rFonts w:eastAsia="Times New Roman"/>
              </w:rPr>
            </w:pPr>
            <w:r>
              <w:rPr>
                <w:rFonts w:eastAsia="Times New Roman"/>
                <w:color w:val="000000"/>
                <w:sz w:val="20"/>
                <w:szCs w:val="20"/>
              </w:rPr>
              <w:t>513 </w:t>
            </w:r>
          </w:p>
        </w:tc>
        <w:tc>
          <w:tcPr>
            <w:tcW w:w="0" w:type="auto"/>
            <w:shd w:val="clear" w:color="auto" w:fill="FFFFFF"/>
            <w:tcMar>
              <w:top w:w="30" w:type="dxa"/>
              <w:left w:w="0" w:type="dxa"/>
              <w:bottom w:w="30" w:type="dxa"/>
              <w:right w:w="20" w:type="dxa"/>
            </w:tcMar>
            <w:vAlign w:val="center"/>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FD7D3C">
            <w:pPr>
              <w:spacing w:after="100"/>
              <w:jc w:val="right"/>
              <w:rPr>
                <w:rFonts w:eastAsia="Times New Roman"/>
              </w:rPr>
            </w:pPr>
            <w:r>
              <w:rPr>
                <w:rFonts w:eastAsia="Times New Roman"/>
                <w:color w:val="000000"/>
                <w:sz w:val="20"/>
                <w:szCs w:val="20"/>
              </w:rPr>
              <w:t>570 </w:t>
            </w:r>
          </w:p>
        </w:tc>
        <w:tc>
          <w:tcPr>
            <w:tcW w:w="0" w:type="auto"/>
            <w:shd w:val="clear" w:color="auto" w:fill="FFFFFF"/>
            <w:tcMar>
              <w:top w:w="30" w:type="dxa"/>
              <w:left w:w="0" w:type="dxa"/>
              <w:bottom w:w="30" w:type="dxa"/>
              <w:right w:w="20" w:type="dxa"/>
            </w:tcMar>
            <w:vAlign w:val="center"/>
            <w:hideMark/>
          </w:tcPr>
          <w:p w:rsidR="00000000" w:rsidRDefault="00FD7D3C">
            <w:pPr>
              <w:spacing w:after="100"/>
              <w:jc w:val="right"/>
              <w:rPr>
                <w:rFonts w:eastAsia="Times New Roman"/>
              </w:rPr>
            </w:pPr>
          </w:p>
        </w:tc>
      </w:tr>
      <w:tr w:rsidR="00000000">
        <w:trPr>
          <w:divId w:val="1407269136"/>
        </w:trPr>
        <w:tc>
          <w:tcPr>
            <w:tcW w:w="0" w:type="auto"/>
            <w:gridSpan w:val="3"/>
            <w:shd w:val="clear" w:color="auto" w:fill="CCEEFF"/>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Additions (reductions) for tax positions of prior year</w:t>
            </w:r>
          </w:p>
        </w:tc>
        <w:tc>
          <w:tcPr>
            <w:tcW w:w="0" w:type="auto"/>
            <w:gridSpan w:val="2"/>
            <w:shd w:val="clear" w:color="auto" w:fill="CCEEFF"/>
            <w:tcMar>
              <w:top w:w="30" w:type="dxa"/>
              <w:left w:w="20" w:type="dxa"/>
              <w:bottom w:w="30" w:type="dxa"/>
              <w:right w:w="0" w:type="dxa"/>
            </w:tcMar>
            <w:vAlign w:val="center"/>
            <w:hideMark/>
          </w:tcPr>
          <w:p w:rsidR="00000000" w:rsidRDefault="00FD7D3C">
            <w:pPr>
              <w:spacing w:after="100"/>
              <w:jc w:val="right"/>
              <w:rPr>
                <w:rFonts w:eastAsia="Times New Roman"/>
              </w:rPr>
            </w:pPr>
            <w:r>
              <w:rPr>
                <w:rFonts w:eastAsia="Times New Roman"/>
                <w:color w:val="000000"/>
                <w:sz w:val="20"/>
                <w:szCs w:val="20"/>
              </w:rPr>
              <w:t>417 </w:t>
            </w:r>
          </w:p>
        </w:tc>
        <w:tc>
          <w:tcPr>
            <w:tcW w:w="0" w:type="auto"/>
            <w:shd w:val="clear" w:color="auto" w:fill="CCEEFF"/>
            <w:tcMar>
              <w:top w:w="30" w:type="dxa"/>
              <w:left w:w="0" w:type="dxa"/>
              <w:bottom w:w="30" w:type="dxa"/>
              <w:right w:w="20" w:type="dxa"/>
            </w:tcMar>
            <w:vAlign w:val="center"/>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FD7D3C">
            <w:pPr>
              <w:spacing w:after="100"/>
              <w:jc w:val="right"/>
              <w:rPr>
                <w:rFonts w:eastAsia="Times New Roman"/>
              </w:rPr>
            </w:pPr>
            <w:r>
              <w:rPr>
                <w:rFonts w:eastAsia="Times New Roman"/>
                <w:color w:val="000000"/>
                <w:sz w:val="20"/>
                <w:szCs w:val="20"/>
              </w:rPr>
              <w:t>139 </w:t>
            </w:r>
          </w:p>
        </w:tc>
        <w:tc>
          <w:tcPr>
            <w:tcW w:w="0" w:type="auto"/>
            <w:shd w:val="clear" w:color="auto" w:fill="CCEEFF"/>
            <w:tcMar>
              <w:top w:w="30" w:type="dxa"/>
              <w:left w:w="0" w:type="dxa"/>
              <w:bottom w:w="30" w:type="dxa"/>
              <w:right w:w="20" w:type="dxa"/>
            </w:tcMar>
            <w:vAlign w:val="center"/>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FD7D3C">
            <w:pPr>
              <w:spacing w:after="100"/>
              <w:jc w:val="right"/>
              <w:rPr>
                <w:rFonts w:eastAsia="Times New Roman"/>
              </w:rPr>
            </w:pPr>
            <w:r>
              <w:rPr>
                <w:rFonts w:eastAsia="Times New Roman"/>
                <w:color w:val="000000"/>
                <w:sz w:val="20"/>
                <w:szCs w:val="20"/>
              </w:rPr>
              <w:t>(70)</w:t>
            </w:r>
          </w:p>
        </w:tc>
        <w:tc>
          <w:tcPr>
            <w:tcW w:w="0" w:type="auto"/>
            <w:shd w:val="clear" w:color="auto" w:fill="CCEEFF"/>
            <w:tcMar>
              <w:top w:w="30" w:type="dxa"/>
              <w:left w:w="0" w:type="dxa"/>
              <w:bottom w:w="30" w:type="dxa"/>
              <w:right w:w="20" w:type="dxa"/>
            </w:tcMar>
            <w:vAlign w:val="center"/>
            <w:hideMark/>
          </w:tcPr>
          <w:p w:rsidR="00000000" w:rsidRDefault="00FD7D3C">
            <w:pPr>
              <w:spacing w:after="100"/>
              <w:jc w:val="right"/>
              <w:rPr>
                <w:rFonts w:eastAsia="Times New Roman"/>
              </w:rPr>
            </w:pPr>
          </w:p>
        </w:tc>
      </w:tr>
      <w:tr w:rsidR="00000000">
        <w:trPr>
          <w:divId w:val="1407269136"/>
        </w:trPr>
        <w:tc>
          <w:tcPr>
            <w:tcW w:w="0" w:type="auto"/>
            <w:gridSpan w:val="3"/>
            <w:shd w:val="clear" w:color="auto" w:fill="FFFFFF"/>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December 31</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FD7D3C">
            <w:pPr>
              <w:spacing w:after="100"/>
              <w:jc w:val="right"/>
              <w:rPr>
                <w:rFonts w:eastAsia="Times New Roman"/>
              </w:rPr>
            </w:pPr>
            <w:r>
              <w:rPr>
                <w:rFonts w:eastAsia="Times New Roman"/>
                <w:color w:val="000000"/>
                <w:sz w:val="20"/>
                <w:szCs w:val="20"/>
              </w:rPr>
              <w:t>3,505 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FD7D3C">
            <w:pPr>
              <w:spacing w:after="100"/>
              <w:jc w:val="right"/>
              <w:rPr>
                <w:rFonts w:eastAsia="Times New Roman"/>
              </w:rPr>
            </w:pPr>
            <w:r>
              <w:rPr>
                <w:rFonts w:eastAsia="Times New Roman"/>
                <w:color w:val="000000"/>
                <w:sz w:val="20"/>
                <w:szCs w:val="20"/>
              </w:rPr>
              <w:t>2,007 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FD7D3C">
            <w:pPr>
              <w:spacing w:after="100"/>
              <w:jc w:val="right"/>
              <w:rPr>
                <w:rFonts w:eastAsia="Times New Roman"/>
              </w:rPr>
            </w:pPr>
            <w:r>
              <w:rPr>
                <w:rFonts w:eastAsia="Times New Roman"/>
                <w:color w:val="000000"/>
                <w:sz w:val="20"/>
                <w:szCs w:val="20"/>
              </w:rPr>
              <w:t>1,355 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FD7D3C">
            <w:pPr>
              <w:spacing w:after="100"/>
              <w:jc w:val="right"/>
              <w:rPr>
                <w:rFonts w:eastAsia="Times New Roman"/>
              </w:rPr>
            </w:pPr>
          </w:p>
        </w:tc>
      </w:tr>
    </w:tbl>
    <w:p w:rsidR="00000000" w:rsidRDefault="00FD7D3C">
      <w:pPr>
        <w:ind w:firstLine="720"/>
        <w:divId w:val="663556936"/>
        <w:rPr>
          <w:rFonts w:eastAsia="Times New Roman"/>
        </w:rPr>
      </w:pPr>
      <w:r>
        <w:rPr>
          <w:rFonts w:eastAsia="Times New Roman"/>
          <w:color w:val="000000"/>
          <w:sz w:val="20"/>
          <w:szCs w:val="20"/>
        </w:rPr>
        <w:t>On March 27, 2020, the Coronavirus Aid, Relief, and Economic Security Act (the "Cares Act") was enacted. The CARES Act changed net loss carryforward and back provisions and the business interest ex</w:t>
      </w:r>
      <w:r>
        <w:rPr>
          <w:rFonts w:eastAsia="Times New Roman"/>
          <w:color w:val="000000"/>
          <w:sz w:val="20"/>
          <w:szCs w:val="20"/>
        </w:rPr>
        <w:t>penses limitation. The Company has evaluated the impact of the CARES Act and determined that none of the changes would result in a material cash benefit to the Company.</w:t>
      </w:r>
    </w:p>
    <w:p w:rsidR="00000000" w:rsidRDefault="00FD7D3C">
      <w:pPr>
        <w:ind w:hanging="720"/>
        <w:divId w:val="1313752583"/>
        <w:rPr>
          <w:rFonts w:eastAsia="Times New Roman"/>
        </w:rPr>
      </w:pPr>
      <w:r>
        <w:rPr>
          <w:rFonts w:eastAsia="Times New Roman"/>
          <w:b/>
          <w:bCs/>
          <w:color w:val="000000"/>
          <w:sz w:val="20"/>
          <w:szCs w:val="20"/>
        </w:rPr>
        <w:t>14.    Commitments and Contingencies</w:t>
      </w:r>
    </w:p>
    <w:p w:rsidR="00000000" w:rsidRDefault="00FD7D3C">
      <w:pPr>
        <w:divId w:val="510219614"/>
        <w:rPr>
          <w:rFonts w:eastAsia="Times New Roman"/>
        </w:rPr>
      </w:pPr>
      <w:r>
        <w:rPr>
          <w:rFonts w:eastAsia="Times New Roman"/>
          <w:b/>
          <w:bCs/>
          <w:i/>
          <w:iCs/>
          <w:color w:val="000000"/>
          <w:sz w:val="20"/>
          <w:szCs w:val="20"/>
        </w:rPr>
        <w:t>Purchase Commitments</w:t>
      </w:r>
    </w:p>
    <w:p w:rsidR="00000000" w:rsidRDefault="00FD7D3C">
      <w:pPr>
        <w:ind w:firstLine="720"/>
        <w:divId w:val="195238014"/>
        <w:rPr>
          <w:rFonts w:eastAsia="Times New Roman"/>
        </w:rPr>
      </w:pPr>
      <w:r>
        <w:rPr>
          <w:rFonts w:eastAsia="Times New Roman"/>
          <w:color w:val="000000"/>
          <w:sz w:val="20"/>
          <w:szCs w:val="20"/>
        </w:rPr>
        <w:t>The Company has contractual arrangements with research and development organizations and suppliers; however, these contracts are generally cancellable on 30 days’ notice and the obligations under these contracts are largely based on services performed.</w:t>
      </w:r>
    </w:p>
    <w:p w:rsidR="00000000" w:rsidRDefault="00FD7D3C">
      <w:pPr>
        <w:divId w:val="973094879"/>
        <w:rPr>
          <w:rFonts w:eastAsia="Times New Roman"/>
        </w:rPr>
      </w:pPr>
      <w:r>
        <w:rPr>
          <w:rFonts w:eastAsia="Times New Roman"/>
          <w:b/>
          <w:bCs/>
          <w:i/>
          <w:iCs/>
          <w:color w:val="000000"/>
          <w:sz w:val="20"/>
          <w:szCs w:val="20"/>
        </w:rPr>
        <w:t>License and Collaboration Agreements</w:t>
      </w:r>
    </w:p>
    <w:p w:rsidR="00000000" w:rsidRDefault="00FD7D3C">
      <w:pPr>
        <w:ind w:firstLine="720"/>
        <w:divId w:val="1889603353"/>
        <w:rPr>
          <w:rFonts w:eastAsia="Times New Roman"/>
        </w:rPr>
      </w:pPr>
      <w:r>
        <w:rPr>
          <w:rFonts w:eastAsia="Times New Roman"/>
          <w:color w:val="000000"/>
          <w:sz w:val="20"/>
          <w:szCs w:val="20"/>
        </w:rPr>
        <w:t>Potential payments related to the Company’s license and research agreements, including milestone and royalty payments, are detailed in Notes 6 and 7.</w:t>
      </w:r>
    </w:p>
    <w:p w:rsidR="00000000" w:rsidRDefault="00FD7D3C">
      <w:pPr>
        <w:divId w:val="1220095777"/>
        <w:rPr>
          <w:rFonts w:eastAsia="Times New Roman"/>
        </w:rPr>
      </w:pPr>
      <w:r>
        <w:rPr>
          <w:rFonts w:eastAsia="Times New Roman"/>
          <w:b/>
          <w:bCs/>
          <w:i/>
          <w:iCs/>
          <w:color w:val="000000"/>
          <w:sz w:val="20"/>
          <w:szCs w:val="20"/>
        </w:rPr>
        <w:t>Legal Proceedings</w:t>
      </w:r>
    </w:p>
    <w:p w:rsidR="00000000" w:rsidRDefault="00FD7D3C">
      <w:pPr>
        <w:ind w:firstLine="720"/>
        <w:divId w:val="359166371"/>
        <w:rPr>
          <w:rFonts w:eastAsia="Times New Roman"/>
        </w:rPr>
      </w:pPr>
      <w:r>
        <w:rPr>
          <w:rFonts w:eastAsia="Times New Roman"/>
          <w:color w:val="000000"/>
          <w:sz w:val="20"/>
          <w:szCs w:val="20"/>
        </w:rPr>
        <w:t xml:space="preserve">From time to time, the Company may become involved </w:t>
      </w:r>
      <w:r>
        <w:rPr>
          <w:rFonts w:eastAsia="Times New Roman"/>
          <w:color w:val="000000"/>
          <w:sz w:val="20"/>
          <w:szCs w:val="20"/>
        </w:rPr>
        <w:t>in legal proceedings arising from the ordinary course of business. The Company record a liability for such matters when it is probable that future losses will be incurred and that such losses can be reasonably estimated. Significant judgment by us is requi</w:t>
      </w:r>
      <w:r>
        <w:rPr>
          <w:rFonts w:eastAsia="Times New Roman"/>
          <w:color w:val="000000"/>
          <w:sz w:val="20"/>
          <w:szCs w:val="20"/>
        </w:rPr>
        <w:t>red to determine both probability and the estimated amount. Management is currently not aware of any legal matters that could have a material adverse effect on our financial position, results of operations or cash flows.</w:t>
      </w:r>
    </w:p>
    <w:p w:rsidR="00000000" w:rsidRDefault="00FD7D3C">
      <w:pPr>
        <w:jc w:val="center"/>
        <w:divId w:val="898057823"/>
        <w:rPr>
          <w:rFonts w:eastAsia="Times New Roman"/>
        </w:rPr>
      </w:pPr>
      <w:r>
        <w:rPr>
          <w:rFonts w:eastAsia="Times New Roman"/>
          <w:color w:val="000000"/>
          <w:sz w:val="20"/>
          <w:szCs w:val="20"/>
        </w:rPr>
        <w:t>132</w:t>
      </w:r>
    </w:p>
    <w:p w:rsidR="00000000" w:rsidRDefault="00FD7D3C">
      <w:pPr>
        <w:rPr>
          <w:rFonts w:eastAsia="Times New Roman"/>
        </w:rPr>
      </w:pPr>
      <w:r>
        <w:rPr>
          <w:rFonts w:eastAsia="Times New Roman"/>
        </w:rPr>
        <w:pict>
          <v:rect id="_x0000_i1185" style="width:0;height:1.5pt" o:hralign="center" o:hrstd="t" o:hr="t" fillcolor="#a0a0a0" stroked="f"/>
        </w:pict>
      </w:r>
    </w:p>
    <w:p w:rsidR="00000000" w:rsidRDefault="00FD7D3C">
      <w:pPr>
        <w:divId w:val="1330254532"/>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divId w:val="509374412"/>
        <w:rPr>
          <w:rFonts w:eastAsia="Times New Roman"/>
        </w:rPr>
      </w:pPr>
      <w:r>
        <w:rPr>
          <w:rFonts w:eastAsia="Times New Roman"/>
          <w:b/>
          <w:bCs/>
          <w:i/>
          <w:iCs/>
          <w:color w:val="000000"/>
          <w:sz w:val="20"/>
          <w:szCs w:val="20"/>
        </w:rPr>
        <w:t>Indemnification</w:t>
      </w:r>
    </w:p>
    <w:p w:rsidR="00000000" w:rsidRDefault="00FD7D3C">
      <w:pPr>
        <w:ind w:firstLine="720"/>
        <w:divId w:val="553546163"/>
        <w:rPr>
          <w:rFonts w:eastAsia="Times New Roman"/>
        </w:rPr>
      </w:pPr>
      <w:r>
        <w:rPr>
          <w:rFonts w:eastAsia="Times New Roman"/>
          <w:color w:val="000000"/>
          <w:sz w:val="20"/>
          <w:szCs w:val="20"/>
        </w:rPr>
        <w:t>In the ordinary course of business, the Company enters into agreements that may include indemnification provisions. Pursuant to such agreements, the Company m</w:t>
      </w:r>
      <w:r>
        <w:rPr>
          <w:rFonts w:eastAsia="Times New Roman"/>
          <w:color w:val="000000"/>
          <w:sz w:val="20"/>
          <w:szCs w:val="20"/>
        </w:rPr>
        <w:t>ay indemnify, hold harmless and defend an indemnified party for losses suffered or incurred by the indemnified party. Some of the provisions will limit losses to those arising from third party actions. In some cases, the indemnification will continue after</w:t>
      </w:r>
      <w:r>
        <w:rPr>
          <w:rFonts w:eastAsia="Times New Roman"/>
          <w:color w:val="000000"/>
          <w:sz w:val="20"/>
          <w:szCs w:val="20"/>
        </w:rPr>
        <w:t xml:space="preserve"> the termination of the agreement. The maximum potential amount of future payments the Company could be required to make under these provisions is not determinable. The Company has never incurred material costs to defend lawsuits or settle claims related t</w:t>
      </w:r>
      <w:r>
        <w:rPr>
          <w:rFonts w:eastAsia="Times New Roman"/>
          <w:color w:val="000000"/>
          <w:sz w:val="20"/>
          <w:szCs w:val="20"/>
        </w:rPr>
        <w:t>o these indemnification provisions. The Company has also entered into indemnification agreements with its directors and officers that may require the Company to indemnify its directors and officers against liabilities that may arise by reason of their stat</w:t>
      </w:r>
      <w:r>
        <w:rPr>
          <w:rFonts w:eastAsia="Times New Roman"/>
          <w:color w:val="000000"/>
          <w:sz w:val="20"/>
          <w:szCs w:val="20"/>
        </w:rPr>
        <w:t>us or service as directors or officers to the fullest extent permitted by Delaware corporate law. The Company currently has directors’ and officers’ insurance.</w:t>
      </w:r>
    </w:p>
    <w:p w:rsidR="00000000" w:rsidRDefault="00FD7D3C">
      <w:pPr>
        <w:divId w:val="91630812"/>
        <w:rPr>
          <w:rFonts w:eastAsia="Times New Roman"/>
        </w:rPr>
      </w:pPr>
    </w:p>
    <w:p w:rsidR="00000000" w:rsidRDefault="00FD7D3C">
      <w:pPr>
        <w:ind w:hanging="720"/>
        <w:divId w:val="402874717"/>
        <w:rPr>
          <w:rFonts w:eastAsia="Times New Roman"/>
        </w:rPr>
      </w:pPr>
      <w:r>
        <w:rPr>
          <w:rFonts w:eastAsia="Times New Roman"/>
          <w:b/>
          <w:bCs/>
          <w:color w:val="000000"/>
          <w:sz w:val="20"/>
          <w:szCs w:val="20"/>
        </w:rPr>
        <w:t>15.    Leases</w:t>
      </w:r>
    </w:p>
    <w:p w:rsidR="00000000" w:rsidRDefault="00FD7D3C">
      <w:pPr>
        <w:ind w:firstLine="720"/>
        <w:divId w:val="1243755525"/>
        <w:rPr>
          <w:rFonts w:eastAsia="Times New Roman"/>
        </w:rPr>
      </w:pPr>
      <w:r>
        <w:rPr>
          <w:rFonts w:eastAsia="Times New Roman"/>
          <w:color w:val="000000"/>
          <w:sz w:val="20"/>
          <w:szCs w:val="20"/>
        </w:rPr>
        <w:t>On January 1, 2021, the Company adopted ASC 842 and the following disclosures as</w:t>
      </w:r>
      <w:r>
        <w:rPr>
          <w:rFonts w:eastAsia="Times New Roman"/>
          <w:color w:val="000000"/>
          <w:sz w:val="20"/>
          <w:szCs w:val="20"/>
        </w:rPr>
        <w:t xml:space="preserve"> of and for the year ended December 31, 2021 are presented under ASC 842.</w:t>
      </w:r>
    </w:p>
    <w:p w:rsidR="00000000" w:rsidRDefault="00FD7D3C">
      <w:pPr>
        <w:ind w:firstLine="720"/>
        <w:divId w:val="877819968"/>
        <w:rPr>
          <w:rFonts w:eastAsia="Times New Roman"/>
        </w:rPr>
      </w:pPr>
      <w:r>
        <w:rPr>
          <w:rFonts w:eastAsia="Times New Roman"/>
          <w:color w:val="000000"/>
          <w:sz w:val="20"/>
          <w:szCs w:val="20"/>
        </w:rPr>
        <w:t xml:space="preserve">In February 2018, the Company entered into a non-cancelable lease agreement (the “Lease”) for premises consisting of approximately 32,974 square feet located in South San Francisco, </w:t>
      </w:r>
      <w:r>
        <w:rPr>
          <w:rFonts w:eastAsia="Times New Roman"/>
          <w:color w:val="000000"/>
          <w:sz w:val="20"/>
          <w:szCs w:val="20"/>
        </w:rPr>
        <w:t>California (the “Premises”). The Company moved into the Premises in July 2018. The Premises is being used for the Company’s corporate headquarters and principal operating facility. The term of the Lease is eighty-four months, which commenced on July 1, 201</w:t>
      </w:r>
      <w:r>
        <w:rPr>
          <w:rFonts w:eastAsia="Times New Roman"/>
          <w:color w:val="000000"/>
          <w:sz w:val="20"/>
          <w:szCs w:val="20"/>
        </w:rPr>
        <w:t>8. Base rent was abated for the first two months of the lease term and thereafter is $0.2 million per month during the first year of the lease term, with specified annual increases thereafter. The Company paid a refundable security deposit of approximately</w:t>
      </w:r>
      <w:r>
        <w:rPr>
          <w:rFonts w:eastAsia="Times New Roman"/>
          <w:color w:val="000000"/>
          <w:sz w:val="20"/>
          <w:szCs w:val="20"/>
        </w:rPr>
        <w:t xml:space="preserve"> $0.4 million, which is included in other non-current assets in the Balance Sheets at December 31, 2021 and 2020. The Company has the right to extend the lease term by seven years upon written notice not more than twelve months nor less than nine months pr</w:t>
      </w:r>
      <w:r>
        <w:rPr>
          <w:rFonts w:eastAsia="Times New Roman"/>
          <w:color w:val="000000"/>
          <w:sz w:val="20"/>
          <w:szCs w:val="20"/>
        </w:rPr>
        <w:t xml:space="preserve">ior to the expiration of the original lease term, with monthly payments equal to the “fair rental value” as defined in the Lease. The exercise of lease renewal options is at the sole discretion of the Company and is not included in the ROU asset and lease </w:t>
      </w:r>
      <w:r>
        <w:rPr>
          <w:rFonts w:eastAsia="Times New Roman"/>
          <w:color w:val="000000"/>
          <w:sz w:val="20"/>
          <w:szCs w:val="20"/>
        </w:rPr>
        <w:t>liability as it is not reasonably certain of exercise. This lease does not contain material variable rent payments, residual value guarantees, covenants, or other restrictions.</w:t>
      </w:r>
    </w:p>
    <w:p w:rsidR="00000000" w:rsidRDefault="00FD7D3C">
      <w:pPr>
        <w:ind w:firstLine="720"/>
        <w:divId w:val="1756317303"/>
        <w:rPr>
          <w:rFonts w:eastAsia="Times New Roman"/>
        </w:rPr>
      </w:pPr>
      <w:r>
        <w:rPr>
          <w:rFonts w:eastAsia="Times New Roman"/>
          <w:color w:val="000000"/>
          <w:sz w:val="20"/>
          <w:szCs w:val="20"/>
        </w:rPr>
        <w:t>For the year ended December 31, 2021, the Company recognized expenses associate</w:t>
      </w:r>
      <w:r>
        <w:rPr>
          <w:rFonts w:eastAsia="Times New Roman"/>
          <w:color w:val="000000"/>
          <w:sz w:val="20"/>
          <w:szCs w:val="20"/>
        </w:rPr>
        <w:t>d with the operating leases of $2.3 million. Additionally, the Company incurred variable lease costs of $0.9 million which is comprised primarily of the Company's proportionate share of operating expenses, property taxes, and insurance. Short-term lease ex</w:t>
      </w:r>
      <w:r>
        <w:rPr>
          <w:rFonts w:eastAsia="Times New Roman"/>
          <w:color w:val="000000"/>
          <w:sz w:val="20"/>
          <w:szCs w:val="20"/>
        </w:rPr>
        <w:t>pense and variable lease payments recorded in operating expenses were immaterial for the year ended December 31, 2021. Cash paid for amounts included in the measurement of operating lease liabilities was $2.4 million.</w:t>
      </w:r>
    </w:p>
    <w:p w:rsidR="00000000" w:rsidRDefault="00FD7D3C">
      <w:pPr>
        <w:ind w:firstLine="720"/>
        <w:divId w:val="1461991872"/>
        <w:rPr>
          <w:rFonts w:eastAsia="Times New Roman"/>
        </w:rPr>
      </w:pPr>
      <w:r>
        <w:rPr>
          <w:rFonts w:eastAsia="Times New Roman"/>
          <w:color w:val="000000"/>
          <w:sz w:val="20"/>
          <w:szCs w:val="20"/>
        </w:rPr>
        <w:t xml:space="preserve">Maturities of the Company's operating </w:t>
      </w:r>
      <w:r>
        <w:rPr>
          <w:rFonts w:eastAsia="Times New Roman"/>
          <w:color w:val="000000"/>
          <w:sz w:val="20"/>
          <w:szCs w:val="20"/>
        </w:rPr>
        <w:t>lease liability as of December 31, 2021 were as follows:</w:t>
      </w:r>
    </w:p>
    <w:tbl>
      <w:tblPr>
        <w:tblW w:w="5000" w:type="pct"/>
        <w:tblCellMar>
          <w:top w:w="15" w:type="dxa"/>
          <w:left w:w="15" w:type="dxa"/>
          <w:bottom w:w="15" w:type="dxa"/>
          <w:right w:w="15" w:type="dxa"/>
        </w:tblCellMar>
        <w:tblLook w:val="04A0" w:firstRow="1" w:lastRow="0" w:firstColumn="1" w:lastColumn="0" w:noHBand="0" w:noVBand="1"/>
      </w:tblPr>
      <w:tblGrid>
        <w:gridCol w:w="45"/>
        <w:gridCol w:w="6266"/>
        <w:gridCol w:w="37"/>
        <w:gridCol w:w="36"/>
        <w:gridCol w:w="36"/>
        <w:gridCol w:w="36"/>
        <w:gridCol w:w="121"/>
        <w:gridCol w:w="1693"/>
        <w:gridCol w:w="36"/>
      </w:tblGrid>
      <w:tr w:rsidR="00000000">
        <w:trPr>
          <w:divId w:val="1965302967"/>
        </w:trPr>
        <w:tc>
          <w:tcPr>
            <w:tcW w:w="50" w:type="pct"/>
            <w:vAlign w:val="center"/>
            <w:hideMark/>
          </w:tcPr>
          <w:p w:rsidR="00000000" w:rsidRDefault="00FD7D3C">
            <w:pPr>
              <w:ind w:firstLine="720"/>
              <w:rPr>
                <w:rFonts w:eastAsia="Times New Roman"/>
              </w:rPr>
            </w:pPr>
          </w:p>
        </w:tc>
        <w:tc>
          <w:tcPr>
            <w:tcW w:w="3793"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27"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1058"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r>
      <w:tr w:rsidR="00000000">
        <w:trPr>
          <w:divId w:val="1965302967"/>
        </w:trPr>
        <w:tc>
          <w:tcPr>
            <w:tcW w:w="0" w:type="auto"/>
            <w:gridSpan w:val="3"/>
            <w:tcMar>
              <w:top w:w="30" w:type="dxa"/>
              <w:left w:w="20" w:type="dxa"/>
              <w:bottom w:w="30" w:type="dxa"/>
              <w:right w:w="20" w:type="dxa"/>
            </w:tcMar>
            <w:vAlign w:val="bottom"/>
            <w:hideMark/>
          </w:tcPr>
          <w:p w:rsidR="00000000" w:rsidRDefault="00FD7D3C">
            <w:pPr>
              <w:spacing w:after="100"/>
              <w:rPr>
                <w:rFonts w:eastAsia="Times New Roman"/>
              </w:rPr>
            </w:pPr>
            <w:r>
              <w:rPr>
                <w:rFonts w:eastAsia="Times New Roman"/>
                <w:b/>
                <w:bCs/>
                <w:color w:val="000000"/>
                <w:sz w:val="16"/>
                <w:szCs w:val="16"/>
              </w:rPr>
              <w:t>Year ending December 31:</w:t>
            </w: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Operating Lease</w:t>
            </w:r>
          </w:p>
        </w:tc>
      </w:tr>
      <w:tr w:rsidR="00000000">
        <w:trPr>
          <w:divId w:val="1965302967"/>
        </w:trPr>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2022</w:t>
            </w: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2,360 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1965302967"/>
        </w:trPr>
        <w:tc>
          <w:tcPr>
            <w:tcW w:w="0" w:type="auto"/>
            <w:gridSpan w:val="3"/>
            <w:shd w:val="clear" w:color="auto" w:fill="FFFFFF"/>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2023</w:t>
            </w: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2,295 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1965302967"/>
        </w:trPr>
        <w:tc>
          <w:tcPr>
            <w:tcW w:w="0" w:type="auto"/>
            <w:gridSpan w:val="3"/>
            <w:shd w:val="clear" w:color="auto" w:fill="CCEEFF"/>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2024</w:t>
            </w: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2,365 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1965302967"/>
        </w:trPr>
        <w:tc>
          <w:tcPr>
            <w:tcW w:w="0" w:type="auto"/>
            <w:gridSpan w:val="3"/>
            <w:shd w:val="clear" w:color="auto" w:fill="FFFFFF"/>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2025</w:t>
            </w: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1,202 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1965302967"/>
        </w:trPr>
        <w:tc>
          <w:tcPr>
            <w:tcW w:w="0" w:type="auto"/>
            <w:gridSpan w:val="3"/>
            <w:shd w:val="clear" w:color="auto" w:fill="CCEEFF"/>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2026</w:t>
            </w: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1965302967"/>
        </w:trPr>
        <w:tc>
          <w:tcPr>
            <w:tcW w:w="0" w:type="auto"/>
            <w:gridSpan w:val="3"/>
            <w:shd w:val="clear" w:color="auto" w:fill="FFFFFF"/>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Total lease payments</w:t>
            </w: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8,222 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1965302967"/>
        </w:trPr>
        <w:tc>
          <w:tcPr>
            <w:tcW w:w="0" w:type="auto"/>
            <w:gridSpan w:val="3"/>
            <w:shd w:val="clear" w:color="auto" w:fill="CCEEFF"/>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Less: Present value discount</w:t>
            </w: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1,028 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1965302967"/>
        </w:trPr>
        <w:tc>
          <w:tcPr>
            <w:tcW w:w="0" w:type="auto"/>
            <w:gridSpan w:val="3"/>
            <w:shd w:val="clear" w:color="auto" w:fill="FFFFFF"/>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Total operating lease liabilities</w:t>
            </w: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7,194 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r>
    </w:tbl>
    <w:p w:rsidR="00000000" w:rsidRDefault="00FD7D3C">
      <w:pPr>
        <w:ind w:firstLine="720"/>
        <w:divId w:val="353461129"/>
        <w:rPr>
          <w:rFonts w:eastAsia="Times New Roman"/>
        </w:rPr>
      </w:pPr>
      <w:r>
        <w:rPr>
          <w:rFonts w:eastAsia="Times New Roman"/>
          <w:color w:val="000000"/>
          <w:sz w:val="20"/>
          <w:szCs w:val="20"/>
        </w:rPr>
        <w:t>The weighted-average remaining lease terms and discount rates related to the Company's operating leases were 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6244"/>
        <w:gridCol w:w="36"/>
        <w:gridCol w:w="36"/>
        <w:gridCol w:w="36"/>
        <w:gridCol w:w="36"/>
        <w:gridCol w:w="37"/>
        <w:gridCol w:w="1657"/>
        <w:gridCol w:w="187"/>
      </w:tblGrid>
      <w:tr w:rsidR="00000000">
        <w:trPr>
          <w:divId w:val="188223785"/>
        </w:trPr>
        <w:tc>
          <w:tcPr>
            <w:tcW w:w="50" w:type="pct"/>
            <w:vAlign w:val="center"/>
            <w:hideMark/>
          </w:tcPr>
          <w:p w:rsidR="00000000" w:rsidRDefault="00FD7D3C">
            <w:pPr>
              <w:ind w:firstLine="720"/>
              <w:rPr>
                <w:rFonts w:eastAsia="Times New Roman"/>
              </w:rPr>
            </w:pPr>
          </w:p>
        </w:tc>
        <w:tc>
          <w:tcPr>
            <w:tcW w:w="3793"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27"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1058"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r>
      <w:tr w:rsidR="00000000">
        <w:trPr>
          <w:divId w:val="188223785"/>
        </w:trPr>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As of December 31, 2021</w:t>
            </w:r>
          </w:p>
        </w:tc>
      </w:tr>
      <w:tr w:rsidR="00000000">
        <w:trPr>
          <w:divId w:val="188223785"/>
        </w:trPr>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Weighted-average remaining lease term (in years)</w:t>
            </w: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tcBorders>
              <w:top w:val="single" w:sz="8" w:space="0" w:color="000000"/>
            </w:tcBorders>
            <w:shd w:val="clear" w:color="auto" w:fill="CFF0FC"/>
            <w:tcMar>
              <w:top w:w="30" w:type="dxa"/>
              <w:left w:w="20" w:type="dxa"/>
              <w:bottom w:w="30" w:type="dxa"/>
              <w:right w:w="20" w:type="dxa"/>
            </w:tcMar>
            <w:vAlign w:val="bottom"/>
            <w:hideMark/>
          </w:tcPr>
          <w:p w:rsidR="00000000" w:rsidRDefault="00FD7D3C">
            <w:pPr>
              <w:spacing w:after="100"/>
              <w:jc w:val="right"/>
              <w:rPr>
                <w:rFonts w:eastAsia="Times New Roman"/>
              </w:rPr>
            </w:pPr>
            <w:r>
              <w:rPr>
                <w:rFonts w:eastAsia="Times New Roman"/>
                <w:color w:val="000000"/>
                <w:sz w:val="20"/>
                <w:szCs w:val="20"/>
              </w:rPr>
              <w:t>3.40</w:t>
            </w:r>
          </w:p>
        </w:tc>
      </w:tr>
      <w:tr w:rsidR="00000000">
        <w:trPr>
          <w:divId w:val="188223785"/>
        </w:trPr>
        <w:tc>
          <w:tcPr>
            <w:tcW w:w="0" w:type="auto"/>
            <w:gridSpan w:val="3"/>
            <w:shd w:val="clear" w:color="auto" w:fill="FFFFFF"/>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Weighted-average discount rate</w:t>
            </w: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7.90 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r>
              <w:rPr>
                <w:rFonts w:eastAsia="Times New Roman"/>
                <w:color w:val="000000"/>
                <w:sz w:val="20"/>
                <w:szCs w:val="20"/>
              </w:rPr>
              <w:t>%</w:t>
            </w:r>
          </w:p>
        </w:tc>
      </w:tr>
    </w:tbl>
    <w:p w:rsidR="00000000" w:rsidRDefault="00FD7D3C">
      <w:pPr>
        <w:ind w:firstLine="720"/>
        <w:divId w:val="1645085864"/>
        <w:rPr>
          <w:rFonts w:eastAsia="Times New Roman"/>
        </w:rPr>
      </w:pPr>
      <w:r>
        <w:rPr>
          <w:rFonts w:eastAsia="Times New Roman"/>
          <w:color w:val="000000"/>
          <w:sz w:val="20"/>
          <w:szCs w:val="20"/>
        </w:rPr>
        <w:t xml:space="preserve">Total rent expense under ASC 840 was $2.5 million during each of the years ending December 31, 2020 and 2019. </w:t>
      </w:r>
    </w:p>
    <w:p w:rsidR="00000000" w:rsidRDefault="00FD7D3C">
      <w:pPr>
        <w:jc w:val="center"/>
        <w:divId w:val="917863134"/>
        <w:rPr>
          <w:rFonts w:eastAsia="Times New Roman"/>
        </w:rPr>
      </w:pPr>
      <w:r>
        <w:rPr>
          <w:rFonts w:eastAsia="Times New Roman"/>
          <w:color w:val="000000"/>
          <w:sz w:val="20"/>
          <w:szCs w:val="20"/>
        </w:rPr>
        <w:t>133</w:t>
      </w:r>
    </w:p>
    <w:p w:rsidR="00000000" w:rsidRDefault="00FD7D3C">
      <w:pPr>
        <w:rPr>
          <w:rFonts w:eastAsia="Times New Roman"/>
        </w:rPr>
      </w:pPr>
      <w:r>
        <w:rPr>
          <w:rFonts w:eastAsia="Times New Roman"/>
        </w:rPr>
        <w:pict>
          <v:rect id="_x0000_i1186" style="width:0;height:1.5pt" o:hralign="center" o:hrstd="t" o:hr="t" fillcolor="#a0a0a0" stroked="f"/>
        </w:pict>
      </w:r>
    </w:p>
    <w:p w:rsidR="00000000" w:rsidRDefault="00FD7D3C">
      <w:pPr>
        <w:divId w:val="1100759281"/>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ind w:firstLine="720"/>
        <w:divId w:val="1488748431"/>
        <w:rPr>
          <w:rFonts w:eastAsia="Times New Roman"/>
        </w:rPr>
      </w:pPr>
      <w:r>
        <w:rPr>
          <w:rFonts w:eastAsia="Times New Roman"/>
          <w:color w:val="000000"/>
          <w:sz w:val="20"/>
          <w:szCs w:val="20"/>
        </w:rPr>
        <w:t xml:space="preserve">Future minimum lease payments under the Lease as of December 31, 2021 were as follows (in thousands): </w:t>
      </w:r>
    </w:p>
    <w:tbl>
      <w:tblPr>
        <w:tblW w:w="5000" w:type="pct"/>
        <w:tblCellMar>
          <w:top w:w="15" w:type="dxa"/>
          <w:left w:w="15" w:type="dxa"/>
          <w:bottom w:w="15" w:type="dxa"/>
          <w:right w:w="15" w:type="dxa"/>
        </w:tblCellMar>
        <w:tblLook w:val="04A0" w:firstRow="1" w:lastRow="0" w:firstColumn="1" w:lastColumn="0" w:noHBand="0" w:noVBand="1"/>
      </w:tblPr>
      <w:tblGrid>
        <w:gridCol w:w="45"/>
        <w:gridCol w:w="6266"/>
        <w:gridCol w:w="37"/>
        <w:gridCol w:w="36"/>
        <w:gridCol w:w="36"/>
        <w:gridCol w:w="36"/>
        <w:gridCol w:w="121"/>
        <w:gridCol w:w="1693"/>
        <w:gridCol w:w="36"/>
      </w:tblGrid>
      <w:tr w:rsidR="00000000">
        <w:trPr>
          <w:divId w:val="1636718116"/>
        </w:trPr>
        <w:tc>
          <w:tcPr>
            <w:tcW w:w="50" w:type="pct"/>
            <w:vAlign w:val="center"/>
            <w:hideMark/>
          </w:tcPr>
          <w:p w:rsidR="00000000" w:rsidRDefault="00FD7D3C">
            <w:pPr>
              <w:ind w:firstLine="720"/>
              <w:rPr>
                <w:rFonts w:eastAsia="Times New Roman"/>
              </w:rPr>
            </w:pPr>
          </w:p>
        </w:tc>
        <w:tc>
          <w:tcPr>
            <w:tcW w:w="3793"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27"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1058"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r>
      <w:tr w:rsidR="00000000">
        <w:trPr>
          <w:divId w:val="1636718116"/>
        </w:trPr>
        <w:tc>
          <w:tcPr>
            <w:tcW w:w="0" w:type="auto"/>
            <w:gridSpan w:val="3"/>
            <w:tcMar>
              <w:top w:w="30" w:type="dxa"/>
              <w:left w:w="20" w:type="dxa"/>
              <w:bottom w:w="30" w:type="dxa"/>
              <w:right w:w="20" w:type="dxa"/>
            </w:tcMar>
            <w:vAlign w:val="bottom"/>
            <w:hideMark/>
          </w:tcPr>
          <w:p w:rsidR="00000000" w:rsidRDefault="00FD7D3C">
            <w:pPr>
              <w:spacing w:after="100"/>
              <w:rPr>
                <w:rFonts w:eastAsia="Times New Roman"/>
              </w:rPr>
            </w:pPr>
            <w:r>
              <w:rPr>
                <w:rFonts w:eastAsia="Times New Roman"/>
                <w:b/>
                <w:bCs/>
                <w:color w:val="000000"/>
                <w:sz w:val="16"/>
                <w:szCs w:val="16"/>
              </w:rPr>
              <w:t>Year ending December 31:</w:t>
            </w: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Operating Lease</w:t>
            </w:r>
          </w:p>
        </w:tc>
      </w:tr>
      <w:tr w:rsidR="00000000">
        <w:trPr>
          <w:divId w:val="1636718116"/>
        </w:trPr>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2022</w:t>
            </w: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2,098 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1636718116"/>
        </w:trPr>
        <w:tc>
          <w:tcPr>
            <w:tcW w:w="0" w:type="auto"/>
            <w:gridSpan w:val="3"/>
            <w:shd w:val="clear" w:color="auto" w:fill="FFFFFF"/>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2023</w:t>
            </w: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2,171 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1636718116"/>
        </w:trPr>
        <w:tc>
          <w:tcPr>
            <w:tcW w:w="0" w:type="auto"/>
            <w:gridSpan w:val="3"/>
            <w:shd w:val="clear" w:color="auto" w:fill="CCEEFF"/>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2024</w:t>
            </w: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2,247 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1636718116"/>
        </w:trPr>
        <w:tc>
          <w:tcPr>
            <w:tcW w:w="0" w:type="auto"/>
            <w:gridSpan w:val="3"/>
            <w:shd w:val="clear" w:color="auto" w:fill="FFFFFF"/>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2025</w:t>
            </w: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1,144 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1636718116"/>
        </w:trPr>
        <w:tc>
          <w:tcPr>
            <w:tcW w:w="0" w:type="auto"/>
            <w:gridSpan w:val="3"/>
            <w:shd w:val="clear" w:color="auto" w:fill="CCEEFF"/>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Total lease payments</w:t>
            </w: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7,660 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r>
    </w:tbl>
    <w:p w:rsidR="00000000" w:rsidRDefault="00FD7D3C">
      <w:pPr>
        <w:ind w:firstLine="720"/>
        <w:divId w:val="895775481"/>
        <w:rPr>
          <w:rFonts w:eastAsia="Times New Roman"/>
        </w:rPr>
      </w:pPr>
    </w:p>
    <w:p w:rsidR="00000000" w:rsidRDefault="00FD7D3C">
      <w:pPr>
        <w:ind w:hanging="720"/>
        <w:divId w:val="1816098921"/>
        <w:rPr>
          <w:rFonts w:eastAsia="Times New Roman"/>
        </w:rPr>
      </w:pPr>
      <w:r>
        <w:rPr>
          <w:rFonts w:eastAsia="Times New Roman"/>
          <w:b/>
          <w:bCs/>
          <w:color w:val="000000"/>
          <w:sz w:val="20"/>
          <w:szCs w:val="20"/>
        </w:rPr>
        <w:t>16.    Related Party Transactions</w:t>
      </w:r>
    </w:p>
    <w:p w:rsidR="00000000" w:rsidRDefault="00FD7D3C">
      <w:pPr>
        <w:ind w:firstLine="720"/>
        <w:divId w:val="2051027933"/>
        <w:rPr>
          <w:rFonts w:eastAsia="Times New Roman"/>
        </w:rPr>
      </w:pPr>
      <w:r>
        <w:rPr>
          <w:rFonts w:eastAsia="Times New Roman"/>
          <w:color w:val="000000"/>
          <w:sz w:val="20"/>
          <w:szCs w:val="20"/>
        </w:rPr>
        <w:t xml:space="preserve">In 2019, certain employees of Third Rock Ventures, a stockholder of the Company, provided consulting services to the Company. Commencing January 2020, Third Rock Ventures ceased providing management consulting services to the Company. The Company recorded </w:t>
      </w:r>
      <w:r>
        <w:rPr>
          <w:rFonts w:eastAsia="Times New Roman"/>
          <w:color w:val="000000"/>
          <w:sz w:val="20"/>
          <w:szCs w:val="20"/>
        </w:rPr>
        <w:t xml:space="preserve">no consulting expenses for consulting services provided by Third Rock Ventures during the years ended December 31, 2021 and 2020. The Company recorded Third Rock Ventures consulting expenses to general and administrative expense of $36,000 during the year </w:t>
      </w:r>
      <w:r>
        <w:rPr>
          <w:rFonts w:eastAsia="Times New Roman"/>
          <w:color w:val="000000"/>
          <w:sz w:val="20"/>
          <w:szCs w:val="20"/>
        </w:rPr>
        <w:t>ended December 31, 2019.</w:t>
      </w:r>
    </w:p>
    <w:p w:rsidR="00000000" w:rsidRDefault="00FD7D3C">
      <w:pPr>
        <w:ind w:firstLine="720"/>
        <w:divId w:val="697435218"/>
        <w:rPr>
          <w:rFonts w:eastAsia="Times New Roman"/>
        </w:rPr>
      </w:pPr>
      <w:r>
        <w:rPr>
          <w:rFonts w:eastAsia="Times New Roman"/>
          <w:color w:val="000000"/>
          <w:sz w:val="20"/>
          <w:szCs w:val="20"/>
        </w:rPr>
        <w:t>In June 2021, the Company granted 26,572 stock options with a grant date fair value of $0.5 million to partners of Third Rock Ventures who are also serving as non-employee directors on the Company's Board of Directors. The shares o</w:t>
      </w:r>
      <w:r>
        <w:rPr>
          <w:rFonts w:eastAsia="Times New Roman"/>
          <w:color w:val="000000"/>
          <w:sz w:val="20"/>
          <w:szCs w:val="20"/>
        </w:rPr>
        <w:t>f common stock subject to these options ve</w:t>
      </w:r>
      <w:r>
        <w:rPr>
          <w:rFonts w:eastAsia="Times New Roman"/>
          <w:color w:val="000000"/>
          <w:sz w:val="20"/>
          <w:szCs w:val="20"/>
          <w:shd w:val="clear" w:color="auto" w:fill="FFFFFF"/>
        </w:rPr>
        <w:t>st 25% on</w:t>
      </w:r>
      <w:r>
        <w:rPr>
          <w:rFonts w:eastAsia="Times New Roman"/>
          <w:color w:val="000000"/>
          <w:sz w:val="20"/>
          <w:szCs w:val="20"/>
        </w:rPr>
        <w:t xml:space="preserve"> the first day of each calendar quarter for three quarters with the final vest date being the earlier of (i) the one-year anniversary of the grant date or (ii) the next Annual Meeting of Stockholders. In M</w:t>
      </w:r>
      <w:r>
        <w:rPr>
          <w:rFonts w:eastAsia="Times New Roman"/>
          <w:color w:val="000000"/>
          <w:sz w:val="20"/>
          <w:szCs w:val="20"/>
        </w:rPr>
        <w:t>arch 2020, the Company granted 26,573 stock options with a grant date fair value of $0.1 million to a partner at Third Rock Ventures, who is also serving as a non-employee director on the Company’s Board of Directors. The common shares subject to these opt</w:t>
      </w:r>
      <w:r>
        <w:rPr>
          <w:rFonts w:eastAsia="Times New Roman"/>
          <w:color w:val="000000"/>
          <w:sz w:val="20"/>
          <w:szCs w:val="20"/>
        </w:rPr>
        <w:t>ions vest 1/12th on the last day of each calendar quarter over a three-year period and commenced vesting upon our IPO. In order to vest at each calendar quarter end date, the shareholder must be providing continuous service to the Company through such vest</w:t>
      </w:r>
      <w:r>
        <w:rPr>
          <w:rFonts w:eastAsia="Times New Roman"/>
          <w:color w:val="000000"/>
          <w:sz w:val="20"/>
          <w:szCs w:val="20"/>
        </w:rPr>
        <w:t xml:space="preserve">ing date. The stock-based compensation expense related to these options was immaterial during the years ended December 31, 2021. </w:t>
      </w:r>
    </w:p>
    <w:p w:rsidR="00000000" w:rsidRDefault="00FD7D3C">
      <w:pPr>
        <w:ind w:hanging="720"/>
        <w:divId w:val="1251423735"/>
        <w:rPr>
          <w:rFonts w:eastAsia="Times New Roman"/>
        </w:rPr>
      </w:pPr>
      <w:r>
        <w:rPr>
          <w:rFonts w:eastAsia="Times New Roman"/>
          <w:b/>
          <w:bCs/>
          <w:color w:val="000000"/>
          <w:sz w:val="20"/>
          <w:szCs w:val="20"/>
        </w:rPr>
        <w:t>17.    Defined Contribution Plan</w:t>
      </w:r>
    </w:p>
    <w:p w:rsidR="00000000" w:rsidRDefault="00FD7D3C">
      <w:pPr>
        <w:ind w:firstLine="720"/>
        <w:divId w:val="1742874127"/>
        <w:rPr>
          <w:rFonts w:eastAsia="Times New Roman"/>
        </w:rPr>
      </w:pPr>
      <w:r>
        <w:rPr>
          <w:rFonts w:eastAsia="Times New Roman"/>
          <w:color w:val="000000"/>
          <w:sz w:val="20"/>
          <w:szCs w:val="20"/>
        </w:rPr>
        <w:t>The Company sponsors a defined contribution plan under Section 401(k) of the Internal Revenue</w:t>
      </w:r>
      <w:r>
        <w:rPr>
          <w:rFonts w:eastAsia="Times New Roman"/>
          <w:color w:val="000000"/>
          <w:sz w:val="20"/>
          <w:szCs w:val="20"/>
        </w:rPr>
        <w:t xml:space="preserve"> Code covering substantially all full-time U.S. employees. Employee contributions are voluntary and are determined on an individual basis subject to the maximum allowable under federal tax regulations. The Company made contributions to the plan of $0.6 mil</w:t>
      </w:r>
      <w:r>
        <w:rPr>
          <w:rFonts w:eastAsia="Times New Roman"/>
          <w:color w:val="000000"/>
          <w:sz w:val="20"/>
          <w:szCs w:val="20"/>
        </w:rPr>
        <w:t>lion, $0.4 million and $0.2 million during the years ended December 31, 2021, 2020 and 2019, respectively.</w:t>
      </w:r>
    </w:p>
    <w:p w:rsidR="00000000" w:rsidRDefault="00FD7D3C">
      <w:pPr>
        <w:ind w:hanging="720"/>
        <w:divId w:val="636640708"/>
        <w:rPr>
          <w:rFonts w:eastAsia="Times New Roman"/>
        </w:rPr>
      </w:pPr>
      <w:r>
        <w:rPr>
          <w:rFonts w:eastAsia="Times New Roman"/>
          <w:b/>
          <w:bCs/>
          <w:color w:val="000000"/>
          <w:sz w:val="20"/>
          <w:szCs w:val="20"/>
        </w:rPr>
        <w:t>18.    Net Loss Per Share Attributable to Common Stockholders</w:t>
      </w:r>
    </w:p>
    <w:p w:rsidR="00000000" w:rsidRDefault="00FD7D3C">
      <w:pPr>
        <w:ind w:firstLine="720"/>
        <w:divId w:val="1477645957"/>
        <w:rPr>
          <w:rFonts w:eastAsia="Times New Roman"/>
        </w:rPr>
      </w:pPr>
      <w:r>
        <w:rPr>
          <w:rFonts w:eastAsia="Times New Roman"/>
          <w:color w:val="000000"/>
          <w:sz w:val="20"/>
          <w:szCs w:val="20"/>
        </w:rPr>
        <w:t xml:space="preserve">The following outstanding shares of potentially dilutive securities were excluded from </w:t>
      </w:r>
      <w:r>
        <w:rPr>
          <w:rFonts w:eastAsia="Times New Roman"/>
          <w:color w:val="000000"/>
          <w:sz w:val="20"/>
          <w:szCs w:val="20"/>
        </w:rPr>
        <w:t>the computation of diluted net loss per share attributable to common stockholders for the periods presented, because including them would have been antidilutive:</w:t>
      </w:r>
    </w:p>
    <w:tbl>
      <w:tblPr>
        <w:tblW w:w="4916" w:type="pct"/>
        <w:tblCellMar>
          <w:top w:w="15" w:type="dxa"/>
          <w:left w:w="15" w:type="dxa"/>
          <w:bottom w:w="15" w:type="dxa"/>
          <w:right w:w="15" w:type="dxa"/>
        </w:tblCellMar>
        <w:tblLook w:val="04A0" w:firstRow="1" w:lastRow="0" w:firstColumn="1" w:lastColumn="0" w:noHBand="0" w:noVBand="1"/>
      </w:tblPr>
      <w:tblGrid>
        <w:gridCol w:w="59"/>
        <w:gridCol w:w="4682"/>
        <w:gridCol w:w="36"/>
        <w:gridCol w:w="66"/>
        <w:gridCol w:w="974"/>
        <w:gridCol w:w="38"/>
        <w:gridCol w:w="37"/>
        <w:gridCol w:w="37"/>
        <w:gridCol w:w="37"/>
        <w:gridCol w:w="66"/>
        <w:gridCol w:w="960"/>
        <w:gridCol w:w="38"/>
        <w:gridCol w:w="37"/>
        <w:gridCol w:w="37"/>
        <w:gridCol w:w="36"/>
        <w:gridCol w:w="76"/>
        <w:gridCol w:w="913"/>
        <w:gridCol w:w="37"/>
      </w:tblGrid>
      <w:tr w:rsidR="00000000">
        <w:trPr>
          <w:divId w:val="741831140"/>
        </w:trPr>
        <w:tc>
          <w:tcPr>
            <w:tcW w:w="50" w:type="pct"/>
            <w:vAlign w:val="center"/>
            <w:hideMark/>
          </w:tcPr>
          <w:p w:rsidR="00000000" w:rsidRDefault="00FD7D3C">
            <w:pPr>
              <w:ind w:firstLine="720"/>
              <w:rPr>
                <w:rFonts w:eastAsia="Times New Roman"/>
              </w:rPr>
            </w:pPr>
          </w:p>
        </w:tc>
        <w:tc>
          <w:tcPr>
            <w:tcW w:w="2880"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61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28"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61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28"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592"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r>
      <w:tr w:rsidR="00000000">
        <w:trPr>
          <w:divId w:val="741831140"/>
        </w:trPr>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Year Ended December 31,</w:t>
            </w:r>
          </w:p>
        </w:tc>
      </w:tr>
      <w:tr w:rsidR="00000000">
        <w:trPr>
          <w:divId w:val="741831140"/>
        </w:trPr>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2019</w:t>
            </w:r>
          </w:p>
        </w:tc>
      </w:tr>
      <w:tr w:rsidR="00000000">
        <w:trPr>
          <w:divId w:val="741831140"/>
        </w:trPr>
        <w:tc>
          <w:tcPr>
            <w:tcW w:w="0" w:type="auto"/>
            <w:gridSpan w:val="3"/>
            <w:shd w:val="clear" w:color="auto" w:fill="CCEEFF"/>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Redeemable convertible preferred stock (on an as-converted basis)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18,442,233 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741831140"/>
        </w:trPr>
        <w:tc>
          <w:tcPr>
            <w:tcW w:w="0" w:type="auto"/>
            <w:gridSpan w:val="3"/>
            <w:shd w:val="clear" w:color="auto" w:fill="FFFFFF"/>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Options to purchase common stock</w:t>
            </w: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3,620,180 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2,993,855 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1,337,501 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741831140"/>
        </w:trPr>
        <w:tc>
          <w:tcPr>
            <w:tcW w:w="0" w:type="auto"/>
            <w:gridSpan w:val="3"/>
            <w:shd w:val="clear" w:color="auto" w:fill="CCEEFF"/>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Restricted stock awards granted and not purchased</w:t>
            </w: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4,195 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4,195 </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741831140"/>
        </w:trPr>
        <w:tc>
          <w:tcPr>
            <w:tcW w:w="0" w:type="auto"/>
            <w:gridSpan w:val="3"/>
            <w:shd w:val="clear" w:color="auto" w:fill="FFFFFF"/>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Unvested restricted shares</w:t>
            </w: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21,841 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126,522 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302,211 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741831140"/>
        </w:trPr>
        <w:tc>
          <w:tcPr>
            <w:tcW w:w="0" w:type="auto"/>
            <w:gridSpan w:val="3"/>
            <w:shd w:val="clear" w:color="auto" w:fill="CCEEFF"/>
            <w:tcMar>
              <w:top w:w="30" w:type="dxa"/>
              <w:left w:w="245" w:type="dxa"/>
              <w:bottom w:w="30" w:type="dxa"/>
              <w:right w:w="20" w:type="dxa"/>
            </w:tcMar>
            <w:hideMark/>
          </w:tcPr>
          <w:p w:rsidR="00000000" w:rsidRDefault="00FD7D3C">
            <w:pPr>
              <w:spacing w:after="100"/>
              <w:rPr>
                <w:rFonts w:eastAsia="Times New Roman"/>
              </w:rPr>
            </w:pPr>
            <w:r>
              <w:rPr>
                <w:rFonts w:eastAsia="Times New Roman"/>
                <w:color w:val="000000"/>
                <w:sz w:val="20"/>
                <w:szCs w:val="20"/>
              </w:rPr>
              <w:t>Total</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3,642,021 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3,124,572 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20,086,140 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r>
    </w:tbl>
    <w:p w:rsidR="00000000" w:rsidRDefault="00FD7D3C">
      <w:pPr>
        <w:jc w:val="center"/>
        <w:divId w:val="1514801750"/>
        <w:rPr>
          <w:rFonts w:eastAsia="Times New Roman"/>
        </w:rPr>
      </w:pPr>
      <w:r>
        <w:rPr>
          <w:rFonts w:eastAsia="Times New Roman"/>
          <w:color w:val="000000"/>
          <w:sz w:val="20"/>
          <w:szCs w:val="20"/>
        </w:rPr>
        <w:t>134</w:t>
      </w:r>
    </w:p>
    <w:p w:rsidR="00000000" w:rsidRDefault="00FD7D3C">
      <w:pPr>
        <w:rPr>
          <w:rFonts w:eastAsia="Times New Roman"/>
        </w:rPr>
      </w:pPr>
      <w:r>
        <w:rPr>
          <w:rFonts w:eastAsia="Times New Roman"/>
        </w:rPr>
        <w:pict>
          <v:rect id="_x0000_i1187" style="width:0;height:1.5pt" o:hralign="center" o:hrstd="t" o:hr="t" fillcolor="#a0a0a0" stroked="f"/>
        </w:pict>
      </w:r>
    </w:p>
    <w:p w:rsidR="00000000" w:rsidRDefault="00FD7D3C">
      <w:pPr>
        <w:divId w:val="971404528"/>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ind w:firstLine="720"/>
        <w:divId w:val="2087528700"/>
        <w:rPr>
          <w:rFonts w:eastAsia="Times New Roman"/>
        </w:rPr>
      </w:pPr>
      <w:r>
        <w:rPr>
          <w:rFonts w:eastAsia="Times New Roman"/>
          <w:color w:val="000000"/>
          <w:sz w:val="20"/>
          <w:szCs w:val="20"/>
        </w:rPr>
        <w:t>A reconciliation of the numerator and denominator used in the calculation of the basic and diluted net loss per share attributable to common stockholders is as follows (in thousands, except share and per share amounts):</w:t>
      </w:r>
    </w:p>
    <w:tbl>
      <w:tblPr>
        <w:tblW w:w="4931" w:type="pct"/>
        <w:tblCellMar>
          <w:top w:w="15" w:type="dxa"/>
          <w:left w:w="15" w:type="dxa"/>
          <w:bottom w:w="15" w:type="dxa"/>
          <w:right w:w="15" w:type="dxa"/>
        </w:tblCellMar>
        <w:tblLook w:val="04A0" w:firstRow="1" w:lastRow="0" w:firstColumn="1" w:lastColumn="0" w:noHBand="0" w:noVBand="1"/>
      </w:tblPr>
      <w:tblGrid>
        <w:gridCol w:w="39"/>
        <w:gridCol w:w="4633"/>
        <w:gridCol w:w="38"/>
        <w:gridCol w:w="121"/>
        <w:gridCol w:w="947"/>
        <w:gridCol w:w="36"/>
        <w:gridCol w:w="36"/>
        <w:gridCol w:w="36"/>
        <w:gridCol w:w="36"/>
        <w:gridCol w:w="121"/>
        <w:gridCol w:w="900"/>
        <w:gridCol w:w="36"/>
        <w:gridCol w:w="36"/>
        <w:gridCol w:w="36"/>
        <w:gridCol w:w="36"/>
        <w:gridCol w:w="121"/>
        <w:gridCol w:w="947"/>
        <w:gridCol w:w="36"/>
      </w:tblGrid>
      <w:tr w:rsidR="00000000">
        <w:trPr>
          <w:divId w:val="1833905755"/>
        </w:trPr>
        <w:tc>
          <w:tcPr>
            <w:tcW w:w="50" w:type="pct"/>
            <w:vAlign w:val="center"/>
            <w:hideMark/>
          </w:tcPr>
          <w:p w:rsidR="00000000" w:rsidRDefault="00FD7D3C">
            <w:pPr>
              <w:ind w:firstLine="720"/>
              <w:rPr>
                <w:rFonts w:eastAsia="Times New Roman"/>
              </w:rPr>
            </w:pPr>
          </w:p>
        </w:tc>
        <w:tc>
          <w:tcPr>
            <w:tcW w:w="2871"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613"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28"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613"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20"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613"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r>
      <w:tr w:rsidR="00000000">
        <w:trPr>
          <w:divId w:val="1833905755"/>
        </w:trPr>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Year Ended December 31,</w:t>
            </w:r>
          </w:p>
        </w:tc>
      </w:tr>
      <w:tr w:rsidR="00000000">
        <w:trPr>
          <w:divId w:val="1833905755"/>
        </w:trPr>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2019</w:t>
            </w:r>
          </w:p>
        </w:tc>
      </w:tr>
      <w:tr w:rsidR="00000000">
        <w:trPr>
          <w:divId w:val="1833905755"/>
        </w:trPr>
        <w:tc>
          <w:tcPr>
            <w:tcW w:w="0" w:type="auto"/>
            <w:gridSpan w:val="3"/>
            <w:shd w:val="clear" w:color="auto" w:fill="CCEEFF"/>
            <w:tcMar>
              <w:top w:w="30" w:type="dxa"/>
              <w:left w:w="20" w:type="dxa"/>
              <w:bottom w:w="30" w:type="dxa"/>
              <w:right w:w="20" w:type="dxa"/>
            </w:tcMar>
            <w:hideMark/>
          </w:tcPr>
          <w:p w:rsidR="00000000" w:rsidRDefault="00FD7D3C">
            <w:pPr>
              <w:spacing w:after="100"/>
              <w:rPr>
                <w:rFonts w:eastAsia="Times New Roman"/>
              </w:rPr>
            </w:pPr>
            <w:r>
              <w:rPr>
                <w:rFonts w:eastAsia="Times New Roman"/>
                <w:b/>
                <w:bCs/>
                <w:color w:val="000000"/>
                <w:sz w:val="20"/>
                <w:szCs w:val="20"/>
              </w:rPr>
              <w:t>Net loss per share: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000000">
        <w:trPr>
          <w:divId w:val="1833905755"/>
        </w:trPr>
        <w:tc>
          <w:tcPr>
            <w:tcW w:w="0" w:type="auto"/>
            <w:gridSpan w:val="3"/>
            <w:shd w:val="clear" w:color="auto" w:fill="FFFFFF"/>
            <w:tcMar>
              <w:top w:w="30" w:type="dxa"/>
              <w:left w:w="20" w:type="dxa"/>
              <w:bottom w:w="30" w:type="dxa"/>
              <w:right w:w="20" w:type="dxa"/>
            </w:tcMar>
            <w:hideMark/>
          </w:tcPr>
          <w:p w:rsidR="00000000" w:rsidRDefault="00FD7D3C">
            <w:pPr>
              <w:spacing w:after="100"/>
              <w:rPr>
                <w:rFonts w:eastAsia="Times New Roman"/>
              </w:rPr>
            </w:pPr>
            <w:r>
              <w:rPr>
                <w:rFonts w:eastAsia="Times New Roman"/>
                <w:i/>
                <w:iCs/>
                <w:color w:val="000000"/>
                <w:sz w:val="20"/>
                <w:szCs w:val="20"/>
              </w:rPr>
              <w:t>Numerator</w:t>
            </w: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000000">
        <w:trPr>
          <w:divId w:val="1833905755"/>
        </w:trPr>
        <w:tc>
          <w:tcPr>
            <w:tcW w:w="0" w:type="auto"/>
            <w:gridSpan w:val="3"/>
            <w:shd w:val="clear" w:color="auto" w:fill="CCEEFF"/>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Net loss</w:t>
            </w:r>
          </w:p>
        </w:tc>
        <w:tc>
          <w:tcPr>
            <w:tcW w:w="0" w:type="auto"/>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(97,263)</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(41,533)</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(631)</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1833905755"/>
        </w:trPr>
        <w:tc>
          <w:tcPr>
            <w:tcW w:w="0" w:type="auto"/>
            <w:gridSpan w:val="3"/>
            <w:shd w:val="clear" w:color="auto" w:fill="FFFFFF"/>
            <w:tcMar>
              <w:top w:w="30" w:type="dxa"/>
              <w:left w:w="20" w:type="dxa"/>
              <w:bottom w:w="30" w:type="dxa"/>
              <w:right w:w="20" w:type="dxa"/>
            </w:tcMar>
            <w:hideMark/>
          </w:tcPr>
          <w:p w:rsidR="00000000" w:rsidRDefault="00FD7D3C">
            <w:pPr>
              <w:spacing w:after="100"/>
              <w:ind w:hanging="180"/>
              <w:divId w:val="1452360989"/>
              <w:rPr>
                <w:rFonts w:eastAsia="Times New Roman"/>
              </w:rPr>
            </w:pPr>
            <w:r>
              <w:rPr>
                <w:rFonts w:eastAsia="Times New Roman"/>
                <w:color w:val="000000"/>
                <w:sz w:val="20"/>
                <w:szCs w:val="20"/>
              </w:rPr>
              <w:t>Less: accretion to redemption value and dividends on redeemable convertible preferred shares</w:t>
            </w: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(6,225)</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1833905755"/>
        </w:trPr>
        <w:tc>
          <w:tcPr>
            <w:tcW w:w="0" w:type="auto"/>
            <w:gridSpan w:val="3"/>
            <w:shd w:val="clear" w:color="auto" w:fill="CCEEFF"/>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Net loss attributable to common stockholders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(97,263)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(41,533)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(6,856)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1833905755"/>
        </w:trPr>
        <w:tc>
          <w:tcPr>
            <w:tcW w:w="0" w:type="auto"/>
            <w:gridSpan w:val="3"/>
            <w:shd w:val="clear" w:color="auto" w:fill="FFFFFF"/>
            <w:tcMar>
              <w:top w:w="30" w:type="dxa"/>
              <w:left w:w="20" w:type="dxa"/>
              <w:bottom w:w="30" w:type="dxa"/>
              <w:right w:w="20" w:type="dxa"/>
            </w:tcMar>
            <w:hideMark/>
          </w:tcPr>
          <w:p w:rsidR="00000000" w:rsidRDefault="00FD7D3C">
            <w:pPr>
              <w:spacing w:after="100"/>
              <w:rPr>
                <w:rFonts w:eastAsia="Times New Roman"/>
              </w:rPr>
            </w:pPr>
            <w:r>
              <w:rPr>
                <w:rFonts w:eastAsia="Times New Roman"/>
                <w:i/>
                <w:iCs/>
                <w:color w:val="000000"/>
                <w:sz w:val="20"/>
                <w:szCs w:val="20"/>
              </w:rPr>
              <w:t>Denominator</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000000">
        <w:trPr>
          <w:divId w:val="1833905755"/>
        </w:trPr>
        <w:tc>
          <w:tcPr>
            <w:tcW w:w="0" w:type="auto"/>
            <w:gridSpan w:val="3"/>
            <w:shd w:val="clear" w:color="auto" w:fill="CCEEFF"/>
            <w:tcMar>
              <w:top w:w="30" w:type="dxa"/>
              <w:left w:w="20" w:type="dxa"/>
              <w:bottom w:w="30" w:type="dxa"/>
              <w:right w:w="20" w:type="dxa"/>
            </w:tcMar>
            <w:hideMark/>
          </w:tcPr>
          <w:p w:rsidR="00000000" w:rsidRDefault="00FD7D3C">
            <w:pPr>
              <w:spacing w:after="100"/>
              <w:ind w:hanging="180"/>
              <w:divId w:val="318728288"/>
              <w:rPr>
                <w:rFonts w:eastAsia="Times New Roman"/>
              </w:rPr>
            </w:pPr>
            <w:r>
              <w:rPr>
                <w:rFonts w:eastAsia="Times New Roman"/>
                <w:color w:val="000000"/>
                <w:sz w:val="20"/>
                <w:szCs w:val="20"/>
              </w:rPr>
              <w:t>Weighted-average common shares outstanding used to calculate net loss per share attributable to common stockholders:</w:t>
            </w: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ind w:hanging="18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000000">
        <w:trPr>
          <w:divId w:val="1833905755"/>
        </w:trPr>
        <w:tc>
          <w:tcPr>
            <w:tcW w:w="0" w:type="auto"/>
            <w:gridSpan w:val="3"/>
            <w:shd w:val="clear" w:color="auto" w:fill="FFFFFF"/>
            <w:tcMar>
              <w:top w:w="30" w:type="dxa"/>
              <w:left w:w="245" w:type="dxa"/>
              <w:bottom w:w="30" w:type="dxa"/>
              <w:right w:w="20" w:type="dxa"/>
            </w:tcMar>
            <w:hideMark/>
          </w:tcPr>
          <w:p w:rsidR="00000000" w:rsidRDefault="00FD7D3C">
            <w:pPr>
              <w:spacing w:after="100"/>
              <w:rPr>
                <w:rFonts w:eastAsia="Times New Roman"/>
              </w:rPr>
            </w:pPr>
            <w:r>
              <w:rPr>
                <w:rFonts w:eastAsia="Times New Roman"/>
                <w:color w:val="000000"/>
                <w:sz w:val="20"/>
                <w:szCs w:val="20"/>
              </w:rPr>
              <w:t>Basic</w:t>
            </w: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35,846,421 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21,344,236 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1,623,358 </w:t>
            </w:r>
          </w:p>
        </w:tc>
        <w:tc>
          <w:tcPr>
            <w:tcW w:w="0" w:type="auto"/>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1833905755"/>
        </w:trPr>
        <w:tc>
          <w:tcPr>
            <w:tcW w:w="0" w:type="auto"/>
            <w:gridSpan w:val="3"/>
            <w:shd w:val="clear" w:color="auto" w:fill="CCEEFF"/>
            <w:tcMar>
              <w:top w:w="30" w:type="dxa"/>
              <w:left w:w="245" w:type="dxa"/>
              <w:bottom w:w="30" w:type="dxa"/>
              <w:right w:w="20" w:type="dxa"/>
            </w:tcMar>
            <w:hideMark/>
          </w:tcPr>
          <w:p w:rsidR="00000000" w:rsidRDefault="00FD7D3C">
            <w:pPr>
              <w:spacing w:after="100"/>
              <w:rPr>
                <w:rFonts w:eastAsia="Times New Roman"/>
              </w:rPr>
            </w:pPr>
            <w:r>
              <w:rPr>
                <w:rFonts w:eastAsia="Times New Roman"/>
                <w:color w:val="000000"/>
                <w:sz w:val="20"/>
                <w:szCs w:val="20"/>
              </w:rPr>
              <w:t>Diluted</w:t>
            </w: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35,846,421 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21,344,236 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1,623,358 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1833905755"/>
        </w:trPr>
        <w:tc>
          <w:tcPr>
            <w:tcW w:w="0" w:type="auto"/>
            <w:gridSpan w:val="3"/>
            <w:shd w:val="clear" w:color="auto" w:fill="FFFFFF"/>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Net loss per share attributable to common stockholders:</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000000">
        <w:trPr>
          <w:divId w:val="1833905755"/>
        </w:trPr>
        <w:tc>
          <w:tcPr>
            <w:tcW w:w="0" w:type="auto"/>
            <w:gridSpan w:val="3"/>
            <w:shd w:val="clear" w:color="auto" w:fill="CCEEFF"/>
            <w:tcMar>
              <w:top w:w="30" w:type="dxa"/>
              <w:left w:w="245" w:type="dxa"/>
              <w:bottom w:w="30" w:type="dxa"/>
              <w:right w:w="20" w:type="dxa"/>
            </w:tcMar>
            <w:hideMark/>
          </w:tcPr>
          <w:p w:rsidR="00000000" w:rsidRDefault="00FD7D3C">
            <w:pPr>
              <w:spacing w:after="100"/>
              <w:rPr>
                <w:rFonts w:eastAsia="Times New Roman"/>
              </w:rPr>
            </w:pPr>
            <w:r>
              <w:rPr>
                <w:rFonts w:eastAsia="Times New Roman"/>
                <w:color w:val="000000"/>
                <w:sz w:val="20"/>
                <w:szCs w:val="20"/>
              </w:rPr>
              <w:t>Basic</w:t>
            </w:r>
          </w:p>
        </w:tc>
        <w:tc>
          <w:tcPr>
            <w:tcW w:w="0" w:type="auto"/>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(2.71)</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(1.95)</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(4.22)</w:t>
            </w:r>
          </w:p>
        </w:tc>
        <w:tc>
          <w:tcPr>
            <w:tcW w:w="0" w:type="auto"/>
            <w:shd w:val="clear" w:color="auto" w:fill="CCEEFF"/>
            <w:tcMar>
              <w:top w:w="30" w:type="dxa"/>
              <w:left w:w="0" w:type="dxa"/>
              <w:bottom w:w="30" w:type="dxa"/>
              <w:right w:w="20" w:type="dxa"/>
            </w:tcMar>
            <w:vAlign w:val="bottom"/>
            <w:hideMark/>
          </w:tcPr>
          <w:p w:rsidR="00000000" w:rsidRDefault="00FD7D3C">
            <w:pPr>
              <w:spacing w:after="100"/>
              <w:jc w:val="right"/>
              <w:rPr>
                <w:rFonts w:eastAsia="Times New Roman"/>
              </w:rPr>
            </w:pPr>
          </w:p>
        </w:tc>
      </w:tr>
      <w:tr w:rsidR="00000000">
        <w:trPr>
          <w:divId w:val="1833905755"/>
        </w:trPr>
        <w:tc>
          <w:tcPr>
            <w:tcW w:w="0" w:type="auto"/>
            <w:gridSpan w:val="3"/>
            <w:shd w:val="clear" w:color="auto" w:fill="FFFFFF"/>
            <w:tcMar>
              <w:top w:w="30" w:type="dxa"/>
              <w:left w:w="245" w:type="dxa"/>
              <w:bottom w:w="30" w:type="dxa"/>
              <w:right w:w="20" w:type="dxa"/>
            </w:tcMar>
            <w:hideMark/>
          </w:tcPr>
          <w:p w:rsidR="00000000" w:rsidRDefault="00FD7D3C">
            <w:pPr>
              <w:spacing w:after="100"/>
              <w:rPr>
                <w:rFonts w:eastAsia="Times New Roman"/>
              </w:rPr>
            </w:pPr>
            <w:r>
              <w:rPr>
                <w:rFonts w:eastAsia="Times New Roman"/>
                <w:color w:val="000000"/>
                <w:sz w:val="20"/>
                <w:szCs w:val="20"/>
              </w:rPr>
              <w:t>Diluted</w:t>
            </w: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(2.71)</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(1.95)</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D7D3C">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D7D3C">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FD7D3C">
            <w:pPr>
              <w:spacing w:after="100"/>
              <w:jc w:val="right"/>
              <w:rPr>
                <w:rFonts w:eastAsia="Times New Roman"/>
              </w:rPr>
            </w:pPr>
            <w:r>
              <w:rPr>
                <w:rFonts w:eastAsia="Times New Roman"/>
                <w:color w:val="000000"/>
                <w:sz w:val="20"/>
                <w:szCs w:val="20"/>
              </w:rPr>
              <w:t>(4.22)</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D7D3C">
            <w:pPr>
              <w:spacing w:after="100"/>
              <w:jc w:val="right"/>
              <w:rPr>
                <w:rFonts w:eastAsia="Times New Roman"/>
              </w:rPr>
            </w:pPr>
          </w:p>
        </w:tc>
      </w:tr>
    </w:tbl>
    <w:p w:rsidR="00000000" w:rsidRDefault="00FD7D3C">
      <w:pPr>
        <w:divId w:val="2043289269"/>
        <w:rPr>
          <w:rFonts w:eastAsia="Times New Roman"/>
        </w:rPr>
      </w:pPr>
    </w:p>
    <w:p w:rsidR="00000000" w:rsidRDefault="00FD7D3C">
      <w:pPr>
        <w:divId w:val="691304111"/>
        <w:rPr>
          <w:rFonts w:eastAsia="Times New Roman"/>
        </w:rPr>
      </w:pPr>
      <w:r>
        <w:rPr>
          <w:rFonts w:eastAsia="Times New Roman"/>
          <w:b/>
          <w:bCs/>
          <w:color w:val="000000"/>
          <w:sz w:val="20"/>
          <w:szCs w:val="20"/>
        </w:rPr>
        <w:t>Item 9. Changes in and Disagreements With Accountants on Accounting and Financial Disclosure.</w:t>
      </w:r>
    </w:p>
    <w:p w:rsidR="00000000" w:rsidRDefault="00FD7D3C">
      <w:pPr>
        <w:ind w:firstLine="720"/>
        <w:divId w:val="1335110494"/>
        <w:rPr>
          <w:rFonts w:eastAsia="Times New Roman"/>
        </w:rPr>
      </w:pPr>
      <w:r>
        <w:rPr>
          <w:rFonts w:eastAsia="Times New Roman"/>
          <w:color w:val="000000"/>
          <w:sz w:val="20"/>
          <w:szCs w:val="20"/>
        </w:rPr>
        <w:t>None.</w:t>
      </w:r>
    </w:p>
    <w:p w:rsidR="00000000" w:rsidRDefault="00FD7D3C">
      <w:pPr>
        <w:divId w:val="1439790844"/>
        <w:rPr>
          <w:rFonts w:eastAsia="Times New Roman"/>
        </w:rPr>
      </w:pPr>
      <w:r>
        <w:rPr>
          <w:rFonts w:eastAsia="Times New Roman"/>
          <w:b/>
          <w:bCs/>
          <w:color w:val="000000"/>
          <w:sz w:val="20"/>
          <w:szCs w:val="20"/>
        </w:rPr>
        <w:t>Item 9A. Controls and Procedures.</w:t>
      </w:r>
    </w:p>
    <w:p w:rsidR="00000000" w:rsidRDefault="00FD7D3C">
      <w:pPr>
        <w:ind w:firstLine="720"/>
        <w:divId w:val="1442410958"/>
        <w:rPr>
          <w:rFonts w:eastAsia="Times New Roman"/>
        </w:rPr>
      </w:pPr>
      <w:r>
        <w:rPr>
          <w:rFonts w:eastAsia="Times New Roman"/>
          <w:b/>
          <w:bCs/>
          <w:color w:val="000000"/>
          <w:sz w:val="20"/>
          <w:szCs w:val="20"/>
        </w:rPr>
        <w:t>Evaluation of Disclosure Controls and Procedures</w:t>
      </w:r>
    </w:p>
    <w:p w:rsidR="00000000" w:rsidRDefault="00FD7D3C">
      <w:pPr>
        <w:ind w:firstLine="720"/>
        <w:divId w:val="433980974"/>
        <w:rPr>
          <w:rFonts w:eastAsia="Times New Roman"/>
        </w:rPr>
      </w:pPr>
      <w:r>
        <w:rPr>
          <w:rFonts w:eastAsia="Times New Roman"/>
          <w:color w:val="000000"/>
          <w:sz w:val="20"/>
          <w:szCs w:val="20"/>
        </w:rPr>
        <w:t>We maintain disclosure controls and procedures that are designed to ensure that information required to be disclosed in our reports under the Securities Exchange Act of 1934, as amended, or the Exchange Act,</w:t>
      </w:r>
      <w:r>
        <w:rPr>
          <w:rFonts w:eastAsia="Times New Roman"/>
          <w:color w:val="000000"/>
          <w:sz w:val="20"/>
          <w:szCs w:val="20"/>
        </w:rPr>
        <w:t xml:space="preserve"> and the rules and regulations thereunder, is recorded, processed, summarized and reported within the time periods specified in the SEC’s rules and forms and that such information is accumulated and communicated to our management, including our Chief Execu</w:t>
      </w:r>
      <w:r>
        <w:rPr>
          <w:rFonts w:eastAsia="Times New Roman"/>
          <w:color w:val="000000"/>
          <w:sz w:val="20"/>
          <w:szCs w:val="20"/>
        </w:rPr>
        <w:t>tive Officer and Chief Financial Officer, as appropriate, to allow for timely decisions regarding required disclosure. In designing and evaluating the disclosure controls and procedures, management recognizes that any controls and procedures, no matter how</w:t>
      </w:r>
      <w:r>
        <w:rPr>
          <w:rFonts w:eastAsia="Times New Roman"/>
          <w:color w:val="000000"/>
          <w:sz w:val="20"/>
          <w:szCs w:val="20"/>
        </w:rPr>
        <w:t xml:space="preserve"> well designed and operated, can provide only reasonable assurance of achieving the desired control objectives, and management is required to apply its judgment in evaluating the cost-benefit relationship of possible controls and procedures.</w:t>
      </w:r>
    </w:p>
    <w:p w:rsidR="00000000" w:rsidRDefault="00FD7D3C">
      <w:pPr>
        <w:ind w:firstLine="720"/>
        <w:divId w:val="343483484"/>
        <w:rPr>
          <w:rFonts w:eastAsia="Times New Roman"/>
        </w:rPr>
      </w:pPr>
      <w:r>
        <w:rPr>
          <w:rFonts w:eastAsia="Times New Roman"/>
          <w:color w:val="000000"/>
          <w:sz w:val="20"/>
          <w:szCs w:val="20"/>
        </w:rPr>
        <w:t>As required by</w:t>
      </w:r>
      <w:r>
        <w:rPr>
          <w:rFonts w:eastAsia="Times New Roman"/>
          <w:color w:val="000000"/>
          <w:sz w:val="20"/>
          <w:szCs w:val="20"/>
        </w:rPr>
        <w:t xml:space="preserve"> Rule 13a-15(b) under the Exchange Act, our management, under the supervision and with the participation of our principal executive officer and principal financial officer, has evaluated the effectiveness of the design and operation of our disclosure contr</w:t>
      </w:r>
      <w:r>
        <w:rPr>
          <w:rFonts w:eastAsia="Times New Roman"/>
          <w:color w:val="000000"/>
          <w:sz w:val="20"/>
          <w:szCs w:val="20"/>
        </w:rPr>
        <w:t>ols and procedures (as such term is defined in Rules 13a-15(e) and 15d-15(e) under the Exchange Act) as of December 31, 2021. Based on such evaluation, our Chief Executive Officer and Chief Financial Officer have concluded that, as of December 31, 2021, ou</w:t>
      </w:r>
      <w:r>
        <w:rPr>
          <w:rFonts w:eastAsia="Times New Roman"/>
          <w:color w:val="000000"/>
          <w:sz w:val="20"/>
          <w:szCs w:val="20"/>
        </w:rPr>
        <w:t>r disclosure controls and procedures were effective at the reasonable assurance level.</w:t>
      </w:r>
    </w:p>
    <w:p w:rsidR="00000000" w:rsidRDefault="00FD7D3C">
      <w:pPr>
        <w:ind w:firstLine="720"/>
        <w:divId w:val="1854493789"/>
        <w:rPr>
          <w:rFonts w:eastAsia="Times New Roman"/>
        </w:rPr>
      </w:pPr>
      <w:r>
        <w:rPr>
          <w:rFonts w:eastAsia="Times New Roman"/>
          <w:b/>
          <w:bCs/>
          <w:color w:val="000000"/>
          <w:sz w:val="20"/>
          <w:szCs w:val="20"/>
        </w:rPr>
        <w:t>Management's Annual Report on Internal Control Over Financial Reporting</w:t>
      </w:r>
    </w:p>
    <w:p w:rsidR="00000000" w:rsidRDefault="00FD7D3C">
      <w:pPr>
        <w:ind w:firstLine="720"/>
        <w:divId w:val="404031009"/>
        <w:rPr>
          <w:rFonts w:eastAsia="Times New Roman"/>
        </w:rPr>
      </w:pPr>
      <w:r>
        <w:rPr>
          <w:rFonts w:eastAsia="Times New Roman"/>
          <w:color w:val="000000"/>
          <w:sz w:val="20"/>
          <w:szCs w:val="20"/>
        </w:rPr>
        <w:t>Our management is responsible for establishing and maintaining adequate internal control over financial reporting. Internal control over financial reporting is a process designed by, or under the supervision of, our Chief Executive Officer and Chief Financ</w:t>
      </w:r>
      <w:r>
        <w:rPr>
          <w:rFonts w:eastAsia="Times New Roman"/>
          <w:color w:val="000000"/>
          <w:sz w:val="20"/>
          <w:szCs w:val="20"/>
        </w:rPr>
        <w:t>ial Officer to provide reasonable assurance regarding the reliability of financial reporting and the preparation of financial statements for external purposes in accordance with generally accepted accounting principles and includes those policies and proce</w:t>
      </w:r>
      <w:r>
        <w:rPr>
          <w:rFonts w:eastAsia="Times New Roman"/>
          <w:color w:val="000000"/>
          <w:sz w:val="20"/>
          <w:szCs w:val="20"/>
        </w:rPr>
        <w:t>dures that (1) pertain to the maintenance of records that in reasonable detail accurately and fairly reflect the transactions and dispositions of our assets; (2) provide reasonable assurance that transactions are recorded as necessary to permit preparation</w:t>
      </w:r>
      <w:r>
        <w:rPr>
          <w:rFonts w:eastAsia="Times New Roman"/>
          <w:color w:val="000000"/>
          <w:sz w:val="20"/>
          <w:szCs w:val="20"/>
        </w:rPr>
        <w:t xml:space="preserve"> of financial statements in accordance with generally accepted accounting principles, and that our receipts and expenditures are being made only in accordance with authorizations of our management and directors; and (3) provide reasonable assurance regardi</w:t>
      </w:r>
      <w:r>
        <w:rPr>
          <w:rFonts w:eastAsia="Times New Roman"/>
          <w:color w:val="000000"/>
          <w:sz w:val="20"/>
          <w:szCs w:val="20"/>
        </w:rPr>
        <w:t>ng prevention or timely detection of unauthorized acquisition, use or disposition of our assets that could have a material effect on the financial statements.</w:t>
      </w:r>
    </w:p>
    <w:p w:rsidR="00000000" w:rsidRDefault="00FD7D3C">
      <w:pPr>
        <w:jc w:val="center"/>
        <w:divId w:val="718237772"/>
        <w:rPr>
          <w:rFonts w:eastAsia="Times New Roman"/>
        </w:rPr>
      </w:pPr>
      <w:r>
        <w:rPr>
          <w:rFonts w:eastAsia="Times New Roman"/>
          <w:color w:val="000000"/>
          <w:sz w:val="20"/>
          <w:szCs w:val="20"/>
        </w:rPr>
        <w:t>135</w:t>
      </w:r>
    </w:p>
    <w:p w:rsidR="00000000" w:rsidRDefault="00FD7D3C">
      <w:pPr>
        <w:rPr>
          <w:rFonts w:eastAsia="Times New Roman"/>
        </w:rPr>
      </w:pPr>
      <w:r>
        <w:rPr>
          <w:rFonts w:eastAsia="Times New Roman"/>
        </w:rPr>
        <w:pict>
          <v:rect id="_x0000_i1188" style="width:0;height:1.5pt" o:hralign="center" o:hrstd="t" o:hr="t" fillcolor="#a0a0a0" stroked="f"/>
        </w:pict>
      </w:r>
    </w:p>
    <w:p w:rsidR="00000000" w:rsidRDefault="00FD7D3C">
      <w:pPr>
        <w:divId w:val="648100017"/>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ind w:firstLine="720"/>
        <w:divId w:val="33774841"/>
        <w:rPr>
          <w:rFonts w:eastAsia="Times New Roman"/>
        </w:rPr>
      </w:pPr>
      <w:r>
        <w:rPr>
          <w:rFonts w:eastAsia="Times New Roman"/>
          <w:color w:val="000000"/>
          <w:sz w:val="20"/>
          <w:szCs w:val="20"/>
        </w:rPr>
        <w:t>Under the supervision and with the participation of our management, including our Chief Executive Officer and Chief Financial Officer, we conducted an evaluation of the effectiveness of our internal control over financial reporting base</w:t>
      </w:r>
      <w:r>
        <w:rPr>
          <w:rFonts w:eastAsia="Times New Roman"/>
          <w:color w:val="000000"/>
          <w:sz w:val="20"/>
          <w:szCs w:val="20"/>
        </w:rPr>
        <w:t xml:space="preserve">d on criteria established in “Internal Control—Integrated Framework (2013)” issued by the Committee of Sponsoring Organizations of the Treadway Commission (COSO). Our management concluded that our internal control over financial reporting was effective as </w:t>
      </w:r>
      <w:r>
        <w:rPr>
          <w:rFonts w:eastAsia="Times New Roman"/>
          <w:color w:val="000000"/>
          <w:sz w:val="20"/>
          <w:szCs w:val="20"/>
        </w:rPr>
        <w:t>of December 31, 2021.</w:t>
      </w:r>
    </w:p>
    <w:p w:rsidR="00000000" w:rsidRDefault="00FD7D3C">
      <w:pPr>
        <w:ind w:firstLine="720"/>
        <w:divId w:val="1356733673"/>
        <w:rPr>
          <w:rFonts w:eastAsia="Times New Roman"/>
        </w:rPr>
      </w:pPr>
      <w:r>
        <w:rPr>
          <w:rFonts w:eastAsia="Times New Roman"/>
          <w:color w:val="000000"/>
          <w:sz w:val="20"/>
          <w:szCs w:val="20"/>
        </w:rPr>
        <w:t>Our independent registered public accounting firm, Deloitte and Touche LLP, has audited the effectiveness of our internal control over financial reporting as of December 31, 2021 as stated in their report which is included herein.</w:t>
      </w:r>
    </w:p>
    <w:p w:rsidR="00000000" w:rsidRDefault="00FD7D3C">
      <w:pPr>
        <w:ind w:firstLine="720"/>
        <w:divId w:val="502748680"/>
        <w:rPr>
          <w:rFonts w:eastAsia="Times New Roman"/>
        </w:rPr>
      </w:pPr>
      <w:r>
        <w:rPr>
          <w:rFonts w:eastAsia="Times New Roman"/>
          <w:b/>
          <w:bCs/>
          <w:color w:val="000000"/>
          <w:sz w:val="20"/>
          <w:szCs w:val="20"/>
        </w:rPr>
        <w:t>Lim</w:t>
      </w:r>
      <w:r>
        <w:rPr>
          <w:rFonts w:eastAsia="Times New Roman"/>
          <w:b/>
          <w:bCs/>
          <w:color w:val="000000"/>
          <w:sz w:val="20"/>
          <w:szCs w:val="20"/>
        </w:rPr>
        <w:t>itations on Effectiveness of Controls and Procedures and Internal Control over Financial Reporting</w:t>
      </w:r>
    </w:p>
    <w:p w:rsidR="00000000" w:rsidRDefault="00FD7D3C">
      <w:pPr>
        <w:ind w:firstLine="720"/>
        <w:divId w:val="222720966"/>
        <w:rPr>
          <w:rFonts w:eastAsia="Times New Roman"/>
        </w:rPr>
      </w:pPr>
      <w:r>
        <w:rPr>
          <w:rFonts w:eastAsia="Times New Roman"/>
          <w:color w:val="000000"/>
          <w:sz w:val="20"/>
          <w:szCs w:val="20"/>
        </w:rPr>
        <w:t>In designing and evaluating the disclosure controls and procedures and internal control over financial reporting, management recognizes that any controls and</w:t>
      </w:r>
      <w:r>
        <w:rPr>
          <w:rFonts w:eastAsia="Times New Roman"/>
          <w:color w:val="000000"/>
          <w:sz w:val="20"/>
          <w:szCs w:val="20"/>
        </w:rPr>
        <w:t xml:space="preserve"> procedures, no matter how well designed and operated, can provide only reasonable assurance of achieving the desired control objectives. In addition, the design of disclosure controls and procedures and internal control over financial reporting must refle</w:t>
      </w:r>
      <w:r>
        <w:rPr>
          <w:rFonts w:eastAsia="Times New Roman"/>
          <w:color w:val="000000"/>
          <w:sz w:val="20"/>
          <w:szCs w:val="20"/>
        </w:rPr>
        <w:t>ct the fact that there are resource constraints and that management is required to apply judgment in evaluating the benefits of possible controls and procedures relative to their costs.</w:t>
      </w:r>
    </w:p>
    <w:p w:rsidR="00000000" w:rsidRDefault="00FD7D3C">
      <w:pPr>
        <w:ind w:firstLine="720"/>
        <w:divId w:val="658967026"/>
        <w:rPr>
          <w:rFonts w:eastAsia="Times New Roman"/>
        </w:rPr>
      </w:pPr>
      <w:r>
        <w:rPr>
          <w:rFonts w:eastAsia="Times New Roman"/>
          <w:b/>
          <w:bCs/>
          <w:color w:val="000000"/>
          <w:sz w:val="20"/>
          <w:szCs w:val="20"/>
        </w:rPr>
        <w:t>Changes in Internal Control Over Financial Reporting</w:t>
      </w:r>
    </w:p>
    <w:p w:rsidR="00000000" w:rsidRDefault="00FD7D3C">
      <w:pPr>
        <w:ind w:firstLine="720"/>
        <w:divId w:val="360935964"/>
        <w:rPr>
          <w:rFonts w:eastAsia="Times New Roman"/>
        </w:rPr>
      </w:pPr>
      <w:r>
        <w:rPr>
          <w:rFonts w:eastAsia="Times New Roman"/>
          <w:color w:val="000000"/>
          <w:sz w:val="20"/>
          <w:szCs w:val="20"/>
        </w:rPr>
        <w:t>There were no cha</w:t>
      </w:r>
      <w:r>
        <w:rPr>
          <w:rFonts w:eastAsia="Times New Roman"/>
          <w:color w:val="000000"/>
          <w:sz w:val="20"/>
          <w:szCs w:val="20"/>
        </w:rPr>
        <w:t xml:space="preserve">nges in our internal controls over financial reporting identified in connection with the evaluation required by Rule 13a-15(d) and 15d-15(d) of the Exchange Act that occurred during the quarter ended December 31, 2021 that have materially affected, or are </w:t>
      </w:r>
      <w:r>
        <w:rPr>
          <w:rFonts w:eastAsia="Times New Roman"/>
          <w:color w:val="000000"/>
          <w:sz w:val="20"/>
          <w:szCs w:val="20"/>
        </w:rPr>
        <w:t>reasonably likely to materially affect, our internal control over financial reporting. We considered our internal controls over financial reporting in regards to the impact of COVID-19 and concluded that our controls continue to operate in a remote environ</w:t>
      </w:r>
      <w:r>
        <w:rPr>
          <w:rFonts w:eastAsia="Times New Roman"/>
          <w:color w:val="000000"/>
          <w:sz w:val="20"/>
          <w:szCs w:val="20"/>
        </w:rPr>
        <w:t>ment without material effect on our internal controls over financial reporting.</w:t>
      </w:r>
    </w:p>
    <w:p w:rsidR="00000000" w:rsidRDefault="00FD7D3C">
      <w:pPr>
        <w:divId w:val="926228523"/>
        <w:rPr>
          <w:rFonts w:eastAsia="Times New Roman"/>
        </w:rPr>
      </w:pPr>
      <w:r>
        <w:rPr>
          <w:rFonts w:eastAsia="Times New Roman"/>
          <w:b/>
          <w:bCs/>
          <w:color w:val="000000"/>
          <w:sz w:val="20"/>
          <w:szCs w:val="20"/>
        </w:rPr>
        <w:t>Item 9B. Other Information.</w:t>
      </w:r>
    </w:p>
    <w:p w:rsidR="00000000" w:rsidRDefault="00FD7D3C">
      <w:pPr>
        <w:ind w:firstLine="720"/>
        <w:divId w:val="281770390"/>
        <w:rPr>
          <w:rFonts w:eastAsia="Times New Roman"/>
        </w:rPr>
      </w:pPr>
      <w:r>
        <w:rPr>
          <w:rFonts w:eastAsia="Times New Roman"/>
          <w:color w:val="000000"/>
          <w:sz w:val="20"/>
          <w:szCs w:val="20"/>
        </w:rPr>
        <w:t>None.</w:t>
      </w:r>
    </w:p>
    <w:p w:rsidR="00000000" w:rsidRDefault="00FD7D3C">
      <w:pPr>
        <w:jc w:val="center"/>
        <w:divId w:val="242030804"/>
        <w:rPr>
          <w:rFonts w:eastAsia="Times New Roman"/>
        </w:rPr>
      </w:pPr>
      <w:r>
        <w:rPr>
          <w:rFonts w:eastAsia="Times New Roman"/>
          <w:color w:val="000000"/>
          <w:sz w:val="20"/>
          <w:szCs w:val="20"/>
        </w:rPr>
        <w:t>136</w:t>
      </w:r>
    </w:p>
    <w:p w:rsidR="00000000" w:rsidRDefault="00FD7D3C">
      <w:pPr>
        <w:rPr>
          <w:rFonts w:eastAsia="Times New Roman"/>
        </w:rPr>
      </w:pPr>
      <w:r>
        <w:rPr>
          <w:rFonts w:eastAsia="Times New Roman"/>
        </w:rPr>
        <w:pict>
          <v:rect id="_x0000_i1189" style="width:0;height:1.5pt" o:hralign="center" o:hrstd="t" o:hr="t" fillcolor="#a0a0a0" stroked="f"/>
        </w:pict>
      </w:r>
    </w:p>
    <w:p w:rsidR="00000000" w:rsidRDefault="00FD7D3C">
      <w:pPr>
        <w:divId w:val="2052338220"/>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ind w:firstLine="540"/>
        <w:jc w:val="center"/>
        <w:divId w:val="1684551013"/>
        <w:rPr>
          <w:rFonts w:eastAsia="Times New Roman"/>
        </w:rPr>
      </w:pPr>
      <w:r>
        <w:rPr>
          <w:rFonts w:eastAsia="Times New Roman"/>
          <w:b/>
          <w:bCs/>
          <w:color w:val="000000"/>
          <w:sz w:val="20"/>
          <w:szCs w:val="20"/>
        </w:rPr>
        <w:t>PART III</w:t>
      </w:r>
    </w:p>
    <w:p w:rsidR="00000000" w:rsidRDefault="00FD7D3C">
      <w:pPr>
        <w:divId w:val="80610941"/>
        <w:rPr>
          <w:rFonts w:eastAsia="Times New Roman"/>
        </w:rPr>
      </w:pPr>
      <w:r>
        <w:rPr>
          <w:rFonts w:eastAsia="Times New Roman"/>
          <w:b/>
          <w:bCs/>
          <w:color w:val="000000"/>
          <w:sz w:val="20"/>
          <w:szCs w:val="20"/>
        </w:rPr>
        <w:t>Item 10. Director</w:t>
      </w:r>
      <w:r>
        <w:rPr>
          <w:rFonts w:eastAsia="Times New Roman"/>
          <w:b/>
          <w:bCs/>
          <w:color w:val="000000"/>
          <w:sz w:val="20"/>
          <w:szCs w:val="20"/>
        </w:rPr>
        <w:t>s, Executive Officers and Corporate Governance.</w:t>
      </w:r>
    </w:p>
    <w:p w:rsidR="00000000" w:rsidRDefault="00FD7D3C">
      <w:pPr>
        <w:ind w:firstLine="720"/>
        <w:divId w:val="2068645657"/>
        <w:rPr>
          <w:rFonts w:eastAsia="Times New Roman"/>
        </w:rPr>
      </w:pPr>
      <w:r>
        <w:rPr>
          <w:rFonts w:eastAsia="Times New Roman"/>
          <w:color w:val="000000"/>
          <w:sz w:val="20"/>
          <w:szCs w:val="20"/>
        </w:rPr>
        <w:t>Information required by this item regarding directors and director nominees, executive officers, the board of directors and its committees, and certain corporate governance matters is incorporated by referenc</w:t>
      </w:r>
      <w:r>
        <w:rPr>
          <w:rFonts w:eastAsia="Times New Roman"/>
          <w:color w:val="000000"/>
          <w:sz w:val="20"/>
          <w:szCs w:val="20"/>
        </w:rPr>
        <w:t>e to the information set forth under the captions “Proposal No. 1—Election of Directors,” “Corporate Governance and Board Matters” and “Executive Officers” in our Proxy Statement for our 2021 Annual Meeting of Stockholders. Information required by this ite</w:t>
      </w:r>
      <w:r>
        <w:rPr>
          <w:rFonts w:eastAsia="Times New Roman"/>
          <w:color w:val="000000"/>
          <w:sz w:val="20"/>
          <w:szCs w:val="20"/>
        </w:rPr>
        <w:t>m regarding compliance with Section 16(a) of the Exchange Act is incorporated by reference to the information set forth under the caption “Security Ownership of Certain Beneficial Owners and Management” in our Proxy Statement.</w:t>
      </w:r>
    </w:p>
    <w:p w:rsidR="00000000" w:rsidRDefault="00FD7D3C">
      <w:pPr>
        <w:ind w:firstLine="720"/>
        <w:divId w:val="1390347919"/>
        <w:rPr>
          <w:rFonts w:eastAsia="Times New Roman"/>
        </w:rPr>
      </w:pPr>
      <w:r>
        <w:rPr>
          <w:rFonts w:eastAsia="Times New Roman"/>
          <w:color w:val="000000"/>
          <w:sz w:val="20"/>
          <w:szCs w:val="20"/>
        </w:rPr>
        <w:t xml:space="preserve">Our written code of business </w:t>
      </w:r>
      <w:r>
        <w:rPr>
          <w:rFonts w:eastAsia="Times New Roman"/>
          <w:color w:val="000000"/>
          <w:sz w:val="20"/>
          <w:szCs w:val="20"/>
        </w:rPr>
        <w:t>conduct and ethics (the “Code of Conduct”) applies to all of our employees, officers and directors, including our principal executive officer, principal financial officer and principal accounting officer or controller. The Code of Conduct is available on o</w:t>
      </w:r>
      <w:r>
        <w:rPr>
          <w:rFonts w:eastAsia="Times New Roman"/>
          <w:color w:val="000000"/>
          <w:sz w:val="20"/>
          <w:szCs w:val="20"/>
        </w:rPr>
        <w:t>ur corporate website at https://pliantrx.com. If we make any substantive amendments to our Code of Conduct or grant any of our directors or executive officers any waiver, including any implicit waiver, from a provision of our Code of Conduct, we will discl</w:t>
      </w:r>
      <w:r>
        <w:rPr>
          <w:rFonts w:eastAsia="Times New Roman"/>
          <w:color w:val="000000"/>
          <w:sz w:val="20"/>
          <w:szCs w:val="20"/>
        </w:rPr>
        <w:t>ose the nature of the amendment or waiver on our website or in a Current Report on Form 8-K.</w:t>
      </w:r>
    </w:p>
    <w:p w:rsidR="00000000" w:rsidRDefault="00FD7D3C">
      <w:pPr>
        <w:divId w:val="722679297"/>
        <w:rPr>
          <w:rFonts w:eastAsia="Times New Roman"/>
        </w:rPr>
      </w:pPr>
      <w:r>
        <w:rPr>
          <w:rFonts w:eastAsia="Times New Roman"/>
          <w:b/>
          <w:bCs/>
          <w:color w:val="000000"/>
          <w:sz w:val="20"/>
          <w:szCs w:val="20"/>
        </w:rPr>
        <w:t>Item 11. Executive Compensation.</w:t>
      </w:r>
    </w:p>
    <w:p w:rsidR="00000000" w:rsidRDefault="00FD7D3C">
      <w:pPr>
        <w:ind w:firstLine="720"/>
        <w:divId w:val="1439569635"/>
        <w:rPr>
          <w:rFonts w:eastAsia="Times New Roman"/>
        </w:rPr>
      </w:pPr>
      <w:r>
        <w:rPr>
          <w:rFonts w:eastAsia="Times New Roman"/>
          <w:color w:val="000000"/>
          <w:sz w:val="20"/>
          <w:szCs w:val="20"/>
        </w:rPr>
        <w:t>Information required by this item regarding executive compensation is incorporated by reference to the information set forth under</w:t>
      </w:r>
      <w:r>
        <w:rPr>
          <w:rFonts w:eastAsia="Times New Roman"/>
          <w:color w:val="000000"/>
          <w:sz w:val="20"/>
          <w:szCs w:val="20"/>
        </w:rPr>
        <w:t xml:space="preserve"> the captions “Executive Compensation” and “Director Compensation” in our Proxy Statement.</w:t>
      </w:r>
    </w:p>
    <w:p w:rsidR="00000000" w:rsidRDefault="00FD7D3C">
      <w:pPr>
        <w:divId w:val="406273692"/>
        <w:rPr>
          <w:rFonts w:eastAsia="Times New Roman"/>
        </w:rPr>
      </w:pPr>
      <w:r>
        <w:rPr>
          <w:rFonts w:eastAsia="Times New Roman"/>
          <w:b/>
          <w:bCs/>
          <w:color w:val="000000"/>
          <w:sz w:val="20"/>
          <w:szCs w:val="20"/>
        </w:rPr>
        <w:t>Item 12. Security Ownership of Certain Beneficial Owners and Management and Related Stockholder Matters.</w:t>
      </w:r>
    </w:p>
    <w:p w:rsidR="00000000" w:rsidRDefault="00FD7D3C">
      <w:pPr>
        <w:ind w:firstLine="720"/>
        <w:divId w:val="342896809"/>
        <w:rPr>
          <w:rFonts w:eastAsia="Times New Roman"/>
        </w:rPr>
      </w:pPr>
      <w:r>
        <w:rPr>
          <w:rFonts w:eastAsia="Times New Roman"/>
          <w:color w:val="000000"/>
          <w:sz w:val="20"/>
          <w:szCs w:val="20"/>
        </w:rPr>
        <w:t>Information required by this item regarding security ownersh</w:t>
      </w:r>
      <w:r>
        <w:rPr>
          <w:rFonts w:eastAsia="Times New Roman"/>
          <w:color w:val="000000"/>
          <w:sz w:val="20"/>
          <w:szCs w:val="20"/>
        </w:rPr>
        <w:t>ip of certain beneficial owners and management is incorporated by reference to the information set forth under the caption “Security Ownership of Certain Beneficial Owners and Management” and “Equity Compensation” in our Proxy Statement.</w:t>
      </w:r>
    </w:p>
    <w:p w:rsidR="00000000" w:rsidRDefault="00FD7D3C">
      <w:pPr>
        <w:divId w:val="1242065111"/>
        <w:rPr>
          <w:rFonts w:eastAsia="Times New Roman"/>
        </w:rPr>
      </w:pPr>
      <w:r>
        <w:rPr>
          <w:rFonts w:eastAsia="Times New Roman"/>
          <w:b/>
          <w:bCs/>
          <w:color w:val="000000"/>
          <w:sz w:val="20"/>
          <w:szCs w:val="20"/>
        </w:rPr>
        <w:t>Item 13. Certain R</w:t>
      </w:r>
      <w:r>
        <w:rPr>
          <w:rFonts w:eastAsia="Times New Roman"/>
          <w:b/>
          <w:bCs/>
          <w:color w:val="000000"/>
          <w:sz w:val="20"/>
          <w:szCs w:val="20"/>
        </w:rPr>
        <w:t>elationships and Related Transactions, and Director Independence.</w:t>
      </w:r>
    </w:p>
    <w:p w:rsidR="00000000" w:rsidRDefault="00FD7D3C">
      <w:pPr>
        <w:ind w:firstLine="720"/>
        <w:divId w:val="684136721"/>
        <w:rPr>
          <w:rFonts w:eastAsia="Times New Roman"/>
        </w:rPr>
      </w:pPr>
      <w:r>
        <w:rPr>
          <w:rFonts w:eastAsia="Times New Roman"/>
          <w:color w:val="000000"/>
          <w:sz w:val="20"/>
          <w:szCs w:val="20"/>
        </w:rPr>
        <w:t xml:space="preserve">Information required by this item regarding certain relationships, related transactions and director independence is incorporated by reference to the information set forth under the caption </w:t>
      </w:r>
      <w:r>
        <w:rPr>
          <w:rFonts w:eastAsia="Times New Roman"/>
          <w:color w:val="000000"/>
          <w:sz w:val="20"/>
          <w:szCs w:val="20"/>
        </w:rPr>
        <w:t>“Transactions with Related Persons and Indemnification” and “Corporate Governance and Board Matters” in our Proxy Statement.</w:t>
      </w:r>
    </w:p>
    <w:p w:rsidR="00000000" w:rsidRDefault="00FD7D3C">
      <w:pPr>
        <w:divId w:val="662899661"/>
        <w:rPr>
          <w:rFonts w:eastAsia="Times New Roman"/>
        </w:rPr>
      </w:pPr>
      <w:r>
        <w:rPr>
          <w:rFonts w:eastAsia="Times New Roman"/>
          <w:b/>
          <w:bCs/>
          <w:color w:val="000000"/>
          <w:sz w:val="20"/>
          <w:szCs w:val="20"/>
        </w:rPr>
        <w:t>Item 14. Principal Accounting Fees and Services.</w:t>
      </w:r>
    </w:p>
    <w:p w:rsidR="00000000" w:rsidRDefault="00FD7D3C">
      <w:pPr>
        <w:ind w:firstLine="720"/>
        <w:divId w:val="1184439410"/>
        <w:rPr>
          <w:rFonts w:eastAsia="Times New Roman"/>
        </w:rPr>
      </w:pPr>
      <w:r>
        <w:rPr>
          <w:rFonts w:eastAsia="Times New Roman"/>
          <w:color w:val="000000"/>
          <w:sz w:val="20"/>
          <w:szCs w:val="20"/>
        </w:rPr>
        <w:t>Information required by this item regarding principal accounting fees and services</w:t>
      </w:r>
      <w:r>
        <w:rPr>
          <w:rFonts w:eastAsia="Times New Roman"/>
          <w:color w:val="000000"/>
          <w:sz w:val="20"/>
          <w:szCs w:val="20"/>
        </w:rPr>
        <w:t xml:space="preserve"> is incorporated by reference to the information set forth under the caption “Proposal No. 2—Ratification of Selection of Independent Registered Public Accounting Firm” in our Proxy Statement.</w:t>
      </w:r>
    </w:p>
    <w:p w:rsidR="00000000" w:rsidRDefault="00FD7D3C">
      <w:pPr>
        <w:jc w:val="center"/>
        <w:divId w:val="1471052757"/>
        <w:rPr>
          <w:rFonts w:eastAsia="Times New Roman"/>
        </w:rPr>
      </w:pPr>
      <w:r>
        <w:rPr>
          <w:rFonts w:eastAsia="Times New Roman"/>
          <w:color w:val="000000"/>
          <w:sz w:val="20"/>
          <w:szCs w:val="20"/>
        </w:rPr>
        <w:t>137</w:t>
      </w:r>
    </w:p>
    <w:p w:rsidR="00000000" w:rsidRDefault="00FD7D3C">
      <w:pPr>
        <w:rPr>
          <w:rFonts w:eastAsia="Times New Roman"/>
        </w:rPr>
      </w:pPr>
      <w:r>
        <w:rPr>
          <w:rFonts w:eastAsia="Times New Roman"/>
        </w:rPr>
        <w:pict>
          <v:rect id="_x0000_i1190" style="width:0;height:1.5pt" o:hralign="center" o:hrstd="t" o:hr="t" fillcolor="#a0a0a0" stroked="f"/>
        </w:pict>
      </w:r>
    </w:p>
    <w:p w:rsidR="00000000" w:rsidRDefault="00FD7D3C">
      <w:pPr>
        <w:divId w:val="1786272765"/>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jc w:val="center"/>
        <w:divId w:val="410738029"/>
        <w:rPr>
          <w:rFonts w:eastAsia="Times New Roman"/>
        </w:rPr>
      </w:pPr>
      <w:r>
        <w:rPr>
          <w:rFonts w:eastAsia="Times New Roman"/>
          <w:b/>
          <w:bCs/>
          <w:color w:val="000000"/>
          <w:sz w:val="20"/>
          <w:szCs w:val="20"/>
        </w:rPr>
        <w:t>PART IV</w:t>
      </w:r>
    </w:p>
    <w:p w:rsidR="00000000" w:rsidRDefault="00FD7D3C">
      <w:pPr>
        <w:divId w:val="871576618"/>
        <w:rPr>
          <w:rFonts w:eastAsia="Times New Roman"/>
        </w:rPr>
      </w:pPr>
      <w:r>
        <w:rPr>
          <w:rFonts w:eastAsia="Times New Roman"/>
          <w:b/>
          <w:bCs/>
          <w:color w:val="000000"/>
          <w:sz w:val="20"/>
          <w:szCs w:val="20"/>
        </w:rPr>
        <w:t>Item 15. Exhibits, Financial Statement Schedules.</w:t>
      </w:r>
    </w:p>
    <w:p w:rsidR="00000000" w:rsidRDefault="00FD7D3C">
      <w:pPr>
        <w:ind w:hanging="720"/>
        <w:divId w:val="875233370"/>
        <w:rPr>
          <w:rFonts w:eastAsia="Times New Roman"/>
        </w:rPr>
      </w:pPr>
      <w:r>
        <w:rPr>
          <w:rFonts w:eastAsia="Times New Roman"/>
          <w:color w:val="000000"/>
          <w:sz w:val="20"/>
          <w:szCs w:val="20"/>
        </w:rPr>
        <w:t>(a)The following documents are filed as part of this Annual Report:</w:t>
      </w:r>
    </w:p>
    <w:p w:rsidR="00000000" w:rsidRDefault="00FD7D3C">
      <w:pPr>
        <w:ind w:hanging="720"/>
        <w:divId w:val="381562710"/>
        <w:rPr>
          <w:rFonts w:eastAsia="Times New Roman"/>
        </w:rPr>
      </w:pPr>
      <w:r>
        <w:rPr>
          <w:rFonts w:eastAsia="Times New Roman"/>
          <w:color w:val="000000"/>
          <w:sz w:val="20"/>
          <w:szCs w:val="20"/>
        </w:rPr>
        <w:t>1.</w:t>
      </w:r>
      <w:r>
        <w:rPr>
          <w:rFonts w:eastAsia="Times New Roman"/>
          <w:i/>
          <w:iCs/>
          <w:color w:val="000000"/>
          <w:sz w:val="20"/>
          <w:szCs w:val="20"/>
        </w:rPr>
        <w:t>Financial Statem</w:t>
      </w:r>
      <w:r>
        <w:rPr>
          <w:rFonts w:eastAsia="Times New Roman"/>
          <w:i/>
          <w:iCs/>
          <w:color w:val="000000"/>
          <w:sz w:val="20"/>
          <w:szCs w:val="20"/>
        </w:rPr>
        <w:t>ents. </w:t>
      </w:r>
      <w:r>
        <w:rPr>
          <w:rFonts w:eastAsia="Times New Roman"/>
          <w:color w:val="000000"/>
          <w:sz w:val="20"/>
          <w:szCs w:val="20"/>
        </w:rPr>
        <w:t>See Index to Financial Statements in Part II Item 8 of this Annual Report on Form 10-K.</w:t>
      </w:r>
    </w:p>
    <w:p w:rsidR="00000000" w:rsidRDefault="00FD7D3C">
      <w:pPr>
        <w:ind w:hanging="720"/>
        <w:divId w:val="130637468"/>
        <w:rPr>
          <w:rFonts w:eastAsia="Times New Roman"/>
        </w:rPr>
      </w:pPr>
      <w:r>
        <w:rPr>
          <w:rFonts w:eastAsia="Times New Roman"/>
          <w:color w:val="000000"/>
          <w:sz w:val="20"/>
          <w:szCs w:val="20"/>
        </w:rPr>
        <w:t>2.</w:t>
      </w:r>
      <w:r>
        <w:rPr>
          <w:rFonts w:eastAsia="Times New Roman"/>
          <w:i/>
          <w:iCs/>
          <w:color w:val="000000"/>
          <w:sz w:val="20"/>
          <w:szCs w:val="20"/>
        </w:rPr>
        <w:t>Financial Statement Schedules</w:t>
      </w:r>
      <w:r>
        <w:rPr>
          <w:rFonts w:eastAsia="Times New Roman"/>
          <w:color w:val="000000"/>
          <w:sz w:val="20"/>
          <w:szCs w:val="20"/>
        </w:rPr>
        <w:t>. None. All financial statement schedules are omitted because they are not applicable, not</w:t>
      </w:r>
      <w:r>
        <w:rPr>
          <w:rFonts w:eastAsia="Times New Roman"/>
          <w:i/>
          <w:iCs/>
          <w:color w:val="000000"/>
          <w:sz w:val="20"/>
          <w:szCs w:val="20"/>
        </w:rPr>
        <w:t> </w:t>
      </w:r>
      <w:r>
        <w:rPr>
          <w:rFonts w:eastAsia="Times New Roman"/>
          <w:color w:val="000000"/>
          <w:sz w:val="20"/>
          <w:szCs w:val="20"/>
        </w:rPr>
        <w:t xml:space="preserve">required under the instructions, or the </w:t>
      </w:r>
      <w:r>
        <w:rPr>
          <w:rFonts w:eastAsia="Times New Roman"/>
          <w:color w:val="000000"/>
          <w:sz w:val="20"/>
          <w:szCs w:val="20"/>
        </w:rPr>
        <w:t>requested information is included in the financial statements or notes thereto.</w:t>
      </w:r>
    </w:p>
    <w:p w:rsidR="00000000" w:rsidRDefault="00FD7D3C">
      <w:pPr>
        <w:ind w:hanging="720"/>
        <w:divId w:val="850682265"/>
        <w:rPr>
          <w:rFonts w:eastAsia="Times New Roman"/>
        </w:rPr>
      </w:pPr>
      <w:r>
        <w:rPr>
          <w:rFonts w:eastAsia="Times New Roman"/>
          <w:color w:val="000000"/>
          <w:sz w:val="20"/>
          <w:szCs w:val="20"/>
        </w:rPr>
        <w:t>3.</w:t>
      </w:r>
      <w:r>
        <w:rPr>
          <w:rFonts w:eastAsia="Times New Roman"/>
          <w:i/>
          <w:iCs/>
          <w:color w:val="000000"/>
          <w:sz w:val="20"/>
          <w:szCs w:val="20"/>
        </w:rPr>
        <w:t>Exhibits</w:t>
      </w:r>
      <w:r>
        <w:rPr>
          <w:rFonts w:eastAsia="Times New Roman"/>
          <w:color w:val="000000"/>
          <w:sz w:val="20"/>
          <w:szCs w:val="20"/>
        </w:rPr>
        <w:t>. The following is a list of exhibits filed with this Annual Report or incorporated herein by reference:</w:t>
      </w:r>
    </w:p>
    <w:tbl>
      <w:tblPr>
        <w:tblW w:w="4977" w:type="pct"/>
        <w:tblCellMar>
          <w:top w:w="15" w:type="dxa"/>
          <w:left w:w="15" w:type="dxa"/>
          <w:bottom w:w="15" w:type="dxa"/>
          <w:right w:w="15" w:type="dxa"/>
        </w:tblCellMar>
        <w:tblLook w:val="04A0" w:firstRow="1" w:lastRow="0" w:firstColumn="1" w:lastColumn="0" w:noHBand="0" w:noVBand="1"/>
      </w:tblPr>
      <w:tblGrid>
        <w:gridCol w:w="63"/>
        <w:gridCol w:w="669"/>
        <w:gridCol w:w="36"/>
        <w:gridCol w:w="36"/>
        <w:gridCol w:w="36"/>
        <w:gridCol w:w="36"/>
        <w:gridCol w:w="39"/>
        <w:gridCol w:w="2554"/>
        <w:gridCol w:w="38"/>
        <w:gridCol w:w="36"/>
        <w:gridCol w:w="36"/>
        <w:gridCol w:w="36"/>
        <w:gridCol w:w="53"/>
        <w:gridCol w:w="525"/>
        <w:gridCol w:w="36"/>
        <w:gridCol w:w="36"/>
        <w:gridCol w:w="36"/>
        <w:gridCol w:w="36"/>
        <w:gridCol w:w="58"/>
        <w:gridCol w:w="775"/>
        <w:gridCol w:w="38"/>
        <w:gridCol w:w="36"/>
        <w:gridCol w:w="36"/>
        <w:gridCol w:w="36"/>
        <w:gridCol w:w="68"/>
        <w:gridCol w:w="513"/>
        <w:gridCol w:w="36"/>
        <w:gridCol w:w="36"/>
        <w:gridCol w:w="36"/>
        <w:gridCol w:w="36"/>
        <w:gridCol w:w="49"/>
        <w:gridCol w:w="1325"/>
        <w:gridCol w:w="37"/>
        <w:gridCol w:w="36"/>
        <w:gridCol w:w="36"/>
        <w:gridCol w:w="36"/>
        <w:gridCol w:w="82"/>
        <w:gridCol w:w="590"/>
        <w:gridCol w:w="36"/>
      </w:tblGrid>
      <w:tr w:rsidR="00000000">
        <w:trPr>
          <w:divId w:val="656807885"/>
        </w:trPr>
        <w:tc>
          <w:tcPr>
            <w:tcW w:w="50" w:type="pct"/>
            <w:vAlign w:val="center"/>
            <w:hideMark/>
          </w:tcPr>
          <w:p w:rsidR="00000000" w:rsidRDefault="00FD7D3C">
            <w:pPr>
              <w:ind w:hanging="720"/>
              <w:rPr>
                <w:rFonts w:eastAsia="Times New Roman"/>
              </w:rPr>
            </w:pPr>
          </w:p>
        </w:tc>
        <w:tc>
          <w:tcPr>
            <w:tcW w:w="432"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28"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1566"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28"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348"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28"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500"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28"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348"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28"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827"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28"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363"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r>
      <w:tr w:rsidR="00000000">
        <w:trPr>
          <w:divId w:val="656807885"/>
        </w:trPr>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27"/>
            <w:tcMar>
              <w:top w:w="30" w:type="dxa"/>
              <w:left w:w="20" w:type="dxa"/>
              <w:bottom w:w="30" w:type="dxa"/>
              <w:right w:w="20" w:type="dxa"/>
            </w:tcMar>
            <w:hideMark/>
          </w:tcPr>
          <w:p w:rsidR="00000000" w:rsidRDefault="00FD7D3C">
            <w:pPr>
              <w:spacing w:after="100"/>
              <w:jc w:val="center"/>
              <w:rPr>
                <w:rFonts w:eastAsia="Times New Roman"/>
              </w:rPr>
            </w:pPr>
            <w:r>
              <w:rPr>
                <w:rFonts w:eastAsia="Times New Roman"/>
                <w:b/>
                <w:bCs/>
                <w:color w:val="000000"/>
                <w:sz w:val="16"/>
                <w:szCs w:val="16"/>
              </w:rPr>
              <w:t>Incorporated by Reference</w:t>
            </w:r>
          </w:p>
        </w:tc>
      </w:tr>
      <w:tr w:rsidR="00000000">
        <w:trPr>
          <w:divId w:val="656807885"/>
        </w:trPr>
        <w:tc>
          <w:tcPr>
            <w:tcW w:w="0" w:type="auto"/>
            <w:gridSpan w:val="3"/>
            <w:tcBorders>
              <w:bottom w:val="single" w:sz="8" w:space="0" w:color="000000"/>
            </w:tcBorders>
            <w:tcMar>
              <w:top w:w="30" w:type="dxa"/>
              <w:left w:w="20" w:type="dxa"/>
              <w:bottom w:w="30" w:type="dxa"/>
              <w:right w:w="20" w:type="dxa"/>
            </w:tcMar>
            <w:hideMark/>
          </w:tcPr>
          <w:p w:rsidR="00000000" w:rsidRDefault="00FD7D3C">
            <w:pPr>
              <w:spacing w:after="100"/>
              <w:jc w:val="center"/>
              <w:rPr>
                <w:rFonts w:eastAsia="Times New Roman"/>
              </w:rPr>
            </w:pPr>
            <w:r>
              <w:rPr>
                <w:rFonts w:eastAsia="Times New Roman"/>
                <w:b/>
                <w:bCs/>
                <w:color w:val="000000"/>
                <w:sz w:val="16"/>
                <w:szCs w:val="16"/>
              </w:rPr>
              <w:t>Exhibit</w:t>
            </w:r>
            <w:r>
              <w:rPr>
                <w:rFonts w:eastAsia="Times New Roman"/>
                <w:b/>
                <w:bCs/>
                <w:color w:val="000000"/>
                <w:sz w:val="16"/>
                <w:szCs w:val="16"/>
              </w:rPr>
              <w:br/>
              <w:t>Number</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Exhibit Description</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Form</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File No.</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Exhibit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Filing</w:t>
            </w:r>
            <w:r>
              <w:rPr>
                <w:rFonts w:eastAsia="Times New Roman"/>
                <w:b/>
                <w:bCs/>
                <w:color w:val="000000"/>
                <w:sz w:val="16"/>
                <w:szCs w:val="16"/>
              </w:rPr>
              <w:br/>
              <w:t>Date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File</w:t>
            </w:r>
            <w:r>
              <w:rPr>
                <w:rFonts w:eastAsia="Times New Roman"/>
                <w:b/>
                <w:bCs/>
                <w:color w:val="000000"/>
                <w:sz w:val="16"/>
                <w:szCs w:val="16"/>
              </w:rPr>
              <w:br/>
              <w:t>Herewith</w:t>
            </w:r>
          </w:p>
        </w:tc>
      </w:tr>
      <w:tr w:rsidR="00000000">
        <w:trPr>
          <w:divId w:val="656807885"/>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000000">
        <w:trPr>
          <w:divId w:val="656807885"/>
        </w:trPr>
        <w:tc>
          <w:tcPr>
            <w:tcW w:w="0" w:type="auto"/>
            <w:gridSpan w:val="3"/>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3.1</w:t>
            </w: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Amended and Restated Certificate of Incorporation of the Registrant, as currently in effect.</w:t>
            </w: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tcMar>
              <w:top w:w="30" w:type="dxa"/>
              <w:left w:w="20" w:type="dxa"/>
              <w:bottom w:w="30" w:type="dxa"/>
              <w:right w:w="20" w:type="dxa"/>
            </w:tcMar>
            <w:hideMark/>
          </w:tcPr>
          <w:p w:rsidR="00000000" w:rsidRDefault="00FD7D3C">
            <w:pPr>
              <w:spacing w:after="100"/>
              <w:jc w:val="center"/>
              <w:rPr>
                <w:rFonts w:eastAsia="Times New Roman"/>
              </w:rPr>
            </w:pPr>
            <w:r>
              <w:rPr>
                <w:rFonts w:eastAsia="Times New Roman"/>
                <w:color w:val="000000"/>
                <w:sz w:val="20"/>
                <w:szCs w:val="20"/>
              </w:rPr>
              <w:t>10-Q</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FD7D3C">
            <w:pPr>
              <w:spacing w:after="100"/>
              <w:jc w:val="center"/>
              <w:rPr>
                <w:rFonts w:eastAsia="Times New Roman"/>
              </w:rPr>
            </w:pPr>
            <w:r>
              <w:rPr>
                <w:rFonts w:eastAsia="Times New Roman"/>
                <w:color w:val="000000"/>
                <w:sz w:val="20"/>
                <w:szCs w:val="20"/>
              </w:rPr>
              <w:t>001-39303</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FD7D3C">
            <w:pPr>
              <w:spacing w:after="100"/>
              <w:jc w:val="center"/>
              <w:rPr>
                <w:rFonts w:eastAsia="Times New Roman"/>
              </w:rPr>
            </w:pPr>
            <w:r>
              <w:rPr>
                <w:rFonts w:eastAsia="Times New Roman"/>
                <w:color w:val="000000"/>
                <w:sz w:val="20"/>
                <w:szCs w:val="20"/>
              </w:rPr>
              <w:t>3.1</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FD7D3C">
            <w:pPr>
              <w:spacing w:after="100"/>
              <w:jc w:val="center"/>
              <w:rPr>
                <w:rFonts w:eastAsia="Times New Roman"/>
              </w:rPr>
            </w:pPr>
            <w:r>
              <w:rPr>
                <w:rFonts w:eastAsia="Times New Roman"/>
                <w:color w:val="000000"/>
                <w:sz w:val="20"/>
                <w:szCs w:val="20"/>
              </w:rPr>
              <w:t>August 11, 2020</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000000">
        <w:trPr>
          <w:divId w:val="656807885"/>
        </w:trPr>
        <w:tc>
          <w:tcPr>
            <w:tcW w:w="0" w:type="auto"/>
            <w:gridSpan w:val="3"/>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3.2</w:t>
            </w: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Amended and Restated Bylaws of the Registrant, as currently in effect.</w:t>
            </w: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tcMar>
              <w:top w:w="30" w:type="dxa"/>
              <w:left w:w="20" w:type="dxa"/>
              <w:bottom w:w="30" w:type="dxa"/>
              <w:right w:w="20" w:type="dxa"/>
            </w:tcMar>
            <w:hideMark/>
          </w:tcPr>
          <w:p w:rsidR="00000000" w:rsidRDefault="00FD7D3C">
            <w:pPr>
              <w:spacing w:after="100"/>
              <w:jc w:val="center"/>
              <w:rPr>
                <w:rFonts w:eastAsia="Times New Roman"/>
              </w:rPr>
            </w:pPr>
            <w:r>
              <w:rPr>
                <w:rFonts w:eastAsia="Times New Roman"/>
                <w:color w:val="000000"/>
                <w:sz w:val="20"/>
                <w:szCs w:val="20"/>
              </w:rPr>
              <w:t>8-K</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FD7D3C">
            <w:pPr>
              <w:spacing w:after="100"/>
              <w:jc w:val="center"/>
              <w:rPr>
                <w:rFonts w:eastAsia="Times New Roman"/>
              </w:rPr>
            </w:pPr>
            <w:r>
              <w:rPr>
                <w:rFonts w:eastAsia="Times New Roman"/>
                <w:color w:val="000000"/>
                <w:sz w:val="20"/>
                <w:szCs w:val="20"/>
              </w:rPr>
              <w:t>001-39303</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FD7D3C">
            <w:pPr>
              <w:spacing w:after="100"/>
              <w:jc w:val="center"/>
              <w:rPr>
                <w:rFonts w:eastAsia="Times New Roman"/>
              </w:rPr>
            </w:pPr>
            <w:r>
              <w:rPr>
                <w:rFonts w:eastAsia="Times New Roman"/>
                <w:color w:val="000000"/>
                <w:sz w:val="20"/>
                <w:szCs w:val="20"/>
              </w:rPr>
              <w:t>3.2</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FD7D3C">
            <w:pPr>
              <w:spacing w:after="100"/>
              <w:jc w:val="center"/>
              <w:rPr>
                <w:rFonts w:eastAsia="Times New Roman"/>
              </w:rPr>
            </w:pPr>
            <w:r>
              <w:rPr>
                <w:rFonts w:eastAsia="Times New Roman"/>
                <w:color w:val="000000"/>
                <w:sz w:val="20"/>
                <w:szCs w:val="20"/>
              </w:rPr>
              <w:t>December 15, 2020</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000000">
        <w:trPr>
          <w:divId w:val="656807885"/>
        </w:trPr>
        <w:tc>
          <w:tcPr>
            <w:tcW w:w="0" w:type="auto"/>
            <w:gridSpan w:val="3"/>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4.1</w:t>
            </w: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Specimen Common Stock Certificate of the Registrant.</w:t>
            </w: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tcMar>
              <w:top w:w="30" w:type="dxa"/>
              <w:left w:w="20" w:type="dxa"/>
              <w:bottom w:w="30" w:type="dxa"/>
              <w:right w:w="20" w:type="dxa"/>
            </w:tcMar>
            <w:hideMark/>
          </w:tcPr>
          <w:p w:rsidR="00000000" w:rsidRDefault="00FD7D3C">
            <w:pPr>
              <w:spacing w:after="100"/>
              <w:jc w:val="center"/>
              <w:rPr>
                <w:rFonts w:eastAsia="Times New Roman"/>
              </w:rPr>
            </w:pPr>
            <w:r>
              <w:rPr>
                <w:rFonts w:eastAsia="Times New Roman"/>
                <w:color w:val="000000"/>
                <w:sz w:val="20"/>
                <w:szCs w:val="20"/>
              </w:rPr>
              <w:t>S-1/A</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FD7D3C">
            <w:pPr>
              <w:spacing w:after="100"/>
              <w:jc w:val="center"/>
              <w:rPr>
                <w:rFonts w:eastAsia="Times New Roman"/>
              </w:rPr>
            </w:pPr>
            <w:r>
              <w:rPr>
                <w:rFonts w:eastAsia="Times New Roman"/>
                <w:color w:val="000000"/>
                <w:sz w:val="20"/>
                <w:szCs w:val="20"/>
              </w:rPr>
              <w:t>333-238146</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FD7D3C">
            <w:pPr>
              <w:spacing w:after="100"/>
              <w:jc w:val="center"/>
              <w:rPr>
                <w:rFonts w:eastAsia="Times New Roman"/>
              </w:rPr>
            </w:pPr>
            <w:r>
              <w:rPr>
                <w:rFonts w:eastAsia="Times New Roman"/>
                <w:color w:val="000000"/>
                <w:sz w:val="20"/>
                <w:szCs w:val="20"/>
              </w:rPr>
              <w:t>4.1</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FD7D3C">
            <w:pPr>
              <w:spacing w:after="100"/>
              <w:jc w:val="center"/>
              <w:rPr>
                <w:rFonts w:eastAsia="Times New Roman"/>
              </w:rPr>
            </w:pPr>
            <w:r>
              <w:rPr>
                <w:rFonts w:eastAsia="Times New Roman"/>
                <w:color w:val="000000"/>
                <w:sz w:val="20"/>
                <w:szCs w:val="20"/>
              </w:rPr>
              <w:t>May 26, 2020</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000000">
        <w:trPr>
          <w:divId w:val="656807885"/>
        </w:trPr>
        <w:tc>
          <w:tcPr>
            <w:tcW w:w="0" w:type="auto"/>
            <w:gridSpan w:val="3"/>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4.2</w:t>
            </w: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 xml:space="preserve">Amended and Restated Investors’ </w:t>
            </w:r>
            <w:r>
              <w:rPr>
                <w:rFonts w:eastAsia="Times New Roman"/>
                <w:color w:val="000000"/>
                <w:sz w:val="20"/>
                <w:szCs w:val="20"/>
              </w:rPr>
              <w:t>Right Agreement by and among the Registrant and certain of its stockholders, dated December 19, 2010.</w:t>
            </w: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tcMar>
              <w:top w:w="30" w:type="dxa"/>
              <w:left w:w="20" w:type="dxa"/>
              <w:bottom w:w="30" w:type="dxa"/>
              <w:right w:w="20" w:type="dxa"/>
            </w:tcMar>
            <w:hideMark/>
          </w:tcPr>
          <w:p w:rsidR="00000000" w:rsidRDefault="00FD7D3C">
            <w:pPr>
              <w:spacing w:after="100"/>
              <w:jc w:val="center"/>
              <w:rPr>
                <w:rFonts w:eastAsia="Times New Roman"/>
              </w:rPr>
            </w:pPr>
            <w:r>
              <w:rPr>
                <w:rFonts w:eastAsia="Times New Roman"/>
                <w:color w:val="000000"/>
                <w:sz w:val="20"/>
                <w:szCs w:val="20"/>
              </w:rPr>
              <w:t>S-1/A</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FD7D3C">
            <w:pPr>
              <w:spacing w:after="100"/>
              <w:jc w:val="center"/>
              <w:rPr>
                <w:rFonts w:eastAsia="Times New Roman"/>
              </w:rPr>
            </w:pPr>
            <w:r>
              <w:rPr>
                <w:rFonts w:eastAsia="Times New Roman"/>
                <w:color w:val="000000"/>
                <w:sz w:val="20"/>
                <w:szCs w:val="20"/>
              </w:rPr>
              <w:t>333-238146</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FD7D3C">
            <w:pPr>
              <w:spacing w:after="100"/>
              <w:jc w:val="center"/>
              <w:rPr>
                <w:rFonts w:eastAsia="Times New Roman"/>
              </w:rPr>
            </w:pPr>
            <w:r>
              <w:rPr>
                <w:rFonts w:eastAsia="Times New Roman"/>
                <w:color w:val="000000"/>
                <w:sz w:val="20"/>
                <w:szCs w:val="20"/>
              </w:rPr>
              <w:t>4.2</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FD7D3C">
            <w:pPr>
              <w:spacing w:after="100"/>
              <w:jc w:val="center"/>
              <w:rPr>
                <w:rFonts w:eastAsia="Times New Roman"/>
              </w:rPr>
            </w:pPr>
            <w:r>
              <w:rPr>
                <w:rFonts w:eastAsia="Times New Roman"/>
                <w:color w:val="000000"/>
                <w:sz w:val="20"/>
                <w:szCs w:val="20"/>
              </w:rPr>
              <w:t>May 26, 2020</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000000">
        <w:trPr>
          <w:divId w:val="656807885"/>
        </w:trPr>
        <w:tc>
          <w:tcPr>
            <w:tcW w:w="0" w:type="auto"/>
            <w:gridSpan w:val="3"/>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4.3</w:t>
            </w: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Description of the Registrant’s Securities</w:t>
            </w: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FD7D3C">
            <w:pPr>
              <w:spacing w:after="100"/>
              <w:jc w:val="center"/>
              <w:rPr>
                <w:rFonts w:eastAsia="Times New Roman"/>
              </w:rPr>
            </w:pPr>
            <w:r>
              <w:rPr>
                <w:rFonts w:eastAsia="Times New Roman"/>
                <w:color w:val="000000"/>
                <w:sz w:val="20"/>
                <w:szCs w:val="20"/>
              </w:rPr>
              <w:t>X</w:t>
            </w:r>
          </w:p>
        </w:tc>
      </w:tr>
      <w:tr w:rsidR="00000000">
        <w:trPr>
          <w:divId w:val="656807885"/>
        </w:trPr>
        <w:tc>
          <w:tcPr>
            <w:tcW w:w="0" w:type="auto"/>
            <w:gridSpan w:val="3"/>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10.1#</w:t>
            </w: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2020 Stock Option and Incentive Plan and forms of award agreement.</w:t>
            </w: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tcMar>
              <w:top w:w="30" w:type="dxa"/>
              <w:left w:w="20" w:type="dxa"/>
              <w:bottom w:w="30" w:type="dxa"/>
              <w:right w:w="20" w:type="dxa"/>
            </w:tcMar>
            <w:hideMark/>
          </w:tcPr>
          <w:p w:rsidR="00000000" w:rsidRDefault="00FD7D3C">
            <w:pPr>
              <w:spacing w:after="100"/>
              <w:jc w:val="center"/>
              <w:rPr>
                <w:rFonts w:eastAsia="Times New Roman"/>
              </w:rPr>
            </w:pPr>
            <w:r>
              <w:rPr>
                <w:rFonts w:eastAsia="Times New Roman"/>
                <w:color w:val="000000"/>
                <w:sz w:val="20"/>
                <w:szCs w:val="20"/>
              </w:rPr>
              <w:t>S-1/A</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FD7D3C">
            <w:pPr>
              <w:spacing w:after="100"/>
              <w:jc w:val="center"/>
              <w:rPr>
                <w:rFonts w:eastAsia="Times New Roman"/>
              </w:rPr>
            </w:pPr>
            <w:r>
              <w:rPr>
                <w:rFonts w:eastAsia="Times New Roman"/>
                <w:color w:val="000000"/>
                <w:sz w:val="20"/>
                <w:szCs w:val="20"/>
              </w:rPr>
              <w:t>333-238146</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FD7D3C">
            <w:pPr>
              <w:spacing w:after="100"/>
              <w:jc w:val="center"/>
              <w:rPr>
                <w:rFonts w:eastAsia="Times New Roman"/>
              </w:rPr>
            </w:pPr>
            <w:r>
              <w:rPr>
                <w:rFonts w:eastAsia="Times New Roman"/>
                <w:color w:val="000000"/>
                <w:sz w:val="20"/>
                <w:szCs w:val="20"/>
              </w:rPr>
              <w:t>10.2</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FD7D3C">
            <w:pPr>
              <w:spacing w:after="100"/>
              <w:jc w:val="center"/>
              <w:rPr>
                <w:rFonts w:eastAsia="Times New Roman"/>
              </w:rPr>
            </w:pPr>
            <w:r>
              <w:rPr>
                <w:rFonts w:eastAsia="Times New Roman"/>
                <w:color w:val="000000"/>
                <w:sz w:val="20"/>
                <w:szCs w:val="20"/>
              </w:rPr>
              <w:t>May 26, 2020</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000000">
        <w:trPr>
          <w:divId w:val="656807885"/>
        </w:trPr>
        <w:tc>
          <w:tcPr>
            <w:tcW w:w="0" w:type="auto"/>
            <w:gridSpan w:val="3"/>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10.2#</w:t>
            </w: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2015 Equity Incentive Plan and forms of award agreements thereunder.</w:t>
            </w: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tcMar>
              <w:top w:w="30" w:type="dxa"/>
              <w:left w:w="20" w:type="dxa"/>
              <w:bottom w:w="30" w:type="dxa"/>
              <w:right w:w="20" w:type="dxa"/>
            </w:tcMar>
            <w:hideMark/>
          </w:tcPr>
          <w:p w:rsidR="00000000" w:rsidRDefault="00FD7D3C">
            <w:pPr>
              <w:spacing w:after="100"/>
              <w:jc w:val="center"/>
              <w:rPr>
                <w:rFonts w:eastAsia="Times New Roman"/>
              </w:rPr>
            </w:pPr>
            <w:r>
              <w:rPr>
                <w:rFonts w:eastAsia="Times New Roman"/>
                <w:color w:val="000000"/>
                <w:sz w:val="20"/>
                <w:szCs w:val="20"/>
              </w:rPr>
              <w:t>S-1</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FD7D3C">
            <w:pPr>
              <w:spacing w:after="100"/>
              <w:jc w:val="center"/>
              <w:rPr>
                <w:rFonts w:eastAsia="Times New Roman"/>
              </w:rPr>
            </w:pPr>
            <w:r>
              <w:rPr>
                <w:rFonts w:eastAsia="Times New Roman"/>
                <w:color w:val="000000"/>
                <w:sz w:val="20"/>
                <w:szCs w:val="20"/>
              </w:rPr>
              <w:t>333-238146</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FD7D3C">
            <w:pPr>
              <w:spacing w:after="100"/>
              <w:jc w:val="center"/>
              <w:rPr>
                <w:rFonts w:eastAsia="Times New Roman"/>
              </w:rPr>
            </w:pPr>
            <w:r>
              <w:rPr>
                <w:rFonts w:eastAsia="Times New Roman"/>
                <w:color w:val="000000"/>
                <w:sz w:val="20"/>
                <w:szCs w:val="20"/>
              </w:rPr>
              <w:t>10.1</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FD7D3C">
            <w:pPr>
              <w:spacing w:after="100"/>
              <w:jc w:val="center"/>
              <w:rPr>
                <w:rFonts w:eastAsia="Times New Roman"/>
              </w:rPr>
            </w:pPr>
            <w:r>
              <w:rPr>
                <w:rFonts w:eastAsia="Times New Roman"/>
                <w:color w:val="000000"/>
                <w:sz w:val="20"/>
                <w:szCs w:val="20"/>
              </w:rPr>
              <w:t>May 11, 2020</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000000">
        <w:trPr>
          <w:divId w:val="656807885"/>
        </w:trPr>
        <w:tc>
          <w:tcPr>
            <w:tcW w:w="0" w:type="auto"/>
            <w:gridSpan w:val="3"/>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10.3#</w:t>
            </w: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2020 Employee Stock Purchase Plan.</w:t>
            </w: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tcMar>
              <w:top w:w="30" w:type="dxa"/>
              <w:left w:w="20" w:type="dxa"/>
              <w:bottom w:w="30" w:type="dxa"/>
              <w:right w:w="20" w:type="dxa"/>
            </w:tcMar>
            <w:hideMark/>
          </w:tcPr>
          <w:p w:rsidR="00000000" w:rsidRDefault="00FD7D3C">
            <w:pPr>
              <w:spacing w:after="100"/>
              <w:jc w:val="center"/>
              <w:rPr>
                <w:rFonts w:eastAsia="Times New Roman"/>
              </w:rPr>
            </w:pPr>
            <w:r>
              <w:rPr>
                <w:rFonts w:eastAsia="Times New Roman"/>
                <w:color w:val="000000"/>
                <w:sz w:val="20"/>
                <w:szCs w:val="20"/>
              </w:rPr>
              <w:t>S-1/A</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FD7D3C">
            <w:pPr>
              <w:spacing w:after="100"/>
              <w:jc w:val="center"/>
              <w:rPr>
                <w:rFonts w:eastAsia="Times New Roman"/>
              </w:rPr>
            </w:pPr>
            <w:r>
              <w:rPr>
                <w:rFonts w:eastAsia="Times New Roman"/>
                <w:color w:val="000000"/>
                <w:sz w:val="20"/>
                <w:szCs w:val="20"/>
              </w:rPr>
              <w:t>333-238146</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FD7D3C">
            <w:pPr>
              <w:spacing w:after="100"/>
              <w:jc w:val="center"/>
              <w:rPr>
                <w:rFonts w:eastAsia="Times New Roman"/>
              </w:rPr>
            </w:pPr>
            <w:r>
              <w:rPr>
                <w:rFonts w:eastAsia="Times New Roman"/>
                <w:color w:val="000000"/>
                <w:sz w:val="20"/>
                <w:szCs w:val="20"/>
              </w:rPr>
              <w:t>10.3</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FD7D3C">
            <w:pPr>
              <w:spacing w:after="100"/>
              <w:jc w:val="center"/>
              <w:rPr>
                <w:rFonts w:eastAsia="Times New Roman"/>
              </w:rPr>
            </w:pPr>
            <w:r>
              <w:rPr>
                <w:rFonts w:eastAsia="Times New Roman"/>
                <w:color w:val="000000"/>
                <w:sz w:val="20"/>
                <w:szCs w:val="20"/>
              </w:rPr>
              <w:t>May 26, 2020</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000000">
        <w:trPr>
          <w:divId w:val="656807885"/>
        </w:trPr>
        <w:tc>
          <w:tcPr>
            <w:tcW w:w="0" w:type="auto"/>
            <w:gridSpan w:val="3"/>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Senior Executive Cash Incentive Bonus Plan.</w:t>
            </w: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tcMar>
              <w:top w:w="30" w:type="dxa"/>
              <w:left w:w="20" w:type="dxa"/>
              <w:bottom w:w="30" w:type="dxa"/>
              <w:right w:w="20" w:type="dxa"/>
            </w:tcMar>
            <w:hideMark/>
          </w:tcPr>
          <w:p w:rsidR="00000000" w:rsidRDefault="00FD7D3C">
            <w:pPr>
              <w:spacing w:after="100"/>
              <w:jc w:val="center"/>
              <w:rPr>
                <w:rFonts w:eastAsia="Times New Roman"/>
              </w:rPr>
            </w:pPr>
            <w:r>
              <w:rPr>
                <w:rFonts w:eastAsia="Times New Roman"/>
                <w:color w:val="000000"/>
                <w:sz w:val="20"/>
                <w:szCs w:val="20"/>
              </w:rPr>
              <w:t>S-1</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FD7D3C">
            <w:pPr>
              <w:spacing w:after="100"/>
              <w:jc w:val="center"/>
              <w:rPr>
                <w:rFonts w:eastAsia="Times New Roman"/>
              </w:rPr>
            </w:pPr>
            <w:r>
              <w:rPr>
                <w:rFonts w:eastAsia="Times New Roman"/>
                <w:color w:val="000000"/>
                <w:sz w:val="20"/>
                <w:szCs w:val="20"/>
              </w:rPr>
              <w:t>333-238146</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FD7D3C">
            <w:pPr>
              <w:spacing w:after="100"/>
              <w:jc w:val="center"/>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FD7D3C">
            <w:pPr>
              <w:spacing w:after="100"/>
              <w:jc w:val="center"/>
              <w:rPr>
                <w:rFonts w:eastAsia="Times New Roman"/>
              </w:rPr>
            </w:pPr>
            <w:r>
              <w:rPr>
                <w:rFonts w:eastAsia="Times New Roman"/>
                <w:color w:val="000000"/>
                <w:sz w:val="20"/>
                <w:szCs w:val="20"/>
              </w:rPr>
              <w:t>May 11, 2020</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000000">
        <w:trPr>
          <w:divId w:val="656807885"/>
        </w:trPr>
        <w:tc>
          <w:tcPr>
            <w:tcW w:w="0" w:type="auto"/>
            <w:gridSpan w:val="3"/>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10.5#</w:t>
            </w: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Non-Employee Director Compensation Policy.</w:t>
            </w: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tcMar>
              <w:top w:w="30" w:type="dxa"/>
              <w:left w:w="20" w:type="dxa"/>
              <w:bottom w:w="30" w:type="dxa"/>
              <w:right w:w="20" w:type="dxa"/>
            </w:tcMar>
            <w:hideMark/>
          </w:tcPr>
          <w:p w:rsidR="00000000" w:rsidRDefault="00FD7D3C">
            <w:pPr>
              <w:spacing w:after="100"/>
              <w:jc w:val="center"/>
              <w:rPr>
                <w:rFonts w:eastAsia="Times New Roman"/>
              </w:rPr>
            </w:pPr>
            <w:r>
              <w:rPr>
                <w:rFonts w:eastAsia="Times New Roman"/>
                <w:color w:val="000000"/>
                <w:sz w:val="20"/>
                <w:szCs w:val="20"/>
              </w:rPr>
              <w:t>S-1/A</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FD7D3C">
            <w:pPr>
              <w:spacing w:after="100"/>
              <w:jc w:val="center"/>
              <w:rPr>
                <w:rFonts w:eastAsia="Times New Roman"/>
              </w:rPr>
            </w:pPr>
            <w:r>
              <w:rPr>
                <w:rFonts w:eastAsia="Times New Roman"/>
                <w:color w:val="000000"/>
                <w:sz w:val="20"/>
                <w:szCs w:val="20"/>
              </w:rPr>
              <w:t>333-238146</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FD7D3C">
            <w:pPr>
              <w:spacing w:after="100"/>
              <w:jc w:val="center"/>
              <w:rPr>
                <w:rFonts w:eastAsia="Times New Roman"/>
              </w:rPr>
            </w:pPr>
            <w:r>
              <w:rPr>
                <w:rFonts w:eastAsia="Times New Roman"/>
                <w:color w:val="000000"/>
                <w:sz w:val="20"/>
                <w:szCs w:val="20"/>
              </w:rPr>
              <w:t>10.6</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FD7D3C">
            <w:pPr>
              <w:spacing w:after="100"/>
              <w:jc w:val="center"/>
              <w:rPr>
                <w:rFonts w:eastAsia="Times New Roman"/>
              </w:rPr>
            </w:pPr>
            <w:r>
              <w:rPr>
                <w:rFonts w:eastAsia="Times New Roman"/>
                <w:color w:val="000000"/>
                <w:sz w:val="20"/>
                <w:szCs w:val="20"/>
              </w:rPr>
              <w:t>May 26, 2020</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000000">
        <w:trPr>
          <w:divId w:val="656807885"/>
        </w:trPr>
        <w:tc>
          <w:tcPr>
            <w:tcW w:w="0" w:type="auto"/>
            <w:gridSpan w:val="3"/>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10.6#</w:t>
            </w: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Executive Severance Plan.</w:t>
            </w: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tcMar>
              <w:top w:w="30" w:type="dxa"/>
              <w:left w:w="20" w:type="dxa"/>
              <w:bottom w:w="30" w:type="dxa"/>
              <w:right w:w="20" w:type="dxa"/>
            </w:tcMar>
            <w:hideMark/>
          </w:tcPr>
          <w:p w:rsidR="00000000" w:rsidRDefault="00FD7D3C">
            <w:pPr>
              <w:spacing w:after="100"/>
              <w:jc w:val="center"/>
              <w:rPr>
                <w:rFonts w:eastAsia="Times New Roman"/>
              </w:rPr>
            </w:pPr>
            <w:r>
              <w:rPr>
                <w:rFonts w:eastAsia="Times New Roman"/>
                <w:color w:val="000000"/>
                <w:sz w:val="20"/>
                <w:szCs w:val="20"/>
              </w:rPr>
              <w:t>S-1</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FD7D3C">
            <w:pPr>
              <w:spacing w:after="100"/>
              <w:jc w:val="center"/>
              <w:rPr>
                <w:rFonts w:eastAsia="Times New Roman"/>
              </w:rPr>
            </w:pPr>
            <w:r>
              <w:rPr>
                <w:rFonts w:eastAsia="Times New Roman"/>
                <w:color w:val="000000"/>
                <w:sz w:val="20"/>
                <w:szCs w:val="20"/>
              </w:rPr>
              <w:t>333-238146</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FD7D3C">
            <w:pPr>
              <w:spacing w:after="100"/>
              <w:jc w:val="center"/>
              <w:rPr>
                <w:rFonts w:eastAsia="Times New Roman"/>
              </w:rPr>
            </w:pPr>
            <w:r>
              <w:rPr>
                <w:rFonts w:eastAsia="Times New Roman"/>
                <w:color w:val="000000"/>
                <w:sz w:val="20"/>
                <w:szCs w:val="20"/>
              </w:rPr>
              <w:t>10.7</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FD7D3C">
            <w:pPr>
              <w:spacing w:after="100"/>
              <w:jc w:val="center"/>
              <w:rPr>
                <w:rFonts w:eastAsia="Times New Roman"/>
              </w:rPr>
            </w:pPr>
            <w:r>
              <w:rPr>
                <w:rFonts w:eastAsia="Times New Roman"/>
                <w:color w:val="000000"/>
                <w:sz w:val="20"/>
                <w:szCs w:val="20"/>
              </w:rPr>
              <w:t>May 11, 2020</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000000">
        <w:trPr>
          <w:divId w:val="656807885"/>
        </w:trPr>
        <w:tc>
          <w:tcPr>
            <w:tcW w:w="0" w:type="auto"/>
            <w:gridSpan w:val="3"/>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10.7#</w:t>
            </w: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Offer Letter, by and between the Registrant and Mike Ouimette, dated August 17, 2020.</w:t>
            </w: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tcMar>
              <w:top w:w="30" w:type="dxa"/>
              <w:left w:w="20" w:type="dxa"/>
              <w:bottom w:w="30" w:type="dxa"/>
              <w:right w:w="20" w:type="dxa"/>
            </w:tcMar>
            <w:hideMark/>
          </w:tcPr>
          <w:p w:rsidR="00000000" w:rsidRDefault="00FD7D3C">
            <w:pPr>
              <w:spacing w:after="100"/>
              <w:jc w:val="center"/>
              <w:rPr>
                <w:rFonts w:eastAsia="Times New Roman"/>
              </w:rPr>
            </w:pPr>
            <w:r>
              <w:rPr>
                <w:rFonts w:eastAsia="Times New Roman"/>
                <w:color w:val="000000"/>
                <w:sz w:val="20"/>
                <w:szCs w:val="20"/>
              </w:rPr>
              <w:t>10-Q</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FD7D3C">
            <w:pPr>
              <w:spacing w:after="100"/>
              <w:jc w:val="center"/>
              <w:rPr>
                <w:rFonts w:eastAsia="Times New Roman"/>
              </w:rPr>
            </w:pPr>
            <w:r>
              <w:rPr>
                <w:rFonts w:eastAsia="Times New Roman"/>
                <w:color w:val="000000"/>
                <w:sz w:val="20"/>
                <w:szCs w:val="20"/>
              </w:rPr>
              <w:t>001-39303</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FD7D3C">
            <w:pPr>
              <w:spacing w:after="100"/>
              <w:jc w:val="center"/>
              <w:rPr>
                <w:rFonts w:eastAsia="Times New Roman"/>
              </w:rPr>
            </w:pPr>
            <w:r>
              <w:rPr>
                <w:rFonts w:eastAsia="Times New Roman"/>
                <w:color w:val="000000"/>
                <w:sz w:val="20"/>
                <w:szCs w:val="20"/>
              </w:rPr>
              <w:t>10.1</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FD7D3C">
            <w:pPr>
              <w:spacing w:after="100"/>
              <w:jc w:val="center"/>
              <w:rPr>
                <w:rFonts w:eastAsia="Times New Roman"/>
              </w:rPr>
            </w:pPr>
            <w:r>
              <w:rPr>
                <w:rFonts w:eastAsia="Times New Roman"/>
                <w:color w:val="000000"/>
                <w:sz w:val="20"/>
                <w:szCs w:val="20"/>
              </w:rPr>
              <w:t>November 10. 2020</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000000">
        <w:trPr>
          <w:divId w:val="656807885"/>
        </w:trPr>
        <w:tc>
          <w:tcPr>
            <w:tcW w:w="0" w:type="auto"/>
            <w:gridSpan w:val="3"/>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10.8#</w:t>
            </w: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Offer Letter, by and between the Registrant and Barbara Howes, dated May 1, 2019.</w:t>
            </w: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tcMar>
              <w:top w:w="30" w:type="dxa"/>
              <w:left w:w="20" w:type="dxa"/>
              <w:bottom w:w="30" w:type="dxa"/>
              <w:right w:w="20" w:type="dxa"/>
            </w:tcMar>
            <w:hideMark/>
          </w:tcPr>
          <w:p w:rsidR="00000000" w:rsidRDefault="00FD7D3C">
            <w:pPr>
              <w:spacing w:after="100"/>
              <w:jc w:val="center"/>
              <w:rPr>
                <w:rFonts w:eastAsia="Times New Roman"/>
              </w:rPr>
            </w:pPr>
            <w:r>
              <w:rPr>
                <w:rFonts w:eastAsia="Times New Roman"/>
                <w:color w:val="000000"/>
                <w:sz w:val="20"/>
                <w:szCs w:val="20"/>
              </w:rPr>
              <w:t>S-1</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FD7D3C">
            <w:pPr>
              <w:spacing w:after="100"/>
              <w:jc w:val="center"/>
              <w:rPr>
                <w:rFonts w:eastAsia="Times New Roman"/>
              </w:rPr>
            </w:pPr>
            <w:r>
              <w:rPr>
                <w:rFonts w:eastAsia="Times New Roman"/>
                <w:color w:val="000000"/>
                <w:sz w:val="20"/>
                <w:szCs w:val="20"/>
              </w:rPr>
              <w:t>333-238146</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FD7D3C">
            <w:pPr>
              <w:spacing w:after="100"/>
              <w:jc w:val="center"/>
              <w:rPr>
                <w:rFonts w:eastAsia="Times New Roman"/>
              </w:rPr>
            </w:pPr>
            <w:r>
              <w:rPr>
                <w:rFonts w:eastAsia="Times New Roman"/>
                <w:color w:val="000000"/>
                <w:sz w:val="20"/>
                <w:szCs w:val="20"/>
              </w:rPr>
              <w:t>10.12</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FD7D3C">
            <w:pPr>
              <w:spacing w:after="100"/>
              <w:jc w:val="center"/>
              <w:rPr>
                <w:rFonts w:eastAsia="Times New Roman"/>
              </w:rPr>
            </w:pPr>
            <w:r>
              <w:rPr>
                <w:rFonts w:eastAsia="Times New Roman"/>
                <w:color w:val="000000"/>
                <w:sz w:val="20"/>
                <w:szCs w:val="20"/>
              </w:rPr>
              <w:t>May 11, 2020</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000000">
        <w:trPr>
          <w:divId w:val="656807885"/>
        </w:trPr>
        <w:tc>
          <w:tcPr>
            <w:tcW w:w="0" w:type="auto"/>
            <w:gridSpan w:val="3"/>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10.9#</w:t>
            </w: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Offer Letter, by and between the Registrant and É</w:t>
            </w:r>
            <w:r>
              <w:rPr>
                <w:rFonts w:eastAsia="Times New Roman"/>
                <w:color w:val="000000"/>
                <w:sz w:val="20"/>
                <w:szCs w:val="20"/>
              </w:rPr>
              <w:t>ric Lefebvre, M.D., dated February 28, 2018.</w:t>
            </w: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tcMar>
              <w:top w:w="30" w:type="dxa"/>
              <w:left w:w="20" w:type="dxa"/>
              <w:bottom w:w="30" w:type="dxa"/>
              <w:right w:w="20" w:type="dxa"/>
            </w:tcMar>
            <w:hideMark/>
          </w:tcPr>
          <w:p w:rsidR="00000000" w:rsidRDefault="00FD7D3C">
            <w:pPr>
              <w:spacing w:after="100"/>
              <w:jc w:val="center"/>
              <w:rPr>
                <w:rFonts w:eastAsia="Times New Roman"/>
              </w:rPr>
            </w:pPr>
            <w:r>
              <w:rPr>
                <w:rFonts w:eastAsia="Times New Roman"/>
                <w:color w:val="000000"/>
                <w:sz w:val="20"/>
                <w:szCs w:val="20"/>
              </w:rPr>
              <w:t>S-1</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FD7D3C">
            <w:pPr>
              <w:spacing w:after="100"/>
              <w:jc w:val="center"/>
              <w:rPr>
                <w:rFonts w:eastAsia="Times New Roman"/>
              </w:rPr>
            </w:pPr>
            <w:r>
              <w:rPr>
                <w:rFonts w:eastAsia="Times New Roman"/>
                <w:color w:val="000000"/>
                <w:sz w:val="20"/>
                <w:szCs w:val="20"/>
              </w:rPr>
              <w:t>333-238146</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FD7D3C">
            <w:pPr>
              <w:spacing w:after="100"/>
              <w:jc w:val="center"/>
              <w:rPr>
                <w:rFonts w:eastAsia="Times New Roman"/>
              </w:rPr>
            </w:pPr>
            <w:r>
              <w:rPr>
                <w:rFonts w:eastAsia="Times New Roman"/>
                <w:color w:val="000000"/>
                <w:sz w:val="20"/>
                <w:szCs w:val="20"/>
              </w:rPr>
              <w:t>10.11</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FD7D3C">
            <w:pPr>
              <w:spacing w:after="100"/>
              <w:jc w:val="center"/>
              <w:rPr>
                <w:rFonts w:eastAsia="Times New Roman"/>
              </w:rPr>
            </w:pPr>
            <w:r>
              <w:rPr>
                <w:rFonts w:eastAsia="Times New Roman"/>
                <w:color w:val="000000"/>
                <w:sz w:val="20"/>
                <w:szCs w:val="20"/>
              </w:rPr>
              <w:t>May 11, 2020</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000000">
        <w:trPr>
          <w:divId w:val="656807885"/>
        </w:trPr>
        <w:tc>
          <w:tcPr>
            <w:tcW w:w="0" w:type="auto"/>
            <w:gridSpan w:val="3"/>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10.10#</w:t>
            </w: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Offer Letter, by and between the Registrant and Keith Cummings, M.D., MBA, dated November 29, 2018.</w:t>
            </w: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tcMar>
              <w:top w:w="30" w:type="dxa"/>
              <w:left w:w="20" w:type="dxa"/>
              <w:bottom w:w="30" w:type="dxa"/>
              <w:right w:w="20" w:type="dxa"/>
            </w:tcMar>
            <w:hideMark/>
          </w:tcPr>
          <w:p w:rsidR="00000000" w:rsidRDefault="00FD7D3C">
            <w:pPr>
              <w:spacing w:after="100"/>
              <w:jc w:val="center"/>
              <w:rPr>
                <w:rFonts w:eastAsia="Times New Roman"/>
              </w:rPr>
            </w:pPr>
            <w:r>
              <w:rPr>
                <w:rFonts w:eastAsia="Times New Roman"/>
                <w:color w:val="000000"/>
                <w:sz w:val="20"/>
                <w:szCs w:val="20"/>
              </w:rPr>
              <w:t>S-1</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FD7D3C">
            <w:pPr>
              <w:spacing w:after="100"/>
              <w:jc w:val="center"/>
              <w:rPr>
                <w:rFonts w:eastAsia="Times New Roman"/>
              </w:rPr>
            </w:pPr>
            <w:r>
              <w:rPr>
                <w:rFonts w:eastAsia="Times New Roman"/>
                <w:color w:val="000000"/>
                <w:sz w:val="20"/>
                <w:szCs w:val="20"/>
              </w:rPr>
              <w:t>333-238146</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FD7D3C">
            <w:pPr>
              <w:spacing w:after="100"/>
              <w:jc w:val="center"/>
              <w:rPr>
                <w:rFonts w:eastAsia="Times New Roman"/>
              </w:rPr>
            </w:pPr>
            <w:r>
              <w:rPr>
                <w:rFonts w:eastAsia="Times New Roman"/>
                <w:color w:val="000000"/>
                <w:sz w:val="20"/>
                <w:szCs w:val="20"/>
              </w:rPr>
              <w:t>10.10</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FD7D3C">
            <w:pPr>
              <w:spacing w:after="100"/>
              <w:jc w:val="center"/>
              <w:rPr>
                <w:rFonts w:eastAsia="Times New Roman"/>
              </w:rPr>
            </w:pPr>
            <w:r>
              <w:rPr>
                <w:rFonts w:eastAsia="Times New Roman"/>
                <w:color w:val="000000"/>
                <w:sz w:val="20"/>
                <w:szCs w:val="20"/>
              </w:rPr>
              <w:t>May 11, 2020</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r>
    </w:tbl>
    <w:p w:rsidR="00000000" w:rsidRDefault="00FD7D3C">
      <w:pPr>
        <w:jc w:val="center"/>
        <w:divId w:val="316694118"/>
        <w:rPr>
          <w:rFonts w:eastAsia="Times New Roman"/>
        </w:rPr>
      </w:pPr>
      <w:r>
        <w:rPr>
          <w:rFonts w:eastAsia="Times New Roman"/>
          <w:color w:val="000000"/>
          <w:sz w:val="20"/>
          <w:szCs w:val="20"/>
        </w:rPr>
        <w:t>138</w:t>
      </w:r>
    </w:p>
    <w:p w:rsidR="00000000" w:rsidRDefault="00FD7D3C">
      <w:pPr>
        <w:rPr>
          <w:rFonts w:eastAsia="Times New Roman"/>
        </w:rPr>
      </w:pPr>
      <w:r>
        <w:rPr>
          <w:rFonts w:eastAsia="Times New Roman"/>
        </w:rPr>
        <w:pict>
          <v:rect id="_x0000_i1191" style="width:0;height:1.5pt" o:hralign="center" o:hrstd="t" o:hr="t" fillcolor="#a0a0a0" stroked="f"/>
        </w:pict>
      </w:r>
    </w:p>
    <w:p w:rsidR="00000000" w:rsidRDefault="00FD7D3C">
      <w:pPr>
        <w:divId w:val="1889488399"/>
        <w:rPr>
          <w:rFonts w:eastAsia="Times New Roman"/>
        </w:rPr>
      </w:pPr>
      <w:hyperlink w:anchor="i988625df783e4cc0a27bd76df388da57_7" w:history="1">
        <w:r>
          <w:rPr>
            <w:rStyle w:val="a3"/>
            <w:rFonts w:eastAsia="Times New Roman"/>
            <w:sz w:val="20"/>
            <w:szCs w:val="20"/>
          </w:rPr>
          <w:t>Table of Contents</w:t>
        </w:r>
      </w:hyperlink>
    </w:p>
    <w:tbl>
      <w:tblPr>
        <w:tblW w:w="4977" w:type="pct"/>
        <w:tblCellMar>
          <w:top w:w="15" w:type="dxa"/>
          <w:left w:w="15" w:type="dxa"/>
          <w:bottom w:w="15" w:type="dxa"/>
          <w:right w:w="15" w:type="dxa"/>
        </w:tblCellMar>
        <w:tblLook w:val="04A0" w:firstRow="1" w:lastRow="0" w:firstColumn="1" w:lastColumn="0" w:noHBand="0" w:noVBand="1"/>
      </w:tblPr>
      <w:tblGrid>
        <w:gridCol w:w="88"/>
        <w:gridCol w:w="761"/>
        <w:gridCol w:w="36"/>
        <w:gridCol w:w="36"/>
        <w:gridCol w:w="36"/>
        <w:gridCol w:w="36"/>
        <w:gridCol w:w="41"/>
        <w:gridCol w:w="2531"/>
        <w:gridCol w:w="38"/>
        <w:gridCol w:w="36"/>
        <w:gridCol w:w="36"/>
        <w:gridCol w:w="36"/>
        <w:gridCol w:w="53"/>
        <w:gridCol w:w="504"/>
        <w:gridCol w:w="36"/>
        <w:gridCol w:w="36"/>
        <w:gridCol w:w="36"/>
        <w:gridCol w:w="36"/>
        <w:gridCol w:w="58"/>
        <w:gridCol w:w="751"/>
        <w:gridCol w:w="36"/>
        <w:gridCol w:w="36"/>
        <w:gridCol w:w="36"/>
        <w:gridCol w:w="36"/>
        <w:gridCol w:w="68"/>
        <w:gridCol w:w="489"/>
        <w:gridCol w:w="36"/>
        <w:gridCol w:w="36"/>
        <w:gridCol w:w="36"/>
        <w:gridCol w:w="36"/>
        <w:gridCol w:w="37"/>
        <w:gridCol w:w="1313"/>
        <w:gridCol w:w="36"/>
        <w:gridCol w:w="36"/>
        <w:gridCol w:w="36"/>
        <w:gridCol w:w="36"/>
        <w:gridCol w:w="82"/>
        <w:gridCol w:w="590"/>
        <w:gridCol w:w="36"/>
      </w:tblGrid>
      <w:tr w:rsidR="00000000">
        <w:trPr>
          <w:divId w:val="758871462"/>
        </w:trPr>
        <w:tc>
          <w:tcPr>
            <w:tcW w:w="50" w:type="pct"/>
            <w:vAlign w:val="center"/>
            <w:hideMark/>
          </w:tcPr>
          <w:p w:rsidR="00000000" w:rsidRDefault="00FD7D3C">
            <w:pPr>
              <w:rPr>
                <w:rFonts w:eastAsia="Times New Roman"/>
              </w:rPr>
            </w:pPr>
          </w:p>
        </w:tc>
        <w:tc>
          <w:tcPr>
            <w:tcW w:w="432"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28"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1566"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28"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348"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28"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500"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28"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348"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28"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827"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28"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363"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r>
      <w:tr w:rsidR="00000000">
        <w:trPr>
          <w:divId w:val="758871462"/>
        </w:trPr>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27"/>
            <w:tcMar>
              <w:top w:w="30" w:type="dxa"/>
              <w:left w:w="20" w:type="dxa"/>
              <w:bottom w:w="30" w:type="dxa"/>
              <w:right w:w="20" w:type="dxa"/>
            </w:tcMar>
            <w:hideMark/>
          </w:tcPr>
          <w:p w:rsidR="00000000" w:rsidRDefault="00FD7D3C">
            <w:pPr>
              <w:spacing w:after="100"/>
              <w:jc w:val="center"/>
              <w:rPr>
                <w:rFonts w:eastAsia="Times New Roman"/>
              </w:rPr>
            </w:pPr>
            <w:r>
              <w:rPr>
                <w:rFonts w:eastAsia="Times New Roman"/>
                <w:b/>
                <w:bCs/>
                <w:color w:val="000000"/>
                <w:sz w:val="16"/>
                <w:szCs w:val="16"/>
              </w:rPr>
              <w:t>Incorporated by Reference</w:t>
            </w:r>
          </w:p>
        </w:tc>
      </w:tr>
      <w:tr w:rsidR="00000000">
        <w:trPr>
          <w:divId w:val="758871462"/>
        </w:trPr>
        <w:tc>
          <w:tcPr>
            <w:tcW w:w="0" w:type="auto"/>
            <w:gridSpan w:val="3"/>
            <w:tcBorders>
              <w:bottom w:val="single" w:sz="8" w:space="0" w:color="000000"/>
            </w:tcBorders>
            <w:tcMar>
              <w:top w:w="30" w:type="dxa"/>
              <w:left w:w="20" w:type="dxa"/>
              <w:bottom w:w="30" w:type="dxa"/>
              <w:right w:w="20" w:type="dxa"/>
            </w:tcMar>
            <w:hideMark/>
          </w:tcPr>
          <w:p w:rsidR="00000000" w:rsidRDefault="00FD7D3C">
            <w:pPr>
              <w:spacing w:after="100"/>
              <w:jc w:val="center"/>
              <w:rPr>
                <w:rFonts w:eastAsia="Times New Roman"/>
              </w:rPr>
            </w:pPr>
            <w:r>
              <w:rPr>
                <w:rFonts w:eastAsia="Times New Roman"/>
                <w:b/>
                <w:bCs/>
                <w:color w:val="000000"/>
                <w:sz w:val="16"/>
                <w:szCs w:val="16"/>
              </w:rPr>
              <w:t>Exhibit</w:t>
            </w:r>
            <w:r>
              <w:rPr>
                <w:rFonts w:eastAsia="Times New Roman"/>
                <w:b/>
                <w:bCs/>
                <w:color w:val="000000"/>
                <w:sz w:val="16"/>
                <w:szCs w:val="16"/>
              </w:rPr>
              <w:br/>
              <w:t>Number</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Exhibit Description</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Form</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File No.</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Exhibit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Filing</w:t>
            </w:r>
            <w:r>
              <w:rPr>
                <w:rFonts w:eastAsia="Times New Roman"/>
                <w:b/>
                <w:bCs/>
                <w:color w:val="000000"/>
                <w:sz w:val="16"/>
                <w:szCs w:val="16"/>
              </w:rPr>
              <w:br/>
              <w:t>Date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File</w:t>
            </w:r>
            <w:r>
              <w:rPr>
                <w:rFonts w:eastAsia="Times New Roman"/>
                <w:b/>
                <w:bCs/>
                <w:color w:val="000000"/>
                <w:sz w:val="16"/>
                <w:szCs w:val="16"/>
              </w:rPr>
              <w:br/>
              <w:t>Herewith</w:t>
            </w:r>
          </w:p>
        </w:tc>
      </w:tr>
      <w:tr w:rsidR="00000000">
        <w:trPr>
          <w:divId w:val="758871462"/>
        </w:trPr>
        <w:tc>
          <w:tcPr>
            <w:tcW w:w="0" w:type="auto"/>
            <w:gridSpan w:val="3"/>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10.11#</w:t>
            </w: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Offer Letter, by and between the Registrant and Hans Hull, J.D., dated February 10, 2016.</w:t>
            </w: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tcMar>
              <w:top w:w="30" w:type="dxa"/>
              <w:left w:w="20" w:type="dxa"/>
              <w:bottom w:w="30" w:type="dxa"/>
              <w:right w:w="20" w:type="dxa"/>
            </w:tcMar>
            <w:hideMark/>
          </w:tcPr>
          <w:p w:rsidR="00000000" w:rsidRDefault="00FD7D3C">
            <w:pPr>
              <w:spacing w:after="100"/>
              <w:jc w:val="center"/>
              <w:rPr>
                <w:rFonts w:eastAsia="Times New Roman"/>
              </w:rPr>
            </w:pPr>
            <w:r>
              <w:rPr>
                <w:rFonts w:eastAsia="Times New Roman"/>
                <w:color w:val="000000"/>
                <w:sz w:val="20"/>
                <w:szCs w:val="20"/>
              </w:rPr>
              <w:t>S-1</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FD7D3C">
            <w:pPr>
              <w:spacing w:after="100"/>
              <w:jc w:val="center"/>
              <w:rPr>
                <w:rFonts w:eastAsia="Times New Roman"/>
              </w:rPr>
            </w:pPr>
            <w:r>
              <w:rPr>
                <w:rFonts w:eastAsia="Times New Roman"/>
                <w:color w:val="000000"/>
                <w:sz w:val="20"/>
                <w:szCs w:val="20"/>
              </w:rPr>
              <w:t>333-238146</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FD7D3C">
            <w:pPr>
              <w:spacing w:after="100"/>
              <w:jc w:val="center"/>
              <w:rPr>
                <w:rFonts w:eastAsia="Times New Roman"/>
              </w:rPr>
            </w:pPr>
            <w:r>
              <w:rPr>
                <w:rFonts w:eastAsia="Times New Roman"/>
                <w:color w:val="000000"/>
                <w:sz w:val="20"/>
                <w:szCs w:val="20"/>
              </w:rPr>
              <w:t>10.9</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FD7D3C">
            <w:pPr>
              <w:spacing w:after="100"/>
              <w:jc w:val="center"/>
              <w:rPr>
                <w:rFonts w:eastAsia="Times New Roman"/>
              </w:rPr>
            </w:pPr>
            <w:r>
              <w:rPr>
                <w:rFonts w:eastAsia="Times New Roman"/>
                <w:color w:val="000000"/>
                <w:sz w:val="20"/>
                <w:szCs w:val="20"/>
              </w:rPr>
              <w:t>May 11, 2020</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000000">
        <w:trPr>
          <w:divId w:val="758871462"/>
        </w:trPr>
        <w:tc>
          <w:tcPr>
            <w:tcW w:w="0" w:type="auto"/>
            <w:gridSpan w:val="3"/>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10.12#</w:t>
            </w: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Offer Letter, by and between the Registrant and Bernard Coulie, M.D., Ph.D., dated October 12, 2015.</w:t>
            </w: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tcMar>
              <w:top w:w="30" w:type="dxa"/>
              <w:left w:w="20" w:type="dxa"/>
              <w:bottom w:w="30" w:type="dxa"/>
              <w:right w:w="20" w:type="dxa"/>
            </w:tcMar>
            <w:hideMark/>
          </w:tcPr>
          <w:p w:rsidR="00000000" w:rsidRDefault="00FD7D3C">
            <w:pPr>
              <w:spacing w:after="100"/>
              <w:jc w:val="center"/>
              <w:rPr>
                <w:rFonts w:eastAsia="Times New Roman"/>
              </w:rPr>
            </w:pPr>
            <w:r>
              <w:rPr>
                <w:rFonts w:eastAsia="Times New Roman"/>
                <w:color w:val="000000"/>
                <w:sz w:val="20"/>
                <w:szCs w:val="20"/>
              </w:rPr>
              <w:t>S-1</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FD7D3C">
            <w:pPr>
              <w:spacing w:after="100"/>
              <w:jc w:val="center"/>
              <w:rPr>
                <w:rFonts w:eastAsia="Times New Roman"/>
              </w:rPr>
            </w:pPr>
            <w:r>
              <w:rPr>
                <w:rFonts w:eastAsia="Times New Roman"/>
                <w:color w:val="000000"/>
                <w:sz w:val="20"/>
                <w:szCs w:val="20"/>
              </w:rPr>
              <w:t>333-238146</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FD7D3C">
            <w:pPr>
              <w:spacing w:after="100"/>
              <w:jc w:val="center"/>
              <w:rPr>
                <w:rFonts w:eastAsia="Times New Roman"/>
              </w:rPr>
            </w:pPr>
            <w:r>
              <w:rPr>
                <w:rFonts w:eastAsia="Times New Roman"/>
                <w:color w:val="000000"/>
                <w:sz w:val="20"/>
                <w:szCs w:val="20"/>
              </w:rPr>
              <w:t>10.8</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FD7D3C">
            <w:pPr>
              <w:spacing w:after="100"/>
              <w:jc w:val="center"/>
              <w:rPr>
                <w:rFonts w:eastAsia="Times New Roman"/>
              </w:rPr>
            </w:pPr>
            <w:r>
              <w:rPr>
                <w:rFonts w:eastAsia="Times New Roman"/>
                <w:color w:val="000000"/>
                <w:sz w:val="20"/>
                <w:szCs w:val="20"/>
              </w:rPr>
              <w:t>May 11, 2020</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000000">
        <w:trPr>
          <w:divId w:val="758871462"/>
        </w:trPr>
        <w:tc>
          <w:tcPr>
            <w:tcW w:w="0" w:type="auto"/>
            <w:gridSpan w:val="3"/>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10.13#</w:t>
            </w: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Form of Indemnification Agreement, by and between the Registrant and each of its directors and certain officers.</w:t>
            </w: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tcMar>
              <w:top w:w="30" w:type="dxa"/>
              <w:left w:w="20" w:type="dxa"/>
              <w:bottom w:w="30" w:type="dxa"/>
              <w:right w:w="20" w:type="dxa"/>
            </w:tcMar>
            <w:hideMark/>
          </w:tcPr>
          <w:p w:rsidR="00000000" w:rsidRDefault="00FD7D3C">
            <w:pPr>
              <w:spacing w:after="100"/>
              <w:jc w:val="center"/>
              <w:rPr>
                <w:rFonts w:eastAsia="Times New Roman"/>
              </w:rPr>
            </w:pPr>
            <w:r>
              <w:rPr>
                <w:rFonts w:eastAsia="Times New Roman"/>
                <w:color w:val="000000"/>
                <w:sz w:val="20"/>
                <w:szCs w:val="20"/>
              </w:rPr>
              <w:t>S-1</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FD7D3C">
            <w:pPr>
              <w:spacing w:after="100"/>
              <w:jc w:val="center"/>
              <w:rPr>
                <w:rFonts w:eastAsia="Times New Roman"/>
              </w:rPr>
            </w:pPr>
            <w:r>
              <w:rPr>
                <w:rFonts w:eastAsia="Times New Roman"/>
                <w:color w:val="000000"/>
                <w:sz w:val="20"/>
                <w:szCs w:val="20"/>
              </w:rPr>
              <w:t>333-238146</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FD7D3C">
            <w:pPr>
              <w:spacing w:after="100"/>
              <w:jc w:val="center"/>
              <w:rPr>
                <w:rFonts w:eastAsia="Times New Roman"/>
              </w:rPr>
            </w:pPr>
            <w:r>
              <w:rPr>
                <w:rFonts w:eastAsia="Times New Roman"/>
                <w:color w:val="000000"/>
                <w:sz w:val="20"/>
                <w:szCs w:val="20"/>
              </w:rPr>
              <w:t>10.13</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FD7D3C">
            <w:pPr>
              <w:spacing w:after="100"/>
              <w:jc w:val="center"/>
              <w:rPr>
                <w:rFonts w:eastAsia="Times New Roman"/>
              </w:rPr>
            </w:pPr>
            <w:r>
              <w:rPr>
                <w:rFonts w:eastAsia="Times New Roman"/>
                <w:color w:val="000000"/>
                <w:sz w:val="20"/>
                <w:szCs w:val="20"/>
              </w:rPr>
              <w:t>May 11, 2020</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000000">
        <w:trPr>
          <w:divId w:val="758871462"/>
        </w:trPr>
        <w:tc>
          <w:tcPr>
            <w:tcW w:w="0" w:type="auto"/>
            <w:gridSpan w:val="3"/>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10.14</w:t>
            </w: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Office Lease, by and between the Registrant and 260 Littlefield Avenue South San Francisco, California 94080, dated February 6, 2018.</w:t>
            </w: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tcMar>
              <w:top w:w="30" w:type="dxa"/>
              <w:left w:w="20" w:type="dxa"/>
              <w:bottom w:w="30" w:type="dxa"/>
              <w:right w:w="20" w:type="dxa"/>
            </w:tcMar>
            <w:hideMark/>
          </w:tcPr>
          <w:p w:rsidR="00000000" w:rsidRDefault="00FD7D3C">
            <w:pPr>
              <w:spacing w:after="100"/>
              <w:jc w:val="center"/>
              <w:rPr>
                <w:rFonts w:eastAsia="Times New Roman"/>
              </w:rPr>
            </w:pPr>
            <w:r>
              <w:rPr>
                <w:rFonts w:eastAsia="Times New Roman"/>
                <w:color w:val="000000"/>
                <w:sz w:val="20"/>
                <w:szCs w:val="20"/>
              </w:rPr>
              <w:t>S-1</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FD7D3C">
            <w:pPr>
              <w:spacing w:after="100"/>
              <w:jc w:val="center"/>
              <w:rPr>
                <w:rFonts w:eastAsia="Times New Roman"/>
              </w:rPr>
            </w:pPr>
            <w:r>
              <w:rPr>
                <w:rFonts w:eastAsia="Times New Roman"/>
                <w:color w:val="000000"/>
                <w:sz w:val="20"/>
                <w:szCs w:val="20"/>
              </w:rPr>
              <w:t>333-238146</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FD7D3C">
            <w:pPr>
              <w:spacing w:after="100"/>
              <w:jc w:val="center"/>
              <w:rPr>
                <w:rFonts w:eastAsia="Times New Roman"/>
              </w:rPr>
            </w:pPr>
            <w:r>
              <w:rPr>
                <w:rFonts w:eastAsia="Times New Roman"/>
                <w:color w:val="000000"/>
                <w:sz w:val="20"/>
                <w:szCs w:val="20"/>
              </w:rPr>
              <w:t>10.14</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FD7D3C">
            <w:pPr>
              <w:spacing w:after="100"/>
              <w:jc w:val="center"/>
              <w:rPr>
                <w:rFonts w:eastAsia="Times New Roman"/>
              </w:rPr>
            </w:pPr>
            <w:r>
              <w:rPr>
                <w:rFonts w:eastAsia="Times New Roman"/>
                <w:color w:val="000000"/>
                <w:sz w:val="20"/>
                <w:szCs w:val="20"/>
              </w:rPr>
              <w:t>May 11, 2020</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000000">
        <w:trPr>
          <w:divId w:val="758871462"/>
        </w:trPr>
        <w:tc>
          <w:tcPr>
            <w:tcW w:w="0" w:type="auto"/>
            <w:gridSpan w:val="3"/>
            <w:tcMar>
              <w:top w:w="30" w:type="dxa"/>
              <w:left w:w="20" w:type="dxa"/>
              <w:bottom w:w="30" w:type="dxa"/>
              <w:right w:w="20" w:type="dxa"/>
            </w:tcMar>
            <w:hideMark/>
          </w:tcPr>
          <w:p w:rsidR="00000000" w:rsidRDefault="00FD7D3C">
            <w:pPr>
              <w:spacing w:after="100"/>
              <w:divId w:val="168716997"/>
              <w:rPr>
                <w:rFonts w:eastAsia="Times New Roman"/>
              </w:rPr>
            </w:pPr>
            <w:r>
              <w:rPr>
                <w:rFonts w:eastAsia="Times New Roman"/>
                <w:color w:val="000000"/>
                <w:sz w:val="20"/>
                <w:szCs w:val="20"/>
              </w:rPr>
              <w:t>10.15</w:t>
            </w:r>
            <w:r>
              <w:rPr>
                <w:rFonts w:eastAsia="Times New Roman"/>
                <w:color w:val="000000"/>
                <w:sz w:val="20"/>
                <w:szCs w:val="20"/>
                <w:shd w:val="clear" w:color="auto" w:fill="FFFFFF"/>
              </w:rPr>
              <w:t>†</w:t>
            </w: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Collaboration and License Agreement, by and between the Registrant and Novartis Institutes For Biomedical Research, Inc., dated October 17, 2019.</w:t>
            </w: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tcMar>
              <w:top w:w="30" w:type="dxa"/>
              <w:left w:w="20" w:type="dxa"/>
              <w:bottom w:w="30" w:type="dxa"/>
              <w:right w:w="20" w:type="dxa"/>
            </w:tcMar>
            <w:hideMark/>
          </w:tcPr>
          <w:p w:rsidR="00000000" w:rsidRDefault="00FD7D3C">
            <w:pPr>
              <w:spacing w:after="100"/>
              <w:jc w:val="center"/>
              <w:rPr>
                <w:rFonts w:eastAsia="Times New Roman"/>
              </w:rPr>
            </w:pPr>
            <w:r>
              <w:rPr>
                <w:rFonts w:eastAsia="Times New Roman"/>
                <w:color w:val="000000"/>
                <w:sz w:val="20"/>
                <w:szCs w:val="20"/>
              </w:rPr>
              <w:t>S-1</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FD7D3C">
            <w:pPr>
              <w:spacing w:after="100"/>
              <w:jc w:val="center"/>
              <w:rPr>
                <w:rFonts w:eastAsia="Times New Roman"/>
              </w:rPr>
            </w:pPr>
            <w:r>
              <w:rPr>
                <w:rFonts w:eastAsia="Times New Roman"/>
                <w:color w:val="000000"/>
                <w:sz w:val="20"/>
                <w:szCs w:val="20"/>
              </w:rPr>
              <w:t>333-238146</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FD7D3C">
            <w:pPr>
              <w:spacing w:after="100"/>
              <w:jc w:val="center"/>
              <w:rPr>
                <w:rFonts w:eastAsia="Times New Roman"/>
              </w:rPr>
            </w:pPr>
            <w:r>
              <w:rPr>
                <w:rFonts w:eastAsia="Times New Roman"/>
                <w:color w:val="000000"/>
                <w:sz w:val="20"/>
                <w:szCs w:val="20"/>
              </w:rPr>
              <w:t>10.15</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FD7D3C">
            <w:pPr>
              <w:spacing w:after="100"/>
              <w:jc w:val="center"/>
              <w:rPr>
                <w:rFonts w:eastAsia="Times New Roman"/>
              </w:rPr>
            </w:pPr>
            <w:r>
              <w:rPr>
                <w:rFonts w:eastAsia="Times New Roman"/>
                <w:color w:val="000000"/>
                <w:sz w:val="20"/>
                <w:szCs w:val="20"/>
              </w:rPr>
              <w:t>May 11, 2020</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000000">
        <w:trPr>
          <w:divId w:val="758871462"/>
        </w:trPr>
        <w:tc>
          <w:tcPr>
            <w:tcW w:w="0" w:type="auto"/>
            <w:gridSpan w:val="3"/>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10.16#</w:t>
            </w: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tcMar>
              <w:top w:w="30" w:type="dxa"/>
              <w:left w:w="20" w:type="dxa"/>
              <w:bottom w:w="30" w:type="dxa"/>
              <w:right w:w="20" w:type="dxa"/>
            </w:tcMar>
            <w:hideMark/>
          </w:tcPr>
          <w:p w:rsidR="00000000" w:rsidRDefault="00FD7D3C">
            <w:pPr>
              <w:spacing w:after="100"/>
              <w:divId w:val="797844380"/>
              <w:rPr>
                <w:rFonts w:eastAsia="Times New Roman"/>
              </w:rPr>
            </w:pPr>
            <w:hyperlink r:id="rId31" w:history="1">
              <w:r>
                <w:rPr>
                  <w:rStyle w:val="a3"/>
                  <w:rFonts w:eastAsia="Times New Roman"/>
                  <w:sz w:val="20"/>
                  <w:szCs w:val="20"/>
                </w:rPr>
                <w:t>Amended and Restated Non-Employee Director Compensation Policy</w:t>
              </w:r>
            </w:hyperlink>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FD7D3C">
            <w:pPr>
              <w:spacing w:after="100"/>
              <w:jc w:val="center"/>
              <w:rPr>
                <w:rFonts w:eastAsia="Times New Roman"/>
              </w:rPr>
            </w:pPr>
            <w:r>
              <w:rPr>
                <w:rFonts w:eastAsia="Times New Roman"/>
                <w:color w:val="000000"/>
                <w:sz w:val="20"/>
                <w:szCs w:val="20"/>
              </w:rPr>
              <w:t>X</w:t>
            </w:r>
          </w:p>
        </w:tc>
      </w:tr>
      <w:tr w:rsidR="00000000">
        <w:trPr>
          <w:divId w:val="758871462"/>
        </w:trPr>
        <w:tc>
          <w:tcPr>
            <w:tcW w:w="0" w:type="auto"/>
            <w:gridSpan w:val="3"/>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31.1</w:t>
            </w: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tcMar>
              <w:top w:w="30" w:type="dxa"/>
              <w:left w:w="20" w:type="dxa"/>
              <w:bottom w:w="30" w:type="dxa"/>
              <w:right w:w="20" w:type="dxa"/>
            </w:tcMar>
            <w:hideMark/>
          </w:tcPr>
          <w:p w:rsidR="00000000" w:rsidRDefault="00FD7D3C">
            <w:pPr>
              <w:spacing w:after="100"/>
              <w:divId w:val="882058440"/>
              <w:rPr>
                <w:rFonts w:eastAsia="Times New Roman"/>
              </w:rPr>
            </w:pPr>
            <w:hyperlink r:id="rId32" w:history="1">
              <w:r>
                <w:rPr>
                  <w:rStyle w:val="a3"/>
                  <w:rFonts w:eastAsia="Times New Roman"/>
                  <w:sz w:val="20"/>
                  <w:szCs w:val="20"/>
                </w:rPr>
                <w:t>Certification of Chief Executive Officer required by Rule 13a-14(a) or Rule 15d-14(a) of the Securities Exchange Act of 1934, as adopted pursuant to Section 302 of the Sarbanes-Oxley Act of 2002.</w:t>
              </w:r>
            </w:hyperlink>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FD7D3C">
            <w:pPr>
              <w:spacing w:after="100"/>
              <w:jc w:val="center"/>
              <w:rPr>
                <w:rFonts w:eastAsia="Times New Roman"/>
              </w:rPr>
            </w:pPr>
            <w:r>
              <w:rPr>
                <w:rFonts w:eastAsia="Times New Roman"/>
                <w:color w:val="000000"/>
                <w:sz w:val="20"/>
                <w:szCs w:val="20"/>
              </w:rPr>
              <w:t>X</w:t>
            </w:r>
          </w:p>
        </w:tc>
      </w:tr>
      <w:tr w:rsidR="00000000">
        <w:trPr>
          <w:divId w:val="758871462"/>
        </w:trPr>
        <w:tc>
          <w:tcPr>
            <w:tcW w:w="0" w:type="auto"/>
            <w:gridSpan w:val="3"/>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31.2</w:t>
            </w: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tcMar>
              <w:top w:w="30" w:type="dxa"/>
              <w:left w:w="20" w:type="dxa"/>
              <w:bottom w:w="30" w:type="dxa"/>
              <w:right w:w="20" w:type="dxa"/>
            </w:tcMar>
            <w:hideMark/>
          </w:tcPr>
          <w:p w:rsidR="00000000" w:rsidRDefault="00FD7D3C">
            <w:pPr>
              <w:spacing w:after="100"/>
              <w:divId w:val="828058071"/>
              <w:rPr>
                <w:rFonts w:eastAsia="Times New Roman"/>
              </w:rPr>
            </w:pPr>
            <w:hyperlink r:id="rId33" w:history="1">
              <w:r>
                <w:rPr>
                  <w:rStyle w:val="a3"/>
                  <w:rFonts w:eastAsia="Times New Roman"/>
                  <w:sz w:val="20"/>
                  <w:szCs w:val="20"/>
                </w:rPr>
                <w:t>Certification of Chief Financial Officer required by Rule 13a-14(a) or Rule 15d-14(a) of the Securities Exchange Act of 1934, as adopted pursuant to Section 302 of the Sarbanes-Oxley Act of 2002.</w:t>
              </w:r>
            </w:hyperlink>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FD7D3C">
            <w:pPr>
              <w:spacing w:after="100"/>
              <w:jc w:val="center"/>
              <w:rPr>
                <w:rFonts w:eastAsia="Times New Roman"/>
              </w:rPr>
            </w:pPr>
            <w:r>
              <w:rPr>
                <w:rFonts w:eastAsia="Times New Roman"/>
                <w:color w:val="000000"/>
                <w:sz w:val="20"/>
                <w:szCs w:val="20"/>
              </w:rPr>
              <w:t>X</w:t>
            </w:r>
          </w:p>
        </w:tc>
      </w:tr>
      <w:tr w:rsidR="00000000">
        <w:trPr>
          <w:divId w:val="758871462"/>
        </w:trPr>
        <w:tc>
          <w:tcPr>
            <w:tcW w:w="0" w:type="auto"/>
            <w:gridSpan w:val="3"/>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32.1**</w:t>
            </w: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tcMar>
              <w:top w:w="30" w:type="dxa"/>
              <w:left w:w="20" w:type="dxa"/>
              <w:bottom w:w="30" w:type="dxa"/>
              <w:right w:w="20" w:type="dxa"/>
            </w:tcMar>
            <w:hideMark/>
          </w:tcPr>
          <w:p w:rsidR="00000000" w:rsidRDefault="00FD7D3C">
            <w:pPr>
              <w:spacing w:after="100"/>
              <w:divId w:val="875704928"/>
              <w:rPr>
                <w:rFonts w:eastAsia="Times New Roman"/>
              </w:rPr>
            </w:pPr>
            <w:hyperlink r:id="rId34" w:history="1">
              <w:r>
                <w:rPr>
                  <w:rStyle w:val="a3"/>
                  <w:rFonts w:eastAsia="Times New Roman"/>
                  <w:sz w:val="20"/>
                  <w:szCs w:val="20"/>
                </w:rPr>
                <w:t>Certification of Chief Executive Officer and Chief Financial Officer pursuant to 18 U.S.C. Section 1350, as adopted pursuant to Section 906 of the Sarbanes-Oxley Act of 2002.</w:t>
              </w:r>
            </w:hyperlink>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FD7D3C">
            <w:pPr>
              <w:spacing w:after="100"/>
              <w:jc w:val="center"/>
              <w:rPr>
                <w:rFonts w:eastAsia="Times New Roman"/>
              </w:rPr>
            </w:pPr>
            <w:r>
              <w:rPr>
                <w:rFonts w:eastAsia="Times New Roman"/>
                <w:color w:val="000000"/>
                <w:sz w:val="20"/>
                <w:szCs w:val="20"/>
              </w:rPr>
              <w:t>X</w:t>
            </w:r>
          </w:p>
        </w:tc>
      </w:tr>
      <w:tr w:rsidR="00000000">
        <w:trPr>
          <w:divId w:val="758871462"/>
        </w:trPr>
        <w:tc>
          <w:tcPr>
            <w:tcW w:w="0" w:type="auto"/>
            <w:gridSpan w:val="3"/>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101.INS</w:t>
            </w: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XBRL Instance Document</w:t>
            </w: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FD7D3C">
            <w:pPr>
              <w:spacing w:after="100"/>
              <w:jc w:val="center"/>
              <w:rPr>
                <w:rFonts w:eastAsia="Times New Roman"/>
              </w:rPr>
            </w:pPr>
            <w:r>
              <w:rPr>
                <w:rFonts w:eastAsia="Times New Roman"/>
                <w:color w:val="000000"/>
                <w:sz w:val="20"/>
                <w:szCs w:val="20"/>
              </w:rPr>
              <w:t>X</w:t>
            </w:r>
          </w:p>
        </w:tc>
      </w:tr>
      <w:tr w:rsidR="00000000">
        <w:trPr>
          <w:divId w:val="758871462"/>
        </w:trPr>
        <w:tc>
          <w:tcPr>
            <w:tcW w:w="0" w:type="auto"/>
            <w:gridSpan w:val="3"/>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101.SCH</w:t>
            </w: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XBRL Taxonomy Extension Schema Document</w:t>
            </w: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FD7D3C">
            <w:pPr>
              <w:spacing w:after="100"/>
              <w:jc w:val="center"/>
              <w:rPr>
                <w:rFonts w:eastAsia="Times New Roman"/>
              </w:rPr>
            </w:pPr>
            <w:r>
              <w:rPr>
                <w:rFonts w:eastAsia="Times New Roman"/>
                <w:color w:val="000000"/>
                <w:sz w:val="20"/>
                <w:szCs w:val="20"/>
              </w:rPr>
              <w:t>X</w:t>
            </w:r>
          </w:p>
        </w:tc>
      </w:tr>
      <w:tr w:rsidR="00000000">
        <w:trPr>
          <w:divId w:val="758871462"/>
        </w:trPr>
        <w:tc>
          <w:tcPr>
            <w:tcW w:w="0" w:type="auto"/>
            <w:gridSpan w:val="3"/>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101.CAL</w:t>
            </w: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XBRL Taxonomy Calculation Linkbase Document</w:t>
            </w: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FD7D3C">
            <w:pPr>
              <w:spacing w:after="100"/>
              <w:jc w:val="center"/>
              <w:rPr>
                <w:rFonts w:eastAsia="Times New Roman"/>
              </w:rPr>
            </w:pPr>
            <w:r>
              <w:rPr>
                <w:rFonts w:eastAsia="Times New Roman"/>
                <w:color w:val="000000"/>
                <w:sz w:val="20"/>
                <w:szCs w:val="20"/>
              </w:rPr>
              <w:t>X</w:t>
            </w:r>
          </w:p>
        </w:tc>
      </w:tr>
      <w:tr w:rsidR="00000000">
        <w:trPr>
          <w:divId w:val="758871462"/>
        </w:trPr>
        <w:tc>
          <w:tcPr>
            <w:tcW w:w="0" w:type="auto"/>
            <w:gridSpan w:val="3"/>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101.DEF</w:t>
            </w: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XBRL Taxonomy Extension Definition Document</w:t>
            </w: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FD7D3C">
            <w:pPr>
              <w:spacing w:after="100"/>
              <w:jc w:val="center"/>
              <w:rPr>
                <w:rFonts w:eastAsia="Times New Roman"/>
              </w:rPr>
            </w:pPr>
            <w:r>
              <w:rPr>
                <w:rFonts w:eastAsia="Times New Roman"/>
                <w:color w:val="000000"/>
                <w:sz w:val="20"/>
                <w:szCs w:val="20"/>
              </w:rPr>
              <w:t>X</w:t>
            </w:r>
          </w:p>
        </w:tc>
      </w:tr>
      <w:tr w:rsidR="00000000">
        <w:trPr>
          <w:divId w:val="758871462"/>
        </w:trPr>
        <w:tc>
          <w:tcPr>
            <w:tcW w:w="0" w:type="auto"/>
            <w:gridSpan w:val="3"/>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101.LAB</w:t>
            </w: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XBRL Taxonomy Label Linkbase Document</w:t>
            </w: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FD7D3C">
            <w:pPr>
              <w:spacing w:after="100"/>
              <w:jc w:val="center"/>
              <w:rPr>
                <w:rFonts w:eastAsia="Times New Roman"/>
              </w:rPr>
            </w:pPr>
            <w:r>
              <w:rPr>
                <w:rFonts w:eastAsia="Times New Roman"/>
                <w:color w:val="000000"/>
                <w:sz w:val="20"/>
                <w:szCs w:val="20"/>
              </w:rPr>
              <w:t>X</w:t>
            </w:r>
          </w:p>
        </w:tc>
      </w:tr>
      <w:tr w:rsidR="00000000">
        <w:trPr>
          <w:divId w:val="758871462"/>
        </w:trPr>
        <w:tc>
          <w:tcPr>
            <w:tcW w:w="0" w:type="auto"/>
            <w:gridSpan w:val="3"/>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101.PRE*</w:t>
            </w: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tcMar>
              <w:top w:w="30" w:type="dxa"/>
              <w:left w:w="20" w:type="dxa"/>
              <w:bottom w:w="30" w:type="dxa"/>
              <w:right w:w="20" w:type="dxa"/>
            </w:tcMar>
            <w:hideMark/>
          </w:tcPr>
          <w:p w:rsidR="00000000" w:rsidRDefault="00FD7D3C">
            <w:pPr>
              <w:spacing w:after="100"/>
              <w:rPr>
                <w:rFonts w:eastAsia="Times New Roman"/>
              </w:rPr>
            </w:pPr>
            <w:r>
              <w:rPr>
                <w:rFonts w:eastAsia="Times New Roman"/>
                <w:color w:val="000000"/>
                <w:sz w:val="20"/>
                <w:szCs w:val="20"/>
              </w:rPr>
              <w:t>XBRL Taxonomy Presentation Linkbase Document</w:t>
            </w: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FD7D3C">
            <w:pPr>
              <w:spacing w:after="100"/>
              <w:jc w:val="center"/>
              <w:rPr>
                <w:rFonts w:eastAsia="Times New Roman"/>
              </w:rPr>
            </w:pPr>
            <w:r>
              <w:rPr>
                <w:rFonts w:eastAsia="Times New Roman"/>
                <w:color w:val="000000"/>
                <w:sz w:val="20"/>
                <w:szCs w:val="20"/>
              </w:rPr>
              <w:t>X</w:t>
            </w:r>
          </w:p>
        </w:tc>
      </w:tr>
    </w:tbl>
    <w:p w:rsidR="00000000" w:rsidRDefault="00FD7D3C">
      <w:pPr>
        <w:jc w:val="center"/>
        <w:divId w:val="3363978"/>
        <w:rPr>
          <w:rFonts w:eastAsia="Times New Roman"/>
        </w:rPr>
      </w:pPr>
      <w:r>
        <w:rPr>
          <w:rFonts w:eastAsia="Times New Roman"/>
          <w:color w:val="000000"/>
          <w:sz w:val="20"/>
          <w:szCs w:val="20"/>
        </w:rPr>
        <w:t>139</w:t>
      </w:r>
    </w:p>
    <w:p w:rsidR="00000000" w:rsidRDefault="00FD7D3C">
      <w:pPr>
        <w:rPr>
          <w:rFonts w:eastAsia="Times New Roman"/>
        </w:rPr>
      </w:pPr>
      <w:r>
        <w:rPr>
          <w:rFonts w:eastAsia="Times New Roman"/>
        </w:rPr>
        <w:pict>
          <v:rect id="_x0000_i1192" style="width:0;height:1.5pt" o:hralign="center" o:hrstd="t" o:hr="t" fillcolor="#a0a0a0" stroked="f"/>
        </w:pict>
      </w:r>
    </w:p>
    <w:p w:rsidR="00000000" w:rsidRDefault="00FD7D3C">
      <w:pPr>
        <w:divId w:val="1806578936"/>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divId w:val="1993559202"/>
        <w:rPr>
          <w:rFonts w:eastAsia="Times New Roman"/>
        </w:rPr>
      </w:pPr>
      <w:r>
        <w:rPr>
          <w:rFonts w:eastAsia="Times New Roman"/>
          <w:color w:val="000000"/>
          <w:sz w:val="20"/>
          <w:szCs w:val="20"/>
        </w:rPr>
        <w:t>_____________________________________________</w:t>
      </w:r>
    </w:p>
    <w:p w:rsidR="00000000" w:rsidRDefault="00FD7D3C">
      <w:pPr>
        <w:ind w:hanging="720"/>
        <w:divId w:val="1902905765"/>
        <w:rPr>
          <w:rFonts w:eastAsia="Times New Roman"/>
        </w:rPr>
      </w:pPr>
      <w:r>
        <w:rPr>
          <w:rFonts w:eastAsia="Times New Roman"/>
          <w:color w:val="000000"/>
          <w:sz w:val="18"/>
          <w:szCs w:val="18"/>
        </w:rPr>
        <w:t>**    </w:t>
      </w:r>
      <w:r>
        <w:rPr>
          <w:rFonts w:eastAsia="Times New Roman"/>
          <w:color w:val="000000"/>
          <w:sz w:val="18"/>
          <w:szCs w:val="18"/>
        </w:rPr>
        <w:t>The certifications furnished in Exhibit 32.1 hereto are deemed to be furnished with this Annual Report on Form 10-K and will not be deemed to be “filed” for purposes of Section 18 of the Securities Exchange Act of 1934, as amended, except to the extent tha</w:t>
      </w:r>
      <w:r>
        <w:rPr>
          <w:rFonts w:eastAsia="Times New Roman"/>
          <w:color w:val="000000"/>
          <w:sz w:val="18"/>
          <w:szCs w:val="18"/>
        </w:rPr>
        <w:t>t the Registrant specifically incorporates them by reference</w:t>
      </w:r>
    </w:p>
    <w:p w:rsidR="00000000" w:rsidRDefault="00FD7D3C">
      <w:pPr>
        <w:ind w:hanging="720"/>
        <w:divId w:val="51388675"/>
        <w:rPr>
          <w:rFonts w:eastAsia="Times New Roman"/>
        </w:rPr>
      </w:pPr>
      <w:r>
        <w:rPr>
          <w:rFonts w:eastAsia="Times New Roman"/>
          <w:color w:val="000000"/>
          <w:sz w:val="18"/>
          <w:szCs w:val="18"/>
        </w:rPr>
        <w:t>#    Represents management compensation plan, contract or arrangement.</w:t>
      </w:r>
    </w:p>
    <w:p w:rsidR="00000000" w:rsidRDefault="00FD7D3C">
      <w:pPr>
        <w:divId w:val="54203771"/>
        <w:rPr>
          <w:rFonts w:eastAsia="Times New Roman"/>
        </w:rPr>
      </w:pPr>
      <w:r>
        <w:rPr>
          <w:rFonts w:eastAsia="Times New Roman"/>
          <w:b/>
          <w:bCs/>
          <w:color w:val="000000"/>
          <w:sz w:val="20"/>
          <w:szCs w:val="20"/>
        </w:rPr>
        <w:t>Item 16. Form 10-K Summary</w:t>
      </w:r>
    </w:p>
    <w:p w:rsidR="00000000" w:rsidRDefault="00FD7D3C">
      <w:pPr>
        <w:ind w:firstLine="720"/>
        <w:divId w:val="751393793"/>
        <w:rPr>
          <w:rFonts w:eastAsia="Times New Roman"/>
        </w:rPr>
      </w:pPr>
      <w:r>
        <w:rPr>
          <w:rFonts w:eastAsia="Times New Roman"/>
          <w:color w:val="000000"/>
          <w:sz w:val="20"/>
          <w:szCs w:val="20"/>
        </w:rPr>
        <w:t>None.</w:t>
      </w:r>
    </w:p>
    <w:p w:rsidR="00000000" w:rsidRDefault="00FD7D3C">
      <w:pPr>
        <w:jc w:val="center"/>
        <w:divId w:val="1066609913"/>
        <w:rPr>
          <w:rFonts w:eastAsia="Times New Roman"/>
        </w:rPr>
      </w:pPr>
      <w:r>
        <w:rPr>
          <w:rFonts w:eastAsia="Times New Roman"/>
          <w:color w:val="000000"/>
          <w:sz w:val="20"/>
          <w:szCs w:val="20"/>
        </w:rPr>
        <w:t>140</w:t>
      </w:r>
    </w:p>
    <w:p w:rsidR="00000000" w:rsidRDefault="00FD7D3C">
      <w:pPr>
        <w:rPr>
          <w:rFonts w:eastAsia="Times New Roman"/>
        </w:rPr>
      </w:pPr>
      <w:r>
        <w:rPr>
          <w:rFonts w:eastAsia="Times New Roman"/>
        </w:rPr>
        <w:pict>
          <v:rect id="_x0000_i1193" style="width:0;height:1.5pt" o:hralign="center" o:hrstd="t" o:hr="t" fillcolor="#a0a0a0" stroked="f"/>
        </w:pict>
      </w:r>
    </w:p>
    <w:p w:rsidR="00000000" w:rsidRDefault="00FD7D3C">
      <w:pPr>
        <w:divId w:val="165757032"/>
        <w:rPr>
          <w:rFonts w:eastAsia="Times New Roman"/>
        </w:rPr>
      </w:pPr>
      <w:hyperlink w:anchor="i988625df783e4cc0a27bd76df388da57_7" w:history="1">
        <w:r>
          <w:rPr>
            <w:rStyle w:val="a3"/>
            <w:rFonts w:eastAsia="Times New Roman"/>
            <w:sz w:val="20"/>
            <w:szCs w:val="20"/>
          </w:rPr>
          <w:t>Table of Contents</w:t>
        </w:r>
      </w:hyperlink>
    </w:p>
    <w:p w:rsidR="00000000" w:rsidRDefault="00FD7D3C">
      <w:pPr>
        <w:jc w:val="center"/>
        <w:rPr>
          <w:rFonts w:eastAsia="Times New Roman"/>
        </w:rPr>
      </w:pPr>
      <w:r>
        <w:rPr>
          <w:rFonts w:eastAsia="Times New Roman"/>
          <w:b/>
          <w:bCs/>
          <w:color w:val="000000"/>
          <w:sz w:val="20"/>
          <w:szCs w:val="20"/>
        </w:rPr>
        <w:t>SIGNATURES</w:t>
      </w:r>
    </w:p>
    <w:p w:rsidR="00000000" w:rsidRDefault="00FD7D3C">
      <w:pPr>
        <w:ind w:firstLine="720"/>
        <w:divId w:val="1061947177"/>
        <w:rPr>
          <w:rFonts w:eastAsia="Times New Roman"/>
        </w:rPr>
      </w:pPr>
      <w:r>
        <w:rPr>
          <w:rFonts w:eastAsia="Times New Roman"/>
          <w:color w:val="000000"/>
          <w:sz w:val="20"/>
          <w:szCs w:val="20"/>
        </w:rPr>
        <w:t>Pursuant to the requirements of Section 13 or 15(d) of the Securities Exchange Act of 1934, as amended, the Registrant has duly caused this Report to be signed on its behalf by the undersigned, thereunto duly authorized</w:t>
      </w:r>
      <w:r>
        <w:rPr>
          <w:rFonts w:eastAsia="Times New Roman"/>
          <w:b/>
          <w:bCs/>
          <w:color w:val="000000"/>
          <w:sz w:val="20"/>
          <w:szCs w:val="20"/>
        </w:rPr>
        <w:t>.</w:t>
      </w:r>
    </w:p>
    <w:p w:rsidR="00000000" w:rsidRDefault="00FD7D3C">
      <w:pPr>
        <w:ind w:firstLine="720"/>
        <w:divId w:val="1234392880"/>
        <w:rPr>
          <w:rFonts w:eastAsia="Times New Roman"/>
        </w:rPr>
      </w:pPr>
      <w:r>
        <w:rPr>
          <w:rFonts w:eastAsia="Times New Roman"/>
          <w:color w:val="000000"/>
          <w:sz w:val="20"/>
          <w:szCs w:val="20"/>
        </w:rPr>
        <w:t>Date: February 28, 2022</w:t>
      </w:r>
    </w:p>
    <w:tbl>
      <w:tblPr>
        <w:tblW w:w="5000" w:type="pct"/>
        <w:tblCellMar>
          <w:top w:w="15" w:type="dxa"/>
          <w:left w:w="15" w:type="dxa"/>
          <w:bottom w:w="15" w:type="dxa"/>
          <w:right w:w="15" w:type="dxa"/>
        </w:tblCellMar>
        <w:tblLook w:val="04A0" w:firstRow="1" w:lastRow="0" w:firstColumn="1" w:lastColumn="0" w:noHBand="0" w:noVBand="1"/>
      </w:tblPr>
      <w:tblGrid>
        <w:gridCol w:w="69"/>
        <w:gridCol w:w="3878"/>
        <w:gridCol w:w="36"/>
        <w:gridCol w:w="69"/>
        <w:gridCol w:w="234"/>
        <w:gridCol w:w="36"/>
        <w:gridCol w:w="69"/>
        <w:gridCol w:w="3879"/>
        <w:gridCol w:w="36"/>
      </w:tblGrid>
      <w:tr w:rsidR="00000000">
        <w:trPr>
          <w:divId w:val="1457211669"/>
        </w:trPr>
        <w:tc>
          <w:tcPr>
            <w:tcW w:w="50" w:type="pct"/>
            <w:vAlign w:val="center"/>
            <w:hideMark/>
          </w:tcPr>
          <w:p w:rsidR="00000000" w:rsidRDefault="00FD7D3C">
            <w:pPr>
              <w:ind w:firstLine="720"/>
              <w:rPr>
                <w:rFonts w:eastAsia="Times New Roman"/>
              </w:rPr>
            </w:pPr>
          </w:p>
        </w:tc>
        <w:tc>
          <w:tcPr>
            <w:tcW w:w="2342"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149"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2342"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r>
      <w:tr w:rsidR="00000000">
        <w:trPr>
          <w:divId w:val="1457211669"/>
        </w:trPr>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FD7D3C">
            <w:pPr>
              <w:spacing w:after="100"/>
              <w:rPr>
                <w:rFonts w:eastAsia="Times New Roman"/>
              </w:rPr>
            </w:pPr>
            <w:r>
              <w:rPr>
                <w:rFonts w:eastAsia="Times New Roman"/>
                <w:color w:val="000000"/>
                <w:sz w:val="20"/>
                <w:szCs w:val="20"/>
              </w:rPr>
              <w:t>PLIANT THERAPEUTICS, INC.</w:t>
            </w:r>
          </w:p>
        </w:tc>
      </w:tr>
      <w:tr w:rsidR="00000000">
        <w:trPr>
          <w:divId w:val="1457211669"/>
          <w:trHeight w:val="60"/>
        </w:trPr>
        <w:tc>
          <w:tcPr>
            <w:tcW w:w="0" w:type="auto"/>
            <w:gridSpan w:val="3"/>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000000">
        <w:trPr>
          <w:divId w:val="1457211669"/>
        </w:trPr>
        <w:tc>
          <w:tcPr>
            <w:tcW w:w="0" w:type="auto"/>
            <w:gridSpan w:val="3"/>
            <w:tcMar>
              <w:top w:w="30" w:type="dxa"/>
              <w:left w:w="20" w:type="dxa"/>
              <w:bottom w:w="30" w:type="dxa"/>
              <w:right w:w="20" w:type="dxa"/>
            </w:tcMar>
            <w:vAlign w:val="bottom"/>
            <w:hideMark/>
          </w:tcPr>
          <w:p w:rsidR="00000000" w:rsidRDefault="00FD7D3C">
            <w:pPr>
              <w:spacing w:after="100"/>
              <w:jc w:val="right"/>
              <w:rPr>
                <w:rFonts w:eastAsia="Times New Roman"/>
              </w:rPr>
            </w:pPr>
            <w:r>
              <w:rPr>
                <w:rFonts w:eastAsia="Times New Roman"/>
                <w:color w:val="000000"/>
                <w:sz w:val="20"/>
                <w:szCs w:val="20"/>
              </w:rPr>
              <w:t>By:</w:t>
            </w:r>
          </w:p>
        </w:tc>
        <w:tc>
          <w:tcPr>
            <w:tcW w:w="0" w:type="auto"/>
            <w:gridSpan w:val="3"/>
            <w:tcMar>
              <w:top w:w="0" w:type="dxa"/>
              <w:left w:w="20" w:type="dxa"/>
              <w:bottom w:w="0" w:type="dxa"/>
              <w:right w:w="20" w:type="dxa"/>
            </w:tcMar>
            <w:vAlign w:val="center"/>
            <w:hideMark/>
          </w:tcPr>
          <w:p w:rsidR="00000000" w:rsidRDefault="00FD7D3C">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FD7D3C">
            <w:pPr>
              <w:spacing w:after="100"/>
              <w:rPr>
                <w:rFonts w:eastAsia="Times New Roman"/>
              </w:rPr>
            </w:pPr>
            <w:r>
              <w:rPr>
                <w:rFonts w:eastAsia="Times New Roman"/>
                <w:color w:val="000000"/>
                <w:sz w:val="20"/>
                <w:szCs w:val="20"/>
              </w:rPr>
              <w:t>/s/ Bernard Coulie</w:t>
            </w:r>
          </w:p>
        </w:tc>
      </w:tr>
      <w:tr w:rsidR="00000000">
        <w:trPr>
          <w:divId w:val="1457211669"/>
        </w:trPr>
        <w:tc>
          <w:tcPr>
            <w:tcW w:w="0" w:type="auto"/>
            <w:gridSpan w:val="3"/>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D7D3C">
            <w:pPr>
              <w:spacing w:after="100"/>
              <w:divId w:val="2083411051"/>
              <w:rPr>
                <w:rFonts w:eastAsia="Times New Roman"/>
              </w:rPr>
            </w:pPr>
            <w:r>
              <w:rPr>
                <w:rFonts w:eastAsia="Times New Roman"/>
                <w:color w:val="000000"/>
                <w:sz w:val="20"/>
                <w:szCs w:val="20"/>
              </w:rPr>
              <w:t>Bernard Coulie, M.D., Ph.D.</w:t>
            </w:r>
          </w:p>
        </w:tc>
      </w:tr>
      <w:tr w:rsidR="00000000">
        <w:trPr>
          <w:divId w:val="1457211669"/>
        </w:trPr>
        <w:tc>
          <w:tcPr>
            <w:tcW w:w="0" w:type="auto"/>
            <w:gridSpan w:val="3"/>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FD7D3C">
            <w:pPr>
              <w:spacing w:after="100"/>
              <w:divId w:val="506797799"/>
              <w:rPr>
                <w:rFonts w:eastAsia="Times New Roman"/>
              </w:rPr>
            </w:pPr>
            <w:r>
              <w:rPr>
                <w:rFonts w:eastAsia="Times New Roman"/>
                <w:color w:val="000000"/>
                <w:sz w:val="20"/>
                <w:szCs w:val="20"/>
              </w:rPr>
              <w:t>President and Chief Executive Officer</w:t>
            </w:r>
          </w:p>
        </w:tc>
      </w:tr>
      <w:tr w:rsidR="00000000">
        <w:trPr>
          <w:divId w:val="1457211669"/>
          <w:trHeight w:val="60"/>
        </w:trPr>
        <w:tc>
          <w:tcPr>
            <w:tcW w:w="0" w:type="auto"/>
            <w:gridSpan w:val="3"/>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000000">
        <w:trPr>
          <w:divId w:val="1457211669"/>
        </w:trPr>
        <w:tc>
          <w:tcPr>
            <w:tcW w:w="0" w:type="auto"/>
            <w:gridSpan w:val="3"/>
            <w:tcMar>
              <w:top w:w="30" w:type="dxa"/>
              <w:left w:w="20" w:type="dxa"/>
              <w:bottom w:w="30" w:type="dxa"/>
              <w:right w:w="20" w:type="dxa"/>
            </w:tcMar>
            <w:vAlign w:val="bottom"/>
            <w:hideMark/>
          </w:tcPr>
          <w:p w:rsidR="00000000" w:rsidRDefault="00FD7D3C">
            <w:pPr>
              <w:spacing w:after="100"/>
              <w:jc w:val="right"/>
              <w:rPr>
                <w:rFonts w:eastAsia="Times New Roman"/>
              </w:rPr>
            </w:pPr>
            <w:r>
              <w:rPr>
                <w:rFonts w:eastAsia="Times New Roman"/>
                <w:color w:val="000000"/>
                <w:sz w:val="20"/>
                <w:szCs w:val="20"/>
              </w:rPr>
              <w:t>By:</w:t>
            </w:r>
          </w:p>
        </w:tc>
        <w:tc>
          <w:tcPr>
            <w:tcW w:w="0" w:type="auto"/>
            <w:gridSpan w:val="3"/>
            <w:tcMar>
              <w:top w:w="0" w:type="dxa"/>
              <w:left w:w="20" w:type="dxa"/>
              <w:bottom w:w="0" w:type="dxa"/>
              <w:right w:w="20" w:type="dxa"/>
            </w:tcMar>
            <w:vAlign w:val="center"/>
            <w:hideMark/>
          </w:tcPr>
          <w:p w:rsidR="00000000" w:rsidRDefault="00FD7D3C">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FD7D3C">
            <w:pPr>
              <w:spacing w:after="100"/>
              <w:rPr>
                <w:rFonts w:eastAsia="Times New Roman"/>
              </w:rPr>
            </w:pPr>
            <w:r>
              <w:rPr>
                <w:rFonts w:eastAsia="Times New Roman"/>
                <w:color w:val="000000"/>
                <w:sz w:val="20"/>
                <w:szCs w:val="20"/>
              </w:rPr>
              <w:t>/s/ Keith Cummings</w:t>
            </w:r>
          </w:p>
        </w:tc>
      </w:tr>
      <w:tr w:rsidR="00000000">
        <w:trPr>
          <w:divId w:val="1457211669"/>
        </w:trPr>
        <w:tc>
          <w:tcPr>
            <w:tcW w:w="0" w:type="auto"/>
            <w:gridSpan w:val="3"/>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D7D3C">
            <w:pPr>
              <w:spacing w:after="100"/>
              <w:divId w:val="298653988"/>
              <w:rPr>
                <w:rFonts w:eastAsia="Times New Roman"/>
              </w:rPr>
            </w:pPr>
            <w:r>
              <w:rPr>
                <w:rFonts w:eastAsia="Times New Roman"/>
                <w:color w:val="000000"/>
                <w:sz w:val="20"/>
                <w:szCs w:val="20"/>
              </w:rPr>
              <w:t>Keith Cummings, M.D., M.B.A.</w:t>
            </w:r>
          </w:p>
        </w:tc>
      </w:tr>
      <w:tr w:rsidR="00000000">
        <w:trPr>
          <w:divId w:val="1457211669"/>
        </w:trPr>
        <w:tc>
          <w:tcPr>
            <w:tcW w:w="0" w:type="auto"/>
            <w:gridSpan w:val="3"/>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FD7D3C">
            <w:pPr>
              <w:spacing w:after="100"/>
              <w:divId w:val="409473975"/>
              <w:rPr>
                <w:rFonts w:eastAsia="Times New Roman"/>
              </w:rPr>
            </w:pPr>
            <w:r>
              <w:rPr>
                <w:rFonts w:eastAsia="Times New Roman"/>
                <w:color w:val="000000"/>
                <w:sz w:val="20"/>
                <w:szCs w:val="20"/>
              </w:rPr>
              <w:t>Chief Financial Officer</w:t>
            </w:r>
          </w:p>
        </w:tc>
      </w:tr>
    </w:tbl>
    <w:p w:rsidR="00000000" w:rsidRDefault="00FD7D3C">
      <w:pPr>
        <w:jc w:val="center"/>
        <w:divId w:val="968434337"/>
        <w:rPr>
          <w:rFonts w:eastAsia="Times New Roman"/>
        </w:rPr>
      </w:pPr>
      <w:r>
        <w:rPr>
          <w:rFonts w:eastAsia="Times New Roman"/>
          <w:b/>
          <w:bCs/>
          <w:color w:val="000000"/>
          <w:sz w:val="20"/>
          <w:szCs w:val="20"/>
        </w:rPr>
        <w:t>POWER OF ATTORNEY</w:t>
      </w:r>
    </w:p>
    <w:p w:rsidR="00000000" w:rsidRDefault="00FD7D3C">
      <w:pPr>
        <w:ind w:firstLine="720"/>
        <w:divId w:val="2102137444"/>
        <w:rPr>
          <w:rFonts w:eastAsia="Times New Roman"/>
        </w:rPr>
      </w:pPr>
      <w:r>
        <w:rPr>
          <w:rFonts w:eastAsia="Times New Roman"/>
          <w:color w:val="000000"/>
          <w:sz w:val="20"/>
          <w:szCs w:val="20"/>
        </w:rPr>
        <w:t>KNOW ALL PERSONS BY THESE PRESENTS, that each person whose signature appears below constitutes and appoints, Bernard Coulie and Keith Cummings and each of them, as his or her true and lawful attorneys-in-fact and agents, with full power of substitution for</w:t>
      </w:r>
      <w:r>
        <w:rPr>
          <w:rFonts w:eastAsia="Times New Roman"/>
          <w:color w:val="000000"/>
          <w:sz w:val="20"/>
          <w:szCs w:val="20"/>
        </w:rPr>
        <w:t xml:space="preserve"> him or her, and in his or her name in any and all capacities, to sign any and all amendments to this Annual Report on Form 10-K, and to file the same, with exhibits thereto and other documents in connection therewith, with the U.S. Securities and Exchange</w:t>
      </w:r>
      <w:r>
        <w:rPr>
          <w:rFonts w:eastAsia="Times New Roman"/>
          <w:color w:val="000000"/>
          <w:sz w:val="20"/>
          <w:szCs w:val="20"/>
        </w:rPr>
        <w:t xml:space="preserve"> Commission, granting unto said attorneys-in-fact and agents, and each of them, full power and authority to do and perform each and every act and thing requisite and necessary to be done therewith, as fully to all intents and purposes as he or she might or</w:t>
      </w:r>
      <w:r>
        <w:rPr>
          <w:rFonts w:eastAsia="Times New Roman"/>
          <w:color w:val="000000"/>
          <w:sz w:val="20"/>
          <w:szCs w:val="20"/>
        </w:rPr>
        <w:t xml:space="preserve"> could do in person, hereby ratifying and confirming all that said attorneys-in-fact and agents, and either of them, his or her substitute or substitutes, may lawfully do or cause to be done by virtue hereof.</w:t>
      </w:r>
    </w:p>
    <w:p w:rsidR="00000000" w:rsidRDefault="00FD7D3C">
      <w:pPr>
        <w:ind w:firstLine="720"/>
        <w:divId w:val="297682682"/>
        <w:rPr>
          <w:rFonts w:eastAsia="Times New Roman"/>
        </w:rPr>
      </w:pPr>
      <w:r>
        <w:rPr>
          <w:rFonts w:eastAsia="Times New Roman"/>
          <w:color w:val="000000"/>
          <w:sz w:val="20"/>
          <w:szCs w:val="20"/>
        </w:rPr>
        <w:t xml:space="preserve">Pursuant to the requirements of the Securities </w:t>
      </w:r>
      <w:r>
        <w:rPr>
          <w:rFonts w:eastAsia="Times New Roman"/>
          <w:color w:val="000000"/>
          <w:sz w:val="20"/>
          <w:szCs w:val="20"/>
        </w:rPr>
        <w:t>Exchange Act of 1934, as amended, this Report has been signed below by the following persons on behalf of the Registrant in the capacities and on the dates indicated.</w:t>
      </w:r>
    </w:p>
    <w:p w:rsidR="00000000" w:rsidRDefault="00FD7D3C">
      <w:pPr>
        <w:jc w:val="center"/>
        <w:divId w:val="323820233"/>
        <w:rPr>
          <w:rFonts w:eastAsia="Times New Roman"/>
        </w:rPr>
      </w:pPr>
      <w:r>
        <w:rPr>
          <w:rFonts w:eastAsia="Times New Roman"/>
          <w:color w:val="000000"/>
          <w:sz w:val="20"/>
          <w:szCs w:val="20"/>
        </w:rPr>
        <w:t>141</w:t>
      </w:r>
    </w:p>
    <w:p w:rsidR="00000000" w:rsidRDefault="00FD7D3C">
      <w:pPr>
        <w:rPr>
          <w:rFonts w:eastAsia="Times New Roman"/>
        </w:rPr>
      </w:pPr>
      <w:r>
        <w:rPr>
          <w:rFonts w:eastAsia="Times New Roman"/>
        </w:rPr>
        <w:pict>
          <v:rect id="_x0000_i1194" style="width:0;height:1.5pt" o:hralign="center" o:hrstd="t" o:hr="t" fillcolor="#a0a0a0" stroked="f"/>
        </w:pict>
      </w:r>
    </w:p>
    <w:p w:rsidR="00000000" w:rsidRDefault="00FD7D3C">
      <w:pPr>
        <w:divId w:val="1727407755"/>
        <w:rPr>
          <w:rFonts w:eastAsia="Times New Roman"/>
        </w:rPr>
      </w:pPr>
      <w:hyperlink w:anchor="i988625df783e4cc0a27bd76df388da57_7" w:history="1">
        <w:r>
          <w:rPr>
            <w:rStyle w:val="a3"/>
            <w:rFonts w:eastAsia="Times New Roman"/>
            <w:sz w:val="20"/>
            <w:szCs w:val="20"/>
          </w:rPr>
          <w:t>Table of Contents</w:t>
        </w:r>
      </w:hyperlink>
    </w:p>
    <w:tbl>
      <w:tblPr>
        <w:tblW w:w="4840" w:type="pct"/>
        <w:tblCellMar>
          <w:top w:w="15" w:type="dxa"/>
          <w:left w:w="15" w:type="dxa"/>
          <w:bottom w:w="15" w:type="dxa"/>
          <w:right w:w="15" w:type="dxa"/>
        </w:tblCellMar>
        <w:tblLook w:val="04A0" w:firstRow="1" w:lastRow="0" w:firstColumn="1" w:lastColumn="0" w:noHBand="0" w:noVBand="1"/>
      </w:tblPr>
      <w:tblGrid>
        <w:gridCol w:w="55"/>
        <w:gridCol w:w="2241"/>
        <w:gridCol w:w="39"/>
        <w:gridCol w:w="36"/>
        <w:gridCol w:w="36"/>
        <w:gridCol w:w="36"/>
        <w:gridCol w:w="41"/>
        <w:gridCol w:w="3699"/>
        <w:gridCol w:w="36"/>
        <w:gridCol w:w="36"/>
        <w:gridCol w:w="36"/>
        <w:gridCol w:w="36"/>
        <w:gridCol w:w="42"/>
        <w:gridCol w:w="1635"/>
        <w:gridCol w:w="36"/>
      </w:tblGrid>
      <w:tr w:rsidR="00000000">
        <w:trPr>
          <w:divId w:val="554044854"/>
        </w:trPr>
        <w:tc>
          <w:tcPr>
            <w:tcW w:w="50" w:type="pct"/>
            <w:vAlign w:val="center"/>
            <w:hideMark/>
          </w:tcPr>
          <w:p w:rsidR="00000000" w:rsidRDefault="00FD7D3C">
            <w:pPr>
              <w:rPr>
                <w:rFonts w:eastAsia="Times New Roman"/>
              </w:rPr>
            </w:pPr>
          </w:p>
        </w:tc>
        <w:tc>
          <w:tcPr>
            <w:tcW w:w="1408"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29"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231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29"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c>
          <w:tcPr>
            <w:tcW w:w="50" w:type="pct"/>
            <w:vAlign w:val="center"/>
            <w:hideMark/>
          </w:tcPr>
          <w:p w:rsidR="00000000" w:rsidRDefault="00FD7D3C">
            <w:pPr>
              <w:spacing w:after="100"/>
              <w:rPr>
                <w:rFonts w:eastAsia="Times New Roman"/>
                <w:sz w:val="20"/>
                <w:szCs w:val="20"/>
              </w:rPr>
            </w:pPr>
          </w:p>
        </w:tc>
        <w:tc>
          <w:tcPr>
            <w:tcW w:w="1032" w:type="pct"/>
            <w:vAlign w:val="center"/>
            <w:hideMark/>
          </w:tcPr>
          <w:p w:rsidR="00000000" w:rsidRDefault="00FD7D3C">
            <w:pPr>
              <w:spacing w:after="100"/>
              <w:rPr>
                <w:rFonts w:eastAsia="Times New Roman"/>
                <w:sz w:val="20"/>
                <w:szCs w:val="20"/>
              </w:rPr>
            </w:pPr>
          </w:p>
        </w:tc>
        <w:tc>
          <w:tcPr>
            <w:tcW w:w="5" w:type="pct"/>
            <w:vAlign w:val="center"/>
            <w:hideMark/>
          </w:tcPr>
          <w:p w:rsidR="00000000" w:rsidRDefault="00FD7D3C">
            <w:pPr>
              <w:spacing w:after="100"/>
              <w:rPr>
                <w:rFonts w:eastAsia="Times New Roman"/>
                <w:sz w:val="20"/>
                <w:szCs w:val="20"/>
              </w:rPr>
            </w:pPr>
          </w:p>
        </w:tc>
      </w:tr>
      <w:tr w:rsidR="00000000">
        <w:trPr>
          <w:divId w:val="554044854"/>
        </w:trPr>
        <w:tc>
          <w:tcPr>
            <w:tcW w:w="0" w:type="auto"/>
            <w:gridSpan w:val="3"/>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Name</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Title</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b/>
                <w:bCs/>
                <w:color w:val="000000"/>
                <w:sz w:val="16"/>
                <w:szCs w:val="16"/>
              </w:rPr>
              <w:t>Date</w:t>
            </w:r>
          </w:p>
        </w:tc>
      </w:tr>
      <w:tr w:rsidR="00000000">
        <w:trPr>
          <w:divId w:val="554044854"/>
          <w:trHeight w:val="280"/>
        </w:trPr>
        <w:tc>
          <w:tcPr>
            <w:tcW w:w="0" w:type="auto"/>
            <w:gridSpan w:val="3"/>
            <w:tcBorders>
              <w:top w:val="single" w:sz="8" w:space="0" w:color="000000"/>
            </w:tcBorders>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000000">
        <w:trPr>
          <w:divId w:val="554044854"/>
        </w:trPr>
        <w:tc>
          <w:tcPr>
            <w:tcW w:w="0" w:type="auto"/>
            <w:gridSpan w:val="3"/>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color w:val="000000"/>
                <w:sz w:val="20"/>
                <w:szCs w:val="20"/>
              </w:rPr>
              <w:t>/s/ Bernard Coulie</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D7D3C">
            <w:pPr>
              <w:spacing w:after="100"/>
              <w:rPr>
                <w:rFonts w:eastAsia="Times New Roman"/>
              </w:rPr>
            </w:pPr>
            <w:r>
              <w:rPr>
                <w:rFonts w:eastAsia="Times New Roman"/>
                <w:color w:val="000000"/>
                <w:sz w:val="20"/>
                <w:szCs w:val="20"/>
              </w:rPr>
              <w:t>President, Chief Executive Officer and Director</w:t>
            </w: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color w:val="000000"/>
                <w:sz w:val="20"/>
                <w:szCs w:val="20"/>
              </w:rPr>
              <w:t>February 28, 2022</w:t>
            </w:r>
          </w:p>
        </w:tc>
      </w:tr>
      <w:tr w:rsidR="00000000">
        <w:trPr>
          <w:divId w:val="554044854"/>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color w:val="000000"/>
                <w:sz w:val="20"/>
                <w:szCs w:val="20"/>
              </w:rPr>
              <w:t>Bernard Coulie, M.D., Ph.D.</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D7D3C">
            <w:pPr>
              <w:spacing w:after="100"/>
              <w:rPr>
                <w:rFonts w:eastAsia="Times New Roman"/>
              </w:rPr>
            </w:pPr>
            <w:r>
              <w:rPr>
                <w:rFonts w:eastAsia="Times New Roman"/>
                <w:color w:val="000000"/>
                <w:sz w:val="20"/>
                <w:szCs w:val="20"/>
              </w:rPr>
              <w:t>Principal Executive Officer</w:t>
            </w: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000000">
        <w:trPr>
          <w:divId w:val="554044854"/>
          <w:trHeight w:val="60"/>
        </w:trPr>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000000">
        <w:trPr>
          <w:divId w:val="554044854"/>
        </w:trPr>
        <w:tc>
          <w:tcPr>
            <w:tcW w:w="0" w:type="auto"/>
            <w:gridSpan w:val="3"/>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color w:val="000000"/>
                <w:sz w:val="20"/>
                <w:szCs w:val="20"/>
              </w:rPr>
              <w:t>/s/ Keith Cummings</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D7D3C">
            <w:pPr>
              <w:spacing w:after="100"/>
              <w:rPr>
                <w:rFonts w:eastAsia="Times New Roman"/>
              </w:rPr>
            </w:pPr>
            <w:r>
              <w:rPr>
                <w:rFonts w:eastAsia="Times New Roman"/>
                <w:color w:val="000000"/>
                <w:sz w:val="20"/>
                <w:szCs w:val="20"/>
              </w:rPr>
              <w:t>Chief Financial Officer</w:t>
            </w: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color w:val="000000"/>
                <w:sz w:val="20"/>
                <w:szCs w:val="20"/>
              </w:rPr>
              <w:t>February 28, 2022</w:t>
            </w:r>
          </w:p>
        </w:tc>
      </w:tr>
      <w:tr w:rsidR="00000000">
        <w:trPr>
          <w:divId w:val="554044854"/>
        </w:trPr>
        <w:tc>
          <w:tcPr>
            <w:tcW w:w="0" w:type="auto"/>
            <w:gridSpan w:val="3"/>
            <w:tcBorders>
              <w:top w:val="single" w:sz="8" w:space="0" w:color="000000"/>
            </w:tcBorders>
            <w:tcMar>
              <w:top w:w="30" w:type="dxa"/>
              <w:left w:w="20" w:type="dxa"/>
              <w:bottom w:w="30" w:type="dxa"/>
              <w:right w:w="20" w:type="dxa"/>
            </w:tcMar>
            <w:hideMark/>
          </w:tcPr>
          <w:p w:rsidR="00000000" w:rsidRDefault="00FD7D3C">
            <w:pPr>
              <w:spacing w:after="100"/>
              <w:jc w:val="center"/>
              <w:rPr>
                <w:rFonts w:eastAsia="Times New Roman"/>
              </w:rPr>
            </w:pPr>
            <w:r>
              <w:rPr>
                <w:rFonts w:eastAsia="Times New Roman"/>
                <w:color w:val="000000"/>
                <w:sz w:val="20"/>
                <w:szCs w:val="20"/>
              </w:rPr>
              <w:t>Keith Cummings, M.D., M.B.A.</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D7D3C">
            <w:pPr>
              <w:spacing w:after="100"/>
              <w:rPr>
                <w:rFonts w:eastAsia="Times New Roman"/>
              </w:rPr>
            </w:pPr>
            <w:r>
              <w:rPr>
                <w:rFonts w:eastAsia="Times New Roman"/>
                <w:color w:val="000000"/>
                <w:sz w:val="20"/>
                <w:szCs w:val="20"/>
              </w:rPr>
              <w:t>Principal Financial Officer</w:t>
            </w: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000000">
        <w:trPr>
          <w:divId w:val="554044854"/>
          <w:trHeight w:val="60"/>
        </w:trPr>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000000">
        <w:trPr>
          <w:divId w:val="554044854"/>
        </w:trPr>
        <w:tc>
          <w:tcPr>
            <w:tcW w:w="0" w:type="auto"/>
            <w:gridSpan w:val="3"/>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color w:val="000000"/>
                <w:sz w:val="20"/>
                <w:szCs w:val="20"/>
              </w:rPr>
              <w:t>/s/ Hoyoung Huh</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D7D3C">
            <w:pPr>
              <w:spacing w:after="100"/>
              <w:rPr>
                <w:rFonts w:eastAsia="Times New Roman"/>
              </w:rPr>
            </w:pPr>
            <w:r>
              <w:rPr>
                <w:rFonts w:eastAsia="Times New Roman"/>
                <w:color w:val="000000"/>
                <w:sz w:val="20"/>
                <w:szCs w:val="20"/>
              </w:rPr>
              <w:t>Chairman of the Board, Director</w:t>
            </w: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color w:val="000000"/>
                <w:sz w:val="20"/>
                <w:szCs w:val="20"/>
              </w:rPr>
              <w:t>February 28, 2022</w:t>
            </w:r>
          </w:p>
        </w:tc>
      </w:tr>
      <w:tr w:rsidR="00000000">
        <w:trPr>
          <w:divId w:val="554044854"/>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color w:val="000000"/>
                <w:sz w:val="20"/>
                <w:szCs w:val="20"/>
              </w:rPr>
              <w:t>Hoyoung Huh, M.D., Ph.D.</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000000">
        <w:trPr>
          <w:divId w:val="554044854"/>
          <w:trHeight w:val="60"/>
        </w:trPr>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000000">
        <w:trPr>
          <w:divId w:val="554044854"/>
        </w:trPr>
        <w:tc>
          <w:tcPr>
            <w:tcW w:w="0" w:type="auto"/>
            <w:gridSpan w:val="3"/>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color w:val="000000"/>
                <w:sz w:val="20"/>
                <w:szCs w:val="20"/>
              </w:rPr>
              <w:t>/s/ Suzanne Bruhn</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D7D3C">
            <w:pPr>
              <w:spacing w:after="100"/>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color w:val="000000"/>
                <w:sz w:val="20"/>
                <w:szCs w:val="20"/>
              </w:rPr>
              <w:t>February 28, 2022</w:t>
            </w:r>
          </w:p>
        </w:tc>
      </w:tr>
      <w:tr w:rsidR="00000000">
        <w:trPr>
          <w:divId w:val="554044854"/>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color w:val="000000"/>
                <w:sz w:val="20"/>
                <w:szCs w:val="20"/>
              </w:rPr>
              <w:t>Suzanne Bruhn, Ph.D.</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000000">
        <w:trPr>
          <w:divId w:val="554044854"/>
          <w:trHeight w:val="60"/>
        </w:trPr>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000000">
        <w:trPr>
          <w:divId w:val="554044854"/>
        </w:trPr>
        <w:tc>
          <w:tcPr>
            <w:tcW w:w="0" w:type="auto"/>
            <w:gridSpan w:val="3"/>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color w:val="000000"/>
                <w:sz w:val="20"/>
                <w:szCs w:val="20"/>
              </w:rPr>
              <w:t>/s/ Gayle Crowell</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D7D3C">
            <w:pPr>
              <w:spacing w:after="100"/>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color w:val="000000"/>
                <w:sz w:val="20"/>
                <w:szCs w:val="20"/>
              </w:rPr>
              <w:t>February 28, 2022</w:t>
            </w:r>
          </w:p>
        </w:tc>
      </w:tr>
      <w:tr w:rsidR="00000000">
        <w:trPr>
          <w:divId w:val="554044854"/>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color w:val="000000"/>
                <w:sz w:val="20"/>
                <w:szCs w:val="20"/>
              </w:rPr>
              <w:t>Gayle Crowell</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000000">
        <w:trPr>
          <w:divId w:val="554044854"/>
          <w:trHeight w:val="60"/>
        </w:trPr>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000000">
        <w:trPr>
          <w:divId w:val="554044854"/>
        </w:trPr>
        <w:tc>
          <w:tcPr>
            <w:tcW w:w="0" w:type="auto"/>
            <w:gridSpan w:val="3"/>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color w:val="000000"/>
                <w:sz w:val="20"/>
                <w:szCs w:val="20"/>
              </w:rPr>
              <w:t>/s/ John Curnutte</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D7D3C">
            <w:pPr>
              <w:spacing w:after="100"/>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color w:val="000000"/>
                <w:sz w:val="20"/>
                <w:szCs w:val="20"/>
              </w:rPr>
              <w:t>February 28, 2022</w:t>
            </w:r>
          </w:p>
        </w:tc>
      </w:tr>
      <w:tr w:rsidR="00000000">
        <w:trPr>
          <w:divId w:val="554044854"/>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color w:val="000000"/>
                <w:sz w:val="20"/>
                <w:szCs w:val="20"/>
              </w:rPr>
              <w:t>John Curnutte, M.D.</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000000">
        <w:trPr>
          <w:divId w:val="554044854"/>
          <w:trHeight w:val="60"/>
        </w:trPr>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000000">
        <w:trPr>
          <w:divId w:val="554044854"/>
        </w:trPr>
        <w:tc>
          <w:tcPr>
            <w:tcW w:w="0" w:type="auto"/>
            <w:gridSpan w:val="3"/>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color w:val="000000"/>
                <w:sz w:val="20"/>
                <w:szCs w:val="20"/>
              </w:rPr>
              <w:t>/s/ Neil Exter</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D7D3C">
            <w:pPr>
              <w:spacing w:after="100"/>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color w:val="000000"/>
                <w:sz w:val="20"/>
                <w:szCs w:val="20"/>
              </w:rPr>
              <w:t>February 28, 2022</w:t>
            </w:r>
          </w:p>
        </w:tc>
      </w:tr>
      <w:tr w:rsidR="00000000">
        <w:trPr>
          <w:divId w:val="554044854"/>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color w:val="000000"/>
                <w:sz w:val="20"/>
                <w:szCs w:val="20"/>
              </w:rPr>
              <w:t>Neil Exter</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000000">
        <w:trPr>
          <w:divId w:val="554044854"/>
          <w:trHeight w:val="60"/>
        </w:trPr>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000000">
        <w:trPr>
          <w:divId w:val="554044854"/>
        </w:trPr>
        <w:tc>
          <w:tcPr>
            <w:tcW w:w="0" w:type="auto"/>
            <w:gridSpan w:val="3"/>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color w:val="000000"/>
                <w:sz w:val="20"/>
                <w:szCs w:val="20"/>
              </w:rPr>
              <w:t>/s/ Charles Homcy</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D7D3C">
            <w:pPr>
              <w:spacing w:after="100"/>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color w:val="000000"/>
                <w:sz w:val="20"/>
                <w:szCs w:val="20"/>
              </w:rPr>
              <w:t>February 28, 2022</w:t>
            </w:r>
          </w:p>
        </w:tc>
      </w:tr>
      <w:tr w:rsidR="00000000">
        <w:trPr>
          <w:divId w:val="554044854"/>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color w:val="000000"/>
                <w:sz w:val="20"/>
                <w:szCs w:val="20"/>
              </w:rPr>
              <w:t>Charles Homcy, M.D.</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000000">
        <w:trPr>
          <w:divId w:val="554044854"/>
          <w:trHeight w:val="60"/>
        </w:trPr>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000000">
        <w:trPr>
          <w:divId w:val="554044854"/>
        </w:trPr>
        <w:tc>
          <w:tcPr>
            <w:tcW w:w="0" w:type="auto"/>
            <w:gridSpan w:val="3"/>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color w:val="000000"/>
                <w:sz w:val="20"/>
                <w:szCs w:val="20"/>
              </w:rPr>
              <w:t>/s/ Smital Shah</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D7D3C">
            <w:pPr>
              <w:spacing w:after="100"/>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color w:val="000000"/>
                <w:sz w:val="20"/>
                <w:szCs w:val="20"/>
              </w:rPr>
              <w:t>February 28, 2022</w:t>
            </w:r>
          </w:p>
        </w:tc>
      </w:tr>
      <w:tr w:rsidR="00000000">
        <w:trPr>
          <w:divId w:val="554044854"/>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color w:val="000000"/>
                <w:sz w:val="20"/>
                <w:szCs w:val="20"/>
              </w:rPr>
              <w:t>Smital Shah</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000000">
        <w:trPr>
          <w:divId w:val="554044854"/>
          <w:trHeight w:val="60"/>
        </w:trPr>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r>
      <w:tr w:rsidR="00000000">
        <w:trPr>
          <w:divId w:val="554044854"/>
        </w:trPr>
        <w:tc>
          <w:tcPr>
            <w:tcW w:w="0" w:type="auto"/>
            <w:gridSpan w:val="3"/>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color w:val="000000"/>
                <w:sz w:val="20"/>
                <w:szCs w:val="20"/>
              </w:rPr>
              <w:t>/s/ David Pyott</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D7D3C">
            <w:pPr>
              <w:spacing w:after="100"/>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color w:val="000000"/>
                <w:sz w:val="20"/>
                <w:szCs w:val="20"/>
              </w:rPr>
              <w:t>February 28, 2022</w:t>
            </w:r>
          </w:p>
        </w:tc>
      </w:tr>
      <w:tr w:rsidR="00000000">
        <w:trPr>
          <w:divId w:val="554044854"/>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FD7D3C">
            <w:pPr>
              <w:spacing w:after="100"/>
              <w:jc w:val="center"/>
              <w:rPr>
                <w:rFonts w:eastAsia="Times New Roman"/>
              </w:rPr>
            </w:pPr>
            <w:r>
              <w:rPr>
                <w:rFonts w:eastAsia="Times New Roman"/>
                <w:color w:val="000000"/>
                <w:sz w:val="20"/>
                <w:szCs w:val="20"/>
              </w:rPr>
              <w:t>David Pyott</w:t>
            </w:r>
          </w:p>
        </w:tc>
        <w:tc>
          <w:tcPr>
            <w:tcW w:w="0" w:type="auto"/>
            <w:gridSpan w:val="3"/>
            <w:tcMar>
              <w:top w:w="0" w:type="dxa"/>
              <w:left w:w="20" w:type="dxa"/>
              <w:bottom w:w="0" w:type="dxa"/>
              <w:right w:w="20" w:type="dxa"/>
            </w:tcMar>
            <w:vAlign w:val="center"/>
            <w:hideMark/>
          </w:tcPr>
          <w:p w:rsidR="00000000" w:rsidRDefault="00FD7D3C">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D7D3C">
            <w:pPr>
              <w:spacing w:after="100"/>
              <w:rPr>
                <w:rFonts w:eastAsia="Times New Roman"/>
                <w:sz w:val="20"/>
                <w:szCs w:val="20"/>
              </w:rPr>
            </w:pPr>
          </w:p>
        </w:tc>
      </w:tr>
    </w:tbl>
    <w:p w:rsidR="00000000" w:rsidRDefault="00FD7D3C">
      <w:pPr>
        <w:divId w:val="378629342"/>
        <w:rPr>
          <w:rFonts w:eastAsia="Times New Roman"/>
        </w:rPr>
      </w:pPr>
    </w:p>
    <w:p w:rsidR="00FD7D3C" w:rsidRDefault="00FD7D3C">
      <w:pPr>
        <w:jc w:val="center"/>
        <w:divId w:val="770010386"/>
        <w:rPr>
          <w:rFonts w:eastAsia="Times New Roman"/>
        </w:rPr>
      </w:pPr>
      <w:r>
        <w:rPr>
          <w:rFonts w:eastAsia="Times New Roman"/>
          <w:color w:val="000000"/>
          <w:sz w:val="20"/>
          <w:szCs w:val="20"/>
        </w:rPr>
        <w:t>142</w:t>
      </w:r>
    </w:p>
    <w:sectPr w:rsidR="00FD7D3C">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D7D3C"/>
    <w:rsid w:val="00FD7D3C"/>
  </w:rsids>
  <m:mathPr>
    <m:mathFont m:val="Cambria Math"/>
    <m:brkBin m:val="before"/>
    <m:brkBinSub m:val="--"/>
    <m:smallFrac m:val="0"/>
    <m:dispDef/>
    <m:lMargin m:val="0"/>
    <m:rMargin m:val="0"/>
    <m:defJc m:val="centerGroup"/>
    <m:wrapIndent m:val="1440"/>
    <m:intLim m:val="subSup"/>
    <m:naryLim m:val="undOvr"/>
  </m:mathPr>
  <w:attachedSchema w:val="http://www.xbrl.org/2009/utr"/>
  <w:attachedSchema w:val="http://www.xbrl.org/2003/linkbase"/>
  <w:attachedSchema w:val="http://fasb.org/srt/2021-01-31"/>
  <w:attachedSchema w:val="http://www.xbrl.org/2013/inlineXBRL"/>
  <w:attachedSchema w:val="http://www.w3.org/1999/xlink"/>
  <w:attachedSchema w:val="http://xbrl.sec.gov/stpr/2021"/>
  <w:attachedSchema w:val="http://www.xbrl.org/inlineXBRL/transformation/2020-02-12"/>
  <w:attachedSchema w:val="http://xbrl.org/2006/xbrldi"/>
  <w:attachedSchema w:val="http://www.xbrl.org/2003/instance"/>
  <w:attachedSchema w:val="http://www.pliantrx.com/20211231"/>
  <w:attachedSchema w:val="http://fasb.org/us-gaap/2021-01-31"/>
  <w:attachedSchema w:val="http://www.xbrl.org/2003/iso4217"/>
  <w:attachedSchema w:val="http://xbrl.sec.gov/dei/2021q4"/>
  <w:attachedSchema w:val="http://www.sec.gov/inlineXBRL/transformation/2015-08-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8">
      <w:marLeft w:val="0"/>
      <w:marRight w:val="0"/>
      <w:marTop w:val="120"/>
      <w:marBottom w:val="0"/>
      <w:divBdr>
        <w:top w:val="none" w:sz="0" w:space="0" w:color="auto"/>
        <w:left w:val="none" w:sz="0" w:space="0" w:color="auto"/>
        <w:bottom w:val="none" w:sz="0" w:space="0" w:color="auto"/>
        <w:right w:val="none" w:sz="0" w:space="0" w:color="auto"/>
      </w:divBdr>
    </w:div>
    <w:div w:id="403045">
      <w:marLeft w:val="0"/>
      <w:marRight w:val="0"/>
      <w:marTop w:val="60"/>
      <w:marBottom w:val="0"/>
      <w:divBdr>
        <w:top w:val="none" w:sz="0" w:space="0" w:color="auto"/>
        <w:left w:val="none" w:sz="0" w:space="0" w:color="auto"/>
        <w:bottom w:val="none" w:sz="0" w:space="0" w:color="auto"/>
        <w:right w:val="none" w:sz="0" w:space="0" w:color="auto"/>
      </w:divBdr>
    </w:div>
    <w:div w:id="742504">
      <w:marLeft w:val="0"/>
      <w:marRight w:val="0"/>
      <w:marTop w:val="200"/>
      <w:marBottom w:val="0"/>
      <w:divBdr>
        <w:top w:val="none" w:sz="0" w:space="0" w:color="auto"/>
        <w:left w:val="none" w:sz="0" w:space="0" w:color="auto"/>
        <w:bottom w:val="none" w:sz="0" w:space="0" w:color="auto"/>
        <w:right w:val="none" w:sz="0" w:space="0" w:color="auto"/>
      </w:divBdr>
    </w:div>
    <w:div w:id="1593294">
      <w:marLeft w:val="0"/>
      <w:marRight w:val="0"/>
      <w:marTop w:val="120"/>
      <w:marBottom w:val="0"/>
      <w:divBdr>
        <w:top w:val="none" w:sz="0" w:space="0" w:color="auto"/>
        <w:left w:val="none" w:sz="0" w:space="0" w:color="auto"/>
        <w:bottom w:val="none" w:sz="0" w:space="0" w:color="auto"/>
        <w:right w:val="none" w:sz="0" w:space="0" w:color="auto"/>
      </w:divBdr>
    </w:div>
    <w:div w:id="3216657">
      <w:marLeft w:val="0"/>
      <w:marRight w:val="0"/>
      <w:marTop w:val="200"/>
      <w:marBottom w:val="0"/>
      <w:divBdr>
        <w:top w:val="none" w:sz="0" w:space="0" w:color="auto"/>
        <w:left w:val="none" w:sz="0" w:space="0" w:color="auto"/>
        <w:bottom w:val="none" w:sz="0" w:space="0" w:color="auto"/>
        <w:right w:val="none" w:sz="0" w:space="0" w:color="auto"/>
      </w:divBdr>
    </w:div>
    <w:div w:id="3871039">
      <w:marLeft w:val="0"/>
      <w:marRight w:val="0"/>
      <w:marTop w:val="200"/>
      <w:marBottom w:val="0"/>
      <w:divBdr>
        <w:top w:val="none" w:sz="0" w:space="0" w:color="auto"/>
        <w:left w:val="none" w:sz="0" w:space="0" w:color="auto"/>
        <w:bottom w:val="none" w:sz="0" w:space="0" w:color="auto"/>
        <w:right w:val="none" w:sz="0" w:space="0" w:color="auto"/>
      </w:divBdr>
    </w:div>
    <w:div w:id="4670503">
      <w:marLeft w:val="0"/>
      <w:marRight w:val="0"/>
      <w:marTop w:val="120"/>
      <w:marBottom w:val="0"/>
      <w:divBdr>
        <w:top w:val="none" w:sz="0" w:space="0" w:color="auto"/>
        <w:left w:val="none" w:sz="0" w:space="0" w:color="auto"/>
        <w:bottom w:val="none" w:sz="0" w:space="0" w:color="auto"/>
        <w:right w:val="none" w:sz="0" w:space="0" w:color="auto"/>
      </w:divBdr>
    </w:div>
    <w:div w:id="4986711">
      <w:marLeft w:val="0"/>
      <w:marRight w:val="0"/>
      <w:marTop w:val="200"/>
      <w:marBottom w:val="0"/>
      <w:divBdr>
        <w:top w:val="none" w:sz="0" w:space="0" w:color="auto"/>
        <w:left w:val="none" w:sz="0" w:space="0" w:color="auto"/>
        <w:bottom w:val="none" w:sz="0" w:space="0" w:color="auto"/>
        <w:right w:val="none" w:sz="0" w:space="0" w:color="auto"/>
      </w:divBdr>
    </w:div>
    <w:div w:id="5715686">
      <w:marLeft w:val="0"/>
      <w:marRight w:val="0"/>
      <w:marTop w:val="120"/>
      <w:marBottom w:val="0"/>
      <w:divBdr>
        <w:top w:val="none" w:sz="0" w:space="0" w:color="auto"/>
        <w:left w:val="none" w:sz="0" w:space="0" w:color="auto"/>
        <w:bottom w:val="none" w:sz="0" w:space="0" w:color="auto"/>
        <w:right w:val="none" w:sz="0" w:space="0" w:color="auto"/>
      </w:divBdr>
    </w:div>
    <w:div w:id="9112965">
      <w:marLeft w:val="0"/>
      <w:marRight w:val="0"/>
      <w:marTop w:val="0"/>
      <w:marBottom w:val="0"/>
      <w:divBdr>
        <w:top w:val="none" w:sz="0" w:space="0" w:color="auto"/>
        <w:left w:val="none" w:sz="0" w:space="0" w:color="auto"/>
        <w:bottom w:val="none" w:sz="0" w:space="0" w:color="auto"/>
        <w:right w:val="none" w:sz="0" w:space="0" w:color="auto"/>
      </w:divBdr>
      <w:divsChild>
        <w:div w:id="1514801750">
          <w:marLeft w:val="0"/>
          <w:marRight w:val="0"/>
          <w:marTop w:val="0"/>
          <w:marBottom w:val="0"/>
          <w:divBdr>
            <w:top w:val="none" w:sz="0" w:space="0" w:color="auto"/>
            <w:left w:val="none" w:sz="0" w:space="0" w:color="auto"/>
            <w:bottom w:val="none" w:sz="0" w:space="0" w:color="auto"/>
            <w:right w:val="none" w:sz="0" w:space="0" w:color="auto"/>
          </w:divBdr>
        </w:div>
      </w:divsChild>
    </w:div>
    <w:div w:id="10882603">
      <w:marLeft w:val="0"/>
      <w:marRight w:val="0"/>
      <w:marTop w:val="200"/>
      <w:marBottom w:val="0"/>
      <w:divBdr>
        <w:top w:val="none" w:sz="0" w:space="0" w:color="auto"/>
        <w:left w:val="none" w:sz="0" w:space="0" w:color="auto"/>
        <w:bottom w:val="none" w:sz="0" w:space="0" w:color="auto"/>
        <w:right w:val="none" w:sz="0" w:space="0" w:color="auto"/>
      </w:divBdr>
    </w:div>
    <w:div w:id="11421999">
      <w:marLeft w:val="0"/>
      <w:marRight w:val="0"/>
      <w:marTop w:val="120"/>
      <w:marBottom w:val="0"/>
      <w:divBdr>
        <w:top w:val="none" w:sz="0" w:space="0" w:color="auto"/>
        <w:left w:val="none" w:sz="0" w:space="0" w:color="auto"/>
        <w:bottom w:val="none" w:sz="0" w:space="0" w:color="auto"/>
        <w:right w:val="none" w:sz="0" w:space="0" w:color="auto"/>
      </w:divBdr>
    </w:div>
    <w:div w:id="12537069">
      <w:marLeft w:val="0"/>
      <w:marRight w:val="0"/>
      <w:marTop w:val="200"/>
      <w:marBottom w:val="0"/>
      <w:divBdr>
        <w:top w:val="none" w:sz="0" w:space="0" w:color="auto"/>
        <w:left w:val="none" w:sz="0" w:space="0" w:color="auto"/>
        <w:bottom w:val="none" w:sz="0" w:space="0" w:color="auto"/>
        <w:right w:val="none" w:sz="0" w:space="0" w:color="auto"/>
      </w:divBdr>
    </w:div>
    <w:div w:id="12809006">
      <w:marLeft w:val="0"/>
      <w:marRight w:val="0"/>
      <w:marTop w:val="0"/>
      <w:marBottom w:val="0"/>
      <w:divBdr>
        <w:top w:val="none" w:sz="0" w:space="0" w:color="auto"/>
        <w:left w:val="none" w:sz="0" w:space="0" w:color="auto"/>
        <w:bottom w:val="none" w:sz="0" w:space="0" w:color="auto"/>
        <w:right w:val="none" w:sz="0" w:space="0" w:color="auto"/>
      </w:divBdr>
      <w:divsChild>
        <w:div w:id="1443261077">
          <w:marLeft w:val="0"/>
          <w:marRight w:val="0"/>
          <w:marTop w:val="0"/>
          <w:marBottom w:val="0"/>
          <w:divBdr>
            <w:top w:val="none" w:sz="0" w:space="0" w:color="auto"/>
            <w:left w:val="none" w:sz="0" w:space="0" w:color="auto"/>
            <w:bottom w:val="none" w:sz="0" w:space="0" w:color="auto"/>
            <w:right w:val="none" w:sz="0" w:space="0" w:color="auto"/>
          </w:divBdr>
        </w:div>
      </w:divsChild>
    </w:div>
    <w:div w:id="12846293">
      <w:marLeft w:val="0"/>
      <w:marRight w:val="0"/>
      <w:marTop w:val="120"/>
      <w:marBottom w:val="0"/>
      <w:divBdr>
        <w:top w:val="none" w:sz="0" w:space="0" w:color="auto"/>
        <w:left w:val="none" w:sz="0" w:space="0" w:color="auto"/>
        <w:bottom w:val="none" w:sz="0" w:space="0" w:color="auto"/>
        <w:right w:val="none" w:sz="0" w:space="0" w:color="auto"/>
      </w:divBdr>
    </w:div>
    <w:div w:id="12851298">
      <w:marLeft w:val="0"/>
      <w:marRight w:val="0"/>
      <w:marTop w:val="120"/>
      <w:marBottom w:val="0"/>
      <w:divBdr>
        <w:top w:val="none" w:sz="0" w:space="0" w:color="auto"/>
        <w:left w:val="none" w:sz="0" w:space="0" w:color="auto"/>
        <w:bottom w:val="none" w:sz="0" w:space="0" w:color="auto"/>
        <w:right w:val="none" w:sz="0" w:space="0" w:color="auto"/>
      </w:divBdr>
    </w:div>
    <w:div w:id="14112360">
      <w:marLeft w:val="0"/>
      <w:marRight w:val="0"/>
      <w:marTop w:val="120"/>
      <w:marBottom w:val="0"/>
      <w:divBdr>
        <w:top w:val="none" w:sz="0" w:space="0" w:color="auto"/>
        <w:left w:val="none" w:sz="0" w:space="0" w:color="auto"/>
        <w:bottom w:val="none" w:sz="0" w:space="0" w:color="auto"/>
        <w:right w:val="none" w:sz="0" w:space="0" w:color="auto"/>
      </w:divBdr>
    </w:div>
    <w:div w:id="16854704">
      <w:marLeft w:val="0"/>
      <w:marRight w:val="0"/>
      <w:marTop w:val="200"/>
      <w:marBottom w:val="0"/>
      <w:divBdr>
        <w:top w:val="none" w:sz="0" w:space="0" w:color="auto"/>
        <w:left w:val="none" w:sz="0" w:space="0" w:color="auto"/>
        <w:bottom w:val="none" w:sz="0" w:space="0" w:color="auto"/>
        <w:right w:val="none" w:sz="0" w:space="0" w:color="auto"/>
      </w:divBdr>
    </w:div>
    <w:div w:id="17123187">
      <w:marLeft w:val="0"/>
      <w:marRight w:val="0"/>
      <w:marTop w:val="120"/>
      <w:marBottom w:val="0"/>
      <w:divBdr>
        <w:top w:val="none" w:sz="0" w:space="0" w:color="auto"/>
        <w:left w:val="none" w:sz="0" w:space="0" w:color="auto"/>
        <w:bottom w:val="none" w:sz="0" w:space="0" w:color="auto"/>
        <w:right w:val="none" w:sz="0" w:space="0" w:color="auto"/>
      </w:divBdr>
    </w:div>
    <w:div w:id="17127533">
      <w:marLeft w:val="0"/>
      <w:marRight w:val="0"/>
      <w:marTop w:val="0"/>
      <w:marBottom w:val="0"/>
      <w:divBdr>
        <w:top w:val="none" w:sz="0" w:space="0" w:color="auto"/>
        <w:left w:val="none" w:sz="0" w:space="0" w:color="auto"/>
        <w:bottom w:val="none" w:sz="0" w:space="0" w:color="auto"/>
        <w:right w:val="none" w:sz="0" w:space="0" w:color="auto"/>
      </w:divBdr>
      <w:divsChild>
        <w:div w:id="1830244968">
          <w:marLeft w:val="0"/>
          <w:marRight w:val="0"/>
          <w:marTop w:val="0"/>
          <w:marBottom w:val="0"/>
          <w:divBdr>
            <w:top w:val="none" w:sz="0" w:space="0" w:color="auto"/>
            <w:left w:val="none" w:sz="0" w:space="0" w:color="auto"/>
            <w:bottom w:val="none" w:sz="0" w:space="0" w:color="auto"/>
            <w:right w:val="none" w:sz="0" w:space="0" w:color="auto"/>
          </w:divBdr>
        </w:div>
      </w:divsChild>
    </w:div>
    <w:div w:id="17892777">
      <w:marLeft w:val="0"/>
      <w:marRight w:val="0"/>
      <w:marTop w:val="0"/>
      <w:marBottom w:val="0"/>
      <w:divBdr>
        <w:top w:val="none" w:sz="0" w:space="0" w:color="auto"/>
        <w:left w:val="none" w:sz="0" w:space="0" w:color="auto"/>
        <w:bottom w:val="none" w:sz="0" w:space="0" w:color="auto"/>
        <w:right w:val="none" w:sz="0" w:space="0" w:color="auto"/>
      </w:divBdr>
      <w:divsChild>
        <w:div w:id="454252013">
          <w:marLeft w:val="0"/>
          <w:marRight w:val="0"/>
          <w:marTop w:val="0"/>
          <w:marBottom w:val="0"/>
          <w:divBdr>
            <w:top w:val="none" w:sz="0" w:space="0" w:color="auto"/>
            <w:left w:val="none" w:sz="0" w:space="0" w:color="auto"/>
            <w:bottom w:val="none" w:sz="0" w:space="0" w:color="auto"/>
            <w:right w:val="none" w:sz="0" w:space="0" w:color="auto"/>
          </w:divBdr>
        </w:div>
      </w:divsChild>
    </w:div>
    <w:div w:id="19820287">
      <w:marLeft w:val="0"/>
      <w:marRight w:val="0"/>
      <w:marTop w:val="200"/>
      <w:marBottom w:val="0"/>
      <w:divBdr>
        <w:top w:val="none" w:sz="0" w:space="0" w:color="auto"/>
        <w:left w:val="none" w:sz="0" w:space="0" w:color="auto"/>
        <w:bottom w:val="none" w:sz="0" w:space="0" w:color="auto"/>
        <w:right w:val="none" w:sz="0" w:space="0" w:color="auto"/>
      </w:divBdr>
    </w:div>
    <w:div w:id="22170731">
      <w:marLeft w:val="0"/>
      <w:marRight w:val="0"/>
      <w:marTop w:val="0"/>
      <w:marBottom w:val="0"/>
      <w:divBdr>
        <w:top w:val="none" w:sz="0" w:space="0" w:color="auto"/>
        <w:left w:val="none" w:sz="0" w:space="0" w:color="auto"/>
        <w:bottom w:val="none" w:sz="0" w:space="0" w:color="auto"/>
        <w:right w:val="none" w:sz="0" w:space="0" w:color="auto"/>
      </w:divBdr>
    </w:div>
    <w:div w:id="22413804">
      <w:marLeft w:val="0"/>
      <w:marRight w:val="0"/>
      <w:marTop w:val="120"/>
      <w:marBottom w:val="0"/>
      <w:divBdr>
        <w:top w:val="none" w:sz="0" w:space="0" w:color="auto"/>
        <w:left w:val="none" w:sz="0" w:space="0" w:color="auto"/>
        <w:bottom w:val="none" w:sz="0" w:space="0" w:color="auto"/>
        <w:right w:val="none" w:sz="0" w:space="0" w:color="auto"/>
      </w:divBdr>
    </w:div>
    <w:div w:id="23336862">
      <w:marLeft w:val="0"/>
      <w:marRight w:val="0"/>
      <w:marTop w:val="120"/>
      <w:marBottom w:val="0"/>
      <w:divBdr>
        <w:top w:val="none" w:sz="0" w:space="0" w:color="auto"/>
        <w:left w:val="none" w:sz="0" w:space="0" w:color="auto"/>
        <w:bottom w:val="none" w:sz="0" w:space="0" w:color="auto"/>
        <w:right w:val="none" w:sz="0" w:space="0" w:color="auto"/>
      </w:divBdr>
    </w:div>
    <w:div w:id="23751890">
      <w:marLeft w:val="0"/>
      <w:marRight w:val="0"/>
      <w:marTop w:val="200"/>
      <w:marBottom w:val="0"/>
      <w:divBdr>
        <w:top w:val="none" w:sz="0" w:space="0" w:color="auto"/>
        <w:left w:val="none" w:sz="0" w:space="0" w:color="auto"/>
        <w:bottom w:val="none" w:sz="0" w:space="0" w:color="auto"/>
        <w:right w:val="none" w:sz="0" w:space="0" w:color="auto"/>
      </w:divBdr>
    </w:div>
    <w:div w:id="24643056">
      <w:marLeft w:val="0"/>
      <w:marRight w:val="0"/>
      <w:marTop w:val="200"/>
      <w:marBottom w:val="0"/>
      <w:divBdr>
        <w:top w:val="none" w:sz="0" w:space="0" w:color="auto"/>
        <w:left w:val="none" w:sz="0" w:space="0" w:color="auto"/>
        <w:bottom w:val="none" w:sz="0" w:space="0" w:color="auto"/>
        <w:right w:val="none" w:sz="0" w:space="0" w:color="auto"/>
      </w:divBdr>
    </w:div>
    <w:div w:id="26371325">
      <w:marLeft w:val="0"/>
      <w:marRight w:val="0"/>
      <w:marTop w:val="120"/>
      <w:marBottom w:val="0"/>
      <w:divBdr>
        <w:top w:val="none" w:sz="0" w:space="0" w:color="auto"/>
        <w:left w:val="none" w:sz="0" w:space="0" w:color="auto"/>
        <w:bottom w:val="none" w:sz="0" w:space="0" w:color="auto"/>
        <w:right w:val="none" w:sz="0" w:space="0" w:color="auto"/>
      </w:divBdr>
    </w:div>
    <w:div w:id="31882553">
      <w:marLeft w:val="0"/>
      <w:marRight w:val="0"/>
      <w:marTop w:val="120"/>
      <w:marBottom w:val="0"/>
      <w:divBdr>
        <w:top w:val="none" w:sz="0" w:space="0" w:color="auto"/>
        <w:left w:val="none" w:sz="0" w:space="0" w:color="auto"/>
        <w:bottom w:val="none" w:sz="0" w:space="0" w:color="auto"/>
        <w:right w:val="none" w:sz="0" w:space="0" w:color="auto"/>
      </w:divBdr>
    </w:div>
    <w:div w:id="32928085">
      <w:marLeft w:val="0"/>
      <w:marRight w:val="0"/>
      <w:marTop w:val="120"/>
      <w:marBottom w:val="0"/>
      <w:divBdr>
        <w:top w:val="none" w:sz="0" w:space="0" w:color="auto"/>
        <w:left w:val="none" w:sz="0" w:space="0" w:color="auto"/>
        <w:bottom w:val="none" w:sz="0" w:space="0" w:color="auto"/>
        <w:right w:val="none" w:sz="0" w:space="0" w:color="auto"/>
      </w:divBdr>
    </w:div>
    <w:div w:id="33774841">
      <w:marLeft w:val="0"/>
      <w:marRight w:val="0"/>
      <w:marTop w:val="120"/>
      <w:marBottom w:val="0"/>
      <w:divBdr>
        <w:top w:val="none" w:sz="0" w:space="0" w:color="auto"/>
        <w:left w:val="none" w:sz="0" w:space="0" w:color="auto"/>
        <w:bottom w:val="none" w:sz="0" w:space="0" w:color="auto"/>
        <w:right w:val="none" w:sz="0" w:space="0" w:color="auto"/>
      </w:divBdr>
    </w:div>
    <w:div w:id="35352811">
      <w:marLeft w:val="0"/>
      <w:marRight w:val="0"/>
      <w:marTop w:val="0"/>
      <w:marBottom w:val="0"/>
      <w:divBdr>
        <w:top w:val="none" w:sz="0" w:space="0" w:color="auto"/>
        <w:left w:val="none" w:sz="0" w:space="0" w:color="auto"/>
        <w:bottom w:val="none" w:sz="0" w:space="0" w:color="auto"/>
        <w:right w:val="none" w:sz="0" w:space="0" w:color="auto"/>
      </w:divBdr>
      <w:divsChild>
        <w:div w:id="1126047466">
          <w:marLeft w:val="0"/>
          <w:marRight w:val="0"/>
          <w:marTop w:val="0"/>
          <w:marBottom w:val="0"/>
          <w:divBdr>
            <w:top w:val="none" w:sz="0" w:space="0" w:color="auto"/>
            <w:left w:val="none" w:sz="0" w:space="0" w:color="auto"/>
            <w:bottom w:val="none" w:sz="0" w:space="0" w:color="auto"/>
            <w:right w:val="none" w:sz="0" w:space="0" w:color="auto"/>
          </w:divBdr>
        </w:div>
      </w:divsChild>
    </w:div>
    <w:div w:id="35786373">
      <w:marLeft w:val="0"/>
      <w:marRight w:val="0"/>
      <w:marTop w:val="120"/>
      <w:marBottom w:val="0"/>
      <w:divBdr>
        <w:top w:val="none" w:sz="0" w:space="0" w:color="auto"/>
        <w:left w:val="none" w:sz="0" w:space="0" w:color="auto"/>
        <w:bottom w:val="none" w:sz="0" w:space="0" w:color="auto"/>
        <w:right w:val="none" w:sz="0" w:space="0" w:color="auto"/>
      </w:divBdr>
    </w:div>
    <w:div w:id="36048166">
      <w:marLeft w:val="0"/>
      <w:marRight w:val="0"/>
      <w:marTop w:val="120"/>
      <w:marBottom w:val="0"/>
      <w:divBdr>
        <w:top w:val="none" w:sz="0" w:space="0" w:color="auto"/>
        <w:left w:val="none" w:sz="0" w:space="0" w:color="auto"/>
        <w:bottom w:val="none" w:sz="0" w:space="0" w:color="auto"/>
        <w:right w:val="none" w:sz="0" w:space="0" w:color="auto"/>
      </w:divBdr>
    </w:div>
    <w:div w:id="36777752">
      <w:marLeft w:val="0"/>
      <w:marRight w:val="0"/>
      <w:marTop w:val="120"/>
      <w:marBottom w:val="0"/>
      <w:divBdr>
        <w:top w:val="none" w:sz="0" w:space="0" w:color="auto"/>
        <w:left w:val="none" w:sz="0" w:space="0" w:color="auto"/>
        <w:bottom w:val="none" w:sz="0" w:space="0" w:color="auto"/>
        <w:right w:val="none" w:sz="0" w:space="0" w:color="auto"/>
      </w:divBdr>
    </w:div>
    <w:div w:id="36928838">
      <w:marLeft w:val="0"/>
      <w:marRight w:val="0"/>
      <w:marTop w:val="120"/>
      <w:marBottom w:val="0"/>
      <w:divBdr>
        <w:top w:val="none" w:sz="0" w:space="0" w:color="auto"/>
        <w:left w:val="none" w:sz="0" w:space="0" w:color="auto"/>
        <w:bottom w:val="none" w:sz="0" w:space="0" w:color="auto"/>
        <w:right w:val="none" w:sz="0" w:space="0" w:color="auto"/>
      </w:divBdr>
    </w:div>
    <w:div w:id="38287128">
      <w:marLeft w:val="0"/>
      <w:marRight w:val="0"/>
      <w:marTop w:val="0"/>
      <w:marBottom w:val="0"/>
      <w:divBdr>
        <w:top w:val="none" w:sz="0" w:space="0" w:color="auto"/>
        <w:left w:val="none" w:sz="0" w:space="0" w:color="auto"/>
        <w:bottom w:val="none" w:sz="0" w:space="0" w:color="auto"/>
        <w:right w:val="none" w:sz="0" w:space="0" w:color="auto"/>
      </w:divBdr>
      <w:divsChild>
        <w:div w:id="79955728">
          <w:marLeft w:val="0"/>
          <w:marRight w:val="0"/>
          <w:marTop w:val="0"/>
          <w:marBottom w:val="0"/>
          <w:divBdr>
            <w:top w:val="none" w:sz="0" w:space="0" w:color="auto"/>
            <w:left w:val="none" w:sz="0" w:space="0" w:color="auto"/>
            <w:bottom w:val="none" w:sz="0" w:space="0" w:color="auto"/>
            <w:right w:val="none" w:sz="0" w:space="0" w:color="auto"/>
          </w:divBdr>
        </w:div>
      </w:divsChild>
    </w:div>
    <w:div w:id="41759567">
      <w:marLeft w:val="0"/>
      <w:marRight w:val="0"/>
      <w:marTop w:val="120"/>
      <w:marBottom w:val="0"/>
      <w:divBdr>
        <w:top w:val="none" w:sz="0" w:space="0" w:color="auto"/>
        <w:left w:val="none" w:sz="0" w:space="0" w:color="auto"/>
        <w:bottom w:val="none" w:sz="0" w:space="0" w:color="auto"/>
        <w:right w:val="none" w:sz="0" w:space="0" w:color="auto"/>
      </w:divBdr>
    </w:div>
    <w:div w:id="42559011">
      <w:marLeft w:val="0"/>
      <w:marRight w:val="0"/>
      <w:marTop w:val="120"/>
      <w:marBottom w:val="0"/>
      <w:divBdr>
        <w:top w:val="none" w:sz="0" w:space="0" w:color="auto"/>
        <w:left w:val="none" w:sz="0" w:space="0" w:color="auto"/>
        <w:bottom w:val="none" w:sz="0" w:space="0" w:color="auto"/>
        <w:right w:val="none" w:sz="0" w:space="0" w:color="auto"/>
      </w:divBdr>
    </w:div>
    <w:div w:id="44565675">
      <w:marLeft w:val="0"/>
      <w:marRight w:val="0"/>
      <w:marTop w:val="120"/>
      <w:marBottom w:val="0"/>
      <w:divBdr>
        <w:top w:val="none" w:sz="0" w:space="0" w:color="auto"/>
        <w:left w:val="none" w:sz="0" w:space="0" w:color="auto"/>
        <w:bottom w:val="none" w:sz="0" w:space="0" w:color="auto"/>
        <w:right w:val="none" w:sz="0" w:space="0" w:color="auto"/>
      </w:divBdr>
    </w:div>
    <w:div w:id="45225043">
      <w:marLeft w:val="0"/>
      <w:marRight w:val="0"/>
      <w:marTop w:val="120"/>
      <w:marBottom w:val="0"/>
      <w:divBdr>
        <w:top w:val="none" w:sz="0" w:space="0" w:color="auto"/>
        <w:left w:val="none" w:sz="0" w:space="0" w:color="auto"/>
        <w:bottom w:val="none" w:sz="0" w:space="0" w:color="auto"/>
        <w:right w:val="none" w:sz="0" w:space="0" w:color="auto"/>
      </w:divBdr>
    </w:div>
    <w:div w:id="46028272">
      <w:marLeft w:val="0"/>
      <w:marRight w:val="0"/>
      <w:marTop w:val="120"/>
      <w:marBottom w:val="0"/>
      <w:divBdr>
        <w:top w:val="none" w:sz="0" w:space="0" w:color="auto"/>
        <w:left w:val="none" w:sz="0" w:space="0" w:color="auto"/>
        <w:bottom w:val="none" w:sz="0" w:space="0" w:color="auto"/>
        <w:right w:val="none" w:sz="0" w:space="0" w:color="auto"/>
      </w:divBdr>
    </w:div>
    <w:div w:id="48264385">
      <w:marLeft w:val="0"/>
      <w:marRight w:val="0"/>
      <w:marTop w:val="120"/>
      <w:marBottom w:val="0"/>
      <w:divBdr>
        <w:top w:val="none" w:sz="0" w:space="0" w:color="auto"/>
        <w:left w:val="none" w:sz="0" w:space="0" w:color="auto"/>
        <w:bottom w:val="none" w:sz="0" w:space="0" w:color="auto"/>
        <w:right w:val="none" w:sz="0" w:space="0" w:color="auto"/>
      </w:divBdr>
    </w:div>
    <w:div w:id="48577415">
      <w:marLeft w:val="0"/>
      <w:marRight w:val="0"/>
      <w:marTop w:val="100"/>
      <w:marBottom w:val="0"/>
      <w:divBdr>
        <w:top w:val="none" w:sz="0" w:space="0" w:color="auto"/>
        <w:left w:val="none" w:sz="0" w:space="0" w:color="auto"/>
        <w:bottom w:val="none" w:sz="0" w:space="0" w:color="auto"/>
        <w:right w:val="none" w:sz="0" w:space="0" w:color="auto"/>
      </w:divBdr>
    </w:div>
    <w:div w:id="48652984">
      <w:marLeft w:val="0"/>
      <w:marRight w:val="0"/>
      <w:marTop w:val="120"/>
      <w:marBottom w:val="0"/>
      <w:divBdr>
        <w:top w:val="none" w:sz="0" w:space="0" w:color="auto"/>
        <w:left w:val="none" w:sz="0" w:space="0" w:color="auto"/>
        <w:bottom w:val="none" w:sz="0" w:space="0" w:color="auto"/>
        <w:right w:val="none" w:sz="0" w:space="0" w:color="auto"/>
      </w:divBdr>
    </w:div>
    <w:div w:id="48892745">
      <w:marLeft w:val="0"/>
      <w:marRight w:val="0"/>
      <w:marTop w:val="120"/>
      <w:marBottom w:val="0"/>
      <w:divBdr>
        <w:top w:val="none" w:sz="0" w:space="0" w:color="auto"/>
        <w:left w:val="none" w:sz="0" w:space="0" w:color="auto"/>
        <w:bottom w:val="none" w:sz="0" w:space="0" w:color="auto"/>
        <w:right w:val="none" w:sz="0" w:space="0" w:color="auto"/>
      </w:divBdr>
    </w:div>
    <w:div w:id="49117315">
      <w:marLeft w:val="0"/>
      <w:marRight w:val="0"/>
      <w:marTop w:val="0"/>
      <w:marBottom w:val="0"/>
      <w:divBdr>
        <w:top w:val="none" w:sz="0" w:space="0" w:color="auto"/>
        <w:left w:val="none" w:sz="0" w:space="0" w:color="auto"/>
        <w:bottom w:val="none" w:sz="0" w:space="0" w:color="auto"/>
        <w:right w:val="none" w:sz="0" w:space="0" w:color="auto"/>
      </w:divBdr>
      <w:divsChild>
        <w:div w:id="1989507014">
          <w:marLeft w:val="0"/>
          <w:marRight w:val="0"/>
          <w:marTop w:val="0"/>
          <w:marBottom w:val="0"/>
          <w:divBdr>
            <w:top w:val="none" w:sz="0" w:space="0" w:color="auto"/>
            <w:left w:val="none" w:sz="0" w:space="0" w:color="auto"/>
            <w:bottom w:val="none" w:sz="0" w:space="0" w:color="auto"/>
            <w:right w:val="none" w:sz="0" w:space="0" w:color="auto"/>
          </w:divBdr>
        </w:div>
      </w:divsChild>
    </w:div>
    <w:div w:id="49304795">
      <w:marLeft w:val="0"/>
      <w:marRight w:val="0"/>
      <w:marTop w:val="0"/>
      <w:marBottom w:val="0"/>
      <w:divBdr>
        <w:top w:val="none" w:sz="0" w:space="0" w:color="auto"/>
        <w:left w:val="none" w:sz="0" w:space="0" w:color="auto"/>
        <w:bottom w:val="none" w:sz="0" w:space="0" w:color="auto"/>
        <w:right w:val="none" w:sz="0" w:space="0" w:color="auto"/>
      </w:divBdr>
      <w:divsChild>
        <w:div w:id="109132807">
          <w:marLeft w:val="0"/>
          <w:marRight w:val="0"/>
          <w:marTop w:val="0"/>
          <w:marBottom w:val="0"/>
          <w:divBdr>
            <w:top w:val="none" w:sz="0" w:space="0" w:color="auto"/>
            <w:left w:val="none" w:sz="0" w:space="0" w:color="auto"/>
            <w:bottom w:val="none" w:sz="0" w:space="0" w:color="auto"/>
            <w:right w:val="none" w:sz="0" w:space="0" w:color="auto"/>
          </w:divBdr>
        </w:div>
      </w:divsChild>
    </w:div>
    <w:div w:id="49888809">
      <w:marLeft w:val="0"/>
      <w:marRight w:val="0"/>
      <w:marTop w:val="120"/>
      <w:marBottom w:val="0"/>
      <w:divBdr>
        <w:top w:val="none" w:sz="0" w:space="0" w:color="auto"/>
        <w:left w:val="none" w:sz="0" w:space="0" w:color="auto"/>
        <w:bottom w:val="none" w:sz="0" w:space="0" w:color="auto"/>
        <w:right w:val="none" w:sz="0" w:space="0" w:color="auto"/>
      </w:divBdr>
    </w:div>
    <w:div w:id="50078026">
      <w:marLeft w:val="0"/>
      <w:marRight w:val="0"/>
      <w:marTop w:val="120"/>
      <w:marBottom w:val="0"/>
      <w:divBdr>
        <w:top w:val="none" w:sz="0" w:space="0" w:color="auto"/>
        <w:left w:val="none" w:sz="0" w:space="0" w:color="auto"/>
        <w:bottom w:val="none" w:sz="0" w:space="0" w:color="auto"/>
        <w:right w:val="none" w:sz="0" w:space="0" w:color="auto"/>
      </w:divBdr>
    </w:div>
    <w:div w:id="50887223">
      <w:marLeft w:val="0"/>
      <w:marRight w:val="0"/>
      <w:marTop w:val="120"/>
      <w:marBottom w:val="0"/>
      <w:divBdr>
        <w:top w:val="none" w:sz="0" w:space="0" w:color="auto"/>
        <w:left w:val="none" w:sz="0" w:space="0" w:color="auto"/>
        <w:bottom w:val="none" w:sz="0" w:space="0" w:color="auto"/>
        <w:right w:val="none" w:sz="0" w:space="0" w:color="auto"/>
      </w:divBdr>
    </w:div>
    <w:div w:id="51388675">
      <w:marLeft w:val="0"/>
      <w:marRight w:val="0"/>
      <w:marTop w:val="200"/>
      <w:marBottom w:val="0"/>
      <w:divBdr>
        <w:top w:val="none" w:sz="0" w:space="0" w:color="auto"/>
        <w:left w:val="none" w:sz="0" w:space="0" w:color="auto"/>
        <w:bottom w:val="none" w:sz="0" w:space="0" w:color="auto"/>
        <w:right w:val="none" w:sz="0" w:space="0" w:color="auto"/>
      </w:divBdr>
    </w:div>
    <w:div w:id="51538487">
      <w:marLeft w:val="0"/>
      <w:marRight w:val="0"/>
      <w:marTop w:val="120"/>
      <w:marBottom w:val="0"/>
      <w:divBdr>
        <w:top w:val="none" w:sz="0" w:space="0" w:color="auto"/>
        <w:left w:val="none" w:sz="0" w:space="0" w:color="auto"/>
        <w:bottom w:val="none" w:sz="0" w:space="0" w:color="auto"/>
        <w:right w:val="none" w:sz="0" w:space="0" w:color="auto"/>
      </w:divBdr>
    </w:div>
    <w:div w:id="51930382">
      <w:marLeft w:val="0"/>
      <w:marRight w:val="0"/>
      <w:marTop w:val="200"/>
      <w:marBottom w:val="0"/>
      <w:divBdr>
        <w:top w:val="none" w:sz="0" w:space="0" w:color="auto"/>
        <w:left w:val="none" w:sz="0" w:space="0" w:color="auto"/>
        <w:bottom w:val="none" w:sz="0" w:space="0" w:color="auto"/>
        <w:right w:val="none" w:sz="0" w:space="0" w:color="auto"/>
      </w:divBdr>
    </w:div>
    <w:div w:id="52848795">
      <w:marLeft w:val="0"/>
      <w:marRight w:val="0"/>
      <w:marTop w:val="120"/>
      <w:marBottom w:val="0"/>
      <w:divBdr>
        <w:top w:val="none" w:sz="0" w:space="0" w:color="auto"/>
        <w:left w:val="none" w:sz="0" w:space="0" w:color="auto"/>
        <w:bottom w:val="none" w:sz="0" w:space="0" w:color="auto"/>
        <w:right w:val="none" w:sz="0" w:space="0" w:color="auto"/>
      </w:divBdr>
    </w:div>
    <w:div w:id="54203771">
      <w:marLeft w:val="0"/>
      <w:marRight w:val="0"/>
      <w:marTop w:val="200"/>
      <w:marBottom w:val="0"/>
      <w:divBdr>
        <w:top w:val="none" w:sz="0" w:space="0" w:color="auto"/>
        <w:left w:val="none" w:sz="0" w:space="0" w:color="auto"/>
        <w:bottom w:val="none" w:sz="0" w:space="0" w:color="auto"/>
        <w:right w:val="none" w:sz="0" w:space="0" w:color="auto"/>
      </w:divBdr>
    </w:div>
    <w:div w:id="54864602">
      <w:marLeft w:val="0"/>
      <w:marRight w:val="0"/>
      <w:marTop w:val="120"/>
      <w:marBottom w:val="0"/>
      <w:divBdr>
        <w:top w:val="none" w:sz="0" w:space="0" w:color="auto"/>
        <w:left w:val="none" w:sz="0" w:space="0" w:color="auto"/>
        <w:bottom w:val="none" w:sz="0" w:space="0" w:color="auto"/>
        <w:right w:val="none" w:sz="0" w:space="0" w:color="auto"/>
      </w:divBdr>
    </w:div>
    <w:div w:id="55130994">
      <w:marLeft w:val="0"/>
      <w:marRight w:val="0"/>
      <w:marTop w:val="200"/>
      <w:marBottom w:val="0"/>
      <w:divBdr>
        <w:top w:val="none" w:sz="0" w:space="0" w:color="auto"/>
        <w:left w:val="none" w:sz="0" w:space="0" w:color="auto"/>
        <w:bottom w:val="none" w:sz="0" w:space="0" w:color="auto"/>
        <w:right w:val="none" w:sz="0" w:space="0" w:color="auto"/>
      </w:divBdr>
    </w:div>
    <w:div w:id="55402289">
      <w:marLeft w:val="0"/>
      <w:marRight w:val="0"/>
      <w:marTop w:val="120"/>
      <w:marBottom w:val="0"/>
      <w:divBdr>
        <w:top w:val="none" w:sz="0" w:space="0" w:color="auto"/>
        <w:left w:val="none" w:sz="0" w:space="0" w:color="auto"/>
        <w:bottom w:val="none" w:sz="0" w:space="0" w:color="auto"/>
        <w:right w:val="none" w:sz="0" w:space="0" w:color="auto"/>
      </w:divBdr>
    </w:div>
    <w:div w:id="55858547">
      <w:marLeft w:val="0"/>
      <w:marRight w:val="0"/>
      <w:marTop w:val="120"/>
      <w:marBottom w:val="0"/>
      <w:divBdr>
        <w:top w:val="none" w:sz="0" w:space="0" w:color="auto"/>
        <w:left w:val="none" w:sz="0" w:space="0" w:color="auto"/>
        <w:bottom w:val="none" w:sz="0" w:space="0" w:color="auto"/>
        <w:right w:val="none" w:sz="0" w:space="0" w:color="auto"/>
      </w:divBdr>
    </w:div>
    <w:div w:id="56713893">
      <w:marLeft w:val="0"/>
      <w:marRight w:val="0"/>
      <w:marTop w:val="120"/>
      <w:marBottom w:val="0"/>
      <w:divBdr>
        <w:top w:val="none" w:sz="0" w:space="0" w:color="auto"/>
        <w:left w:val="none" w:sz="0" w:space="0" w:color="auto"/>
        <w:bottom w:val="none" w:sz="0" w:space="0" w:color="auto"/>
        <w:right w:val="none" w:sz="0" w:space="0" w:color="auto"/>
      </w:divBdr>
    </w:div>
    <w:div w:id="58137962">
      <w:marLeft w:val="0"/>
      <w:marRight w:val="0"/>
      <w:marTop w:val="200"/>
      <w:marBottom w:val="0"/>
      <w:divBdr>
        <w:top w:val="none" w:sz="0" w:space="0" w:color="auto"/>
        <w:left w:val="none" w:sz="0" w:space="0" w:color="auto"/>
        <w:bottom w:val="none" w:sz="0" w:space="0" w:color="auto"/>
        <w:right w:val="none" w:sz="0" w:space="0" w:color="auto"/>
      </w:divBdr>
    </w:div>
    <w:div w:id="59603582">
      <w:marLeft w:val="0"/>
      <w:marRight w:val="0"/>
      <w:marTop w:val="0"/>
      <w:marBottom w:val="0"/>
      <w:divBdr>
        <w:top w:val="none" w:sz="0" w:space="0" w:color="auto"/>
        <w:left w:val="none" w:sz="0" w:space="0" w:color="auto"/>
        <w:bottom w:val="none" w:sz="0" w:space="0" w:color="auto"/>
        <w:right w:val="none" w:sz="0" w:space="0" w:color="auto"/>
      </w:divBdr>
      <w:divsChild>
        <w:div w:id="1100759281">
          <w:marLeft w:val="0"/>
          <w:marRight w:val="0"/>
          <w:marTop w:val="0"/>
          <w:marBottom w:val="0"/>
          <w:divBdr>
            <w:top w:val="none" w:sz="0" w:space="0" w:color="auto"/>
            <w:left w:val="none" w:sz="0" w:space="0" w:color="auto"/>
            <w:bottom w:val="none" w:sz="0" w:space="0" w:color="auto"/>
            <w:right w:val="none" w:sz="0" w:space="0" w:color="auto"/>
          </w:divBdr>
        </w:div>
      </w:divsChild>
    </w:div>
    <w:div w:id="59981255">
      <w:marLeft w:val="0"/>
      <w:marRight w:val="0"/>
      <w:marTop w:val="120"/>
      <w:marBottom w:val="0"/>
      <w:divBdr>
        <w:top w:val="none" w:sz="0" w:space="0" w:color="auto"/>
        <w:left w:val="none" w:sz="0" w:space="0" w:color="auto"/>
        <w:bottom w:val="none" w:sz="0" w:space="0" w:color="auto"/>
        <w:right w:val="none" w:sz="0" w:space="0" w:color="auto"/>
      </w:divBdr>
    </w:div>
    <w:div w:id="60910171">
      <w:marLeft w:val="0"/>
      <w:marRight w:val="0"/>
      <w:marTop w:val="120"/>
      <w:marBottom w:val="0"/>
      <w:divBdr>
        <w:top w:val="none" w:sz="0" w:space="0" w:color="auto"/>
        <w:left w:val="none" w:sz="0" w:space="0" w:color="auto"/>
        <w:bottom w:val="none" w:sz="0" w:space="0" w:color="auto"/>
        <w:right w:val="none" w:sz="0" w:space="0" w:color="auto"/>
      </w:divBdr>
    </w:div>
    <w:div w:id="61147903">
      <w:marLeft w:val="0"/>
      <w:marRight w:val="0"/>
      <w:marTop w:val="120"/>
      <w:marBottom w:val="0"/>
      <w:divBdr>
        <w:top w:val="none" w:sz="0" w:space="0" w:color="auto"/>
        <w:left w:val="none" w:sz="0" w:space="0" w:color="auto"/>
        <w:bottom w:val="none" w:sz="0" w:space="0" w:color="auto"/>
        <w:right w:val="none" w:sz="0" w:space="0" w:color="auto"/>
      </w:divBdr>
    </w:div>
    <w:div w:id="62291487">
      <w:marLeft w:val="0"/>
      <w:marRight w:val="0"/>
      <w:marTop w:val="120"/>
      <w:marBottom w:val="0"/>
      <w:divBdr>
        <w:top w:val="none" w:sz="0" w:space="0" w:color="auto"/>
        <w:left w:val="none" w:sz="0" w:space="0" w:color="auto"/>
        <w:bottom w:val="none" w:sz="0" w:space="0" w:color="auto"/>
        <w:right w:val="none" w:sz="0" w:space="0" w:color="auto"/>
      </w:divBdr>
    </w:div>
    <w:div w:id="63333579">
      <w:marLeft w:val="0"/>
      <w:marRight w:val="0"/>
      <w:marTop w:val="120"/>
      <w:marBottom w:val="0"/>
      <w:divBdr>
        <w:top w:val="none" w:sz="0" w:space="0" w:color="auto"/>
        <w:left w:val="none" w:sz="0" w:space="0" w:color="auto"/>
        <w:bottom w:val="none" w:sz="0" w:space="0" w:color="auto"/>
        <w:right w:val="none" w:sz="0" w:space="0" w:color="auto"/>
      </w:divBdr>
    </w:div>
    <w:div w:id="63727309">
      <w:marLeft w:val="0"/>
      <w:marRight w:val="0"/>
      <w:marTop w:val="0"/>
      <w:marBottom w:val="0"/>
      <w:divBdr>
        <w:top w:val="none" w:sz="0" w:space="0" w:color="auto"/>
        <w:left w:val="none" w:sz="0" w:space="0" w:color="auto"/>
        <w:bottom w:val="none" w:sz="0" w:space="0" w:color="auto"/>
        <w:right w:val="none" w:sz="0" w:space="0" w:color="auto"/>
      </w:divBdr>
      <w:divsChild>
        <w:div w:id="1356149273">
          <w:marLeft w:val="0"/>
          <w:marRight w:val="0"/>
          <w:marTop w:val="0"/>
          <w:marBottom w:val="0"/>
          <w:divBdr>
            <w:top w:val="none" w:sz="0" w:space="0" w:color="auto"/>
            <w:left w:val="none" w:sz="0" w:space="0" w:color="auto"/>
            <w:bottom w:val="none" w:sz="0" w:space="0" w:color="auto"/>
            <w:right w:val="none" w:sz="0" w:space="0" w:color="auto"/>
          </w:divBdr>
        </w:div>
      </w:divsChild>
    </w:div>
    <w:div w:id="65347058">
      <w:marLeft w:val="0"/>
      <w:marRight w:val="0"/>
      <w:marTop w:val="200"/>
      <w:marBottom w:val="0"/>
      <w:divBdr>
        <w:top w:val="none" w:sz="0" w:space="0" w:color="auto"/>
        <w:left w:val="none" w:sz="0" w:space="0" w:color="auto"/>
        <w:bottom w:val="none" w:sz="0" w:space="0" w:color="auto"/>
        <w:right w:val="none" w:sz="0" w:space="0" w:color="auto"/>
      </w:divBdr>
    </w:div>
    <w:div w:id="65957229">
      <w:marLeft w:val="0"/>
      <w:marRight w:val="0"/>
      <w:marTop w:val="120"/>
      <w:marBottom w:val="0"/>
      <w:divBdr>
        <w:top w:val="none" w:sz="0" w:space="0" w:color="auto"/>
        <w:left w:val="none" w:sz="0" w:space="0" w:color="auto"/>
        <w:bottom w:val="none" w:sz="0" w:space="0" w:color="auto"/>
        <w:right w:val="none" w:sz="0" w:space="0" w:color="auto"/>
      </w:divBdr>
    </w:div>
    <w:div w:id="67583989">
      <w:marLeft w:val="0"/>
      <w:marRight w:val="0"/>
      <w:marTop w:val="0"/>
      <w:marBottom w:val="0"/>
      <w:divBdr>
        <w:top w:val="none" w:sz="0" w:space="0" w:color="auto"/>
        <w:left w:val="none" w:sz="0" w:space="0" w:color="auto"/>
        <w:bottom w:val="none" w:sz="0" w:space="0" w:color="auto"/>
        <w:right w:val="none" w:sz="0" w:space="0" w:color="auto"/>
      </w:divBdr>
    </w:div>
    <w:div w:id="70085096">
      <w:marLeft w:val="0"/>
      <w:marRight w:val="0"/>
      <w:marTop w:val="120"/>
      <w:marBottom w:val="0"/>
      <w:divBdr>
        <w:top w:val="none" w:sz="0" w:space="0" w:color="auto"/>
        <w:left w:val="none" w:sz="0" w:space="0" w:color="auto"/>
        <w:bottom w:val="none" w:sz="0" w:space="0" w:color="auto"/>
        <w:right w:val="none" w:sz="0" w:space="0" w:color="auto"/>
      </w:divBdr>
    </w:div>
    <w:div w:id="70129491">
      <w:marLeft w:val="0"/>
      <w:marRight w:val="0"/>
      <w:marTop w:val="120"/>
      <w:marBottom w:val="0"/>
      <w:divBdr>
        <w:top w:val="none" w:sz="0" w:space="0" w:color="auto"/>
        <w:left w:val="none" w:sz="0" w:space="0" w:color="auto"/>
        <w:bottom w:val="none" w:sz="0" w:space="0" w:color="auto"/>
        <w:right w:val="none" w:sz="0" w:space="0" w:color="auto"/>
      </w:divBdr>
    </w:div>
    <w:div w:id="70932678">
      <w:marLeft w:val="0"/>
      <w:marRight w:val="0"/>
      <w:marTop w:val="120"/>
      <w:marBottom w:val="0"/>
      <w:divBdr>
        <w:top w:val="none" w:sz="0" w:space="0" w:color="auto"/>
        <w:left w:val="none" w:sz="0" w:space="0" w:color="auto"/>
        <w:bottom w:val="none" w:sz="0" w:space="0" w:color="auto"/>
        <w:right w:val="none" w:sz="0" w:space="0" w:color="auto"/>
      </w:divBdr>
    </w:div>
    <w:div w:id="70977114">
      <w:marLeft w:val="0"/>
      <w:marRight w:val="0"/>
      <w:marTop w:val="200"/>
      <w:marBottom w:val="0"/>
      <w:divBdr>
        <w:top w:val="none" w:sz="0" w:space="0" w:color="auto"/>
        <w:left w:val="none" w:sz="0" w:space="0" w:color="auto"/>
        <w:bottom w:val="none" w:sz="0" w:space="0" w:color="auto"/>
        <w:right w:val="none" w:sz="0" w:space="0" w:color="auto"/>
      </w:divBdr>
    </w:div>
    <w:div w:id="76947503">
      <w:marLeft w:val="0"/>
      <w:marRight w:val="0"/>
      <w:marTop w:val="60"/>
      <w:marBottom w:val="0"/>
      <w:divBdr>
        <w:top w:val="none" w:sz="0" w:space="0" w:color="auto"/>
        <w:left w:val="none" w:sz="0" w:space="0" w:color="auto"/>
        <w:bottom w:val="none" w:sz="0" w:space="0" w:color="auto"/>
        <w:right w:val="none" w:sz="0" w:space="0" w:color="auto"/>
      </w:divBdr>
    </w:div>
    <w:div w:id="77792048">
      <w:marLeft w:val="0"/>
      <w:marRight w:val="0"/>
      <w:marTop w:val="120"/>
      <w:marBottom w:val="0"/>
      <w:divBdr>
        <w:top w:val="none" w:sz="0" w:space="0" w:color="auto"/>
        <w:left w:val="none" w:sz="0" w:space="0" w:color="auto"/>
        <w:bottom w:val="none" w:sz="0" w:space="0" w:color="auto"/>
        <w:right w:val="none" w:sz="0" w:space="0" w:color="auto"/>
      </w:divBdr>
    </w:div>
    <w:div w:id="77794870">
      <w:marLeft w:val="0"/>
      <w:marRight w:val="0"/>
      <w:marTop w:val="0"/>
      <w:marBottom w:val="0"/>
      <w:divBdr>
        <w:top w:val="none" w:sz="0" w:space="0" w:color="auto"/>
        <w:left w:val="none" w:sz="0" w:space="0" w:color="auto"/>
        <w:bottom w:val="none" w:sz="0" w:space="0" w:color="auto"/>
        <w:right w:val="none" w:sz="0" w:space="0" w:color="auto"/>
      </w:divBdr>
      <w:divsChild>
        <w:div w:id="1353729813">
          <w:marLeft w:val="0"/>
          <w:marRight w:val="0"/>
          <w:marTop w:val="0"/>
          <w:marBottom w:val="0"/>
          <w:divBdr>
            <w:top w:val="none" w:sz="0" w:space="0" w:color="auto"/>
            <w:left w:val="none" w:sz="0" w:space="0" w:color="auto"/>
            <w:bottom w:val="none" w:sz="0" w:space="0" w:color="auto"/>
            <w:right w:val="none" w:sz="0" w:space="0" w:color="auto"/>
          </w:divBdr>
        </w:div>
      </w:divsChild>
    </w:div>
    <w:div w:id="78328713">
      <w:marLeft w:val="0"/>
      <w:marRight w:val="0"/>
      <w:marTop w:val="200"/>
      <w:marBottom w:val="0"/>
      <w:divBdr>
        <w:top w:val="none" w:sz="0" w:space="0" w:color="auto"/>
        <w:left w:val="none" w:sz="0" w:space="0" w:color="auto"/>
        <w:bottom w:val="none" w:sz="0" w:space="0" w:color="auto"/>
        <w:right w:val="none" w:sz="0" w:space="0" w:color="auto"/>
      </w:divBdr>
    </w:div>
    <w:div w:id="80104315">
      <w:marLeft w:val="0"/>
      <w:marRight w:val="0"/>
      <w:marTop w:val="120"/>
      <w:marBottom w:val="0"/>
      <w:divBdr>
        <w:top w:val="none" w:sz="0" w:space="0" w:color="auto"/>
        <w:left w:val="none" w:sz="0" w:space="0" w:color="auto"/>
        <w:bottom w:val="none" w:sz="0" w:space="0" w:color="auto"/>
        <w:right w:val="none" w:sz="0" w:space="0" w:color="auto"/>
      </w:divBdr>
    </w:div>
    <w:div w:id="80108912">
      <w:marLeft w:val="0"/>
      <w:marRight w:val="0"/>
      <w:marTop w:val="120"/>
      <w:marBottom w:val="0"/>
      <w:divBdr>
        <w:top w:val="none" w:sz="0" w:space="0" w:color="auto"/>
        <w:left w:val="none" w:sz="0" w:space="0" w:color="auto"/>
        <w:bottom w:val="none" w:sz="0" w:space="0" w:color="auto"/>
        <w:right w:val="none" w:sz="0" w:space="0" w:color="auto"/>
      </w:divBdr>
    </w:div>
    <w:div w:id="80610941">
      <w:marLeft w:val="0"/>
      <w:marRight w:val="0"/>
      <w:marTop w:val="200"/>
      <w:marBottom w:val="0"/>
      <w:divBdr>
        <w:top w:val="none" w:sz="0" w:space="0" w:color="auto"/>
        <w:left w:val="none" w:sz="0" w:space="0" w:color="auto"/>
        <w:bottom w:val="none" w:sz="0" w:space="0" w:color="auto"/>
        <w:right w:val="none" w:sz="0" w:space="0" w:color="auto"/>
      </w:divBdr>
    </w:div>
    <w:div w:id="80958202">
      <w:marLeft w:val="0"/>
      <w:marRight w:val="0"/>
      <w:marTop w:val="100"/>
      <w:marBottom w:val="0"/>
      <w:divBdr>
        <w:top w:val="none" w:sz="0" w:space="0" w:color="auto"/>
        <w:left w:val="none" w:sz="0" w:space="0" w:color="auto"/>
        <w:bottom w:val="none" w:sz="0" w:space="0" w:color="auto"/>
        <w:right w:val="none" w:sz="0" w:space="0" w:color="auto"/>
      </w:divBdr>
    </w:div>
    <w:div w:id="82069321">
      <w:marLeft w:val="0"/>
      <w:marRight w:val="0"/>
      <w:marTop w:val="120"/>
      <w:marBottom w:val="0"/>
      <w:divBdr>
        <w:top w:val="none" w:sz="0" w:space="0" w:color="auto"/>
        <w:left w:val="none" w:sz="0" w:space="0" w:color="auto"/>
        <w:bottom w:val="none" w:sz="0" w:space="0" w:color="auto"/>
        <w:right w:val="none" w:sz="0" w:space="0" w:color="auto"/>
      </w:divBdr>
    </w:div>
    <w:div w:id="82650813">
      <w:marLeft w:val="0"/>
      <w:marRight w:val="0"/>
      <w:marTop w:val="120"/>
      <w:marBottom w:val="0"/>
      <w:divBdr>
        <w:top w:val="none" w:sz="0" w:space="0" w:color="auto"/>
        <w:left w:val="none" w:sz="0" w:space="0" w:color="auto"/>
        <w:bottom w:val="none" w:sz="0" w:space="0" w:color="auto"/>
        <w:right w:val="none" w:sz="0" w:space="0" w:color="auto"/>
      </w:divBdr>
    </w:div>
    <w:div w:id="83066872">
      <w:marLeft w:val="0"/>
      <w:marRight w:val="0"/>
      <w:marTop w:val="0"/>
      <w:marBottom w:val="0"/>
      <w:divBdr>
        <w:top w:val="none" w:sz="0" w:space="0" w:color="auto"/>
        <w:left w:val="none" w:sz="0" w:space="0" w:color="auto"/>
        <w:bottom w:val="none" w:sz="0" w:space="0" w:color="auto"/>
        <w:right w:val="none" w:sz="0" w:space="0" w:color="auto"/>
      </w:divBdr>
      <w:divsChild>
        <w:div w:id="889611208">
          <w:marLeft w:val="0"/>
          <w:marRight w:val="0"/>
          <w:marTop w:val="0"/>
          <w:marBottom w:val="0"/>
          <w:divBdr>
            <w:top w:val="none" w:sz="0" w:space="0" w:color="auto"/>
            <w:left w:val="none" w:sz="0" w:space="0" w:color="auto"/>
            <w:bottom w:val="none" w:sz="0" w:space="0" w:color="auto"/>
            <w:right w:val="none" w:sz="0" w:space="0" w:color="auto"/>
          </w:divBdr>
        </w:div>
      </w:divsChild>
    </w:div>
    <w:div w:id="83765337">
      <w:marLeft w:val="0"/>
      <w:marRight w:val="0"/>
      <w:marTop w:val="200"/>
      <w:marBottom w:val="0"/>
      <w:divBdr>
        <w:top w:val="none" w:sz="0" w:space="0" w:color="auto"/>
        <w:left w:val="none" w:sz="0" w:space="0" w:color="auto"/>
        <w:bottom w:val="none" w:sz="0" w:space="0" w:color="auto"/>
        <w:right w:val="none" w:sz="0" w:space="0" w:color="auto"/>
      </w:divBdr>
    </w:div>
    <w:div w:id="86463853">
      <w:marLeft w:val="0"/>
      <w:marRight w:val="0"/>
      <w:marTop w:val="120"/>
      <w:marBottom w:val="0"/>
      <w:divBdr>
        <w:top w:val="none" w:sz="0" w:space="0" w:color="auto"/>
        <w:left w:val="none" w:sz="0" w:space="0" w:color="auto"/>
        <w:bottom w:val="none" w:sz="0" w:space="0" w:color="auto"/>
        <w:right w:val="none" w:sz="0" w:space="0" w:color="auto"/>
      </w:divBdr>
    </w:div>
    <w:div w:id="86659862">
      <w:marLeft w:val="0"/>
      <w:marRight w:val="0"/>
      <w:marTop w:val="0"/>
      <w:marBottom w:val="0"/>
      <w:divBdr>
        <w:top w:val="none" w:sz="0" w:space="0" w:color="auto"/>
        <w:left w:val="none" w:sz="0" w:space="0" w:color="auto"/>
        <w:bottom w:val="none" w:sz="0" w:space="0" w:color="auto"/>
        <w:right w:val="none" w:sz="0" w:space="0" w:color="auto"/>
      </w:divBdr>
      <w:divsChild>
        <w:div w:id="1875842306">
          <w:marLeft w:val="0"/>
          <w:marRight w:val="0"/>
          <w:marTop w:val="0"/>
          <w:marBottom w:val="0"/>
          <w:divBdr>
            <w:top w:val="none" w:sz="0" w:space="0" w:color="auto"/>
            <w:left w:val="none" w:sz="0" w:space="0" w:color="auto"/>
            <w:bottom w:val="none" w:sz="0" w:space="0" w:color="auto"/>
            <w:right w:val="none" w:sz="0" w:space="0" w:color="auto"/>
          </w:divBdr>
        </w:div>
      </w:divsChild>
    </w:div>
    <w:div w:id="87511319">
      <w:marLeft w:val="0"/>
      <w:marRight w:val="0"/>
      <w:marTop w:val="120"/>
      <w:marBottom w:val="0"/>
      <w:divBdr>
        <w:top w:val="none" w:sz="0" w:space="0" w:color="auto"/>
        <w:left w:val="none" w:sz="0" w:space="0" w:color="auto"/>
        <w:bottom w:val="none" w:sz="0" w:space="0" w:color="auto"/>
        <w:right w:val="none" w:sz="0" w:space="0" w:color="auto"/>
      </w:divBdr>
    </w:div>
    <w:div w:id="88233156">
      <w:marLeft w:val="0"/>
      <w:marRight w:val="0"/>
      <w:marTop w:val="200"/>
      <w:marBottom w:val="0"/>
      <w:divBdr>
        <w:top w:val="none" w:sz="0" w:space="0" w:color="auto"/>
        <w:left w:val="none" w:sz="0" w:space="0" w:color="auto"/>
        <w:bottom w:val="none" w:sz="0" w:space="0" w:color="auto"/>
        <w:right w:val="none" w:sz="0" w:space="0" w:color="auto"/>
      </w:divBdr>
    </w:div>
    <w:div w:id="88505297">
      <w:marLeft w:val="0"/>
      <w:marRight w:val="0"/>
      <w:marTop w:val="0"/>
      <w:marBottom w:val="0"/>
      <w:divBdr>
        <w:top w:val="none" w:sz="0" w:space="0" w:color="auto"/>
        <w:left w:val="none" w:sz="0" w:space="0" w:color="auto"/>
        <w:bottom w:val="none" w:sz="0" w:space="0" w:color="auto"/>
        <w:right w:val="none" w:sz="0" w:space="0" w:color="auto"/>
      </w:divBdr>
      <w:divsChild>
        <w:div w:id="32197581">
          <w:marLeft w:val="0"/>
          <w:marRight w:val="0"/>
          <w:marTop w:val="0"/>
          <w:marBottom w:val="0"/>
          <w:divBdr>
            <w:top w:val="none" w:sz="0" w:space="0" w:color="auto"/>
            <w:left w:val="none" w:sz="0" w:space="0" w:color="auto"/>
            <w:bottom w:val="none" w:sz="0" w:space="0" w:color="auto"/>
            <w:right w:val="none" w:sz="0" w:space="0" w:color="auto"/>
          </w:divBdr>
        </w:div>
      </w:divsChild>
    </w:div>
    <w:div w:id="90051541">
      <w:marLeft w:val="0"/>
      <w:marRight w:val="0"/>
      <w:marTop w:val="0"/>
      <w:marBottom w:val="0"/>
      <w:divBdr>
        <w:top w:val="none" w:sz="0" w:space="0" w:color="auto"/>
        <w:left w:val="none" w:sz="0" w:space="0" w:color="auto"/>
        <w:bottom w:val="none" w:sz="0" w:space="0" w:color="auto"/>
        <w:right w:val="none" w:sz="0" w:space="0" w:color="auto"/>
      </w:divBdr>
      <w:divsChild>
        <w:div w:id="879127089">
          <w:marLeft w:val="0"/>
          <w:marRight w:val="0"/>
          <w:marTop w:val="0"/>
          <w:marBottom w:val="0"/>
          <w:divBdr>
            <w:top w:val="none" w:sz="0" w:space="0" w:color="auto"/>
            <w:left w:val="none" w:sz="0" w:space="0" w:color="auto"/>
            <w:bottom w:val="none" w:sz="0" w:space="0" w:color="auto"/>
            <w:right w:val="none" w:sz="0" w:space="0" w:color="auto"/>
          </w:divBdr>
        </w:div>
      </w:divsChild>
    </w:div>
    <w:div w:id="91630812">
      <w:marLeft w:val="0"/>
      <w:marRight w:val="0"/>
      <w:marTop w:val="200"/>
      <w:marBottom w:val="0"/>
      <w:divBdr>
        <w:top w:val="none" w:sz="0" w:space="0" w:color="auto"/>
        <w:left w:val="none" w:sz="0" w:space="0" w:color="auto"/>
        <w:bottom w:val="none" w:sz="0" w:space="0" w:color="auto"/>
        <w:right w:val="none" w:sz="0" w:space="0" w:color="auto"/>
      </w:divBdr>
    </w:div>
    <w:div w:id="94789470">
      <w:marLeft w:val="0"/>
      <w:marRight w:val="0"/>
      <w:marTop w:val="120"/>
      <w:marBottom w:val="0"/>
      <w:divBdr>
        <w:top w:val="none" w:sz="0" w:space="0" w:color="auto"/>
        <w:left w:val="none" w:sz="0" w:space="0" w:color="auto"/>
        <w:bottom w:val="none" w:sz="0" w:space="0" w:color="auto"/>
        <w:right w:val="none" w:sz="0" w:space="0" w:color="auto"/>
      </w:divBdr>
    </w:div>
    <w:div w:id="94834036">
      <w:marLeft w:val="0"/>
      <w:marRight w:val="0"/>
      <w:marTop w:val="0"/>
      <w:marBottom w:val="0"/>
      <w:divBdr>
        <w:top w:val="none" w:sz="0" w:space="0" w:color="auto"/>
        <w:left w:val="none" w:sz="0" w:space="0" w:color="auto"/>
        <w:bottom w:val="none" w:sz="0" w:space="0" w:color="auto"/>
        <w:right w:val="none" w:sz="0" w:space="0" w:color="auto"/>
      </w:divBdr>
      <w:divsChild>
        <w:div w:id="1330254532">
          <w:marLeft w:val="0"/>
          <w:marRight w:val="0"/>
          <w:marTop w:val="0"/>
          <w:marBottom w:val="0"/>
          <w:divBdr>
            <w:top w:val="none" w:sz="0" w:space="0" w:color="auto"/>
            <w:left w:val="none" w:sz="0" w:space="0" w:color="auto"/>
            <w:bottom w:val="none" w:sz="0" w:space="0" w:color="auto"/>
            <w:right w:val="none" w:sz="0" w:space="0" w:color="auto"/>
          </w:divBdr>
        </w:div>
      </w:divsChild>
    </w:div>
    <w:div w:id="100537032">
      <w:marLeft w:val="0"/>
      <w:marRight w:val="0"/>
      <w:marTop w:val="120"/>
      <w:marBottom w:val="0"/>
      <w:divBdr>
        <w:top w:val="none" w:sz="0" w:space="0" w:color="auto"/>
        <w:left w:val="none" w:sz="0" w:space="0" w:color="auto"/>
        <w:bottom w:val="none" w:sz="0" w:space="0" w:color="auto"/>
        <w:right w:val="none" w:sz="0" w:space="0" w:color="auto"/>
      </w:divBdr>
    </w:div>
    <w:div w:id="101725251">
      <w:marLeft w:val="0"/>
      <w:marRight w:val="0"/>
      <w:marTop w:val="0"/>
      <w:marBottom w:val="0"/>
      <w:divBdr>
        <w:top w:val="none" w:sz="0" w:space="0" w:color="auto"/>
        <w:left w:val="none" w:sz="0" w:space="0" w:color="auto"/>
        <w:bottom w:val="none" w:sz="0" w:space="0" w:color="auto"/>
        <w:right w:val="none" w:sz="0" w:space="0" w:color="auto"/>
      </w:divBdr>
      <w:divsChild>
        <w:div w:id="242030804">
          <w:marLeft w:val="0"/>
          <w:marRight w:val="0"/>
          <w:marTop w:val="0"/>
          <w:marBottom w:val="0"/>
          <w:divBdr>
            <w:top w:val="none" w:sz="0" w:space="0" w:color="auto"/>
            <w:left w:val="none" w:sz="0" w:space="0" w:color="auto"/>
            <w:bottom w:val="none" w:sz="0" w:space="0" w:color="auto"/>
            <w:right w:val="none" w:sz="0" w:space="0" w:color="auto"/>
          </w:divBdr>
        </w:div>
      </w:divsChild>
    </w:div>
    <w:div w:id="102237729">
      <w:marLeft w:val="0"/>
      <w:marRight w:val="0"/>
      <w:marTop w:val="200"/>
      <w:marBottom w:val="0"/>
      <w:divBdr>
        <w:top w:val="none" w:sz="0" w:space="0" w:color="auto"/>
        <w:left w:val="none" w:sz="0" w:space="0" w:color="auto"/>
        <w:bottom w:val="none" w:sz="0" w:space="0" w:color="auto"/>
        <w:right w:val="none" w:sz="0" w:space="0" w:color="auto"/>
      </w:divBdr>
    </w:div>
    <w:div w:id="107508504">
      <w:marLeft w:val="0"/>
      <w:marRight w:val="0"/>
      <w:marTop w:val="0"/>
      <w:marBottom w:val="0"/>
      <w:divBdr>
        <w:top w:val="none" w:sz="0" w:space="0" w:color="auto"/>
        <w:left w:val="none" w:sz="0" w:space="0" w:color="auto"/>
        <w:bottom w:val="none" w:sz="0" w:space="0" w:color="auto"/>
        <w:right w:val="none" w:sz="0" w:space="0" w:color="auto"/>
      </w:divBdr>
      <w:divsChild>
        <w:div w:id="1867712289">
          <w:marLeft w:val="0"/>
          <w:marRight w:val="0"/>
          <w:marTop w:val="0"/>
          <w:marBottom w:val="0"/>
          <w:divBdr>
            <w:top w:val="none" w:sz="0" w:space="0" w:color="auto"/>
            <w:left w:val="none" w:sz="0" w:space="0" w:color="auto"/>
            <w:bottom w:val="none" w:sz="0" w:space="0" w:color="auto"/>
            <w:right w:val="none" w:sz="0" w:space="0" w:color="auto"/>
          </w:divBdr>
        </w:div>
      </w:divsChild>
    </w:div>
    <w:div w:id="107821076">
      <w:marLeft w:val="0"/>
      <w:marRight w:val="0"/>
      <w:marTop w:val="120"/>
      <w:marBottom w:val="0"/>
      <w:divBdr>
        <w:top w:val="none" w:sz="0" w:space="0" w:color="auto"/>
        <w:left w:val="none" w:sz="0" w:space="0" w:color="auto"/>
        <w:bottom w:val="none" w:sz="0" w:space="0" w:color="auto"/>
        <w:right w:val="none" w:sz="0" w:space="0" w:color="auto"/>
      </w:divBdr>
    </w:div>
    <w:div w:id="108932514">
      <w:marLeft w:val="0"/>
      <w:marRight w:val="0"/>
      <w:marTop w:val="120"/>
      <w:marBottom w:val="0"/>
      <w:divBdr>
        <w:top w:val="none" w:sz="0" w:space="0" w:color="auto"/>
        <w:left w:val="none" w:sz="0" w:space="0" w:color="auto"/>
        <w:bottom w:val="none" w:sz="0" w:space="0" w:color="auto"/>
        <w:right w:val="none" w:sz="0" w:space="0" w:color="auto"/>
      </w:divBdr>
    </w:div>
    <w:div w:id="109975393">
      <w:marLeft w:val="0"/>
      <w:marRight w:val="0"/>
      <w:marTop w:val="120"/>
      <w:marBottom w:val="0"/>
      <w:divBdr>
        <w:top w:val="none" w:sz="0" w:space="0" w:color="auto"/>
        <w:left w:val="none" w:sz="0" w:space="0" w:color="auto"/>
        <w:bottom w:val="none" w:sz="0" w:space="0" w:color="auto"/>
        <w:right w:val="none" w:sz="0" w:space="0" w:color="auto"/>
      </w:divBdr>
    </w:div>
    <w:div w:id="110370059">
      <w:marLeft w:val="0"/>
      <w:marRight w:val="0"/>
      <w:marTop w:val="200"/>
      <w:marBottom w:val="0"/>
      <w:divBdr>
        <w:top w:val="none" w:sz="0" w:space="0" w:color="auto"/>
        <w:left w:val="none" w:sz="0" w:space="0" w:color="auto"/>
        <w:bottom w:val="none" w:sz="0" w:space="0" w:color="auto"/>
        <w:right w:val="none" w:sz="0" w:space="0" w:color="auto"/>
      </w:divBdr>
    </w:div>
    <w:div w:id="111173955">
      <w:marLeft w:val="0"/>
      <w:marRight w:val="0"/>
      <w:marTop w:val="0"/>
      <w:marBottom w:val="0"/>
      <w:divBdr>
        <w:top w:val="none" w:sz="0" w:space="0" w:color="auto"/>
        <w:left w:val="none" w:sz="0" w:space="0" w:color="auto"/>
        <w:bottom w:val="none" w:sz="0" w:space="0" w:color="auto"/>
        <w:right w:val="none" w:sz="0" w:space="0" w:color="auto"/>
      </w:divBdr>
      <w:divsChild>
        <w:div w:id="316694118">
          <w:marLeft w:val="0"/>
          <w:marRight w:val="0"/>
          <w:marTop w:val="0"/>
          <w:marBottom w:val="0"/>
          <w:divBdr>
            <w:top w:val="none" w:sz="0" w:space="0" w:color="auto"/>
            <w:left w:val="none" w:sz="0" w:space="0" w:color="auto"/>
            <w:bottom w:val="none" w:sz="0" w:space="0" w:color="auto"/>
            <w:right w:val="none" w:sz="0" w:space="0" w:color="auto"/>
          </w:divBdr>
        </w:div>
      </w:divsChild>
    </w:div>
    <w:div w:id="111674762">
      <w:marLeft w:val="0"/>
      <w:marRight w:val="0"/>
      <w:marTop w:val="120"/>
      <w:marBottom w:val="0"/>
      <w:divBdr>
        <w:top w:val="none" w:sz="0" w:space="0" w:color="auto"/>
        <w:left w:val="none" w:sz="0" w:space="0" w:color="auto"/>
        <w:bottom w:val="none" w:sz="0" w:space="0" w:color="auto"/>
        <w:right w:val="none" w:sz="0" w:space="0" w:color="auto"/>
      </w:divBdr>
    </w:div>
    <w:div w:id="111826306">
      <w:marLeft w:val="0"/>
      <w:marRight w:val="0"/>
      <w:marTop w:val="120"/>
      <w:marBottom w:val="0"/>
      <w:divBdr>
        <w:top w:val="none" w:sz="0" w:space="0" w:color="auto"/>
        <w:left w:val="none" w:sz="0" w:space="0" w:color="auto"/>
        <w:bottom w:val="none" w:sz="0" w:space="0" w:color="auto"/>
        <w:right w:val="none" w:sz="0" w:space="0" w:color="auto"/>
      </w:divBdr>
    </w:div>
    <w:div w:id="112798065">
      <w:marLeft w:val="0"/>
      <w:marRight w:val="0"/>
      <w:marTop w:val="120"/>
      <w:marBottom w:val="0"/>
      <w:divBdr>
        <w:top w:val="none" w:sz="0" w:space="0" w:color="auto"/>
        <w:left w:val="none" w:sz="0" w:space="0" w:color="auto"/>
        <w:bottom w:val="none" w:sz="0" w:space="0" w:color="auto"/>
        <w:right w:val="none" w:sz="0" w:space="0" w:color="auto"/>
      </w:divBdr>
    </w:div>
    <w:div w:id="113908200">
      <w:marLeft w:val="0"/>
      <w:marRight w:val="0"/>
      <w:marTop w:val="120"/>
      <w:marBottom w:val="0"/>
      <w:divBdr>
        <w:top w:val="none" w:sz="0" w:space="0" w:color="auto"/>
        <w:left w:val="none" w:sz="0" w:space="0" w:color="auto"/>
        <w:bottom w:val="none" w:sz="0" w:space="0" w:color="auto"/>
        <w:right w:val="none" w:sz="0" w:space="0" w:color="auto"/>
      </w:divBdr>
    </w:div>
    <w:div w:id="116224506">
      <w:marLeft w:val="0"/>
      <w:marRight w:val="0"/>
      <w:marTop w:val="0"/>
      <w:marBottom w:val="0"/>
      <w:divBdr>
        <w:top w:val="none" w:sz="0" w:space="0" w:color="auto"/>
        <w:left w:val="none" w:sz="0" w:space="0" w:color="auto"/>
        <w:bottom w:val="none" w:sz="0" w:space="0" w:color="auto"/>
        <w:right w:val="none" w:sz="0" w:space="0" w:color="auto"/>
      </w:divBdr>
      <w:divsChild>
        <w:div w:id="111175380">
          <w:marLeft w:val="0"/>
          <w:marRight w:val="0"/>
          <w:marTop w:val="0"/>
          <w:marBottom w:val="0"/>
          <w:divBdr>
            <w:top w:val="none" w:sz="0" w:space="0" w:color="auto"/>
            <w:left w:val="none" w:sz="0" w:space="0" w:color="auto"/>
            <w:bottom w:val="none" w:sz="0" w:space="0" w:color="auto"/>
            <w:right w:val="none" w:sz="0" w:space="0" w:color="auto"/>
          </w:divBdr>
        </w:div>
      </w:divsChild>
    </w:div>
    <w:div w:id="117140753">
      <w:marLeft w:val="0"/>
      <w:marRight w:val="0"/>
      <w:marTop w:val="120"/>
      <w:marBottom w:val="0"/>
      <w:divBdr>
        <w:top w:val="none" w:sz="0" w:space="0" w:color="auto"/>
        <w:left w:val="none" w:sz="0" w:space="0" w:color="auto"/>
        <w:bottom w:val="none" w:sz="0" w:space="0" w:color="auto"/>
        <w:right w:val="none" w:sz="0" w:space="0" w:color="auto"/>
      </w:divBdr>
    </w:div>
    <w:div w:id="117575105">
      <w:marLeft w:val="0"/>
      <w:marRight w:val="0"/>
      <w:marTop w:val="120"/>
      <w:marBottom w:val="0"/>
      <w:divBdr>
        <w:top w:val="none" w:sz="0" w:space="0" w:color="auto"/>
        <w:left w:val="none" w:sz="0" w:space="0" w:color="auto"/>
        <w:bottom w:val="none" w:sz="0" w:space="0" w:color="auto"/>
        <w:right w:val="none" w:sz="0" w:space="0" w:color="auto"/>
      </w:divBdr>
    </w:div>
    <w:div w:id="117838834">
      <w:marLeft w:val="0"/>
      <w:marRight w:val="0"/>
      <w:marTop w:val="120"/>
      <w:marBottom w:val="0"/>
      <w:divBdr>
        <w:top w:val="none" w:sz="0" w:space="0" w:color="auto"/>
        <w:left w:val="none" w:sz="0" w:space="0" w:color="auto"/>
        <w:bottom w:val="none" w:sz="0" w:space="0" w:color="auto"/>
        <w:right w:val="none" w:sz="0" w:space="0" w:color="auto"/>
      </w:divBdr>
    </w:div>
    <w:div w:id="124083986">
      <w:marLeft w:val="0"/>
      <w:marRight w:val="0"/>
      <w:marTop w:val="120"/>
      <w:marBottom w:val="0"/>
      <w:divBdr>
        <w:top w:val="none" w:sz="0" w:space="0" w:color="auto"/>
        <w:left w:val="none" w:sz="0" w:space="0" w:color="auto"/>
        <w:bottom w:val="none" w:sz="0" w:space="0" w:color="auto"/>
        <w:right w:val="none" w:sz="0" w:space="0" w:color="auto"/>
      </w:divBdr>
    </w:div>
    <w:div w:id="124351501">
      <w:marLeft w:val="0"/>
      <w:marRight w:val="0"/>
      <w:marTop w:val="120"/>
      <w:marBottom w:val="0"/>
      <w:divBdr>
        <w:top w:val="none" w:sz="0" w:space="0" w:color="auto"/>
        <w:left w:val="none" w:sz="0" w:space="0" w:color="auto"/>
        <w:bottom w:val="none" w:sz="0" w:space="0" w:color="auto"/>
        <w:right w:val="none" w:sz="0" w:space="0" w:color="auto"/>
      </w:divBdr>
    </w:div>
    <w:div w:id="124587787">
      <w:marLeft w:val="0"/>
      <w:marRight w:val="0"/>
      <w:marTop w:val="120"/>
      <w:marBottom w:val="0"/>
      <w:divBdr>
        <w:top w:val="none" w:sz="0" w:space="0" w:color="auto"/>
        <w:left w:val="none" w:sz="0" w:space="0" w:color="auto"/>
        <w:bottom w:val="none" w:sz="0" w:space="0" w:color="auto"/>
        <w:right w:val="none" w:sz="0" w:space="0" w:color="auto"/>
      </w:divBdr>
    </w:div>
    <w:div w:id="126516116">
      <w:marLeft w:val="0"/>
      <w:marRight w:val="0"/>
      <w:marTop w:val="0"/>
      <w:marBottom w:val="0"/>
      <w:divBdr>
        <w:top w:val="none" w:sz="0" w:space="0" w:color="auto"/>
        <w:left w:val="none" w:sz="0" w:space="0" w:color="auto"/>
        <w:bottom w:val="none" w:sz="0" w:space="0" w:color="auto"/>
        <w:right w:val="none" w:sz="0" w:space="0" w:color="auto"/>
      </w:divBdr>
      <w:divsChild>
        <w:div w:id="2049917410">
          <w:marLeft w:val="0"/>
          <w:marRight w:val="0"/>
          <w:marTop w:val="0"/>
          <w:marBottom w:val="0"/>
          <w:divBdr>
            <w:top w:val="none" w:sz="0" w:space="0" w:color="auto"/>
            <w:left w:val="none" w:sz="0" w:space="0" w:color="auto"/>
            <w:bottom w:val="none" w:sz="0" w:space="0" w:color="auto"/>
            <w:right w:val="none" w:sz="0" w:space="0" w:color="auto"/>
          </w:divBdr>
        </w:div>
      </w:divsChild>
    </w:div>
    <w:div w:id="127863402">
      <w:marLeft w:val="0"/>
      <w:marRight w:val="0"/>
      <w:marTop w:val="200"/>
      <w:marBottom w:val="0"/>
      <w:divBdr>
        <w:top w:val="none" w:sz="0" w:space="0" w:color="auto"/>
        <w:left w:val="none" w:sz="0" w:space="0" w:color="auto"/>
        <w:bottom w:val="none" w:sz="0" w:space="0" w:color="auto"/>
        <w:right w:val="none" w:sz="0" w:space="0" w:color="auto"/>
      </w:divBdr>
    </w:div>
    <w:div w:id="127864266">
      <w:marLeft w:val="0"/>
      <w:marRight w:val="0"/>
      <w:marTop w:val="120"/>
      <w:marBottom w:val="0"/>
      <w:divBdr>
        <w:top w:val="none" w:sz="0" w:space="0" w:color="auto"/>
        <w:left w:val="none" w:sz="0" w:space="0" w:color="auto"/>
        <w:bottom w:val="none" w:sz="0" w:space="0" w:color="auto"/>
        <w:right w:val="none" w:sz="0" w:space="0" w:color="auto"/>
      </w:divBdr>
    </w:div>
    <w:div w:id="127864608">
      <w:marLeft w:val="0"/>
      <w:marRight w:val="0"/>
      <w:marTop w:val="200"/>
      <w:marBottom w:val="0"/>
      <w:divBdr>
        <w:top w:val="none" w:sz="0" w:space="0" w:color="auto"/>
        <w:left w:val="none" w:sz="0" w:space="0" w:color="auto"/>
        <w:bottom w:val="none" w:sz="0" w:space="0" w:color="auto"/>
        <w:right w:val="none" w:sz="0" w:space="0" w:color="auto"/>
      </w:divBdr>
    </w:div>
    <w:div w:id="129640613">
      <w:marLeft w:val="0"/>
      <w:marRight w:val="0"/>
      <w:marTop w:val="200"/>
      <w:marBottom w:val="0"/>
      <w:divBdr>
        <w:top w:val="none" w:sz="0" w:space="0" w:color="auto"/>
        <w:left w:val="none" w:sz="0" w:space="0" w:color="auto"/>
        <w:bottom w:val="none" w:sz="0" w:space="0" w:color="auto"/>
        <w:right w:val="none" w:sz="0" w:space="0" w:color="auto"/>
      </w:divBdr>
    </w:div>
    <w:div w:id="129828866">
      <w:marLeft w:val="0"/>
      <w:marRight w:val="0"/>
      <w:marTop w:val="120"/>
      <w:marBottom w:val="0"/>
      <w:divBdr>
        <w:top w:val="none" w:sz="0" w:space="0" w:color="auto"/>
        <w:left w:val="none" w:sz="0" w:space="0" w:color="auto"/>
        <w:bottom w:val="none" w:sz="0" w:space="0" w:color="auto"/>
        <w:right w:val="none" w:sz="0" w:space="0" w:color="auto"/>
      </w:divBdr>
    </w:div>
    <w:div w:id="130446075">
      <w:marLeft w:val="0"/>
      <w:marRight w:val="0"/>
      <w:marTop w:val="120"/>
      <w:marBottom w:val="0"/>
      <w:divBdr>
        <w:top w:val="none" w:sz="0" w:space="0" w:color="auto"/>
        <w:left w:val="none" w:sz="0" w:space="0" w:color="auto"/>
        <w:bottom w:val="none" w:sz="0" w:space="0" w:color="auto"/>
        <w:right w:val="none" w:sz="0" w:space="0" w:color="auto"/>
      </w:divBdr>
    </w:div>
    <w:div w:id="130637468">
      <w:marLeft w:val="0"/>
      <w:marRight w:val="0"/>
      <w:marTop w:val="200"/>
      <w:marBottom w:val="0"/>
      <w:divBdr>
        <w:top w:val="none" w:sz="0" w:space="0" w:color="auto"/>
        <w:left w:val="none" w:sz="0" w:space="0" w:color="auto"/>
        <w:bottom w:val="none" w:sz="0" w:space="0" w:color="auto"/>
        <w:right w:val="none" w:sz="0" w:space="0" w:color="auto"/>
      </w:divBdr>
    </w:div>
    <w:div w:id="131674029">
      <w:marLeft w:val="0"/>
      <w:marRight w:val="0"/>
      <w:marTop w:val="0"/>
      <w:marBottom w:val="0"/>
      <w:divBdr>
        <w:top w:val="none" w:sz="0" w:space="0" w:color="auto"/>
        <w:left w:val="none" w:sz="0" w:space="0" w:color="auto"/>
        <w:bottom w:val="none" w:sz="0" w:space="0" w:color="auto"/>
        <w:right w:val="none" w:sz="0" w:space="0" w:color="auto"/>
      </w:divBdr>
      <w:divsChild>
        <w:div w:id="1511946856">
          <w:marLeft w:val="0"/>
          <w:marRight w:val="0"/>
          <w:marTop w:val="0"/>
          <w:marBottom w:val="0"/>
          <w:divBdr>
            <w:top w:val="none" w:sz="0" w:space="0" w:color="auto"/>
            <w:left w:val="none" w:sz="0" w:space="0" w:color="auto"/>
            <w:bottom w:val="none" w:sz="0" w:space="0" w:color="auto"/>
            <w:right w:val="none" w:sz="0" w:space="0" w:color="auto"/>
          </w:divBdr>
        </w:div>
      </w:divsChild>
    </w:div>
    <w:div w:id="133329282">
      <w:marLeft w:val="0"/>
      <w:marRight w:val="0"/>
      <w:marTop w:val="60"/>
      <w:marBottom w:val="0"/>
      <w:divBdr>
        <w:top w:val="none" w:sz="0" w:space="0" w:color="auto"/>
        <w:left w:val="none" w:sz="0" w:space="0" w:color="auto"/>
        <w:bottom w:val="none" w:sz="0" w:space="0" w:color="auto"/>
        <w:right w:val="none" w:sz="0" w:space="0" w:color="auto"/>
      </w:divBdr>
    </w:div>
    <w:div w:id="133330347">
      <w:marLeft w:val="0"/>
      <w:marRight w:val="0"/>
      <w:marTop w:val="120"/>
      <w:marBottom w:val="0"/>
      <w:divBdr>
        <w:top w:val="none" w:sz="0" w:space="0" w:color="auto"/>
        <w:left w:val="none" w:sz="0" w:space="0" w:color="auto"/>
        <w:bottom w:val="none" w:sz="0" w:space="0" w:color="auto"/>
        <w:right w:val="none" w:sz="0" w:space="0" w:color="auto"/>
      </w:divBdr>
    </w:div>
    <w:div w:id="135414293">
      <w:marLeft w:val="0"/>
      <w:marRight w:val="0"/>
      <w:marTop w:val="120"/>
      <w:marBottom w:val="0"/>
      <w:divBdr>
        <w:top w:val="none" w:sz="0" w:space="0" w:color="auto"/>
        <w:left w:val="none" w:sz="0" w:space="0" w:color="auto"/>
        <w:bottom w:val="none" w:sz="0" w:space="0" w:color="auto"/>
        <w:right w:val="none" w:sz="0" w:space="0" w:color="auto"/>
      </w:divBdr>
    </w:div>
    <w:div w:id="136535614">
      <w:marLeft w:val="0"/>
      <w:marRight w:val="0"/>
      <w:marTop w:val="200"/>
      <w:marBottom w:val="0"/>
      <w:divBdr>
        <w:top w:val="none" w:sz="0" w:space="0" w:color="auto"/>
        <w:left w:val="none" w:sz="0" w:space="0" w:color="auto"/>
        <w:bottom w:val="none" w:sz="0" w:space="0" w:color="auto"/>
        <w:right w:val="none" w:sz="0" w:space="0" w:color="auto"/>
      </w:divBdr>
    </w:div>
    <w:div w:id="137263336">
      <w:marLeft w:val="0"/>
      <w:marRight w:val="0"/>
      <w:marTop w:val="120"/>
      <w:marBottom w:val="0"/>
      <w:divBdr>
        <w:top w:val="none" w:sz="0" w:space="0" w:color="auto"/>
        <w:left w:val="none" w:sz="0" w:space="0" w:color="auto"/>
        <w:bottom w:val="none" w:sz="0" w:space="0" w:color="auto"/>
        <w:right w:val="none" w:sz="0" w:space="0" w:color="auto"/>
      </w:divBdr>
    </w:div>
    <w:div w:id="138771889">
      <w:marLeft w:val="0"/>
      <w:marRight w:val="0"/>
      <w:marTop w:val="0"/>
      <w:marBottom w:val="0"/>
      <w:divBdr>
        <w:top w:val="none" w:sz="0" w:space="0" w:color="auto"/>
        <w:left w:val="none" w:sz="0" w:space="0" w:color="auto"/>
        <w:bottom w:val="none" w:sz="0" w:space="0" w:color="auto"/>
        <w:right w:val="none" w:sz="0" w:space="0" w:color="auto"/>
      </w:divBdr>
      <w:divsChild>
        <w:div w:id="1733773527">
          <w:marLeft w:val="0"/>
          <w:marRight w:val="0"/>
          <w:marTop w:val="0"/>
          <w:marBottom w:val="0"/>
          <w:divBdr>
            <w:top w:val="none" w:sz="0" w:space="0" w:color="auto"/>
            <w:left w:val="none" w:sz="0" w:space="0" w:color="auto"/>
            <w:bottom w:val="none" w:sz="0" w:space="0" w:color="auto"/>
            <w:right w:val="none" w:sz="0" w:space="0" w:color="auto"/>
          </w:divBdr>
        </w:div>
      </w:divsChild>
    </w:div>
    <w:div w:id="139537259">
      <w:marLeft w:val="0"/>
      <w:marRight w:val="0"/>
      <w:marTop w:val="200"/>
      <w:marBottom w:val="0"/>
      <w:divBdr>
        <w:top w:val="none" w:sz="0" w:space="0" w:color="auto"/>
        <w:left w:val="none" w:sz="0" w:space="0" w:color="auto"/>
        <w:bottom w:val="none" w:sz="0" w:space="0" w:color="auto"/>
        <w:right w:val="none" w:sz="0" w:space="0" w:color="auto"/>
      </w:divBdr>
    </w:div>
    <w:div w:id="140772284">
      <w:marLeft w:val="0"/>
      <w:marRight w:val="0"/>
      <w:marTop w:val="200"/>
      <w:marBottom w:val="0"/>
      <w:divBdr>
        <w:top w:val="none" w:sz="0" w:space="0" w:color="auto"/>
        <w:left w:val="none" w:sz="0" w:space="0" w:color="auto"/>
        <w:bottom w:val="none" w:sz="0" w:space="0" w:color="auto"/>
        <w:right w:val="none" w:sz="0" w:space="0" w:color="auto"/>
      </w:divBdr>
    </w:div>
    <w:div w:id="144204194">
      <w:marLeft w:val="0"/>
      <w:marRight w:val="0"/>
      <w:marTop w:val="120"/>
      <w:marBottom w:val="0"/>
      <w:divBdr>
        <w:top w:val="none" w:sz="0" w:space="0" w:color="auto"/>
        <w:left w:val="none" w:sz="0" w:space="0" w:color="auto"/>
        <w:bottom w:val="none" w:sz="0" w:space="0" w:color="auto"/>
        <w:right w:val="none" w:sz="0" w:space="0" w:color="auto"/>
      </w:divBdr>
    </w:div>
    <w:div w:id="144707020">
      <w:marLeft w:val="0"/>
      <w:marRight w:val="0"/>
      <w:marTop w:val="100"/>
      <w:marBottom w:val="0"/>
      <w:divBdr>
        <w:top w:val="none" w:sz="0" w:space="0" w:color="auto"/>
        <w:left w:val="none" w:sz="0" w:space="0" w:color="auto"/>
        <w:bottom w:val="none" w:sz="0" w:space="0" w:color="auto"/>
        <w:right w:val="none" w:sz="0" w:space="0" w:color="auto"/>
      </w:divBdr>
    </w:div>
    <w:div w:id="147523900">
      <w:marLeft w:val="0"/>
      <w:marRight w:val="0"/>
      <w:marTop w:val="120"/>
      <w:marBottom w:val="0"/>
      <w:divBdr>
        <w:top w:val="none" w:sz="0" w:space="0" w:color="auto"/>
        <w:left w:val="none" w:sz="0" w:space="0" w:color="auto"/>
        <w:bottom w:val="none" w:sz="0" w:space="0" w:color="auto"/>
        <w:right w:val="none" w:sz="0" w:space="0" w:color="auto"/>
      </w:divBdr>
    </w:div>
    <w:div w:id="152338050">
      <w:marLeft w:val="0"/>
      <w:marRight w:val="0"/>
      <w:marTop w:val="120"/>
      <w:marBottom w:val="0"/>
      <w:divBdr>
        <w:top w:val="none" w:sz="0" w:space="0" w:color="auto"/>
        <w:left w:val="none" w:sz="0" w:space="0" w:color="auto"/>
        <w:bottom w:val="none" w:sz="0" w:space="0" w:color="auto"/>
        <w:right w:val="none" w:sz="0" w:space="0" w:color="auto"/>
      </w:divBdr>
    </w:div>
    <w:div w:id="154416780">
      <w:marLeft w:val="0"/>
      <w:marRight w:val="0"/>
      <w:marTop w:val="200"/>
      <w:marBottom w:val="0"/>
      <w:divBdr>
        <w:top w:val="none" w:sz="0" w:space="0" w:color="auto"/>
        <w:left w:val="none" w:sz="0" w:space="0" w:color="auto"/>
        <w:bottom w:val="none" w:sz="0" w:space="0" w:color="auto"/>
        <w:right w:val="none" w:sz="0" w:space="0" w:color="auto"/>
      </w:divBdr>
    </w:div>
    <w:div w:id="155850208">
      <w:marLeft w:val="0"/>
      <w:marRight w:val="0"/>
      <w:marTop w:val="120"/>
      <w:marBottom w:val="0"/>
      <w:divBdr>
        <w:top w:val="none" w:sz="0" w:space="0" w:color="auto"/>
        <w:left w:val="none" w:sz="0" w:space="0" w:color="auto"/>
        <w:bottom w:val="none" w:sz="0" w:space="0" w:color="auto"/>
        <w:right w:val="none" w:sz="0" w:space="0" w:color="auto"/>
      </w:divBdr>
    </w:div>
    <w:div w:id="156307175">
      <w:marLeft w:val="0"/>
      <w:marRight w:val="0"/>
      <w:marTop w:val="100"/>
      <w:marBottom w:val="0"/>
      <w:divBdr>
        <w:top w:val="none" w:sz="0" w:space="0" w:color="auto"/>
        <w:left w:val="none" w:sz="0" w:space="0" w:color="auto"/>
        <w:bottom w:val="none" w:sz="0" w:space="0" w:color="auto"/>
        <w:right w:val="none" w:sz="0" w:space="0" w:color="auto"/>
      </w:divBdr>
      <w:divsChild>
        <w:div w:id="668948447">
          <w:marLeft w:val="0"/>
          <w:marRight w:val="0"/>
          <w:marTop w:val="0"/>
          <w:marBottom w:val="0"/>
          <w:divBdr>
            <w:top w:val="none" w:sz="0" w:space="0" w:color="auto"/>
            <w:left w:val="none" w:sz="0" w:space="0" w:color="auto"/>
            <w:bottom w:val="none" w:sz="0" w:space="0" w:color="auto"/>
            <w:right w:val="none" w:sz="0" w:space="0" w:color="auto"/>
          </w:divBdr>
        </w:div>
        <w:div w:id="840661602">
          <w:marLeft w:val="0"/>
          <w:marRight w:val="0"/>
          <w:marTop w:val="0"/>
          <w:marBottom w:val="0"/>
          <w:divBdr>
            <w:top w:val="none" w:sz="0" w:space="0" w:color="auto"/>
            <w:left w:val="none" w:sz="0" w:space="0" w:color="auto"/>
            <w:bottom w:val="none" w:sz="0" w:space="0" w:color="auto"/>
            <w:right w:val="none" w:sz="0" w:space="0" w:color="auto"/>
          </w:divBdr>
        </w:div>
        <w:div w:id="1029061852">
          <w:marLeft w:val="0"/>
          <w:marRight w:val="0"/>
          <w:marTop w:val="0"/>
          <w:marBottom w:val="0"/>
          <w:divBdr>
            <w:top w:val="none" w:sz="0" w:space="0" w:color="auto"/>
            <w:left w:val="none" w:sz="0" w:space="0" w:color="auto"/>
            <w:bottom w:val="none" w:sz="0" w:space="0" w:color="auto"/>
            <w:right w:val="none" w:sz="0" w:space="0" w:color="auto"/>
          </w:divBdr>
        </w:div>
        <w:div w:id="1345404570">
          <w:marLeft w:val="0"/>
          <w:marRight w:val="0"/>
          <w:marTop w:val="0"/>
          <w:marBottom w:val="0"/>
          <w:divBdr>
            <w:top w:val="none" w:sz="0" w:space="0" w:color="auto"/>
            <w:left w:val="none" w:sz="0" w:space="0" w:color="auto"/>
            <w:bottom w:val="none" w:sz="0" w:space="0" w:color="auto"/>
            <w:right w:val="none" w:sz="0" w:space="0" w:color="auto"/>
          </w:divBdr>
        </w:div>
        <w:div w:id="1028063588">
          <w:marLeft w:val="0"/>
          <w:marRight w:val="0"/>
          <w:marTop w:val="0"/>
          <w:marBottom w:val="0"/>
          <w:divBdr>
            <w:top w:val="none" w:sz="0" w:space="0" w:color="auto"/>
            <w:left w:val="none" w:sz="0" w:space="0" w:color="auto"/>
            <w:bottom w:val="none" w:sz="0" w:space="0" w:color="auto"/>
            <w:right w:val="none" w:sz="0" w:space="0" w:color="auto"/>
          </w:divBdr>
        </w:div>
        <w:div w:id="1455977875">
          <w:marLeft w:val="0"/>
          <w:marRight w:val="0"/>
          <w:marTop w:val="0"/>
          <w:marBottom w:val="0"/>
          <w:divBdr>
            <w:top w:val="none" w:sz="0" w:space="0" w:color="auto"/>
            <w:left w:val="none" w:sz="0" w:space="0" w:color="auto"/>
            <w:bottom w:val="none" w:sz="0" w:space="0" w:color="auto"/>
            <w:right w:val="none" w:sz="0" w:space="0" w:color="auto"/>
          </w:divBdr>
        </w:div>
        <w:div w:id="910575765">
          <w:marLeft w:val="0"/>
          <w:marRight w:val="0"/>
          <w:marTop w:val="0"/>
          <w:marBottom w:val="0"/>
          <w:divBdr>
            <w:top w:val="none" w:sz="0" w:space="0" w:color="auto"/>
            <w:left w:val="none" w:sz="0" w:space="0" w:color="auto"/>
            <w:bottom w:val="none" w:sz="0" w:space="0" w:color="auto"/>
            <w:right w:val="none" w:sz="0" w:space="0" w:color="auto"/>
          </w:divBdr>
        </w:div>
        <w:div w:id="519705762">
          <w:marLeft w:val="0"/>
          <w:marRight w:val="0"/>
          <w:marTop w:val="0"/>
          <w:marBottom w:val="0"/>
          <w:divBdr>
            <w:top w:val="none" w:sz="0" w:space="0" w:color="auto"/>
            <w:left w:val="none" w:sz="0" w:space="0" w:color="auto"/>
            <w:bottom w:val="none" w:sz="0" w:space="0" w:color="auto"/>
            <w:right w:val="none" w:sz="0" w:space="0" w:color="auto"/>
          </w:divBdr>
        </w:div>
        <w:div w:id="383137231">
          <w:marLeft w:val="0"/>
          <w:marRight w:val="0"/>
          <w:marTop w:val="0"/>
          <w:marBottom w:val="0"/>
          <w:divBdr>
            <w:top w:val="none" w:sz="0" w:space="0" w:color="auto"/>
            <w:left w:val="none" w:sz="0" w:space="0" w:color="auto"/>
            <w:bottom w:val="none" w:sz="0" w:space="0" w:color="auto"/>
            <w:right w:val="none" w:sz="0" w:space="0" w:color="auto"/>
          </w:divBdr>
        </w:div>
        <w:div w:id="1892888799">
          <w:marLeft w:val="0"/>
          <w:marRight w:val="0"/>
          <w:marTop w:val="0"/>
          <w:marBottom w:val="0"/>
          <w:divBdr>
            <w:top w:val="none" w:sz="0" w:space="0" w:color="auto"/>
            <w:left w:val="none" w:sz="0" w:space="0" w:color="auto"/>
            <w:bottom w:val="none" w:sz="0" w:space="0" w:color="auto"/>
            <w:right w:val="none" w:sz="0" w:space="0" w:color="auto"/>
          </w:divBdr>
        </w:div>
        <w:div w:id="1815098510">
          <w:marLeft w:val="0"/>
          <w:marRight w:val="0"/>
          <w:marTop w:val="0"/>
          <w:marBottom w:val="0"/>
          <w:divBdr>
            <w:top w:val="none" w:sz="0" w:space="0" w:color="auto"/>
            <w:left w:val="none" w:sz="0" w:space="0" w:color="auto"/>
            <w:bottom w:val="none" w:sz="0" w:space="0" w:color="auto"/>
            <w:right w:val="none" w:sz="0" w:space="0" w:color="auto"/>
          </w:divBdr>
        </w:div>
        <w:div w:id="828863456">
          <w:marLeft w:val="0"/>
          <w:marRight w:val="0"/>
          <w:marTop w:val="0"/>
          <w:marBottom w:val="0"/>
          <w:divBdr>
            <w:top w:val="none" w:sz="0" w:space="0" w:color="auto"/>
            <w:left w:val="none" w:sz="0" w:space="0" w:color="auto"/>
            <w:bottom w:val="none" w:sz="0" w:space="0" w:color="auto"/>
            <w:right w:val="none" w:sz="0" w:space="0" w:color="auto"/>
          </w:divBdr>
        </w:div>
        <w:div w:id="333068884">
          <w:marLeft w:val="0"/>
          <w:marRight w:val="0"/>
          <w:marTop w:val="0"/>
          <w:marBottom w:val="0"/>
          <w:divBdr>
            <w:top w:val="none" w:sz="0" w:space="0" w:color="auto"/>
            <w:left w:val="none" w:sz="0" w:space="0" w:color="auto"/>
            <w:bottom w:val="none" w:sz="0" w:space="0" w:color="auto"/>
            <w:right w:val="none" w:sz="0" w:space="0" w:color="auto"/>
          </w:divBdr>
        </w:div>
        <w:div w:id="1318533272">
          <w:marLeft w:val="0"/>
          <w:marRight w:val="0"/>
          <w:marTop w:val="0"/>
          <w:marBottom w:val="0"/>
          <w:divBdr>
            <w:top w:val="none" w:sz="0" w:space="0" w:color="auto"/>
            <w:left w:val="none" w:sz="0" w:space="0" w:color="auto"/>
            <w:bottom w:val="none" w:sz="0" w:space="0" w:color="auto"/>
            <w:right w:val="none" w:sz="0" w:space="0" w:color="auto"/>
          </w:divBdr>
        </w:div>
        <w:div w:id="970138485">
          <w:marLeft w:val="0"/>
          <w:marRight w:val="0"/>
          <w:marTop w:val="0"/>
          <w:marBottom w:val="0"/>
          <w:divBdr>
            <w:top w:val="none" w:sz="0" w:space="0" w:color="auto"/>
            <w:left w:val="none" w:sz="0" w:space="0" w:color="auto"/>
            <w:bottom w:val="none" w:sz="0" w:space="0" w:color="auto"/>
            <w:right w:val="none" w:sz="0" w:space="0" w:color="auto"/>
          </w:divBdr>
        </w:div>
        <w:div w:id="1279726085">
          <w:marLeft w:val="0"/>
          <w:marRight w:val="0"/>
          <w:marTop w:val="0"/>
          <w:marBottom w:val="0"/>
          <w:divBdr>
            <w:top w:val="none" w:sz="0" w:space="0" w:color="auto"/>
            <w:left w:val="none" w:sz="0" w:space="0" w:color="auto"/>
            <w:bottom w:val="none" w:sz="0" w:space="0" w:color="auto"/>
            <w:right w:val="none" w:sz="0" w:space="0" w:color="auto"/>
          </w:divBdr>
        </w:div>
        <w:div w:id="1704016981">
          <w:marLeft w:val="0"/>
          <w:marRight w:val="0"/>
          <w:marTop w:val="0"/>
          <w:marBottom w:val="0"/>
          <w:divBdr>
            <w:top w:val="none" w:sz="0" w:space="0" w:color="auto"/>
            <w:left w:val="none" w:sz="0" w:space="0" w:color="auto"/>
            <w:bottom w:val="none" w:sz="0" w:space="0" w:color="auto"/>
            <w:right w:val="none" w:sz="0" w:space="0" w:color="auto"/>
          </w:divBdr>
        </w:div>
        <w:div w:id="842748323">
          <w:marLeft w:val="0"/>
          <w:marRight w:val="0"/>
          <w:marTop w:val="0"/>
          <w:marBottom w:val="0"/>
          <w:divBdr>
            <w:top w:val="none" w:sz="0" w:space="0" w:color="auto"/>
            <w:left w:val="none" w:sz="0" w:space="0" w:color="auto"/>
            <w:bottom w:val="none" w:sz="0" w:space="0" w:color="auto"/>
            <w:right w:val="none" w:sz="0" w:space="0" w:color="auto"/>
          </w:divBdr>
        </w:div>
        <w:div w:id="2113819077">
          <w:marLeft w:val="0"/>
          <w:marRight w:val="0"/>
          <w:marTop w:val="0"/>
          <w:marBottom w:val="0"/>
          <w:divBdr>
            <w:top w:val="none" w:sz="0" w:space="0" w:color="auto"/>
            <w:left w:val="none" w:sz="0" w:space="0" w:color="auto"/>
            <w:bottom w:val="none" w:sz="0" w:space="0" w:color="auto"/>
            <w:right w:val="none" w:sz="0" w:space="0" w:color="auto"/>
          </w:divBdr>
        </w:div>
        <w:div w:id="614480218">
          <w:marLeft w:val="0"/>
          <w:marRight w:val="0"/>
          <w:marTop w:val="0"/>
          <w:marBottom w:val="0"/>
          <w:divBdr>
            <w:top w:val="none" w:sz="0" w:space="0" w:color="auto"/>
            <w:left w:val="none" w:sz="0" w:space="0" w:color="auto"/>
            <w:bottom w:val="none" w:sz="0" w:space="0" w:color="auto"/>
            <w:right w:val="none" w:sz="0" w:space="0" w:color="auto"/>
          </w:divBdr>
        </w:div>
        <w:div w:id="1302152541">
          <w:marLeft w:val="0"/>
          <w:marRight w:val="0"/>
          <w:marTop w:val="0"/>
          <w:marBottom w:val="0"/>
          <w:divBdr>
            <w:top w:val="none" w:sz="0" w:space="0" w:color="auto"/>
            <w:left w:val="none" w:sz="0" w:space="0" w:color="auto"/>
            <w:bottom w:val="none" w:sz="0" w:space="0" w:color="auto"/>
            <w:right w:val="none" w:sz="0" w:space="0" w:color="auto"/>
          </w:divBdr>
        </w:div>
        <w:div w:id="814373411">
          <w:marLeft w:val="0"/>
          <w:marRight w:val="0"/>
          <w:marTop w:val="0"/>
          <w:marBottom w:val="0"/>
          <w:divBdr>
            <w:top w:val="none" w:sz="0" w:space="0" w:color="auto"/>
            <w:left w:val="none" w:sz="0" w:space="0" w:color="auto"/>
            <w:bottom w:val="none" w:sz="0" w:space="0" w:color="auto"/>
            <w:right w:val="none" w:sz="0" w:space="0" w:color="auto"/>
          </w:divBdr>
        </w:div>
        <w:div w:id="265038862">
          <w:marLeft w:val="0"/>
          <w:marRight w:val="0"/>
          <w:marTop w:val="0"/>
          <w:marBottom w:val="0"/>
          <w:divBdr>
            <w:top w:val="none" w:sz="0" w:space="0" w:color="auto"/>
            <w:left w:val="none" w:sz="0" w:space="0" w:color="auto"/>
            <w:bottom w:val="none" w:sz="0" w:space="0" w:color="auto"/>
            <w:right w:val="none" w:sz="0" w:space="0" w:color="auto"/>
          </w:divBdr>
        </w:div>
        <w:div w:id="389689063">
          <w:marLeft w:val="0"/>
          <w:marRight w:val="0"/>
          <w:marTop w:val="0"/>
          <w:marBottom w:val="0"/>
          <w:divBdr>
            <w:top w:val="none" w:sz="0" w:space="0" w:color="auto"/>
            <w:left w:val="none" w:sz="0" w:space="0" w:color="auto"/>
            <w:bottom w:val="none" w:sz="0" w:space="0" w:color="auto"/>
            <w:right w:val="none" w:sz="0" w:space="0" w:color="auto"/>
          </w:divBdr>
        </w:div>
        <w:div w:id="1980718676">
          <w:marLeft w:val="0"/>
          <w:marRight w:val="0"/>
          <w:marTop w:val="0"/>
          <w:marBottom w:val="0"/>
          <w:divBdr>
            <w:top w:val="none" w:sz="0" w:space="0" w:color="auto"/>
            <w:left w:val="none" w:sz="0" w:space="0" w:color="auto"/>
            <w:bottom w:val="none" w:sz="0" w:space="0" w:color="auto"/>
            <w:right w:val="none" w:sz="0" w:space="0" w:color="auto"/>
          </w:divBdr>
        </w:div>
        <w:div w:id="1616714971">
          <w:marLeft w:val="0"/>
          <w:marRight w:val="0"/>
          <w:marTop w:val="0"/>
          <w:marBottom w:val="0"/>
          <w:divBdr>
            <w:top w:val="none" w:sz="0" w:space="0" w:color="auto"/>
            <w:left w:val="none" w:sz="0" w:space="0" w:color="auto"/>
            <w:bottom w:val="none" w:sz="0" w:space="0" w:color="auto"/>
            <w:right w:val="none" w:sz="0" w:space="0" w:color="auto"/>
          </w:divBdr>
        </w:div>
        <w:div w:id="362052904">
          <w:marLeft w:val="0"/>
          <w:marRight w:val="0"/>
          <w:marTop w:val="0"/>
          <w:marBottom w:val="0"/>
          <w:divBdr>
            <w:top w:val="none" w:sz="0" w:space="0" w:color="auto"/>
            <w:left w:val="none" w:sz="0" w:space="0" w:color="auto"/>
            <w:bottom w:val="none" w:sz="0" w:space="0" w:color="auto"/>
            <w:right w:val="none" w:sz="0" w:space="0" w:color="auto"/>
          </w:divBdr>
        </w:div>
        <w:div w:id="278296319">
          <w:marLeft w:val="0"/>
          <w:marRight w:val="0"/>
          <w:marTop w:val="0"/>
          <w:marBottom w:val="0"/>
          <w:divBdr>
            <w:top w:val="none" w:sz="0" w:space="0" w:color="auto"/>
            <w:left w:val="none" w:sz="0" w:space="0" w:color="auto"/>
            <w:bottom w:val="none" w:sz="0" w:space="0" w:color="auto"/>
            <w:right w:val="none" w:sz="0" w:space="0" w:color="auto"/>
          </w:divBdr>
        </w:div>
        <w:div w:id="886724025">
          <w:marLeft w:val="0"/>
          <w:marRight w:val="0"/>
          <w:marTop w:val="0"/>
          <w:marBottom w:val="0"/>
          <w:divBdr>
            <w:top w:val="none" w:sz="0" w:space="0" w:color="auto"/>
            <w:left w:val="none" w:sz="0" w:space="0" w:color="auto"/>
            <w:bottom w:val="none" w:sz="0" w:space="0" w:color="auto"/>
            <w:right w:val="none" w:sz="0" w:space="0" w:color="auto"/>
          </w:divBdr>
        </w:div>
        <w:div w:id="904148756">
          <w:marLeft w:val="0"/>
          <w:marRight w:val="0"/>
          <w:marTop w:val="0"/>
          <w:marBottom w:val="0"/>
          <w:divBdr>
            <w:top w:val="none" w:sz="0" w:space="0" w:color="auto"/>
            <w:left w:val="none" w:sz="0" w:space="0" w:color="auto"/>
            <w:bottom w:val="none" w:sz="0" w:space="0" w:color="auto"/>
            <w:right w:val="none" w:sz="0" w:space="0" w:color="auto"/>
          </w:divBdr>
        </w:div>
        <w:div w:id="8914364">
          <w:marLeft w:val="0"/>
          <w:marRight w:val="0"/>
          <w:marTop w:val="0"/>
          <w:marBottom w:val="0"/>
          <w:divBdr>
            <w:top w:val="none" w:sz="0" w:space="0" w:color="auto"/>
            <w:left w:val="none" w:sz="0" w:space="0" w:color="auto"/>
            <w:bottom w:val="none" w:sz="0" w:space="0" w:color="auto"/>
            <w:right w:val="none" w:sz="0" w:space="0" w:color="auto"/>
          </w:divBdr>
        </w:div>
        <w:div w:id="145632376">
          <w:marLeft w:val="0"/>
          <w:marRight w:val="0"/>
          <w:marTop w:val="0"/>
          <w:marBottom w:val="0"/>
          <w:divBdr>
            <w:top w:val="none" w:sz="0" w:space="0" w:color="auto"/>
            <w:left w:val="none" w:sz="0" w:space="0" w:color="auto"/>
            <w:bottom w:val="none" w:sz="0" w:space="0" w:color="auto"/>
            <w:right w:val="none" w:sz="0" w:space="0" w:color="auto"/>
          </w:divBdr>
        </w:div>
        <w:div w:id="152524764">
          <w:marLeft w:val="0"/>
          <w:marRight w:val="0"/>
          <w:marTop w:val="0"/>
          <w:marBottom w:val="0"/>
          <w:divBdr>
            <w:top w:val="none" w:sz="0" w:space="0" w:color="auto"/>
            <w:left w:val="none" w:sz="0" w:space="0" w:color="auto"/>
            <w:bottom w:val="none" w:sz="0" w:space="0" w:color="auto"/>
            <w:right w:val="none" w:sz="0" w:space="0" w:color="auto"/>
          </w:divBdr>
        </w:div>
        <w:div w:id="1130592589">
          <w:marLeft w:val="0"/>
          <w:marRight w:val="0"/>
          <w:marTop w:val="0"/>
          <w:marBottom w:val="0"/>
          <w:divBdr>
            <w:top w:val="none" w:sz="0" w:space="0" w:color="auto"/>
            <w:left w:val="none" w:sz="0" w:space="0" w:color="auto"/>
            <w:bottom w:val="none" w:sz="0" w:space="0" w:color="auto"/>
            <w:right w:val="none" w:sz="0" w:space="0" w:color="auto"/>
          </w:divBdr>
        </w:div>
        <w:div w:id="912205968">
          <w:marLeft w:val="0"/>
          <w:marRight w:val="0"/>
          <w:marTop w:val="0"/>
          <w:marBottom w:val="0"/>
          <w:divBdr>
            <w:top w:val="none" w:sz="0" w:space="0" w:color="auto"/>
            <w:left w:val="none" w:sz="0" w:space="0" w:color="auto"/>
            <w:bottom w:val="none" w:sz="0" w:space="0" w:color="auto"/>
            <w:right w:val="none" w:sz="0" w:space="0" w:color="auto"/>
          </w:divBdr>
        </w:div>
        <w:div w:id="781191276">
          <w:marLeft w:val="0"/>
          <w:marRight w:val="0"/>
          <w:marTop w:val="0"/>
          <w:marBottom w:val="0"/>
          <w:divBdr>
            <w:top w:val="none" w:sz="0" w:space="0" w:color="auto"/>
            <w:left w:val="none" w:sz="0" w:space="0" w:color="auto"/>
            <w:bottom w:val="none" w:sz="0" w:space="0" w:color="auto"/>
            <w:right w:val="none" w:sz="0" w:space="0" w:color="auto"/>
          </w:divBdr>
        </w:div>
        <w:div w:id="732964731">
          <w:marLeft w:val="0"/>
          <w:marRight w:val="0"/>
          <w:marTop w:val="0"/>
          <w:marBottom w:val="0"/>
          <w:divBdr>
            <w:top w:val="none" w:sz="0" w:space="0" w:color="auto"/>
            <w:left w:val="none" w:sz="0" w:space="0" w:color="auto"/>
            <w:bottom w:val="none" w:sz="0" w:space="0" w:color="auto"/>
            <w:right w:val="none" w:sz="0" w:space="0" w:color="auto"/>
          </w:divBdr>
        </w:div>
        <w:div w:id="940646604">
          <w:marLeft w:val="0"/>
          <w:marRight w:val="0"/>
          <w:marTop w:val="0"/>
          <w:marBottom w:val="0"/>
          <w:divBdr>
            <w:top w:val="none" w:sz="0" w:space="0" w:color="auto"/>
            <w:left w:val="none" w:sz="0" w:space="0" w:color="auto"/>
            <w:bottom w:val="none" w:sz="0" w:space="0" w:color="auto"/>
            <w:right w:val="none" w:sz="0" w:space="0" w:color="auto"/>
          </w:divBdr>
        </w:div>
        <w:div w:id="942807936">
          <w:marLeft w:val="0"/>
          <w:marRight w:val="0"/>
          <w:marTop w:val="0"/>
          <w:marBottom w:val="0"/>
          <w:divBdr>
            <w:top w:val="none" w:sz="0" w:space="0" w:color="auto"/>
            <w:left w:val="none" w:sz="0" w:space="0" w:color="auto"/>
            <w:bottom w:val="none" w:sz="0" w:space="0" w:color="auto"/>
            <w:right w:val="none" w:sz="0" w:space="0" w:color="auto"/>
          </w:divBdr>
        </w:div>
        <w:div w:id="91626931">
          <w:marLeft w:val="0"/>
          <w:marRight w:val="0"/>
          <w:marTop w:val="0"/>
          <w:marBottom w:val="0"/>
          <w:divBdr>
            <w:top w:val="none" w:sz="0" w:space="0" w:color="auto"/>
            <w:left w:val="none" w:sz="0" w:space="0" w:color="auto"/>
            <w:bottom w:val="none" w:sz="0" w:space="0" w:color="auto"/>
            <w:right w:val="none" w:sz="0" w:space="0" w:color="auto"/>
          </w:divBdr>
        </w:div>
        <w:div w:id="1709337709">
          <w:marLeft w:val="0"/>
          <w:marRight w:val="0"/>
          <w:marTop w:val="0"/>
          <w:marBottom w:val="0"/>
          <w:divBdr>
            <w:top w:val="none" w:sz="0" w:space="0" w:color="auto"/>
            <w:left w:val="none" w:sz="0" w:space="0" w:color="auto"/>
            <w:bottom w:val="none" w:sz="0" w:space="0" w:color="auto"/>
            <w:right w:val="none" w:sz="0" w:space="0" w:color="auto"/>
          </w:divBdr>
        </w:div>
        <w:div w:id="966276537">
          <w:marLeft w:val="0"/>
          <w:marRight w:val="0"/>
          <w:marTop w:val="0"/>
          <w:marBottom w:val="0"/>
          <w:divBdr>
            <w:top w:val="none" w:sz="0" w:space="0" w:color="auto"/>
            <w:left w:val="none" w:sz="0" w:space="0" w:color="auto"/>
            <w:bottom w:val="none" w:sz="0" w:space="0" w:color="auto"/>
            <w:right w:val="none" w:sz="0" w:space="0" w:color="auto"/>
          </w:divBdr>
        </w:div>
        <w:div w:id="305086246">
          <w:marLeft w:val="0"/>
          <w:marRight w:val="0"/>
          <w:marTop w:val="0"/>
          <w:marBottom w:val="0"/>
          <w:divBdr>
            <w:top w:val="none" w:sz="0" w:space="0" w:color="auto"/>
            <w:left w:val="none" w:sz="0" w:space="0" w:color="auto"/>
            <w:bottom w:val="none" w:sz="0" w:space="0" w:color="auto"/>
            <w:right w:val="none" w:sz="0" w:space="0" w:color="auto"/>
          </w:divBdr>
        </w:div>
        <w:div w:id="1073312594">
          <w:marLeft w:val="0"/>
          <w:marRight w:val="0"/>
          <w:marTop w:val="0"/>
          <w:marBottom w:val="0"/>
          <w:divBdr>
            <w:top w:val="none" w:sz="0" w:space="0" w:color="auto"/>
            <w:left w:val="none" w:sz="0" w:space="0" w:color="auto"/>
            <w:bottom w:val="none" w:sz="0" w:space="0" w:color="auto"/>
            <w:right w:val="none" w:sz="0" w:space="0" w:color="auto"/>
          </w:divBdr>
        </w:div>
        <w:div w:id="976764644">
          <w:marLeft w:val="0"/>
          <w:marRight w:val="0"/>
          <w:marTop w:val="0"/>
          <w:marBottom w:val="0"/>
          <w:divBdr>
            <w:top w:val="none" w:sz="0" w:space="0" w:color="auto"/>
            <w:left w:val="none" w:sz="0" w:space="0" w:color="auto"/>
            <w:bottom w:val="none" w:sz="0" w:space="0" w:color="auto"/>
            <w:right w:val="none" w:sz="0" w:space="0" w:color="auto"/>
          </w:divBdr>
        </w:div>
        <w:div w:id="1146120769">
          <w:marLeft w:val="0"/>
          <w:marRight w:val="0"/>
          <w:marTop w:val="0"/>
          <w:marBottom w:val="0"/>
          <w:divBdr>
            <w:top w:val="none" w:sz="0" w:space="0" w:color="auto"/>
            <w:left w:val="none" w:sz="0" w:space="0" w:color="auto"/>
            <w:bottom w:val="none" w:sz="0" w:space="0" w:color="auto"/>
            <w:right w:val="none" w:sz="0" w:space="0" w:color="auto"/>
          </w:divBdr>
        </w:div>
        <w:div w:id="1929532586">
          <w:marLeft w:val="0"/>
          <w:marRight w:val="0"/>
          <w:marTop w:val="0"/>
          <w:marBottom w:val="0"/>
          <w:divBdr>
            <w:top w:val="none" w:sz="0" w:space="0" w:color="auto"/>
            <w:left w:val="none" w:sz="0" w:space="0" w:color="auto"/>
            <w:bottom w:val="none" w:sz="0" w:space="0" w:color="auto"/>
            <w:right w:val="none" w:sz="0" w:space="0" w:color="auto"/>
          </w:divBdr>
        </w:div>
        <w:div w:id="661080505">
          <w:marLeft w:val="0"/>
          <w:marRight w:val="0"/>
          <w:marTop w:val="0"/>
          <w:marBottom w:val="0"/>
          <w:divBdr>
            <w:top w:val="none" w:sz="0" w:space="0" w:color="auto"/>
            <w:left w:val="none" w:sz="0" w:space="0" w:color="auto"/>
            <w:bottom w:val="none" w:sz="0" w:space="0" w:color="auto"/>
            <w:right w:val="none" w:sz="0" w:space="0" w:color="auto"/>
          </w:divBdr>
        </w:div>
      </w:divsChild>
    </w:div>
    <w:div w:id="158277355">
      <w:marLeft w:val="0"/>
      <w:marRight w:val="0"/>
      <w:marTop w:val="200"/>
      <w:marBottom w:val="0"/>
      <w:divBdr>
        <w:top w:val="none" w:sz="0" w:space="0" w:color="auto"/>
        <w:left w:val="none" w:sz="0" w:space="0" w:color="auto"/>
        <w:bottom w:val="none" w:sz="0" w:space="0" w:color="auto"/>
        <w:right w:val="none" w:sz="0" w:space="0" w:color="auto"/>
      </w:divBdr>
    </w:div>
    <w:div w:id="158618209">
      <w:marLeft w:val="0"/>
      <w:marRight w:val="0"/>
      <w:marTop w:val="120"/>
      <w:marBottom w:val="0"/>
      <w:divBdr>
        <w:top w:val="none" w:sz="0" w:space="0" w:color="auto"/>
        <w:left w:val="none" w:sz="0" w:space="0" w:color="auto"/>
        <w:bottom w:val="none" w:sz="0" w:space="0" w:color="auto"/>
        <w:right w:val="none" w:sz="0" w:space="0" w:color="auto"/>
      </w:divBdr>
    </w:div>
    <w:div w:id="159665625">
      <w:marLeft w:val="0"/>
      <w:marRight w:val="0"/>
      <w:marTop w:val="200"/>
      <w:marBottom w:val="0"/>
      <w:divBdr>
        <w:top w:val="none" w:sz="0" w:space="0" w:color="auto"/>
        <w:left w:val="none" w:sz="0" w:space="0" w:color="auto"/>
        <w:bottom w:val="none" w:sz="0" w:space="0" w:color="auto"/>
        <w:right w:val="none" w:sz="0" w:space="0" w:color="auto"/>
      </w:divBdr>
    </w:div>
    <w:div w:id="162400589">
      <w:marLeft w:val="0"/>
      <w:marRight w:val="0"/>
      <w:marTop w:val="0"/>
      <w:marBottom w:val="0"/>
      <w:divBdr>
        <w:top w:val="none" w:sz="0" w:space="0" w:color="auto"/>
        <w:left w:val="none" w:sz="0" w:space="0" w:color="auto"/>
        <w:bottom w:val="none" w:sz="0" w:space="0" w:color="auto"/>
        <w:right w:val="none" w:sz="0" w:space="0" w:color="auto"/>
      </w:divBdr>
      <w:divsChild>
        <w:div w:id="948387975">
          <w:marLeft w:val="0"/>
          <w:marRight w:val="0"/>
          <w:marTop w:val="0"/>
          <w:marBottom w:val="0"/>
          <w:divBdr>
            <w:top w:val="none" w:sz="0" w:space="0" w:color="auto"/>
            <w:left w:val="none" w:sz="0" w:space="0" w:color="auto"/>
            <w:bottom w:val="none" w:sz="0" w:space="0" w:color="auto"/>
            <w:right w:val="none" w:sz="0" w:space="0" w:color="auto"/>
          </w:divBdr>
        </w:div>
      </w:divsChild>
    </w:div>
    <w:div w:id="162666160">
      <w:marLeft w:val="0"/>
      <w:marRight w:val="0"/>
      <w:marTop w:val="120"/>
      <w:marBottom w:val="0"/>
      <w:divBdr>
        <w:top w:val="none" w:sz="0" w:space="0" w:color="auto"/>
        <w:left w:val="none" w:sz="0" w:space="0" w:color="auto"/>
        <w:bottom w:val="none" w:sz="0" w:space="0" w:color="auto"/>
        <w:right w:val="none" w:sz="0" w:space="0" w:color="auto"/>
      </w:divBdr>
    </w:div>
    <w:div w:id="163085969">
      <w:marLeft w:val="0"/>
      <w:marRight w:val="0"/>
      <w:marTop w:val="60"/>
      <w:marBottom w:val="0"/>
      <w:divBdr>
        <w:top w:val="none" w:sz="0" w:space="0" w:color="auto"/>
        <w:left w:val="none" w:sz="0" w:space="0" w:color="auto"/>
        <w:bottom w:val="none" w:sz="0" w:space="0" w:color="auto"/>
        <w:right w:val="none" w:sz="0" w:space="0" w:color="auto"/>
      </w:divBdr>
    </w:div>
    <w:div w:id="163936855">
      <w:marLeft w:val="0"/>
      <w:marRight w:val="0"/>
      <w:marTop w:val="120"/>
      <w:marBottom w:val="0"/>
      <w:divBdr>
        <w:top w:val="none" w:sz="0" w:space="0" w:color="auto"/>
        <w:left w:val="none" w:sz="0" w:space="0" w:color="auto"/>
        <w:bottom w:val="none" w:sz="0" w:space="0" w:color="auto"/>
        <w:right w:val="none" w:sz="0" w:space="0" w:color="auto"/>
      </w:divBdr>
    </w:div>
    <w:div w:id="164517474">
      <w:marLeft w:val="0"/>
      <w:marRight w:val="0"/>
      <w:marTop w:val="200"/>
      <w:marBottom w:val="0"/>
      <w:divBdr>
        <w:top w:val="none" w:sz="0" w:space="0" w:color="auto"/>
        <w:left w:val="none" w:sz="0" w:space="0" w:color="auto"/>
        <w:bottom w:val="none" w:sz="0" w:space="0" w:color="auto"/>
        <w:right w:val="none" w:sz="0" w:space="0" w:color="auto"/>
      </w:divBdr>
    </w:div>
    <w:div w:id="168956547">
      <w:marLeft w:val="0"/>
      <w:marRight w:val="0"/>
      <w:marTop w:val="200"/>
      <w:marBottom w:val="0"/>
      <w:divBdr>
        <w:top w:val="none" w:sz="0" w:space="0" w:color="auto"/>
        <w:left w:val="none" w:sz="0" w:space="0" w:color="auto"/>
        <w:bottom w:val="none" w:sz="0" w:space="0" w:color="auto"/>
        <w:right w:val="none" w:sz="0" w:space="0" w:color="auto"/>
      </w:divBdr>
    </w:div>
    <w:div w:id="170803215">
      <w:marLeft w:val="0"/>
      <w:marRight w:val="0"/>
      <w:marTop w:val="120"/>
      <w:marBottom w:val="0"/>
      <w:divBdr>
        <w:top w:val="none" w:sz="0" w:space="0" w:color="auto"/>
        <w:left w:val="none" w:sz="0" w:space="0" w:color="auto"/>
        <w:bottom w:val="none" w:sz="0" w:space="0" w:color="auto"/>
        <w:right w:val="none" w:sz="0" w:space="0" w:color="auto"/>
      </w:divBdr>
    </w:div>
    <w:div w:id="171379372">
      <w:marLeft w:val="0"/>
      <w:marRight w:val="0"/>
      <w:marTop w:val="120"/>
      <w:marBottom w:val="0"/>
      <w:divBdr>
        <w:top w:val="none" w:sz="0" w:space="0" w:color="auto"/>
        <w:left w:val="none" w:sz="0" w:space="0" w:color="auto"/>
        <w:bottom w:val="none" w:sz="0" w:space="0" w:color="auto"/>
        <w:right w:val="none" w:sz="0" w:space="0" w:color="auto"/>
      </w:divBdr>
    </w:div>
    <w:div w:id="172040527">
      <w:marLeft w:val="0"/>
      <w:marRight w:val="0"/>
      <w:marTop w:val="0"/>
      <w:marBottom w:val="0"/>
      <w:divBdr>
        <w:top w:val="none" w:sz="0" w:space="0" w:color="auto"/>
        <w:left w:val="none" w:sz="0" w:space="0" w:color="auto"/>
        <w:bottom w:val="none" w:sz="0" w:space="0" w:color="auto"/>
        <w:right w:val="none" w:sz="0" w:space="0" w:color="auto"/>
      </w:divBdr>
      <w:divsChild>
        <w:div w:id="891815940">
          <w:marLeft w:val="0"/>
          <w:marRight w:val="0"/>
          <w:marTop w:val="0"/>
          <w:marBottom w:val="0"/>
          <w:divBdr>
            <w:top w:val="none" w:sz="0" w:space="0" w:color="auto"/>
            <w:left w:val="none" w:sz="0" w:space="0" w:color="auto"/>
            <w:bottom w:val="none" w:sz="0" w:space="0" w:color="auto"/>
            <w:right w:val="none" w:sz="0" w:space="0" w:color="auto"/>
          </w:divBdr>
        </w:div>
      </w:divsChild>
    </w:div>
    <w:div w:id="178205476">
      <w:marLeft w:val="0"/>
      <w:marRight w:val="0"/>
      <w:marTop w:val="200"/>
      <w:marBottom w:val="0"/>
      <w:divBdr>
        <w:top w:val="none" w:sz="0" w:space="0" w:color="auto"/>
        <w:left w:val="none" w:sz="0" w:space="0" w:color="auto"/>
        <w:bottom w:val="none" w:sz="0" w:space="0" w:color="auto"/>
        <w:right w:val="none" w:sz="0" w:space="0" w:color="auto"/>
      </w:divBdr>
    </w:div>
    <w:div w:id="180438653">
      <w:marLeft w:val="0"/>
      <w:marRight w:val="0"/>
      <w:marTop w:val="120"/>
      <w:marBottom w:val="0"/>
      <w:divBdr>
        <w:top w:val="none" w:sz="0" w:space="0" w:color="auto"/>
        <w:left w:val="none" w:sz="0" w:space="0" w:color="auto"/>
        <w:bottom w:val="none" w:sz="0" w:space="0" w:color="auto"/>
        <w:right w:val="none" w:sz="0" w:space="0" w:color="auto"/>
      </w:divBdr>
    </w:div>
    <w:div w:id="181554917">
      <w:marLeft w:val="0"/>
      <w:marRight w:val="0"/>
      <w:marTop w:val="120"/>
      <w:marBottom w:val="0"/>
      <w:divBdr>
        <w:top w:val="none" w:sz="0" w:space="0" w:color="auto"/>
        <w:left w:val="none" w:sz="0" w:space="0" w:color="auto"/>
        <w:bottom w:val="none" w:sz="0" w:space="0" w:color="auto"/>
        <w:right w:val="none" w:sz="0" w:space="0" w:color="auto"/>
      </w:divBdr>
    </w:div>
    <w:div w:id="182089620">
      <w:marLeft w:val="0"/>
      <w:marRight w:val="0"/>
      <w:marTop w:val="120"/>
      <w:marBottom w:val="0"/>
      <w:divBdr>
        <w:top w:val="none" w:sz="0" w:space="0" w:color="auto"/>
        <w:left w:val="none" w:sz="0" w:space="0" w:color="auto"/>
        <w:bottom w:val="none" w:sz="0" w:space="0" w:color="auto"/>
        <w:right w:val="none" w:sz="0" w:space="0" w:color="auto"/>
      </w:divBdr>
    </w:div>
    <w:div w:id="182131002">
      <w:marLeft w:val="0"/>
      <w:marRight w:val="0"/>
      <w:marTop w:val="120"/>
      <w:marBottom w:val="0"/>
      <w:divBdr>
        <w:top w:val="none" w:sz="0" w:space="0" w:color="auto"/>
        <w:left w:val="none" w:sz="0" w:space="0" w:color="auto"/>
        <w:bottom w:val="none" w:sz="0" w:space="0" w:color="auto"/>
        <w:right w:val="none" w:sz="0" w:space="0" w:color="auto"/>
      </w:divBdr>
    </w:div>
    <w:div w:id="183446618">
      <w:marLeft w:val="0"/>
      <w:marRight w:val="0"/>
      <w:marTop w:val="200"/>
      <w:marBottom w:val="0"/>
      <w:divBdr>
        <w:top w:val="none" w:sz="0" w:space="0" w:color="auto"/>
        <w:left w:val="none" w:sz="0" w:space="0" w:color="auto"/>
        <w:bottom w:val="none" w:sz="0" w:space="0" w:color="auto"/>
        <w:right w:val="none" w:sz="0" w:space="0" w:color="auto"/>
      </w:divBdr>
    </w:div>
    <w:div w:id="183714029">
      <w:marLeft w:val="0"/>
      <w:marRight w:val="0"/>
      <w:marTop w:val="120"/>
      <w:marBottom w:val="0"/>
      <w:divBdr>
        <w:top w:val="none" w:sz="0" w:space="0" w:color="auto"/>
        <w:left w:val="none" w:sz="0" w:space="0" w:color="auto"/>
        <w:bottom w:val="none" w:sz="0" w:space="0" w:color="auto"/>
        <w:right w:val="none" w:sz="0" w:space="0" w:color="auto"/>
      </w:divBdr>
    </w:div>
    <w:div w:id="186022206">
      <w:marLeft w:val="0"/>
      <w:marRight w:val="0"/>
      <w:marTop w:val="100"/>
      <w:marBottom w:val="0"/>
      <w:divBdr>
        <w:top w:val="none" w:sz="0" w:space="0" w:color="auto"/>
        <w:left w:val="none" w:sz="0" w:space="0" w:color="auto"/>
        <w:bottom w:val="none" w:sz="0" w:space="0" w:color="auto"/>
        <w:right w:val="none" w:sz="0" w:space="0" w:color="auto"/>
      </w:divBdr>
    </w:div>
    <w:div w:id="186219907">
      <w:marLeft w:val="0"/>
      <w:marRight w:val="0"/>
      <w:marTop w:val="120"/>
      <w:marBottom w:val="0"/>
      <w:divBdr>
        <w:top w:val="none" w:sz="0" w:space="0" w:color="auto"/>
        <w:left w:val="none" w:sz="0" w:space="0" w:color="auto"/>
        <w:bottom w:val="none" w:sz="0" w:space="0" w:color="auto"/>
        <w:right w:val="none" w:sz="0" w:space="0" w:color="auto"/>
      </w:divBdr>
    </w:div>
    <w:div w:id="186719954">
      <w:marLeft w:val="0"/>
      <w:marRight w:val="0"/>
      <w:marTop w:val="200"/>
      <w:marBottom w:val="0"/>
      <w:divBdr>
        <w:top w:val="none" w:sz="0" w:space="0" w:color="auto"/>
        <w:left w:val="none" w:sz="0" w:space="0" w:color="auto"/>
        <w:bottom w:val="none" w:sz="0" w:space="0" w:color="auto"/>
        <w:right w:val="none" w:sz="0" w:space="0" w:color="auto"/>
      </w:divBdr>
    </w:div>
    <w:div w:id="188223785">
      <w:marLeft w:val="0"/>
      <w:marRight w:val="0"/>
      <w:marTop w:val="100"/>
      <w:marBottom w:val="0"/>
      <w:divBdr>
        <w:top w:val="none" w:sz="0" w:space="0" w:color="auto"/>
        <w:left w:val="none" w:sz="0" w:space="0" w:color="auto"/>
        <w:bottom w:val="none" w:sz="0" w:space="0" w:color="auto"/>
        <w:right w:val="none" w:sz="0" w:space="0" w:color="auto"/>
      </w:divBdr>
    </w:div>
    <w:div w:id="188954430">
      <w:marLeft w:val="0"/>
      <w:marRight w:val="0"/>
      <w:marTop w:val="200"/>
      <w:marBottom w:val="0"/>
      <w:divBdr>
        <w:top w:val="none" w:sz="0" w:space="0" w:color="auto"/>
        <w:left w:val="none" w:sz="0" w:space="0" w:color="auto"/>
        <w:bottom w:val="none" w:sz="0" w:space="0" w:color="auto"/>
        <w:right w:val="none" w:sz="0" w:space="0" w:color="auto"/>
      </w:divBdr>
    </w:div>
    <w:div w:id="193663166">
      <w:marLeft w:val="0"/>
      <w:marRight w:val="0"/>
      <w:marTop w:val="200"/>
      <w:marBottom w:val="0"/>
      <w:divBdr>
        <w:top w:val="none" w:sz="0" w:space="0" w:color="auto"/>
        <w:left w:val="none" w:sz="0" w:space="0" w:color="auto"/>
        <w:bottom w:val="none" w:sz="0" w:space="0" w:color="auto"/>
        <w:right w:val="none" w:sz="0" w:space="0" w:color="auto"/>
      </w:divBdr>
    </w:div>
    <w:div w:id="195238014">
      <w:marLeft w:val="0"/>
      <w:marRight w:val="0"/>
      <w:marTop w:val="120"/>
      <w:marBottom w:val="0"/>
      <w:divBdr>
        <w:top w:val="none" w:sz="0" w:space="0" w:color="auto"/>
        <w:left w:val="none" w:sz="0" w:space="0" w:color="auto"/>
        <w:bottom w:val="none" w:sz="0" w:space="0" w:color="auto"/>
        <w:right w:val="none" w:sz="0" w:space="0" w:color="auto"/>
      </w:divBdr>
    </w:div>
    <w:div w:id="197545778">
      <w:marLeft w:val="0"/>
      <w:marRight w:val="0"/>
      <w:marTop w:val="60"/>
      <w:marBottom w:val="0"/>
      <w:divBdr>
        <w:top w:val="none" w:sz="0" w:space="0" w:color="auto"/>
        <w:left w:val="none" w:sz="0" w:space="0" w:color="auto"/>
        <w:bottom w:val="none" w:sz="0" w:space="0" w:color="auto"/>
        <w:right w:val="none" w:sz="0" w:space="0" w:color="auto"/>
      </w:divBdr>
    </w:div>
    <w:div w:id="199514243">
      <w:marLeft w:val="0"/>
      <w:marRight w:val="0"/>
      <w:marTop w:val="120"/>
      <w:marBottom w:val="0"/>
      <w:divBdr>
        <w:top w:val="none" w:sz="0" w:space="0" w:color="auto"/>
        <w:left w:val="none" w:sz="0" w:space="0" w:color="auto"/>
        <w:bottom w:val="none" w:sz="0" w:space="0" w:color="auto"/>
        <w:right w:val="none" w:sz="0" w:space="0" w:color="auto"/>
      </w:divBdr>
    </w:div>
    <w:div w:id="202333612">
      <w:marLeft w:val="0"/>
      <w:marRight w:val="0"/>
      <w:marTop w:val="200"/>
      <w:marBottom w:val="0"/>
      <w:divBdr>
        <w:top w:val="none" w:sz="0" w:space="0" w:color="auto"/>
        <w:left w:val="none" w:sz="0" w:space="0" w:color="auto"/>
        <w:bottom w:val="none" w:sz="0" w:space="0" w:color="auto"/>
        <w:right w:val="none" w:sz="0" w:space="0" w:color="auto"/>
      </w:divBdr>
    </w:div>
    <w:div w:id="202714980">
      <w:marLeft w:val="0"/>
      <w:marRight w:val="0"/>
      <w:marTop w:val="120"/>
      <w:marBottom w:val="0"/>
      <w:divBdr>
        <w:top w:val="none" w:sz="0" w:space="0" w:color="auto"/>
        <w:left w:val="none" w:sz="0" w:space="0" w:color="auto"/>
        <w:bottom w:val="none" w:sz="0" w:space="0" w:color="auto"/>
        <w:right w:val="none" w:sz="0" w:space="0" w:color="auto"/>
      </w:divBdr>
    </w:div>
    <w:div w:id="204221023">
      <w:marLeft w:val="0"/>
      <w:marRight w:val="0"/>
      <w:marTop w:val="120"/>
      <w:marBottom w:val="0"/>
      <w:divBdr>
        <w:top w:val="none" w:sz="0" w:space="0" w:color="auto"/>
        <w:left w:val="none" w:sz="0" w:space="0" w:color="auto"/>
        <w:bottom w:val="none" w:sz="0" w:space="0" w:color="auto"/>
        <w:right w:val="none" w:sz="0" w:space="0" w:color="auto"/>
      </w:divBdr>
    </w:div>
    <w:div w:id="204486450">
      <w:marLeft w:val="0"/>
      <w:marRight w:val="0"/>
      <w:marTop w:val="200"/>
      <w:marBottom w:val="0"/>
      <w:divBdr>
        <w:top w:val="none" w:sz="0" w:space="0" w:color="auto"/>
        <w:left w:val="none" w:sz="0" w:space="0" w:color="auto"/>
        <w:bottom w:val="none" w:sz="0" w:space="0" w:color="auto"/>
        <w:right w:val="none" w:sz="0" w:space="0" w:color="auto"/>
      </w:divBdr>
    </w:div>
    <w:div w:id="205919066">
      <w:marLeft w:val="0"/>
      <w:marRight w:val="0"/>
      <w:marTop w:val="0"/>
      <w:marBottom w:val="0"/>
      <w:divBdr>
        <w:top w:val="none" w:sz="0" w:space="0" w:color="auto"/>
        <w:left w:val="none" w:sz="0" w:space="0" w:color="auto"/>
        <w:bottom w:val="none" w:sz="0" w:space="0" w:color="auto"/>
        <w:right w:val="none" w:sz="0" w:space="0" w:color="auto"/>
      </w:divBdr>
      <w:divsChild>
        <w:div w:id="437916073">
          <w:marLeft w:val="0"/>
          <w:marRight w:val="0"/>
          <w:marTop w:val="0"/>
          <w:marBottom w:val="0"/>
          <w:divBdr>
            <w:top w:val="none" w:sz="0" w:space="0" w:color="auto"/>
            <w:left w:val="none" w:sz="0" w:space="0" w:color="auto"/>
            <w:bottom w:val="none" w:sz="0" w:space="0" w:color="auto"/>
            <w:right w:val="none" w:sz="0" w:space="0" w:color="auto"/>
          </w:divBdr>
        </w:div>
      </w:divsChild>
    </w:div>
    <w:div w:id="207451446">
      <w:marLeft w:val="0"/>
      <w:marRight w:val="0"/>
      <w:marTop w:val="200"/>
      <w:marBottom w:val="0"/>
      <w:divBdr>
        <w:top w:val="none" w:sz="0" w:space="0" w:color="auto"/>
        <w:left w:val="none" w:sz="0" w:space="0" w:color="auto"/>
        <w:bottom w:val="none" w:sz="0" w:space="0" w:color="auto"/>
        <w:right w:val="none" w:sz="0" w:space="0" w:color="auto"/>
      </w:divBdr>
    </w:div>
    <w:div w:id="216401370">
      <w:marLeft w:val="0"/>
      <w:marRight w:val="0"/>
      <w:marTop w:val="120"/>
      <w:marBottom w:val="0"/>
      <w:divBdr>
        <w:top w:val="none" w:sz="0" w:space="0" w:color="auto"/>
        <w:left w:val="none" w:sz="0" w:space="0" w:color="auto"/>
        <w:bottom w:val="none" w:sz="0" w:space="0" w:color="auto"/>
        <w:right w:val="none" w:sz="0" w:space="0" w:color="auto"/>
      </w:divBdr>
    </w:div>
    <w:div w:id="216624815">
      <w:marLeft w:val="0"/>
      <w:marRight w:val="0"/>
      <w:marTop w:val="200"/>
      <w:marBottom w:val="0"/>
      <w:divBdr>
        <w:top w:val="none" w:sz="0" w:space="0" w:color="auto"/>
        <w:left w:val="none" w:sz="0" w:space="0" w:color="auto"/>
        <w:bottom w:val="none" w:sz="0" w:space="0" w:color="auto"/>
        <w:right w:val="none" w:sz="0" w:space="0" w:color="auto"/>
      </w:divBdr>
    </w:div>
    <w:div w:id="217056151">
      <w:marLeft w:val="0"/>
      <w:marRight w:val="0"/>
      <w:marTop w:val="120"/>
      <w:marBottom w:val="0"/>
      <w:divBdr>
        <w:top w:val="none" w:sz="0" w:space="0" w:color="auto"/>
        <w:left w:val="none" w:sz="0" w:space="0" w:color="auto"/>
        <w:bottom w:val="none" w:sz="0" w:space="0" w:color="auto"/>
        <w:right w:val="none" w:sz="0" w:space="0" w:color="auto"/>
      </w:divBdr>
    </w:div>
    <w:div w:id="218369660">
      <w:marLeft w:val="0"/>
      <w:marRight w:val="0"/>
      <w:marTop w:val="200"/>
      <w:marBottom w:val="0"/>
      <w:divBdr>
        <w:top w:val="none" w:sz="0" w:space="0" w:color="auto"/>
        <w:left w:val="none" w:sz="0" w:space="0" w:color="auto"/>
        <w:bottom w:val="none" w:sz="0" w:space="0" w:color="auto"/>
        <w:right w:val="none" w:sz="0" w:space="0" w:color="auto"/>
      </w:divBdr>
    </w:div>
    <w:div w:id="221261214">
      <w:marLeft w:val="0"/>
      <w:marRight w:val="0"/>
      <w:marTop w:val="120"/>
      <w:marBottom w:val="0"/>
      <w:divBdr>
        <w:top w:val="none" w:sz="0" w:space="0" w:color="auto"/>
        <w:left w:val="none" w:sz="0" w:space="0" w:color="auto"/>
        <w:bottom w:val="none" w:sz="0" w:space="0" w:color="auto"/>
        <w:right w:val="none" w:sz="0" w:space="0" w:color="auto"/>
      </w:divBdr>
    </w:div>
    <w:div w:id="222372766">
      <w:marLeft w:val="0"/>
      <w:marRight w:val="0"/>
      <w:marTop w:val="120"/>
      <w:marBottom w:val="0"/>
      <w:divBdr>
        <w:top w:val="none" w:sz="0" w:space="0" w:color="auto"/>
        <w:left w:val="none" w:sz="0" w:space="0" w:color="auto"/>
        <w:bottom w:val="none" w:sz="0" w:space="0" w:color="auto"/>
        <w:right w:val="none" w:sz="0" w:space="0" w:color="auto"/>
      </w:divBdr>
    </w:div>
    <w:div w:id="222720966">
      <w:marLeft w:val="0"/>
      <w:marRight w:val="0"/>
      <w:marTop w:val="120"/>
      <w:marBottom w:val="0"/>
      <w:divBdr>
        <w:top w:val="none" w:sz="0" w:space="0" w:color="auto"/>
        <w:left w:val="none" w:sz="0" w:space="0" w:color="auto"/>
        <w:bottom w:val="none" w:sz="0" w:space="0" w:color="auto"/>
        <w:right w:val="none" w:sz="0" w:space="0" w:color="auto"/>
      </w:divBdr>
    </w:div>
    <w:div w:id="224146037">
      <w:marLeft w:val="0"/>
      <w:marRight w:val="0"/>
      <w:marTop w:val="200"/>
      <w:marBottom w:val="0"/>
      <w:divBdr>
        <w:top w:val="none" w:sz="0" w:space="0" w:color="auto"/>
        <w:left w:val="none" w:sz="0" w:space="0" w:color="auto"/>
        <w:bottom w:val="none" w:sz="0" w:space="0" w:color="auto"/>
        <w:right w:val="none" w:sz="0" w:space="0" w:color="auto"/>
      </w:divBdr>
    </w:div>
    <w:div w:id="225378777">
      <w:marLeft w:val="0"/>
      <w:marRight w:val="0"/>
      <w:marTop w:val="120"/>
      <w:marBottom w:val="0"/>
      <w:divBdr>
        <w:top w:val="none" w:sz="0" w:space="0" w:color="auto"/>
        <w:left w:val="none" w:sz="0" w:space="0" w:color="auto"/>
        <w:bottom w:val="none" w:sz="0" w:space="0" w:color="auto"/>
        <w:right w:val="none" w:sz="0" w:space="0" w:color="auto"/>
      </w:divBdr>
    </w:div>
    <w:div w:id="226187258">
      <w:marLeft w:val="0"/>
      <w:marRight w:val="0"/>
      <w:marTop w:val="200"/>
      <w:marBottom w:val="0"/>
      <w:divBdr>
        <w:top w:val="none" w:sz="0" w:space="0" w:color="auto"/>
        <w:left w:val="none" w:sz="0" w:space="0" w:color="auto"/>
        <w:bottom w:val="none" w:sz="0" w:space="0" w:color="auto"/>
        <w:right w:val="none" w:sz="0" w:space="0" w:color="auto"/>
      </w:divBdr>
    </w:div>
    <w:div w:id="227956992">
      <w:marLeft w:val="0"/>
      <w:marRight w:val="0"/>
      <w:marTop w:val="120"/>
      <w:marBottom w:val="0"/>
      <w:divBdr>
        <w:top w:val="none" w:sz="0" w:space="0" w:color="auto"/>
        <w:left w:val="none" w:sz="0" w:space="0" w:color="auto"/>
        <w:bottom w:val="none" w:sz="0" w:space="0" w:color="auto"/>
        <w:right w:val="none" w:sz="0" w:space="0" w:color="auto"/>
      </w:divBdr>
    </w:div>
    <w:div w:id="228078345">
      <w:marLeft w:val="0"/>
      <w:marRight w:val="0"/>
      <w:marTop w:val="120"/>
      <w:marBottom w:val="0"/>
      <w:divBdr>
        <w:top w:val="none" w:sz="0" w:space="0" w:color="auto"/>
        <w:left w:val="none" w:sz="0" w:space="0" w:color="auto"/>
        <w:bottom w:val="none" w:sz="0" w:space="0" w:color="auto"/>
        <w:right w:val="none" w:sz="0" w:space="0" w:color="auto"/>
      </w:divBdr>
    </w:div>
    <w:div w:id="228804937">
      <w:marLeft w:val="0"/>
      <w:marRight w:val="0"/>
      <w:marTop w:val="120"/>
      <w:marBottom w:val="0"/>
      <w:divBdr>
        <w:top w:val="none" w:sz="0" w:space="0" w:color="auto"/>
        <w:left w:val="none" w:sz="0" w:space="0" w:color="auto"/>
        <w:bottom w:val="none" w:sz="0" w:space="0" w:color="auto"/>
        <w:right w:val="none" w:sz="0" w:space="0" w:color="auto"/>
      </w:divBdr>
    </w:div>
    <w:div w:id="228928542">
      <w:marLeft w:val="0"/>
      <w:marRight w:val="0"/>
      <w:marTop w:val="120"/>
      <w:marBottom w:val="0"/>
      <w:divBdr>
        <w:top w:val="none" w:sz="0" w:space="0" w:color="auto"/>
        <w:left w:val="none" w:sz="0" w:space="0" w:color="auto"/>
        <w:bottom w:val="none" w:sz="0" w:space="0" w:color="auto"/>
        <w:right w:val="none" w:sz="0" w:space="0" w:color="auto"/>
      </w:divBdr>
    </w:div>
    <w:div w:id="229271464">
      <w:marLeft w:val="0"/>
      <w:marRight w:val="0"/>
      <w:marTop w:val="120"/>
      <w:marBottom w:val="0"/>
      <w:divBdr>
        <w:top w:val="none" w:sz="0" w:space="0" w:color="auto"/>
        <w:left w:val="none" w:sz="0" w:space="0" w:color="auto"/>
        <w:bottom w:val="none" w:sz="0" w:space="0" w:color="auto"/>
        <w:right w:val="none" w:sz="0" w:space="0" w:color="auto"/>
      </w:divBdr>
    </w:div>
    <w:div w:id="230430882">
      <w:marLeft w:val="0"/>
      <w:marRight w:val="0"/>
      <w:marTop w:val="200"/>
      <w:marBottom w:val="0"/>
      <w:divBdr>
        <w:top w:val="none" w:sz="0" w:space="0" w:color="auto"/>
        <w:left w:val="none" w:sz="0" w:space="0" w:color="auto"/>
        <w:bottom w:val="none" w:sz="0" w:space="0" w:color="auto"/>
        <w:right w:val="none" w:sz="0" w:space="0" w:color="auto"/>
      </w:divBdr>
    </w:div>
    <w:div w:id="230892196">
      <w:marLeft w:val="0"/>
      <w:marRight w:val="0"/>
      <w:marTop w:val="120"/>
      <w:marBottom w:val="0"/>
      <w:divBdr>
        <w:top w:val="none" w:sz="0" w:space="0" w:color="auto"/>
        <w:left w:val="none" w:sz="0" w:space="0" w:color="auto"/>
        <w:bottom w:val="none" w:sz="0" w:space="0" w:color="auto"/>
        <w:right w:val="none" w:sz="0" w:space="0" w:color="auto"/>
      </w:divBdr>
    </w:div>
    <w:div w:id="231623247">
      <w:marLeft w:val="0"/>
      <w:marRight w:val="0"/>
      <w:marTop w:val="120"/>
      <w:marBottom w:val="0"/>
      <w:divBdr>
        <w:top w:val="none" w:sz="0" w:space="0" w:color="auto"/>
        <w:left w:val="none" w:sz="0" w:space="0" w:color="auto"/>
        <w:bottom w:val="none" w:sz="0" w:space="0" w:color="auto"/>
        <w:right w:val="none" w:sz="0" w:space="0" w:color="auto"/>
      </w:divBdr>
    </w:div>
    <w:div w:id="232468833">
      <w:marLeft w:val="0"/>
      <w:marRight w:val="0"/>
      <w:marTop w:val="0"/>
      <w:marBottom w:val="0"/>
      <w:divBdr>
        <w:top w:val="none" w:sz="0" w:space="0" w:color="auto"/>
        <w:left w:val="none" w:sz="0" w:space="0" w:color="auto"/>
        <w:bottom w:val="none" w:sz="0" w:space="0" w:color="auto"/>
        <w:right w:val="none" w:sz="0" w:space="0" w:color="auto"/>
      </w:divBdr>
      <w:divsChild>
        <w:div w:id="7367581">
          <w:marLeft w:val="0"/>
          <w:marRight w:val="0"/>
          <w:marTop w:val="0"/>
          <w:marBottom w:val="0"/>
          <w:divBdr>
            <w:top w:val="none" w:sz="0" w:space="0" w:color="auto"/>
            <w:left w:val="none" w:sz="0" w:space="0" w:color="auto"/>
            <w:bottom w:val="none" w:sz="0" w:space="0" w:color="auto"/>
            <w:right w:val="none" w:sz="0" w:space="0" w:color="auto"/>
          </w:divBdr>
        </w:div>
      </w:divsChild>
    </w:div>
    <w:div w:id="232738894">
      <w:marLeft w:val="0"/>
      <w:marRight w:val="0"/>
      <w:marTop w:val="120"/>
      <w:marBottom w:val="0"/>
      <w:divBdr>
        <w:top w:val="none" w:sz="0" w:space="0" w:color="auto"/>
        <w:left w:val="none" w:sz="0" w:space="0" w:color="auto"/>
        <w:bottom w:val="none" w:sz="0" w:space="0" w:color="auto"/>
        <w:right w:val="none" w:sz="0" w:space="0" w:color="auto"/>
      </w:divBdr>
    </w:div>
    <w:div w:id="233129471">
      <w:marLeft w:val="0"/>
      <w:marRight w:val="0"/>
      <w:marTop w:val="200"/>
      <w:marBottom w:val="0"/>
      <w:divBdr>
        <w:top w:val="none" w:sz="0" w:space="0" w:color="auto"/>
        <w:left w:val="none" w:sz="0" w:space="0" w:color="auto"/>
        <w:bottom w:val="none" w:sz="0" w:space="0" w:color="auto"/>
        <w:right w:val="none" w:sz="0" w:space="0" w:color="auto"/>
      </w:divBdr>
    </w:div>
    <w:div w:id="236745478">
      <w:marLeft w:val="0"/>
      <w:marRight w:val="0"/>
      <w:marTop w:val="120"/>
      <w:marBottom w:val="0"/>
      <w:divBdr>
        <w:top w:val="none" w:sz="0" w:space="0" w:color="auto"/>
        <w:left w:val="none" w:sz="0" w:space="0" w:color="auto"/>
        <w:bottom w:val="none" w:sz="0" w:space="0" w:color="auto"/>
        <w:right w:val="none" w:sz="0" w:space="0" w:color="auto"/>
      </w:divBdr>
    </w:div>
    <w:div w:id="237329314">
      <w:marLeft w:val="0"/>
      <w:marRight w:val="0"/>
      <w:marTop w:val="0"/>
      <w:marBottom w:val="0"/>
      <w:divBdr>
        <w:top w:val="none" w:sz="0" w:space="0" w:color="auto"/>
        <w:left w:val="none" w:sz="0" w:space="0" w:color="auto"/>
        <w:bottom w:val="none" w:sz="0" w:space="0" w:color="auto"/>
        <w:right w:val="none" w:sz="0" w:space="0" w:color="auto"/>
      </w:divBdr>
      <w:divsChild>
        <w:div w:id="1463839972">
          <w:marLeft w:val="0"/>
          <w:marRight w:val="0"/>
          <w:marTop w:val="0"/>
          <w:marBottom w:val="0"/>
          <w:divBdr>
            <w:top w:val="none" w:sz="0" w:space="0" w:color="auto"/>
            <w:left w:val="none" w:sz="0" w:space="0" w:color="auto"/>
            <w:bottom w:val="none" w:sz="0" w:space="0" w:color="auto"/>
            <w:right w:val="none" w:sz="0" w:space="0" w:color="auto"/>
          </w:divBdr>
        </w:div>
      </w:divsChild>
    </w:div>
    <w:div w:id="238952151">
      <w:marLeft w:val="0"/>
      <w:marRight w:val="0"/>
      <w:marTop w:val="120"/>
      <w:marBottom w:val="0"/>
      <w:divBdr>
        <w:top w:val="none" w:sz="0" w:space="0" w:color="auto"/>
        <w:left w:val="none" w:sz="0" w:space="0" w:color="auto"/>
        <w:bottom w:val="none" w:sz="0" w:space="0" w:color="auto"/>
        <w:right w:val="none" w:sz="0" w:space="0" w:color="auto"/>
      </w:divBdr>
    </w:div>
    <w:div w:id="239608515">
      <w:marLeft w:val="0"/>
      <w:marRight w:val="0"/>
      <w:marTop w:val="200"/>
      <w:marBottom w:val="0"/>
      <w:divBdr>
        <w:top w:val="none" w:sz="0" w:space="0" w:color="auto"/>
        <w:left w:val="none" w:sz="0" w:space="0" w:color="auto"/>
        <w:bottom w:val="none" w:sz="0" w:space="0" w:color="auto"/>
        <w:right w:val="none" w:sz="0" w:space="0" w:color="auto"/>
      </w:divBdr>
    </w:div>
    <w:div w:id="242227842">
      <w:marLeft w:val="0"/>
      <w:marRight w:val="0"/>
      <w:marTop w:val="200"/>
      <w:marBottom w:val="0"/>
      <w:divBdr>
        <w:top w:val="none" w:sz="0" w:space="0" w:color="auto"/>
        <w:left w:val="none" w:sz="0" w:space="0" w:color="auto"/>
        <w:bottom w:val="none" w:sz="0" w:space="0" w:color="auto"/>
        <w:right w:val="none" w:sz="0" w:space="0" w:color="auto"/>
      </w:divBdr>
    </w:div>
    <w:div w:id="242883938">
      <w:marLeft w:val="0"/>
      <w:marRight w:val="0"/>
      <w:marTop w:val="120"/>
      <w:marBottom w:val="0"/>
      <w:divBdr>
        <w:top w:val="none" w:sz="0" w:space="0" w:color="auto"/>
        <w:left w:val="none" w:sz="0" w:space="0" w:color="auto"/>
        <w:bottom w:val="none" w:sz="0" w:space="0" w:color="auto"/>
        <w:right w:val="none" w:sz="0" w:space="0" w:color="auto"/>
      </w:divBdr>
    </w:div>
    <w:div w:id="242953078">
      <w:marLeft w:val="0"/>
      <w:marRight w:val="0"/>
      <w:marTop w:val="0"/>
      <w:marBottom w:val="0"/>
      <w:divBdr>
        <w:top w:val="none" w:sz="0" w:space="0" w:color="auto"/>
        <w:left w:val="none" w:sz="0" w:space="0" w:color="auto"/>
        <w:bottom w:val="none" w:sz="0" w:space="0" w:color="auto"/>
        <w:right w:val="none" w:sz="0" w:space="0" w:color="auto"/>
      </w:divBdr>
      <w:divsChild>
        <w:div w:id="1767772742">
          <w:marLeft w:val="0"/>
          <w:marRight w:val="0"/>
          <w:marTop w:val="0"/>
          <w:marBottom w:val="0"/>
          <w:divBdr>
            <w:top w:val="none" w:sz="0" w:space="0" w:color="auto"/>
            <w:left w:val="none" w:sz="0" w:space="0" w:color="auto"/>
            <w:bottom w:val="none" w:sz="0" w:space="0" w:color="auto"/>
            <w:right w:val="none" w:sz="0" w:space="0" w:color="auto"/>
          </w:divBdr>
        </w:div>
      </w:divsChild>
    </w:div>
    <w:div w:id="244151247">
      <w:marLeft w:val="0"/>
      <w:marRight w:val="0"/>
      <w:marTop w:val="120"/>
      <w:marBottom w:val="0"/>
      <w:divBdr>
        <w:top w:val="none" w:sz="0" w:space="0" w:color="auto"/>
        <w:left w:val="none" w:sz="0" w:space="0" w:color="auto"/>
        <w:bottom w:val="none" w:sz="0" w:space="0" w:color="auto"/>
        <w:right w:val="none" w:sz="0" w:space="0" w:color="auto"/>
      </w:divBdr>
    </w:div>
    <w:div w:id="245655258">
      <w:marLeft w:val="0"/>
      <w:marRight w:val="0"/>
      <w:marTop w:val="120"/>
      <w:marBottom w:val="0"/>
      <w:divBdr>
        <w:top w:val="none" w:sz="0" w:space="0" w:color="auto"/>
        <w:left w:val="none" w:sz="0" w:space="0" w:color="auto"/>
        <w:bottom w:val="none" w:sz="0" w:space="0" w:color="auto"/>
        <w:right w:val="none" w:sz="0" w:space="0" w:color="auto"/>
      </w:divBdr>
    </w:div>
    <w:div w:id="245766657">
      <w:marLeft w:val="0"/>
      <w:marRight w:val="0"/>
      <w:marTop w:val="120"/>
      <w:marBottom w:val="0"/>
      <w:divBdr>
        <w:top w:val="none" w:sz="0" w:space="0" w:color="auto"/>
        <w:left w:val="none" w:sz="0" w:space="0" w:color="auto"/>
        <w:bottom w:val="none" w:sz="0" w:space="0" w:color="auto"/>
        <w:right w:val="none" w:sz="0" w:space="0" w:color="auto"/>
      </w:divBdr>
    </w:div>
    <w:div w:id="246697877">
      <w:marLeft w:val="0"/>
      <w:marRight w:val="0"/>
      <w:marTop w:val="120"/>
      <w:marBottom w:val="0"/>
      <w:divBdr>
        <w:top w:val="none" w:sz="0" w:space="0" w:color="auto"/>
        <w:left w:val="none" w:sz="0" w:space="0" w:color="auto"/>
        <w:bottom w:val="none" w:sz="0" w:space="0" w:color="auto"/>
        <w:right w:val="none" w:sz="0" w:space="0" w:color="auto"/>
      </w:divBdr>
    </w:div>
    <w:div w:id="247423876">
      <w:marLeft w:val="0"/>
      <w:marRight w:val="0"/>
      <w:marTop w:val="120"/>
      <w:marBottom w:val="0"/>
      <w:divBdr>
        <w:top w:val="none" w:sz="0" w:space="0" w:color="auto"/>
        <w:left w:val="none" w:sz="0" w:space="0" w:color="auto"/>
        <w:bottom w:val="none" w:sz="0" w:space="0" w:color="auto"/>
        <w:right w:val="none" w:sz="0" w:space="0" w:color="auto"/>
      </w:divBdr>
    </w:div>
    <w:div w:id="248127775">
      <w:marLeft w:val="0"/>
      <w:marRight w:val="0"/>
      <w:marTop w:val="120"/>
      <w:marBottom w:val="0"/>
      <w:divBdr>
        <w:top w:val="none" w:sz="0" w:space="0" w:color="auto"/>
        <w:left w:val="none" w:sz="0" w:space="0" w:color="auto"/>
        <w:bottom w:val="none" w:sz="0" w:space="0" w:color="auto"/>
        <w:right w:val="none" w:sz="0" w:space="0" w:color="auto"/>
      </w:divBdr>
    </w:div>
    <w:div w:id="248781719">
      <w:marLeft w:val="0"/>
      <w:marRight w:val="0"/>
      <w:marTop w:val="120"/>
      <w:marBottom w:val="0"/>
      <w:divBdr>
        <w:top w:val="none" w:sz="0" w:space="0" w:color="auto"/>
        <w:left w:val="none" w:sz="0" w:space="0" w:color="auto"/>
        <w:bottom w:val="none" w:sz="0" w:space="0" w:color="auto"/>
        <w:right w:val="none" w:sz="0" w:space="0" w:color="auto"/>
      </w:divBdr>
    </w:div>
    <w:div w:id="249312484">
      <w:marLeft w:val="0"/>
      <w:marRight w:val="0"/>
      <w:marTop w:val="120"/>
      <w:marBottom w:val="0"/>
      <w:divBdr>
        <w:top w:val="none" w:sz="0" w:space="0" w:color="auto"/>
        <w:left w:val="none" w:sz="0" w:space="0" w:color="auto"/>
        <w:bottom w:val="none" w:sz="0" w:space="0" w:color="auto"/>
        <w:right w:val="none" w:sz="0" w:space="0" w:color="auto"/>
      </w:divBdr>
    </w:div>
    <w:div w:id="250505084">
      <w:marLeft w:val="0"/>
      <w:marRight w:val="0"/>
      <w:marTop w:val="120"/>
      <w:marBottom w:val="0"/>
      <w:divBdr>
        <w:top w:val="none" w:sz="0" w:space="0" w:color="auto"/>
        <w:left w:val="none" w:sz="0" w:space="0" w:color="auto"/>
        <w:bottom w:val="none" w:sz="0" w:space="0" w:color="auto"/>
        <w:right w:val="none" w:sz="0" w:space="0" w:color="auto"/>
      </w:divBdr>
    </w:div>
    <w:div w:id="255136831">
      <w:marLeft w:val="0"/>
      <w:marRight w:val="0"/>
      <w:marTop w:val="120"/>
      <w:marBottom w:val="0"/>
      <w:divBdr>
        <w:top w:val="none" w:sz="0" w:space="0" w:color="auto"/>
        <w:left w:val="none" w:sz="0" w:space="0" w:color="auto"/>
        <w:bottom w:val="none" w:sz="0" w:space="0" w:color="auto"/>
        <w:right w:val="none" w:sz="0" w:space="0" w:color="auto"/>
      </w:divBdr>
    </w:div>
    <w:div w:id="258104037">
      <w:marLeft w:val="0"/>
      <w:marRight w:val="0"/>
      <w:marTop w:val="120"/>
      <w:marBottom w:val="0"/>
      <w:divBdr>
        <w:top w:val="none" w:sz="0" w:space="0" w:color="auto"/>
        <w:left w:val="none" w:sz="0" w:space="0" w:color="auto"/>
        <w:bottom w:val="none" w:sz="0" w:space="0" w:color="auto"/>
        <w:right w:val="none" w:sz="0" w:space="0" w:color="auto"/>
      </w:divBdr>
    </w:div>
    <w:div w:id="258678661">
      <w:marLeft w:val="0"/>
      <w:marRight w:val="0"/>
      <w:marTop w:val="0"/>
      <w:marBottom w:val="0"/>
      <w:divBdr>
        <w:top w:val="none" w:sz="0" w:space="0" w:color="auto"/>
        <w:left w:val="none" w:sz="0" w:space="0" w:color="auto"/>
        <w:bottom w:val="none" w:sz="0" w:space="0" w:color="auto"/>
        <w:right w:val="none" w:sz="0" w:space="0" w:color="auto"/>
      </w:divBdr>
      <w:divsChild>
        <w:div w:id="127938347">
          <w:marLeft w:val="0"/>
          <w:marRight w:val="0"/>
          <w:marTop w:val="0"/>
          <w:marBottom w:val="0"/>
          <w:divBdr>
            <w:top w:val="none" w:sz="0" w:space="0" w:color="auto"/>
            <w:left w:val="none" w:sz="0" w:space="0" w:color="auto"/>
            <w:bottom w:val="none" w:sz="0" w:space="0" w:color="auto"/>
            <w:right w:val="none" w:sz="0" w:space="0" w:color="auto"/>
          </w:divBdr>
        </w:div>
      </w:divsChild>
    </w:div>
    <w:div w:id="259073608">
      <w:marLeft w:val="0"/>
      <w:marRight w:val="0"/>
      <w:marTop w:val="120"/>
      <w:marBottom w:val="0"/>
      <w:divBdr>
        <w:top w:val="none" w:sz="0" w:space="0" w:color="auto"/>
        <w:left w:val="none" w:sz="0" w:space="0" w:color="auto"/>
        <w:bottom w:val="none" w:sz="0" w:space="0" w:color="auto"/>
        <w:right w:val="none" w:sz="0" w:space="0" w:color="auto"/>
      </w:divBdr>
    </w:div>
    <w:div w:id="261650528">
      <w:marLeft w:val="0"/>
      <w:marRight w:val="0"/>
      <w:marTop w:val="0"/>
      <w:marBottom w:val="0"/>
      <w:divBdr>
        <w:top w:val="none" w:sz="0" w:space="0" w:color="auto"/>
        <w:left w:val="none" w:sz="0" w:space="0" w:color="auto"/>
        <w:bottom w:val="none" w:sz="0" w:space="0" w:color="auto"/>
        <w:right w:val="none" w:sz="0" w:space="0" w:color="auto"/>
      </w:divBdr>
      <w:divsChild>
        <w:div w:id="1468937510">
          <w:marLeft w:val="0"/>
          <w:marRight w:val="0"/>
          <w:marTop w:val="0"/>
          <w:marBottom w:val="0"/>
          <w:divBdr>
            <w:top w:val="none" w:sz="0" w:space="0" w:color="auto"/>
            <w:left w:val="none" w:sz="0" w:space="0" w:color="auto"/>
            <w:bottom w:val="none" w:sz="0" w:space="0" w:color="auto"/>
            <w:right w:val="none" w:sz="0" w:space="0" w:color="auto"/>
          </w:divBdr>
        </w:div>
      </w:divsChild>
    </w:div>
    <w:div w:id="261690689">
      <w:marLeft w:val="0"/>
      <w:marRight w:val="0"/>
      <w:marTop w:val="120"/>
      <w:marBottom w:val="0"/>
      <w:divBdr>
        <w:top w:val="none" w:sz="0" w:space="0" w:color="auto"/>
        <w:left w:val="none" w:sz="0" w:space="0" w:color="auto"/>
        <w:bottom w:val="none" w:sz="0" w:space="0" w:color="auto"/>
        <w:right w:val="none" w:sz="0" w:space="0" w:color="auto"/>
      </w:divBdr>
    </w:div>
    <w:div w:id="263075080">
      <w:marLeft w:val="0"/>
      <w:marRight w:val="0"/>
      <w:marTop w:val="120"/>
      <w:marBottom w:val="0"/>
      <w:divBdr>
        <w:top w:val="none" w:sz="0" w:space="0" w:color="auto"/>
        <w:left w:val="none" w:sz="0" w:space="0" w:color="auto"/>
        <w:bottom w:val="none" w:sz="0" w:space="0" w:color="auto"/>
        <w:right w:val="none" w:sz="0" w:space="0" w:color="auto"/>
      </w:divBdr>
    </w:div>
    <w:div w:id="263854077">
      <w:marLeft w:val="0"/>
      <w:marRight w:val="0"/>
      <w:marTop w:val="200"/>
      <w:marBottom w:val="0"/>
      <w:divBdr>
        <w:top w:val="none" w:sz="0" w:space="0" w:color="auto"/>
        <w:left w:val="none" w:sz="0" w:space="0" w:color="auto"/>
        <w:bottom w:val="none" w:sz="0" w:space="0" w:color="auto"/>
        <w:right w:val="none" w:sz="0" w:space="0" w:color="auto"/>
      </w:divBdr>
    </w:div>
    <w:div w:id="264272266">
      <w:marLeft w:val="0"/>
      <w:marRight w:val="0"/>
      <w:marTop w:val="120"/>
      <w:marBottom w:val="0"/>
      <w:divBdr>
        <w:top w:val="none" w:sz="0" w:space="0" w:color="auto"/>
        <w:left w:val="none" w:sz="0" w:space="0" w:color="auto"/>
        <w:bottom w:val="none" w:sz="0" w:space="0" w:color="auto"/>
        <w:right w:val="none" w:sz="0" w:space="0" w:color="auto"/>
      </w:divBdr>
    </w:div>
    <w:div w:id="266735508">
      <w:marLeft w:val="0"/>
      <w:marRight w:val="0"/>
      <w:marTop w:val="120"/>
      <w:marBottom w:val="0"/>
      <w:divBdr>
        <w:top w:val="none" w:sz="0" w:space="0" w:color="auto"/>
        <w:left w:val="none" w:sz="0" w:space="0" w:color="auto"/>
        <w:bottom w:val="none" w:sz="0" w:space="0" w:color="auto"/>
        <w:right w:val="none" w:sz="0" w:space="0" w:color="auto"/>
      </w:divBdr>
    </w:div>
    <w:div w:id="267277020">
      <w:marLeft w:val="0"/>
      <w:marRight w:val="0"/>
      <w:marTop w:val="120"/>
      <w:marBottom w:val="0"/>
      <w:divBdr>
        <w:top w:val="none" w:sz="0" w:space="0" w:color="auto"/>
        <w:left w:val="none" w:sz="0" w:space="0" w:color="auto"/>
        <w:bottom w:val="none" w:sz="0" w:space="0" w:color="auto"/>
        <w:right w:val="none" w:sz="0" w:space="0" w:color="auto"/>
      </w:divBdr>
    </w:div>
    <w:div w:id="272441185">
      <w:marLeft w:val="0"/>
      <w:marRight w:val="0"/>
      <w:marTop w:val="0"/>
      <w:marBottom w:val="0"/>
      <w:divBdr>
        <w:top w:val="none" w:sz="0" w:space="0" w:color="auto"/>
        <w:left w:val="none" w:sz="0" w:space="0" w:color="auto"/>
        <w:bottom w:val="none" w:sz="0" w:space="0" w:color="auto"/>
        <w:right w:val="none" w:sz="0" w:space="0" w:color="auto"/>
      </w:divBdr>
      <w:divsChild>
        <w:div w:id="2053531279">
          <w:marLeft w:val="0"/>
          <w:marRight w:val="0"/>
          <w:marTop w:val="0"/>
          <w:marBottom w:val="0"/>
          <w:divBdr>
            <w:top w:val="none" w:sz="0" w:space="0" w:color="auto"/>
            <w:left w:val="none" w:sz="0" w:space="0" w:color="auto"/>
            <w:bottom w:val="none" w:sz="0" w:space="0" w:color="auto"/>
            <w:right w:val="none" w:sz="0" w:space="0" w:color="auto"/>
          </w:divBdr>
        </w:div>
      </w:divsChild>
    </w:div>
    <w:div w:id="272517156">
      <w:marLeft w:val="0"/>
      <w:marRight w:val="0"/>
      <w:marTop w:val="120"/>
      <w:marBottom w:val="0"/>
      <w:divBdr>
        <w:top w:val="none" w:sz="0" w:space="0" w:color="auto"/>
        <w:left w:val="none" w:sz="0" w:space="0" w:color="auto"/>
        <w:bottom w:val="none" w:sz="0" w:space="0" w:color="auto"/>
        <w:right w:val="none" w:sz="0" w:space="0" w:color="auto"/>
      </w:divBdr>
    </w:div>
    <w:div w:id="274093235">
      <w:marLeft w:val="0"/>
      <w:marRight w:val="0"/>
      <w:marTop w:val="200"/>
      <w:marBottom w:val="0"/>
      <w:divBdr>
        <w:top w:val="none" w:sz="0" w:space="0" w:color="auto"/>
        <w:left w:val="none" w:sz="0" w:space="0" w:color="auto"/>
        <w:bottom w:val="none" w:sz="0" w:space="0" w:color="auto"/>
        <w:right w:val="none" w:sz="0" w:space="0" w:color="auto"/>
      </w:divBdr>
    </w:div>
    <w:div w:id="274286919">
      <w:marLeft w:val="0"/>
      <w:marRight w:val="0"/>
      <w:marTop w:val="120"/>
      <w:marBottom w:val="0"/>
      <w:divBdr>
        <w:top w:val="none" w:sz="0" w:space="0" w:color="auto"/>
        <w:left w:val="none" w:sz="0" w:space="0" w:color="auto"/>
        <w:bottom w:val="none" w:sz="0" w:space="0" w:color="auto"/>
        <w:right w:val="none" w:sz="0" w:space="0" w:color="auto"/>
      </w:divBdr>
    </w:div>
    <w:div w:id="275334583">
      <w:marLeft w:val="0"/>
      <w:marRight w:val="0"/>
      <w:marTop w:val="120"/>
      <w:marBottom w:val="0"/>
      <w:divBdr>
        <w:top w:val="none" w:sz="0" w:space="0" w:color="auto"/>
        <w:left w:val="none" w:sz="0" w:space="0" w:color="auto"/>
        <w:bottom w:val="none" w:sz="0" w:space="0" w:color="auto"/>
        <w:right w:val="none" w:sz="0" w:space="0" w:color="auto"/>
      </w:divBdr>
    </w:div>
    <w:div w:id="276185139">
      <w:marLeft w:val="0"/>
      <w:marRight w:val="0"/>
      <w:marTop w:val="120"/>
      <w:marBottom w:val="0"/>
      <w:divBdr>
        <w:top w:val="none" w:sz="0" w:space="0" w:color="auto"/>
        <w:left w:val="none" w:sz="0" w:space="0" w:color="auto"/>
        <w:bottom w:val="none" w:sz="0" w:space="0" w:color="auto"/>
        <w:right w:val="none" w:sz="0" w:space="0" w:color="auto"/>
      </w:divBdr>
    </w:div>
    <w:div w:id="277033688">
      <w:marLeft w:val="0"/>
      <w:marRight w:val="0"/>
      <w:marTop w:val="120"/>
      <w:marBottom w:val="0"/>
      <w:divBdr>
        <w:top w:val="none" w:sz="0" w:space="0" w:color="auto"/>
        <w:left w:val="none" w:sz="0" w:space="0" w:color="auto"/>
        <w:bottom w:val="none" w:sz="0" w:space="0" w:color="auto"/>
        <w:right w:val="none" w:sz="0" w:space="0" w:color="auto"/>
      </w:divBdr>
    </w:div>
    <w:div w:id="278220664">
      <w:marLeft w:val="0"/>
      <w:marRight w:val="0"/>
      <w:marTop w:val="120"/>
      <w:marBottom w:val="0"/>
      <w:divBdr>
        <w:top w:val="none" w:sz="0" w:space="0" w:color="auto"/>
        <w:left w:val="none" w:sz="0" w:space="0" w:color="auto"/>
        <w:bottom w:val="none" w:sz="0" w:space="0" w:color="auto"/>
        <w:right w:val="none" w:sz="0" w:space="0" w:color="auto"/>
      </w:divBdr>
    </w:div>
    <w:div w:id="281770390">
      <w:marLeft w:val="0"/>
      <w:marRight w:val="0"/>
      <w:marTop w:val="200"/>
      <w:marBottom w:val="0"/>
      <w:divBdr>
        <w:top w:val="none" w:sz="0" w:space="0" w:color="auto"/>
        <w:left w:val="none" w:sz="0" w:space="0" w:color="auto"/>
        <w:bottom w:val="none" w:sz="0" w:space="0" w:color="auto"/>
        <w:right w:val="none" w:sz="0" w:space="0" w:color="auto"/>
      </w:divBdr>
    </w:div>
    <w:div w:id="281811663">
      <w:marLeft w:val="0"/>
      <w:marRight w:val="0"/>
      <w:marTop w:val="0"/>
      <w:marBottom w:val="0"/>
      <w:divBdr>
        <w:top w:val="none" w:sz="0" w:space="0" w:color="auto"/>
        <w:left w:val="none" w:sz="0" w:space="0" w:color="auto"/>
        <w:bottom w:val="none" w:sz="0" w:space="0" w:color="auto"/>
        <w:right w:val="none" w:sz="0" w:space="0" w:color="auto"/>
      </w:divBdr>
      <w:divsChild>
        <w:div w:id="1308172224">
          <w:marLeft w:val="0"/>
          <w:marRight w:val="0"/>
          <w:marTop w:val="0"/>
          <w:marBottom w:val="0"/>
          <w:divBdr>
            <w:top w:val="none" w:sz="0" w:space="0" w:color="auto"/>
            <w:left w:val="none" w:sz="0" w:space="0" w:color="auto"/>
            <w:bottom w:val="none" w:sz="0" w:space="0" w:color="auto"/>
            <w:right w:val="none" w:sz="0" w:space="0" w:color="auto"/>
          </w:divBdr>
        </w:div>
      </w:divsChild>
    </w:div>
    <w:div w:id="282730297">
      <w:marLeft w:val="0"/>
      <w:marRight w:val="0"/>
      <w:marTop w:val="0"/>
      <w:marBottom w:val="0"/>
      <w:divBdr>
        <w:top w:val="none" w:sz="0" w:space="0" w:color="auto"/>
        <w:left w:val="none" w:sz="0" w:space="0" w:color="auto"/>
        <w:bottom w:val="none" w:sz="0" w:space="0" w:color="auto"/>
        <w:right w:val="none" w:sz="0" w:space="0" w:color="auto"/>
      </w:divBdr>
      <w:divsChild>
        <w:div w:id="2097945535">
          <w:marLeft w:val="0"/>
          <w:marRight w:val="0"/>
          <w:marTop w:val="0"/>
          <w:marBottom w:val="0"/>
          <w:divBdr>
            <w:top w:val="none" w:sz="0" w:space="0" w:color="auto"/>
            <w:left w:val="none" w:sz="0" w:space="0" w:color="auto"/>
            <w:bottom w:val="none" w:sz="0" w:space="0" w:color="auto"/>
            <w:right w:val="none" w:sz="0" w:space="0" w:color="auto"/>
          </w:divBdr>
        </w:div>
      </w:divsChild>
    </w:div>
    <w:div w:id="284122533">
      <w:marLeft w:val="0"/>
      <w:marRight w:val="0"/>
      <w:marTop w:val="120"/>
      <w:marBottom w:val="0"/>
      <w:divBdr>
        <w:top w:val="none" w:sz="0" w:space="0" w:color="auto"/>
        <w:left w:val="none" w:sz="0" w:space="0" w:color="auto"/>
        <w:bottom w:val="none" w:sz="0" w:space="0" w:color="auto"/>
        <w:right w:val="none" w:sz="0" w:space="0" w:color="auto"/>
      </w:divBdr>
    </w:div>
    <w:div w:id="284233883">
      <w:marLeft w:val="0"/>
      <w:marRight w:val="0"/>
      <w:marTop w:val="120"/>
      <w:marBottom w:val="0"/>
      <w:divBdr>
        <w:top w:val="none" w:sz="0" w:space="0" w:color="auto"/>
        <w:left w:val="none" w:sz="0" w:space="0" w:color="auto"/>
        <w:bottom w:val="none" w:sz="0" w:space="0" w:color="auto"/>
        <w:right w:val="none" w:sz="0" w:space="0" w:color="auto"/>
      </w:divBdr>
    </w:div>
    <w:div w:id="284967280">
      <w:marLeft w:val="0"/>
      <w:marRight w:val="0"/>
      <w:marTop w:val="120"/>
      <w:marBottom w:val="0"/>
      <w:divBdr>
        <w:top w:val="none" w:sz="0" w:space="0" w:color="auto"/>
        <w:left w:val="none" w:sz="0" w:space="0" w:color="auto"/>
        <w:bottom w:val="none" w:sz="0" w:space="0" w:color="auto"/>
        <w:right w:val="none" w:sz="0" w:space="0" w:color="auto"/>
      </w:divBdr>
    </w:div>
    <w:div w:id="290093197">
      <w:marLeft w:val="0"/>
      <w:marRight w:val="0"/>
      <w:marTop w:val="120"/>
      <w:marBottom w:val="0"/>
      <w:divBdr>
        <w:top w:val="none" w:sz="0" w:space="0" w:color="auto"/>
        <w:left w:val="none" w:sz="0" w:space="0" w:color="auto"/>
        <w:bottom w:val="none" w:sz="0" w:space="0" w:color="auto"/>
        <w:right w:val="none" w:sz="0" w:space="0" w:color="auto"/>
      </w:divBdr>
    </w:div>
    <w:div w:id="290522137">
      <w:marLeft w:val="0"/>
      <w:marRight w:val="0"/>
      <w:marTop w:val="200"/>
      <w:marBottom w:val="0"/>
      <w:divBdr>
        <w:top w:val="none" w:sz="0" w:space="0" w:color="auto"/>
        <w:left w:val="none" w:sz="0" w:space="0" w:color="auto"/>
        <w:bottom w:val="none" w:sz="0" w:space="0" w:color="auto"/>
        <w:right w:val="none" w:sz="0" w:space="0" w:color="auto"/>
      </w:divBdr>
    </w:div>
    <w:div w:id="292294002">
      <w:marLeft w:val="0"/>
      <w:marRight w:val="0"/>
      <w:marTop w:val="120"/>
      <w:marBottom w:val="0"/>
      <w:divBdr>
        <w:top w:val="none" w:sz="0" w:space="0" w:color="auto"/>
        <w:left w:val="none" w:sz="0" w:space="0" w:color="auto"/>
        <w:bottom w:val="none" w:sz="0" w:space="0" w:color="auto"/>
        <w:right w:val="none" w:sz="0" w:space="0" w:color="auto"/>
      </w:divBdr>
    </w:div>
    <w:div w:id="292564798">
      <w:marLeft w:val="0"/>
      <w:marRight w:val="0"/>
      <w:marTop w:val="120"/>
      <w:marBottom w:val="0"/>
      <w:divBdr>
        <w:top w:val="none" w:sz="0" w:space="0" w:color="auto"/>
        <w:left w:val="none" w:sz="0" w:space="0" w:color="auto"/>
        <w:bottom w:val="none" w:sz="0" w:space="0" w:color="auto"/>
        <w:right w:val="none" w:sz="0" w:space="0" w:color="auto"/>
      </w:divBdr>
    </w:div>
    <w:div w:id="292685588">
      <w:marLeft w:val="0"/>
      <w:marRight w:val="0"/>
      <w:marTop w:val="0"/>
      <w:marBottom w:val="0"/>
      <w:divBdr>
        <w:top w:val="none" w:sz="0" w:space="0" w:color="auto"/>
        <w:left w:val="none" w:sz="0" w:space="0" w:color="auto"/>
        <w:bottom w:val="none" w:sz="0" w:space="0" w:color="auto"/>
        <w:right w:val="none" w:sz="0" w:space="0" w:color="auto"/>
      </w:divBdr>
      <w:divsChild>
        <w:div w:id="691759552">
          <w:marLeft w:val="0"/>
          <w:marRight w:val="0"/>
          <w:marTop w:val="0"/>
          <w:marBottom w:val="0"/>
          <w:divBdr>
            <w:top w:val="none" w:sz="0" w:space="0" w:color="auto"/>
            <w:left w:val="none" w:sz="0" w:space="0" w:color="auto"/>
            <w:bottom w:val="none" w:sz="0" w:space="0" w:color="auto"/>
            <w:right w:val="none" w:sz="0" w:space="0" w:color="auto"/>
          </w:divBdr>
        </w:div>
      </w:divsChild>
    </w:div>
    <w:div w:id="293216960">
      <w:marLeft w:val="0"/>
      <w:marRight w:val="0"/>
      <w:marTop w:val="0"/>
      <w:marBottom w:val="0"/>
      <w:divBdr>
        <w:top w:val="none" w:sz="0" w:space="0" w:color="auto"/>
        <w:left w:val="none" w:sz="0" w:space="0" w:color="auto"/>
        <w:bottom w:val="none" w:sz="0" w:space="0" w:color="auto"/>
        <w:right w:val="none" w:sz="0" w:space="0" w:color="auto"/>
      </w:divBdr>
      <w:divsChild>
        <w:div w:id="2055537134">
          <w:marLeft w:val="0"/>
          <w:marRight w:val="0"/>
          <w:marTop w:val="0"/>
          <w:marBottom w:val="0"/>
          <w:divBdr>
            <w:top w:val="none" w:sz="0" w:space="0" w:color="auto"/>
            <w:left w:val="none" w:sz="0" w:space="0" w:color="auto"/>
            <w:bottom w:val="none" w:sz="0" w:space="0" w:color="auto"/>
            <w:right w:val="none" w:sz="0" w:space="0" w:color="auto"/>
          </w:divBdr>
        </w:div>
      </w:divsChild>
    </w:div>
    <w:div w:id="293218296">
      <w:marLeft w:val="0"/>
      <w:marRight w:val="0"/>
      <w:marTop w:val="120"/>
      <w:marBottom w:val="0"/>
      <w:divBdr>
        <w:top w:val="none" w:sz="0" w:space="0" w:color="auto"/>
        <w:left w:val="none" w:sz="0" w:space="0" w:color="auto"/>
        <w:bottom w:val="none" w:sz="0" w:space="0" w:color="auto"/>
        <w:right w:val="none" w:sz="0" w:space="0" w:color="auto"/>
      </w:divBdr>
    </w:div>
    <w:div w:id="294026870">
      <w:marLeft w:val="0"/>
      <w:marRight w:val="0"/>
      <w:marTop w:val="120"/>
      <w:marBottom w:val="0"/>
      <w:divBdr>
        <w:top w:val="none" w:sz="0" w:space="0" w:color="auto"/>
        <w:left w:val="none" w:sz="0" w:space="0" w:color="auto"/>
        <w:bottom w:val="none" w:sz="0" w:space="0" w:color="auto"/>
        <w:right w:val="none" w:sz="0" w:space="0" w:color="auto"/>
      </w:divBdr>
    </w:div>
    <w:div w:id="294651452">
      <w:marLeft w:val="0"/>
      <w:marRight w:val="0"/>
      <w:marTop w:val="200"/>
      <w:marBottom w:val="0"/>
      <w:divBdr>
        <w:top w:val="none" w:sz="0" w:space="0" w:color="auto"/>
        <w:left w:val="none" w:sz="0" w:space="0" w:color="auto"/>
        <w:bottom w:val="none" w:sz="0" w:space="0" w:color="auto"/>
        <w:right w:val="none" w:sz="0" w:space="0" w:color="auto"/>
      </w:divBdr>
    </w:div>
    <w:div w:id="296373567">
      <w:marLeft w:val="0"/>
      <w:marRight w:val="0"/>
      <w:marTop w:val="120"/>
      <w:marBottom w:val="0"/>
      <w:divBdr>
        <w:top w:val="none" w:sz="0" w:space="0" w:color="auto"/>
        <w:left w:val="none" w:sz="0" w:space="0" w:color="auto"/>
        <w:bottom w:val="none" w:sz="0" w:space="0" w:color="auto"/>
        <w:right w:val="none" w:sz="0" w:space="0" w:color="auto"/>
      </w:divBdr>
    </w:div>
    <w:div w:id="297682682">
      <w:marLeft w:val="0"/>
      <w:marRight w:val="0"/>
      <w:marTop w:val="200"/>
      <w:marBottom w:val="0"/>
      <w:divBdr>
        <w:top w:val="none" w:sz="0" w:space="0" w:color="auto"/>
        <w:left w:val="none" w:sz="0" w:space="0" w:color="auto"/>
        <w:bottom w:val="none" w:sz="0" w:space="0" w:color="auto"/>
        <w:right w:val="none" w:sz="0" w:space="0" w:color="auto"/>
      </w:divBdr>
    </w:div>
    <w:div w:id="298417743">
      <w:marLeft w:val="0"/>
      <w:marRight w:val="0"/>
      <w:marTop w:val="0"/>
      <w:marBottom w:val="0"/>
      <w:divBdr>
        <w:top w:val="none" w:sz="0" w:space="0" w:color="auto"/>
        <w:left w:val="none" w:sz="0" w:space="0" w:color="auto"/>
        <w:bottom w:val="none" w:sz="0" w:space="0" w:color="auto"/>
        <w:right w:val="none" w:sz="0" w:space="0" w:color="auto"/>
      </w:divBdr>
      <w:divsChild>
        <w:div w:id="1855343345">
          <w:marLeft w:val="0"/>
          <w:marRight w:val="0"/>
          <w:marTop w:val="0"/>
          <w:marBottom w:val="0"/>
          <w:divBdr>
            <w:top w:val="none" w:sz="0" w:space="0" w:color="auto"/>
            <w:left w:val="none" w:sz="0" w:space="0" w:color="auto"/>
            <w:bottom w:val="none" w:sz="0" w:space="0" w:color="auto"/>
            <w:right w:val="none" w:sz="0" w:space="0" w:color="auto"/>
          </w:divBdr>
        </w:div>
      </w:divsChild>
    </w:div>
    <w:div w:id="298731654">
      <w:marLeft w:val="0"/>
      <w:marRight w:val="0"/>
      <w:marTop w:val="120"/>
      <w:marBottom w:val="0"/>
      <w:divBdr>
        <w:top w:val="none" w:sz="0" w:space="0" w:color="auto"/>
        <w:left w:val="none" w:sz="0" w:space="0" w:color="auto"/>
        <w:bottom w:val="none" w:sz="0" w:space="0" w:color="auto"/>
        <w:right w:val="none" w:sz="0" w:space="0" w:color="auto"/>
      </w:divBdr>
    </w:div>
    <w:div w:id="303121661">
      <w:marLeft w:val="0"/>
      <w:marRight w:val="0"/>
      <w:marTop w:val="0"/>
      <w:marBottom w:val="0"/>
      <w:divBdr>
        <w:top w:val="none" w:sz="0" w:space="0" w:color="auto"/>
        <w:left w:val="none" w:sz="0" w:space="0" w:color="auto"/>
        <w:bottom w:val="none" w:sz="0" w:space="0" w:color="auto"/>
        <w:right w:val="none" w:sz="0" w:space="0" w:color="auto"/>
      </w:divBdr>
      <w:divsChild>
        <w:div w:id="247351135">
          <w:marLeft w:val="0"/>
          <w:marRight w:val="0"/>
          <w:marTop w:val="0"/>
          <w:marBottom w:val="0"/>
          <w:divBdr>
            <w:top w:val="none" w:sz="0" w:space="0" w:color="auto"/>
            <w:left w:val="none" w:sz="0" w:space="0" w:color="auto"/>
            <w:bottom w:val="none" w:sz="0" w:space="0" w:color="auto"/>
            <w:right w:val="none" w:sz="0" w:space="0" w:color="auto"/>
          </w:divBdr>
        </w:div>
      </w:divsChild>
    </w:div>
    <w:div w:id="307520859">
      <w:marLeft w:val="0"/>
      <w:marRight w:val="0"/>
      <w:marTop w:val="120"/>
      <w:marBottom w:val="0"/>
      <w:divBdr>
        <w:top w:val="none" w:sz="0" w:space="0" w:color="auto"/>
        <w:left w:val="none" w:sz="0" w:space="0" w:color="auto"/>
        <w:bottom w:val="none" w:sz="0" w:space="0" w:color="auto"/>
        <w:right w:val="none" w:sz="0" w:space="0" w:color="auto"/>
      </w:divBdr>
    </w:div>
    <w:div w:id="308827287">
      <w:marLeft w:val="0"/>
      <w:marRight w:val="0"/>
      <w:marTop w:val="120"/>
      <w:marBottom w:val="0"/>
      <w:divBdr>
        <w:top w:val="none" w:sz="0" w:space="0" w:color="auto"/>
        <w:left w:val="none" w:sz="0" w:space="0" w:color="auto"/>
        <w:bottom w:val="none" w:sz="0" w:space="0" w:color="auto"/>
        <w:right w:val="none" w:sz="0" w:space="0" w:color="auto"/>
      </w:divBdr>
    </w:div>
    <w:div w:id="309554072">
      <w:marLeft w:val="0"/>
      <w:marRight w:val="0"/>
      <w:marTop w:val="120"/>
      <w:marBottom w:val="0"/>
      <w:divBdr>
        <w:top w:val="none" w:sz="0" w:space="0" w:color="auto"/>
        <w:left w:val="none" w:sz="0" w:space="0" w:color="auto"/>
        <w:bottom w:val="none" w:sz="0" w:space="0" w:color="auto"/>
        <w:right w:val="none" w:sz="0" w:space="0" w:color="auto"/>
      </w:divBdr>
    </w:div>
    <w:div w:id="312412261">
      <w:marLeft w:val="0"/>
      <w:marRight w:val="0"/>
      <w:marTop w:val="120"/>
      <w:marBottom w:val="0"/>
      <w:divBdr>
        <w:top w:val="none" w:sz="0" w:space="0" w:color="auto"/>
        <w:left w:val="none" w:sz="0" w:space="0" w:color="auto"/>
        <w:bottom w:val="none" w:sz="0" w:space="0" w:color="auto"/>
        <w:right w:val="none" w:sz="0" w:space="0" w:color="auto"/>
      </w:divBdr>
    </w:div>
    <w:div w:id="313804685">
      <w:marLeft w:val="0"/>
      <w:marRight w:val="0"/>
      <w:marTop w:val="200"/>
      <w:marBottom w:val="0"/>
      <w:divBdr>
        <w:top w:val="none" w:sz="0" w:space="0" w:color="auto"/>
        <w:left w:val="none" w:sz="0" w:space="0" w:color="auto"/>
        <w:bottom w:val="none" w:sz="0" w:space="0" w:color="auto"/>
        <w:right w:val="none" w:sz="0" w:space="0" w:color="auto"/>
      </w:divBdr>
    </w:div>
    <w:div w:id="315499462">
      <w:marLeft w:val="0"/>
      <w:marRight w:val="0"/>
      <w:marTop w:val="120"/>
      <w:marBottom w:val="0"/>
      <w:divBdr>
        <w:top w:val="none" w:sz="0" w:space="0" w:color="auto"/>
        <w:left w:val="none" w:sz="0" w:space="0" w:color="auto"/>
        <w:bottom w:val="none" w:sz="0" w:space="0" w:color="auto"/>
        <w:right w:val="none" w:sz="0" w:space="0" w:color="auto"/>
      </w:divBdr>
    </w:div>
    <w:div w:id="316301966">
      <w:marLeft w:val="0"/>
      <w:marRight w:val="0"/>
      <w:marTop w:val="120"/>
      <w:marBottom w:val="0"/>
      <w:divBdr>
        <w:top w:val="none" w:sz="0" w:space="0" w:color="auto"/>
        <w:left w:val="none" w:sz="0" w:space="0" w:color="auto"/>
        <w:bottom w:val="none" w:sz="0" w:space="0" w:color="auto"/>
        <w:right w:val="none" w:sz="0" w:space="0" w:color="auto"/>
      </w:divBdr>
    </w:div>
    <w:div w:id="317155526">
      <w:marLeft w:val="0"/>
      <w:marRight w:val="0"/>
      <w:marTop w:val="120"/>
      <w:marBottom w:val="0"/>
      <w:divBdr>
        <w:top w:val="none" w:sz="0" w:space="0" w:color="auto"/>
        <w:left w:val="none" w:sz="0" w:space="0" w:color="auto"/>
        <w:bottom w:val="none" w:sz="0" w:space="0" w:color="auto"/>
        <w:right w:val="none" w:sz="0" w:space="0" w:color="auto"/>
      </w:divBdr>
    </w:div>
    <w:div w:id="317731918">
      <w:marLeft w:val="0"/>
      <w:marRight w:val="0"/>
      <w:marTop w:val="120"/>
      <w:marBottom w:val="0"/>
      <w:divBdr>
        <w:top w:val="none" w:sz="0" w:space="0" w:color="auto"/>
        <w:left w:val="none" w:sz="0" w:space="0" w:color="auto"/>
        <w:bottom w:val="none" w:sz="0" w:space="0" w:color="auto"/>
        <w:right w:val="none" w:sz="0" w:space="0" w:color="auto"/>
      </w:divBdr>
    </w:div>
    <w:div w:id="318046538">
      <w:marLeft w:val="0"/>
      <w:marRight w:val="0"/>
      <w:marTop w:val="120"/>
      <w:marBottom w:val="0"/>
      <w:divBdr>
        <w:top w:val="none" w:sz="0" w:space="0" w:color="auto"/>
        <w:left w:val="none" w:sz="0" w:space="0" w:color="auto"/>
        <w:bottom w:val="none" w:sz="0" w:space="0" w:color="auto"/>
        <w:right w:val="none" w:sz="0" w:space="0" w:color="auto"/>
      </w:divBdr>
    </w:div>
    <w:div w:id="318272393">
      <w:marLeft w:val="0"/>
      <w:marRight w:val="0"/>
      <w:marTop w:val="100"/>
      <w:marBottom w:val="0"/>
      <w:divBdr>
        <w:top w:val="none" w:sz="0" w:space="0" w:color="auto"/>
        <w:left w:val="none" w:sz="0" w:space="0" w:color="auto"/>
        <w:bottom w:val="none" w:sz="0" w:space="0" w:color="auto"/>
        <w:right w:val="none" w:sz="0" w:space="0" w:color="auto"/>
      </w:divBdr>
    </w:div>
    <w:div w:id="319240019">
      <w:marLeft w:val="0"/>
      <w:marRight w:val="0"/>
      <w:marTop w:val="200"/>
      <w:marBottom w:val="0"/>
      <w:divBdr>
        <w:top w:val="none" w:sz="0" w:space="0" w:color="auto"/>
        <w:left w:val="none" w:sz="0" w:space="0" w:color="auto"/>
        <w:bottom w:val="none" w:sz="0" w:space="0" w:color="auto"/>
        <w:right w:val="none" w:sz="0" w:space="0" w:color="auto"/>
      </w:divBdr>
    </w:div>
    <w:div w:id="320280691">
      <w:marLeft w:val="0"/>
      <w:marRight w:val="0"/>
      <w:marTop w:val="0"/>
      <w:marBottom w:val="0"/>
      <w:divBdr>
        <w:top w:val="none" w:sz="0" w:space="0" w:color="auto"/>
        <w:left w:val="none" w:sz="0" w:space="0" w:color="auto"/>
        <w:bottom w:val="none" w:sz="0" w:space="0" w:color="auto"/>
        <w:right w:val="none" w:sz="0" w:space="0" w:color="auto"/>
      </w:divBdr>
      <w:divsChild>
        <w:div w:id="604701376">
          <w:marLeft w:val="0"/>
          <w:marRight w:val="0"/>
          <w:marTop w:val="0"/>
          <w:marBottom w:val="0"/>
          <w:divBdr>
            <w:top w:val="none" w:sz="0" w:space="0" w:color="auto"/>
            <w:left w:val="none" w:sz="0" w:space="0" w:color="auto"/>
            <w:bottom w:val="none" w:sz="0" w:space="0" w:color="auto"/>
            <w:right w:val="none" w:sz="0" w:space="0" w:color="auto"/>
          </w:divBdr>
        </w:div>
      </w:divsChild>
    </w:div>
    <w:div w:id="320357964">
      <w:marLeft w:val="0"/>
      <w:marRight w:val="0"/>
      <w:marTop w:val="120"/>
      <w:marBottom w:val="0"/>
      <w:divBdr>
        <w:top w:val="none" w:sz="0" w:space="0" w:color="auto"/>
        <w:left w:val="none" w:sz="0" w:space="0" w:color="auto"/>
        <w:bottom w:val="none" w:sz="0" w:space="0" w:color="auto"/>
        <w:right w:val="none" w:sz="0" w:space="0" w:color="auto"/>
      </w:divBdr>
    </w:div>
    <w:div w:id="322510473">
      <w:marLeft w:val="0"/>
      <w:marRight w:val="0"/>
      <w:marTop w:val="120"/>
      <w:marBottom w:val="0"/>
      <w:divBdr>
        <w:top w:val="none" w:sz="0" w:space="0" w:color="auto"/>
        <w:left w:val="none" w:sz="0" w:space="0" w:color="auto"/>
        <w:bottom w:val="none" w:sz="0" w:space="0" w:color="auto"/>
        <w:right w:val="none" w:sz="0" w:space="0" w:color="auto"/>
      </w:divBdr>
    </w:div>
    <w:div w:id="322861216">
      <w:marLeft w:val="0"/>
      <w:marRight w:val="0"/>
      <w:marTop w:val="100"/>
      <w:marBottom w:val="0"/>
      <w:divBdr>
        <w:top w:val="none" w:sz="0" w:space="0" w:color="auto"/>
        <w:left w:val="none" w:sz="0" w:space="0" w:color="auto"/>
        <w:bottom w:val="none" w:sz="0" w:space="0" w:color="auto"/>
        <w:right w:val="none" w:sz="0" w:space="0" w:color="auto"/>
      </w:divBdr>
    </w:div>
    <w:div w:id="326400322">
      <w:marLeft w:val="0"/>
      <w:marRight w:val="0"/>
      <w:marTop w:val="0"/>
      <w:marBottom w:val="0"/>
      <w:divBdr>
        <w:top w:val="none" w:sz="0" w:space="0" w:color="auto"/>
        <w:left w:val="none" w:sz="0" w:space="0" w:color="auto"/>
        <w:bottom w:val="none" w:sz="0" w:space="0" w:color="auto"/>
        <w:right w:val="none" w:sz="0" w:space="0" w:color="auto"/>
      </w:divBdr>
      <w:divsChild>
        <w:div w:id="917905778">
          <w:marLeft w:val="0"/>
          <w:marRight w:val="0"/>
          <w:marTop w:val="0"/>
          <w:marBottom w:val="0"/>
          <w:divBdr>
            <w:top w:val="none" w:sz="0" w:space="0" w:color="auto"/>
            <w:left w:val="none" w:sz="0" w:space="0" w:color="auto"/>
            <w:bottom w:val="none" w:sz="0" w:space="0" w:color="auto"/>
            <w:right w:val="none" w:sz="0" w:space="0" w:color="auto"/>
          </w:divBdr>
        </w:div>
      </w:divsChild>
    </w:div>
    <w:div w:id="326978669">
      <w:marLeft w:val="0"/>
      <w:marRight w:val="0"/>
      <w:marTop w:val="100"/>
      <w:marBottom w:val="0"/>
      <w:divBdr>
        <w:top w:val="none" w:sz="0" w:space="0" w:color="auto"/>
        <w:left w:val="none" w:sz="0" w:space="0" w:color="auto"/>
        <w:bottom w:val="none" w:sz="0" w:space="0" w:color="auto"/>
        <w:right w:val="none" w:sz="0" w:space="0" w:color="auto"/>
      </w:divBdr>
      <w:divsChild>
        <w:div w:id="853955478">
          <w:marLeft w:val="0"/>
          <w:marRight w:val="0"/>
          <w:marTop w:val="0"/>
          <w:marBottom w:val="0"/>
          <w:divBdr>
            <w:top w:val="none" w:sz="0" w:space="0" w:color="auto"/>
            <w:left w:val="none" w:sz="0" w:space="0" w:color="auto"/>
            <w:bottom w:val="none" w:sz="0" w:space="0" w:color="auto"/>
            <w:right w:val="none" w:sz="0" w:space="0" w:color="auto"/>
          </w:divBdr>
        </w:div>
        <w:div w:id="1311404690">
          <w:marLeft w:val="0"/>
          <w:marRight w:val="0"/>
          <w:marTop w:val="0"/>
          <w:marBottom w:val="0"/>
          <w:divBdr>
            <w:top w:val="none" w:sz="0" w:space="0" w:color="auto"/>
            <w:left w:val="none" w:sz="0" w:space="0" w:color="auto"/>
            <w:bottom w:val="none" w:sz="0" w:space="0" w:color="auto"/>
            <w:right w:val="none" w:sz="0" w:space="0" w:color="auto"/>
          </w:divBdr>
        </w:div>
      </w:divsChild>
    </w:div>
    <w:div w:id="327288150">
      <w:marLeft w:val="0"/>
      <w:marRight w:val="0"/>
      <w:marTop w:val="120"/>
      <w:marBottom w:val="0"/>
      <w:divBdr>
        <w:top w:val="none" w:sz="0" w:space="0" w:color="auto"/>
        <w:left w:val="none" w:sz="0" w:space="0" w:color="auto"/>
        <w:bottom w:val="none" w:sz="0" w:space="0" w:color="auto"/>
        <w:right w:val="none" w:sz="0" w:space="0" w:color="auto"/>
      </w:divBdr>
    </w:div>
    <w:div w:id="329214448">
      <w:marLeft w:val="0"/>
      <w:marRight w:val="0"/>
      <w:marTop w:val="0"/>
      <w:marBottom w:val="0"/>
      <w:divBdr>
        <w:top w:val="none" w:sz="0" w:space="0" w:color="auto"/>
        <w:left w:val="none" w:sz="0" w:space="0" w:color="auto"/>
        <w:bottom w:val="none" w:sz="0" w:space="0" w:color="auto"/>
        <w:right w:val="none" w:sz="0" w:space="0" w:color="auto"/>
      </w:divBdr>
      <w:divsChild>
        <w:div w:id="2003501980">
          <w:marLeft w:val="0"/>
          <w:marRight w:val="0"/>
          <w:marTop w:val="0"/>
          <w:marBottom w:val="0"/>
          <w:divBdr>
            <w:top w:val="none" w:sz="0" w:space="0" w:color="auto"/>
            <w:left w:val="none" w:sz="0" w:space="0" w:color="auto"/>
            <w:bottom w:val="none" w:sz="0" w:space="0" w:color="auto"/>
            <w:right w:val="none" w:sz="0" w:space="0" w:color="auto"/>
          </w:divBdr>
        </w:div>
      </w:divsChild>
    </w:div>
    <w:div w:id="330529958">
      <w:marLeft w:val="0"/>
      <w:marRight w:val="0"/>
      <w:marTop w:val="0"/>
      <w:marBottom w:val="0"/>
      <w:divBdr>
        <w:top w:val="none" w:sz="0" w:space="0" w:color="auto"/>
        <w:left w:val="none" w:sz="0" w:space="0" w:color="auto"/>
        <w:bottom w:val="none" w:sz="0" w:space="0" w:color="auto"/>
        <w:right w:val="none" w:sz="0" w:space="0" w:color="auto"/>
      </w:divBdr>
      <w:divsChild>
        <w:div w:id="1464999361">
          <w:marLeft w:val="0"/>
          <w:marRight w:val="0"/>
          <w:marTop w:val="0"/>
          <w:marBottom w:val="0"/>
          <w:divBdr>
            <w:top w:val="none" w:sz="0" w:space="0" w:color="auto"/>
            <w:left w:val="none" w:sz="0" w:space="0" w:color="auto"/>
            <w:bottom w:val="none" w:sz="0" w:space="0" w:color="auto"/>
            <w:right w:val="none" w:sz="0" w:space="0" w:color="auto"/>
          </w:divBdr>
        </w:div>
      </w:divsChild>
    </w:div>
    <w:div w:id="331297847">
      <w:marLeft w:val="0"/>
      <w:marRight w:val="0"/>
      <w:marTop w:val="120"/>
      <w:marBottom w:val="0"/>
      <w:divBdr>
        <w:top w:val="none" w:sz="0" w:space="0" w:color="auto"/>
        <w:left w:val="none" w:sz="0" w:space="0" w:color="auto"/>
        <w:bottom w:val="none" w:sz="0" w:space="0" w:color="auto"/>
        <w:right w:val="none" w:sz="0" w:space="0" w:color="auto"/>
      </w:divBdr>
    </w:div>
    <w:div w:id="332874073">
      <w:marLeft w:val="0"/>
      <w:marRight w:val="0"/>
      <w:marTop w:val="120"/>
      <w:marBottom w:val="0"/>
      <w:divBdr>
        <w:top w:val="none" w:sz="0" w:space="0" w:color="auto"/>
        <w:left w:val="none" w:sz="0" w:space="0" w:color="auto"/>
        <w:bottom w:val="none" w:sz="0" w:space="0" w:color="auto"/>
        <w:right w:val="none" w:sz="0" w:space="0" w:color="auto"/>
      </w:divBdr>
    </w:div>
    <w:div w:id="334504861">
      <w:marLeft w:val="0"/>
      <w:marRight w:val="0"/>
      <w:marTop w:val="200"/>
      <w:marBottom w:val="0"/>
      <w:divBdr>
        <w:top w:val="none" w:sz="0" w:space="0" w:color="auto"/>
        <w:left w:val="none" w:sz="0" w:space="0" w:color="auto"/>
        <w:bottom w:val="none" w:sz="0" w:space="0" w:color="auto"/>
        <w:right w:val="none" w:sz="0" w:space="0" w:color="auto"/>
      </w:divBdr>
    </w:div>
    <w:div w:id="334921654">
      <w:marLeft w:val="0"/>
      <w:marRight w:val="0"/>
      <w:marTop w:val="60"/>
      <w:marBottom w:val="0"/>
      <w:divBdr>
        <w:top w:val="none" w:sz="0" w:space="0" w:color="auto"/>
        <w:left w:val="none" w:sz="0" w:space="0" w:color="auto"/>
        <w:bottom w:val="none" w:sz="0" w:space="0" w:color="auto"/>
        <w:right w:val="none" w:sz="0" w:space="0" w:color="auto"/>
      </w:divBdr>
    </w:div>
    <w:div w:id="336157476">
      <w:marLeft w:val="0"/>
      <w:marRight w:val="0"/>
      <w:marTop w:val="200"/>
      <w:marBottom w:val="0"/>
      <w:divBdr>
        <w:top w:val="none" w:sz="0" w:space="0" w:color="auto"/>
        <w:left w:val="none" w:sz="0" w:space="0" w:color="auto"/>
        <w:bottom w:val="none" w:sz="0" w:space="0" w:color="auto"/>
        <w:right w:val="none" w:sz="0" w:space="0" w:color="auto"/>
      </w:divBdr>
    </w:div>
    <w:div w:id="337074712">
      <w:marLeft w:val="0"/>
      <w:marRight w:val="0"/>
      <w:marTop w:val="200"/>
      <w:marBottom w:val="0"/>
      <w:divBdr>
        <w:top w:val="none" w:sz="0" w:space="0" w:color="auto"/>
        <w:left w:val="none" w:sz="0" w:space="0" w:color="auto"/>
        <w:bottom w:val="none" w:sz="0" w:space="0" w:color="auto"/>
        <w:right w:val="none" w:sz="0" w:space="0" w:color="auto"/>
      </w:divBdr>
    </w:div>
    <w:div w:id="337079667">
      <w:marLeft w:val="0"/>
      <w:marRight w:val="0"/>
      <w:marTop w:val="120"/>
      <w:marBottom w:val="0"/>
      <w:divBdr>
        <w:top w:val="none" w:sz="0" w:space="0" w:color="auto"/>
        <w:left w:val="none" w:sz="0" w:space="0" w:color="auto"/>
        <w:bottom w:val="none" w:sz="0" w:space="0" w:color="auto"/>
        <w:right w:val="none" w:sz="0" w:space="0" w:color="auto"/>
      </w:divBdr>
    </w:div>
    <w:div w:id="337998355">
      <w:marLeft w:val="0"/>
      <w:marRight w:val="0"/>
      <w:marTop w:val="0"/>
      <w:marBottom w:val="0"/>
      <w:divBdr>
        <w:top w:val="none" w:sz="0" w:space="0" w:color="auto"/>
        <w:left w:val="none" w:sz="0" w:space="0" w:color="auto"/>
        <w:bottom w:val="none" w:sz="0" w:space="0" w:color="auto"/>
        <w:right w:val="none" w:sz="0" w:space="0" w:color="auto"/>
      </w:divBdr>
      <w:divsChild>
        <w:div w:id="1663388968">
          <w:marLeft w:val="0"/>
          <w:marRight w:val="0"/>
          <w:marTop w:val="0"/>
          <w:marBottom w:val="0"/>
          <w:divBdr>
            <w:top w:val="none" w:sz="0" w:space="0" w:color="auto"/>
            <w:left w:val="none" w:sz="0" w:space="0" w:color="auto"/>
            <w:bottom w:val="none" w:sz="0" w:space="0" w:color="auto"/>
            <w:right w:val="none" w:sz="0" w:space="0" w:color="auto"/>
          </w:divBdr>
        </w:div>
      </w:divsChild>
    </w:div>
    <w:div w:id="338194418">
      <w:marLeft w:val="0"/>
      <w:marRight w:val="0"/>
      <w:marTop w:val="120"/>
      <w:marBottom w:val="0"/>
      <w:divBdr>
        <w:top w:val="none" w:sz="0" w:space="0" w:color="auto"/>
        <w:left w:val="none" w:sz="0" w:space="0" w:color="auto"/>
        <w:bottom w:val="none" w:sz="0" w:space="0" w:color="auto"/>
        <w:right w:val="none" w:sz="0" w:space="0" w:color="auto"/>
      </w:divBdr>
    </w:div>
    <w:div w:id="339159433">
      <w:marLeft w:val="0"/>
      <w:marRight w:val="0"/>
      <w:marTop w:val="120"/>
      <w:marBottom w:val="0"/>
      <w:divBdr>
        <w:top w:val="none" w:sz="0" w:space="0" w:color="auto"/>
        <w:left w:val="none" w:sz="0" w:space="0" w:color="auto"/>
        <w:bottom w:val="none" w:sz="0" w:space="0" w:color="auto"/>
        <w:right w:val="none" w:sz="0" w:space="0" w:color="auto"/>
      </w:divBdr>
    </w:div>
    <w:div w:id="339620794">
      <w:marLeft w:val="0"/>
      <w:marRight w:val="0"/>
      <w:marTop w:val="120"/>
      <w:marBottom w:val="0"/>
      <w:divBdr>
        <w:top w:val="none" w:sz="0" w:space="0" w:color="auto"/>
        <w:left w:val="none" w:sz="0" w:space="0" w:color="auto"/>
        <w:bottom w:val="none" w:sz="0" w:space="0" w:color="auto"/>
        <w:right w:val="none" w:sz="0" w:space="0" w:color="auto"/>
      </w:divBdr>
    </w:div>
    <w:div w:id="340085771">
      <w:marLeft w:val="0"/>
      <w:marRight w:val="0"/>
      <w:marTop w:val="120"/>
      <w:marBottom w:val="0"/>
      <w:divBdr>
        <w:top w:val="none" w:sz="0" w:space="0" w:color="auto"/>
        <w:left w:val="none" w:sz="0" w:space="0" w:color="auto"/>
        <w:bottom w:val="none" w:sz="0" w:space="0" w:color="auto"/>
        <w:right w:val="none" w:sz="0" w:space="0" w:color="auto"/>
      </w:divBdr>
    </w:div>
    <w:div w:id="341512164">
      <w:marLeft w:val="0"/>
      <w:marRight w:val="0"/>
      <w:marTop w:val="120"/>
      <w:marBottom w:val="0"/>
      <w:divBdr>
        <w:top w:val="none" w:sz="0" w:space="0" w:color="auto"/>
        <w:left w:val="none" w:sz="0" w:space="0" w:color="auto"/>
        <w:bottom w:val="none" w:sz="0" w:space="0" w:color="auto"/>
        <w:right w:val="none" w:sz="0" w:space="0" w:color="auto"/>
      </w:divBdr>
    </w:div>
    <w:div w:id="341779879">
      <w:marLeft w:val="0"/>
      <w:marRight w:val="0"/>
      <w:marTop w:val="0"/>
      <w:marBottom w:val="0"/>
      <w:divBdr>
        <w:top w:val="none" w:sz="0" w:space="0" w:color="auto"/>
        <w:left w:val="none" w:sz="0" w:space="0" w:color="auto"/>
        <w:bottom w:val="none" w:sz="0" w:space="0" w:color="auto"/>
        <w:right w:val="none" w:sz="0" w:space="0" w:color="auto"/>
      </w:divBdr>
      <w:divsChild>
        <w:div w:id="852499455">
          <w:marLeft w:val="0"/>
          <w:marRight w:val="0"/>
          <w:marTop w:val="0"/>
          <w:marBottom w:val="0"/>
          <w:divBdr>
            <w:top w:val="none" w:sz="0" w:space="0" w:color="auto"/>
            <w:left w:val="none" w:sz="0" w:space="0" w:color="auto"/>
            <w:bottom w:val="none" w:sz="0" w:space="0" w:color="auto"/>
            <w:right w:val="none" w:sz="0" w:space="0" w:color="auto"/>
          </w:divBdr>
        </w:div>
      </w:divsChild>
    </w:div>
    <w:div w:id="342243497">
      <w:marLeft w:val="0"/>
      <w:marRight w:val="0"/>
      <w:marTop w:val="0"/>
      <w:marBottom w:val="0"/>
      <w:divBdr>
        <w:top w:val="none" w:sz="0" w:space="0" w:color="auto"/>
        <w:left w:val="none" w:sz="0" w:space="0" w:color="auto"/>
        <w:bottom w:val="none" w:sz="0" w:space="0" w:color="auto"/>
        <w:right w:val="none" w:sz="0" w:space="0" w:color="auto"/>
      </w:divBdr>
      <w:divsChild>
        <w:div w:id="1754664494">
          <w:marLeft w:val="0"/>
          <w:marRight w:val="0"/>
          <w:marTop w:val="0"/>
          <w:marBottom w:val="0"/>
          <w:divBdr>
            <w:top w:val="none" w:sz="0" w:space="0" w:color="auto"/>
            <w:left w:val="none" w:sz="0" w:space="0" w:color="auto"/>
            <w:bottom w:val="none" w:sz="0" w:space="0" w:color="auto"/>
            <w:right w:val="none" w:sz="0" w:space="0" w:color="auto"/>
          </w:divBdr>
        </w:div>
      </w:divsChild>
    </w:div>
    <w:div w:id="342896809">
      <w:marLeft w:val="0"/>
      <w:marRight w:val="0"/>
      <w:marTop w:val="200"/>
      <w:marBottom w:val="0"/>
      <w:divBdr>
        <w:top w:val="none" w:sz="0" w:space="0" w:color="auto"/>
        <w:left w:val="none" w:sz="0" w:space="0" w:color="auto"/>
        <w:bottom w:val="none" w:sz="0" w:space="0" w:color="auto"/>
        <w:right w:val="none" w:sz="0" w:space="0" w:color="auto"/>
      </w:divBdr>
    </w:div>
    <w:div w:id="343483484">
      <w:marLeft w:val="0"/>
      <w:marRight w:val="0"/>
      <w:marTop w:val="120"/>
      <w:marBottom w:val="0"/>
      <w:divBdr>
        <w:top w:val="none" w:sz="0" w:space="0" w:color="auto"/>
        <w:left w:val="none" w:sz="0" w:space="0" w:color="auto"/>
        <w:bottom w:val="none" w:sz="0" w:space="0" w:color="auto"/>
        <w:right w:val="none" w:sz="0" w:space="0" w:color="auto"/>
      </w:divBdr>
    </w:div>
    <w:div w:id="344601391">
      <w:marLeft w:val="0"/>
      <w:marRight w:val="0"/>
      <w:marTop w:val="200"/>
      <w:marBottom w:val="0"/>
      <w:divBdr>
        <w:top w:val="none" w:sz="0" w:space="0" w:color="auto"/>
        <w:left w:val="none" w:sz="0" w:space="0" w:color="auto"/>
        <w:bottom w:val="none" w:sz="0" w:space="0" w:color="auto"/>
        <w:right w:val="none" w:sz="0" w:space="0" w:color="auto"/>
      </w:divBdr>
    </w:div>
    <w:div w:id="347409589">
      <w:marLeft w:val="0"/>
      <w:marRight w:val="0"/>
      <w:marTop w:val="120"/>
      <w:marBottom w:val="0"/>
      <w:divBdr>
        <w:top w:val="none" w:sz="0" w:space="0" w:color="auto"/>
        <w:left w:val="none" w:sz="0" w:space="0" w:color="auto"/>
        <w:bottom w:val="none" w:sz="0" w:space="0" w:color="auto"/>
        <w:right w:val="none" w:sz="0" w:space="0" w:color="auto"/>
      </w:divBdr>
    </w:div>
    <w:div w:id="348140620">
      <w:marLeft w:val="0"/>
      <w:marRight w:val="0"/>
      <w:marTop w:val="0"/>
      <w:marBottom w:val="0"/>
      <w:divBdr>
        <w:top w:val="none" w:sz="0" w:space="0" w:color="auto"/>
        <w:left w:val="none" w:sz="0" w:space="0" w:color="auto"/>
        <w:bottom w:val="none" w:sz="0" w:space="0" w:color="auto"/>
        <w:right w:val="none" w:sz="0" w:space="0" w:color="auto"/>
      </w:divBdr>
      <w:divsChild>
        <w:div w:id="315650814">
          <w:marLeft w:val="0"/>
          <w:marRight w:val="0"/>
          <w:marTop w:val="0"/>
          <w:marBottom w:val="0"/>
          <w:divBdr>
            <w:top w:val="none" w:sz="0" w:space="0" w:color="auto"/>
            <w:left w:val="none" w:sz="0" w:space="0" w:color="auto"/>
            <w:bottom w:val="none" w:sz="0" w:space="0" w:color="auto"/>
            <w:right w:val="none" w:sz="0" w:space="0" w:color="auto"/>
          </w:divBdr>
        </w:div>
      </w:divsChild>
    </w:div>
    <w:div w:id="350958266">
      <w:marLeft w:val="0"/>
      <w:marRight w:val="0"/>
      <w:marTop w:val="120"/>
      <w:marBottom w:val="0"/>
      <w:divBdr>
        <w:top w:val="none" w:sz="0" w:space="0" w:color="auto"/>
        <w:left w:val="none" w:sz="0" w:space="0" w:color="auto"/>
        <w:bottom w:val="none" w:sz="0" w:space="0" w:color="auto"/>
        <w:right w:val="none" w:sz="0" w:space="0" w:color="auto"/>
      </w:divBdr>
    </w:div>
    <w:div w:id="351418722">
      <w:marLeft w:val="0"/>
      <w:marRight w:val="0"/>
      <w:marTop w:val="200"/>
      <w:marBottom w:val="0"/>
      <w:divBdr>
        <w:top w:val="none" w:sz="0" w:space="0" w:color="auto"/>
        <w:left w:val="none" w:sz="0" w:space="0" w:color="auto"/>
        <w:bottom w:val="none" w:sz="0" w:space="0" w:color="auto"/>
        <w:right w:val="none" w:sz="0" w:space="0" w:color="auto"/>
      </w:divBdr>
    </w:div>
    <w:div w:id="353191610">
      <w:marLeft w:val="0"/>
      <w:marRight w:val="0"/>
      <w:marTop w:val="120"/>
      <w:marBottom w:val="0"/>
      <w:divBdr>
        <w:top w:val="none" w:sz="0" w:space="0" w:color="auto"/>
        <w:left w:val="none" w:sz="0" w:space="0" w:color="auto"/>
        <w:bottom w:val="none" w:sz="0" w:space="0" w:color="auto"/>
        <w:right w:val="none" w:sz="0" w:space="0" w:color="auto"/>
      </w:divBdr>
    </w:div>
    <w:div w:id="353461129">
      <w:marLeft w:val="0"/>
      <w:marRight w:val="0"/>
      <w:marTop w:val="100"/>
      <w:marBottom w:val="0"/>
      <w:divBdr>
        <w:top w:val="none" w:sz="0" w:space="0" w:color="auto"/>
        <w:left w:val="none" w:sz="0" w:space="0" w:color="auto"/>
        <w:bottom w:val="none" w:sz="0" w:space="0" w:color="auto"/>
        <w:right w:val="none" w:sz="0" w:space="0" w:color="auto"/>
      </w:divBdr>
    </w:div>
    <w:div w:id="353922060">
      <w:marLeft w:val="0"/>
      <w:marRight w:val="0"/>
      <w:marTop w:val="120"/>
      <w:marBottom w:val="0"/>
      <w:divBdr>
        <w:top w:val="none" w:sz="0" w:space="0" w:color="auto"/>
        <w:left w:val="none" w:sz="0" w:space="0" w:color="auto"/>
        <w:bottom w:val="none" w:sz="0" w:space="0" w:color="auto"/>
        <w:right w:val="none" w:sz="0" w:space="0" w:color="auto"/>
      </w:divBdr>
    </w:div>
    <w:div w:id="354502012">
      <w:marLeft w:val="0"/>
      <w:marRight w:val="0"/>
      <w:marTop w:val="60"/>
      <w:marBottom w:val="0"/>
      <w:divBdr>
        <w:top w:val="none" w:sz="0" w:space="0" w:color="auto"/>
        <w:left w:val="none" w:sz="0" w:space="0" w:color="auto"/>
        <w:bottom w:val="none" w:sz="0" w:space="0" w:color="auto"/>
        <w:right w:val="none" w:sz="0" w:space="0" w:color="auto"/>
      </w:divBdr>
    </w:div>
    <w:div w:id="356783815">
      <w:marLeft w:val="0"/>
      <w:marRight w:val="0"/>
      <w:marTop w:val="120"/>
      <w:marBottom w:val="0"/>
      <w:divBdr>
        <w:top w:val="none" w:sz="0" w:space="0" w:color="auto"/>
        <w:left w:val="none" w:sz="0" w:space="0" w:color="auto"/>
        <w:bottom w:val="none" w:sz="0" w:space="0" w:color="auto"/>
        <w:right w:val="none" w:sz="0" w:space="0" w:color="auto"/>
      </w:divBdr>
    </w:div>
    <w:div w:id="357510297">
      <w:marLeft w:val="0"/>
      <w:marRight w:val="0"/>
      <w:marTop w:val="120"/>
      <w:marBottom w:val="0"/>
      <w:divBdr>
        <w:top w:val="none" w:sz="0" w:space="0" w:color="auto"/>
        <w:left w:val="none" w:sz="0" w:space="0" w:color="auto"/>
        <w:bottom w:val="none" w:sz="0" w:space="0" w:color="auto"/>
        <w:right w:val="none" w:sz="0" w:space="0" w:color="auto"/>
      </w:divBdr>
    </w:div>
    <w:div w:id="359166371">
      <w:marLeft w:val="0"/>
      <w:marRight w:val="0"/>
      <w:marTop w:val="120"/>
      <w:marBottom w:val="0"/>
      <w:divBdr>
        <w:top w:val="none" w:sz="0" w:space="0" w:color="auto"/>
        <w:left w:val="none" w:sz="0" w:space="0" w:color="auto"/>
        <w:bottom w:val="none" w:sz="0" w:space="0" w:color="auto"/>
        <w:right w:val="none" w:sz="0" w:space="0" w:color="auto"/>
      </w:divBdr>
    </w:div>
    <w:div w:id="359866234">
      <w:marLeft w:val="0"/>
      <w:marRight w:val="0"/>
      <w:marTop w:val="120"/>
      <w:marBottom w:val="0"/>
      <w:divBdr>
        <w:top w:val="none" w:sz="0" w:space="0" w:color="auto"/>
        <w:left w:val="none" w:sz="0" w:space="0" w:color="auto"/>
        <w:bottom w:val="none" w:sz="0" w:space="0" w:color="auto"/>
        <w:right w:val="none" w:sz="0" w:space="0" w:color="auto"/>
      </w:divBdr>
    </w:div>
    <w:div w:id="360935964">
      <w:marLeft w:val="0"/>
      <w:marRight w:val="0"/>
      <w:marTop w:val="120"/>
      <w:marBottom w:val="0"/>
      <w:divBdr>
        <w:top w:val="none" w:sz="0" w:space="0" w:color="auto"/>
        <w:left w:val="none" w:sz="0" w:space="0" w:color="auto"/>
        <w:bottom w:val="none" w:sz="0" w:space="0" w:color="auto"/>
        <w:right w:val="none" w:sz="0" w:space="0" w:color="auto"/>
      </w:divBdr>
    </w:div>
    <w:div w:id="360936370">
      <w:marLeft w:val="0"/>
      <w:marRight w:val="0"/>
      <w:marTop w:val="200"/>
      <w:marBottom w:val="0"/>
      <w:divBdr>
        <w:top w:val="none" w:sz="0" w:space="0" w:color="auto"/>
        <w:left w:val="none" w:sz="0" w:space="0" w:color="auto"/>
        <w:bottom w:val="none" w:sz="0" w:space="0" w:color="auto"/>
        <w:right w:val="none" w:sz="0" w:space="0" w:color="auto"/>
      </w:divBdr>
    </w:div>
    <w:div w:id="365565302">
      <w:marLeft w:val="0"/>
      <w:marRight w:val="0"/>
      <w:marTop w:val="120"/>
      <w:marBottom w:val="0"/>
      <w:divBdr>
        <w:top w:val="none" w:sz="0" w:space="0" w:color="auto"/>
        <w:left w:val="none" w:sz="0" w:space="0" w:color="auto"/>
        <w:bottom w:val="none" w:sz="0" w:space="0" w:color="auto"/>
        <w:right w:val="none" w:sz="0" w:space="0" w:color="auto"/>
      </w:divBdr>
    </w:div>
    <w:div w:id="366295872">
      <w:marLeft w:val="0"/>
      <w:marRight w:val="0"/>
      <w:marTop w:val="200"/>
      <w:marBottom w:val="0"/>
      <w:divBdr>
        <w:top w:val="none" w:sz="0" w:space="0" w:color="auto"/>
        <w:left w:val="none" w:sz="0" w:space="0" w:color="auto"/>
        <w:bottom w:val="none" w:sz="0" w:space="0" w:color="auto"/>
        <w:right w:val="none" w:sz="0" w:space="0" w:color="auto"/>
      </w:divBdr>
    </w:div>
    <w:div w:id="366950841">
      <w:marLeft w:val="0"/>
      <w:marRight w:val="0"/>
      <w:marTop w:val="0"/>
      <w:marBottom w:val="0"/>
      <w:divBdr>
        <w:top w:val="none" w:sz="0" w:space="0" w:color="auto"/>
        <w:left w:val="none" w:sz="0" w:space="0" w:color="auto"/>
        <w:bottom w:val="none" w:sz="0" w:space="0" w:color="auto"/>
        <w:right w:val="none" w:sz="0" w:space="0" w:color="auto"/>
      </w:divBdr>
      <w:divsChild>
        <w:div w:id="698238197">
          <w:marLeft w:val="0"/>
          <w:marRight w:val="0"/>
          <w:marTop w:val="0"/>
          <w:marBottom w:val="0"/>
          <w:divBdr>
            <w:top w:val="none" w:sz="0" w:space="0" w:color="auto"/>
            <w:left w:val="none" w:sz="0" w:space="0" w:color="auto"/>
            <w:bottom w:val="none" w:sz="0" w:space="0" w:color="auto"/>
            <w:right w:val="none" w:sz="0" w:space="0" w:color="auto"/>
          </w:divBdr>
        </w:div>
      </w:divsChild>
    </w:div>
    <w:div w:id="367027484">
      <w:marLeft w:val="0"/>
      <w:marRight w:val="0"/>
      <w:marTop w:val="0"/>
      <w:marBottom w:val="0"/>
      <w:divBdr>
        <w:top w:val="none" w:sz="0" w:space="0" w:color="auto"/>
        <w:left w:val="none" w:sz="0" w:space="0" w:color="auto"/>
        <w:bottom w:val="none" w:sz="0" w:space="0" w:color="auto"/>
        <w:right w:val="none" w:sz="0" w:space="0" w:color="auto"/>
      </w:divBdr>
      <w:divsChild>
        <w:div w:id="1786272765">
          <w:marLeft w:val="0"/>
          <w:marRight w:val="0"/>
          <w:marTop w:val="0"/>
          <w:marBottom w:val="0"/>
          <w:divBdr>
            <w:top w:val="none" w:sz="0" w:space="0" w:color="auto"/>
            <w:left w:val="none" w:sz="0" w:space="0" w:color="auto"/>
            <w:bottom w:val="none" w:sz="0" w:space="0" w:color="auto"/>
            <w:right w:val="none" w:sz="0" w:space="0" w:color="auto"/>
          </w:divBdr>
        </w:div>
      </w:divsChild>
    </w:div>
    <w:div w:id="368339889">
      <w:marLeft w:val="0"/>
      <w:marRight w:val="0"/>
      <w:marTop w:val="0"/>
      <w:marBottom w:val="0"/>
      <w:divBdr>
        <w:top w:val="none" w:sz="0" w:space="0" w:color="auto"/>
        <w:left w:val="none" w:sz="0" w:space="0" w:color="auto"/>
        <w:bottom w:val="none" w:sz="0" w:space="0" w:color="auto"/>
        <w:right w:val="none" w:sz="0" w:space="0" w:color="auto"/>
      </w:divBdr>
      <w:divsChild>
        <w:div w:id="553929110">
          <w:marLeft w:val="0"/>
          <w:marRight w:val="0"/>
          <w:marTop w:val="0"/>
          <w:marBottom w:val="0"/>
          <w:divBdr>
            <w:top w:val="none" w:sz="0" w:space="0" w:color="auto"/>
            <w:left w:val="none" w:sz="0" w:space="0" w:color="auto"/>
            <w:bottom w:val="none" w:sz="0" w:space="0" w:color="auto"/>
            <w:right w:val="none" w:sz="0" w:space="0" w:color="auto"/>
          </w:divBdr>
        </w:div>
      </w:divsChild>
    </w:div>
    <w:div w:id="368918188">
      <w:marLeft w:val="0"/>
      <w:marRight w:val="0"/>
      <w:marTop w:val="120"/>
      <w:marBottom w:val="0"/>
      <w:divBdr>
        <w:top w:val="none" w:sz="0" w:space="0" w:color="auto"/>
        <w:left w:val="none" w:sz="0" w:space="0" w:color="auto"/>
        <w:bottom w:val="none" w:sz="0" w:space="0" w:color="auto"/>
        <w:right w:val="none" w:sz="0" w:space="0" w:color="auto"/>
      </w:divBdr>
    </w:div>
    <w:div w:id="371073634">
      <w:marLeft w:val="0"/>
      <w:marRight w:val="0"/>
      <w:marTop w:val="200"/>
      <w:marBottom w:val="0"/>
      <w:divBdr>
        <w:top w:val="none" w:sz="0" w:space="0" w:color="auto"/>
        <w:left w:val="none" w:sz="0" w:space="0" w:color="auto"/>
        <w:bottom w:val="none" w:sz="0" w:space="0" w:color="auto"/>
        <w:right w:val="none" w:sz="0" w:space="0" w:color="auto"/>
      </w:divBdr>
    </w:div>
    <w:div w:id="371268704">
      <w:marLeft w:val="0"/>
      <w:marRight w:val="0"/>
      <w:marTop w:val="120"/>
      <w:marBottom w:val="0"/>
      <w:divBdr>
        <w:top w:val="none" w:sz="0" w:space="0" w:color="auto"/>
        <w:left w:val="none" w:sz="0" w:space="0" w:color="auto"/>
        <w:bottom w:val="none" w:sz="0" w:space="0" w:color="auto"/>
        <w:right w:val="none" w:sz="0" w:space="0" w:color="auto"/>
      </w:divBdr>
    </w:div>
    <w:div w:id="372464955">
      <w:marLeft w:val="0"/>
      <w:marRight w:val="0"/>
      <w:marTop w:val="120"/>
      <w:marBottom w:val="0"/>
      <w:divBdr>
        <w:top w:val="none" w:sz="0" w:space="0" w:color="auto"/>
        <w:left w:val="none" w:sz="0" w:space="0" w:color="auto"/>
        <w:bottom w:val="none" w:sz="0" w:space="0" w:color="auto"/>
        <w:right w:val="none" w:sz="0" w:space="0" w:color="auto"/>
      </w:divBdr>
    </w:div>
    <w:div w:id="375472290">
      <w:marLeft w:val="0"/>
      <w:marRight w:val="0"/>
      <w:marTop w:val="0"/>
      <w:marBottom w:val="0"/>
      <w:divBdr>
        <w:top w:val="none" w:sz="0" w:space="0" w:color="auto"/>
        <w:left w:val="none" w:sz="0" w:space="0" w:color="auto"/>
        <w:bottom w:val="none" w:sz="0" w:space="0" w:color="auto"/>
        <w:right w:val="none" w:sz="0" w:space="0" w:color="auto"/>
      </w:divBdr>
    </w:div>
    <w:div w:id="376897952">
      <w:marLeft w:val="0"/>
      <w:marRight w:val="0"/>
      <w:marTop w:val="120"/>
      <w:marBottom w:val="0"/>
      <w:divBdr>
        <w:top w:val="none" w:sz="0" w:space="0" w:color="auto"/>
        <w:left w:val="none" w:sz="0" w:space="0" w:color="auto"/>
        <w:bottom w:val="none" w:sz="0" w:space="0" w:color="auto"/>
        <w:right w:val="none" w:sz="0" w:space="0" w:color="auto"/>
      </w:divBdr>
    </w:div>
    <w:div w:id="378629342">
      <w:marLeft w:val="0"/>
      <w:marRight w:val="0"/>
      <w:marTop w:val="0"/>
      <w:marBottom w:val="0"/>
      <w:divBdr>
        <w:top w:val="none" w:sz="0" w:space="0" w:color="auto"/>
        <w:left w:val="none" w:sz="0" w:space="0" w:color="auto"/>
        <w:bottom w:val="none" w:sz="0" w:space="0" w:color="auto"/>
        <w:right w:val="none" w:sz="0" w:space="0" w:color="auto"/>
      </w:divBdr>
    </w:div>
    <w:div w:id="381562710">
      <w:marLeft w:val="0"/>
      <w:marRight w:val="0"/>
      <w:marTop w:val="200"/>
      <w:marBottom w:val="0"/>
      <w:divBdr>
        <w:top w:val="none" w:sz="0" w:space="0" w:color="auto"/>
        <w:left w:val="none" w:sz="0" w:space="0" w:color="auto"/>
        <w:bottom w:val="none" w:sz="0" w:space="0" w:color="auto"/>
        <w:right w:val="none" w:sz="0" w:space="0" w:color="auto"/>
      </w:divBdr>
    </w:div>
    <w:div w:id="383722941">
      <w:marLeft w:val="0"/>
      <w:marRight w:val="0"/>
      <w:marTop w:val="120"/>
      <w:marBottom w:val="0"/>
      <w:divBdr>
        <w:top w:val="none" w:sz="0" w:space="0" w:color="auto"/>
        <w:left w:val="none" w:sz="0" w:space="0" w:color="auto"/>
        <w:bottom w:val="none" w:sz="0" w:space="0" w:color="auto"/>
        <w:right w:val="none" w:sz="0" w:space="0" w:color="auto"/>
      </w:divBdr>
    </w:div>
    <w:div w:id="384570930">
      <w:marLeft w:val="0"/>
      <w:marRight w:val="0"/>
      <w:marTop w:val="0"/>
      <w:marBottom w:val="0"/>
      <w:divBdr>
        <w:top w:val="none" w:sz="0" w:space="0" w:color="auto"/>
        <w:left w:val="none" w:sz="0" w:space="0" w:color="auto"/>
        <w:bottom w:val="none" w:sz="0" w:space="0" w:color="auto"/>
        <w:right w:val="none" w:sz="0" w:space="0" w:color="auto"/>
      </w:divBdr>
      <w:divsChild>
        <w:div w:id="436144833">
          <w:marLeft w:val="0"/>
          <w:marRight w:val="0"/>
          <w:marTop w:val="0"/>
          <w:marBottom w:val="0"/>
          <w:divBdr>
            <w:top w:val="none" w:sz="0" w:space="0" w:color="auto"/>
            <w:left w:val="none" w:sz="0" w:space="0" w:color="auto"/>
            <w:bottom w:val="none" w:sz="0" w:space="0" w:color="auto"/>
            <w:right w:val="none" w:sz="0" w:space="0" w:color="auto"/>
          </w:divBdr>
        </w:div>
      </w:divsChild>
    </w:div>
    <w:div w:id="385027953">
      <w:marLeft w:val="0"/>
      <w:marRight w:val="0"/>
      <w:marTop w:val="200"/>
      <w:marBottom w:val="0"/>
      <w:divBdr>
        <w:top w:val="none" w:sz="0" w:space="0" w:color="auto"/>
        <w:left w:val="none" w:sz="0" w:space="0" w:color="auto"/>
        <w:bottom w:val="none" w:sz="0" w:space="0" w:color="auto"/>
        <w:right w:val="none" w:sz="0" w:space="0" w:color="auto"/>
      </w:divBdr>
    </w:div>
    <w:div w:id="386537071">
      <w:marLeft w:val="0"/>
      <w:marRight w:val="0"/>
      <w:marTop w:val="120"/>
      <w:marBottom w:val="0"/>
      <w:divBdr>
        <w:top w:val="none" w:sz="0" w:space="0" w:color="auto"/>
        <w:left w:val="none" w:sz="0" w:space="0" w:color="auto"/>
        <w:bottom w:val="none" w:sz="0" w:space="0" w:color="auto"/>
        <w:right w:val="none" w:sz="0" w:space="0" w:color="auto"/>
      </w:divBdr>
    </w:div>
    <w:div w:id="386952728">
      <w:marLeft w:val="0"/>
      <w:marRight w:val="0"/>
      <w:marTop w:val="120"/>
      <w:marBottom w:val="0"/>
      <w:divBdr>
        <w:top w:val="none" w:sz="0" w:space="0" w:color="auto"/>
        <w:left w:val="none" w:sz="0" w:space="0" w:color="auto"/>
        <w:bottom w:val="none" w:sz="0" w:space="0" w:color="auto"/>
        <w:right w:val="none" w:sz="0" w:space="0" w:color="auto"/>
      </w:divBdr>
    </w:div>
    <w:div w:id="388303218">
      <w:marLeft w:val="0"/>
      <w:marRight w:val="0"/>
      <w:marTop w:val="120"/>
      <w:marBottom w:val="0"/>
      <w:divBdr>
        <w:top w:val="none" w:sz="0" w:space="0" w:color="auto"/>
        <w:left w:val="none" w:sz="0" w:space="0" w:color="auto"/>
        <w:bottom w:val="none" w:sz="0" w:space="0" w:color="auto"/>
        <w:right w:val="none" w:sz="0" w:space="0" w:color="auto"/>
      </w:divBdr>
    </w:div>
    <w:div w:id="390232245">
      <w:marLeft w:val="0"/>
      <w:marRight w:val="0"/>
      <w:marTop w:val="0"/>
      <w:marBottom w:val="0"/>
      <w:divBdr>
        <w:top w:val="none" w:sz="0" w:space="0" w:color="auto"/>
        <w:left w:val="none" w:sz="0" w:space="0" w:color="auto"/>
        <w:bottom w:val="none" w:sz="0" w:space="0" w:color="auto"/>
        <w:right w:val="none" w:sz="0" w:space="0" w:color="auto"/>
      </w:divBdr>
      <w:divsChild>
        <w:div w:id="1836456295">
          <w:marLeft w:val="0"/>
          <w:marRight w:val="0"/>
          <w:marTop w:val="0"/>
          <w:marBottom w:val="0"/>
          <w:divBdr>
            <w:top w:val="none" w:sz="0" w:space="0" w:color="auto"/>
            <w:left w:val="none" w:sz="0" w:space="0" w:color="auto"/>
            <w:bottom w:val="none" w:sz="0" w:space="0" w:color="auto"/>
            <w:right w:val="none" w:sz="0" w:space="0" w:color="auto"/>
          </w:divBdr>
        </w:div>
      </w:divsChild>
    </w:div>
    <w:div w:id="391461377">
      <w:marLeft w:val="0"/>
      <w:marRight w:val="0"/>
      <w:marTop w:val="200"/>
      <w:marBottom w:val="0"/>
      <w:divBdr>
        <w:top w:val="none" w:sz="0" w:space="0" w:color="auto"/>
        <w:left w:val="none" w:sz="0" w:space="0" w:color="auto"/>
        <w:bottom w:val="none" w:sz="0" w:space="0" w:color="auto"/>
        <w:right w:val="none" w:sz="0" w:space="0" w:color="auto"/>
      </w:divBdr>
    </w:div>
    <w:div w:id="391732980">
      <w:marLeft w:val="0"/>
      <w:marRight w:val="0"/>
      <w:marTop w:val="200"/>
      <w:marBottom w:val="0"/>
      <w:divBdr>
        <w:top w:val="none" w:sz="0" w:space="0" w:color="auto"/>
        <w:left w:val="none" w:sz="0" w:space="0" w:color="auto"/>
        <w:bottom w:val="none" w:sz="0" w:space="0" w:color="auto"/>
        <w:right w:val="none" w:sz="0" w:space="0" w:color="auto"/>
      </w:divBdr>
    </w:div>
    <w:div w:id="392701717">
      <w:marLeft w:val="0"/>
      <w:marRight w:val="0"/>
      <w:marTop w:val="200"/>
      <w:marBottom w:val="0"/>
      <w:divBdr>
        <w:top w:val="none" w:sz="0" w:space="0" w:color="auto"/>
        <w:left w:val="none" w:sz="0" w:space="0" w:color="auto"/>
        <w:bottom w:val="none" w:sz="0" w:space="0" w:color="auto"/>
        <w:right w:val="none" w:sz="0" w:space="0" w:color="auto"/>
      </w:divBdr>
    </w:div>
    <w:div w:id="394817359">
      <w:marLeft w:val="0"/>
      <w:marRight w:val="0"/>
      <w:marTop w:val="120"/>
      <w:marBottom w:val="0"/>
      <w:divBdr>
        <w:top w:val="none" w:sz="0" w:space="0" w:color="auto"/>
        <w:left w:val="none" w:sz="0" w:space="0" w:color="auto"/>
        <w:bottom w:val="none" w:sz="0" w:space="0" w:color="auto"/>
        <w:right w:val="none" w:sz="0" w:space="0" w:color="auto"/>
      </w:divBdr>
    </w:div>
    <w:div w:id="397099720">
      <w:marLeft w:val="0"/>
      <w:marRight w:val="0"/>
      <w:marTop w:val="120"/>
      <w:marBottom w:val="0"/>
      <w:divBdr>
        <w:top w:val="none" w:sz="0" w:space="0" w:color="auto"/>
        <w:left w:val="none" w:sz="0" w:space="0" w:color="auto"/>
        <w:bottom w:val="none" w:sz="0" w:space="0" w:color="auto"/>
        <w:right w:val="none" w:sz="0" w:space="0" w:color="auto"/>
      </w:divBdr>
    </w:div>
    <w:div w:id="397291650">
      <w:marLeft w:val="0"/>
      <w:marRight w:val="0"/>
      <w:marTop w:val="0"/>
      <w:marBottom w:val="0"/>
      <w:divBdr>
        <w:top w:val="none" w:sz="0" w:space="0" w:color="auto"/>
        <w:left w:val="none" w:sz="0" w:space="0" w:color="auto"/>
        <w:bottom w:val="none" w:sz="0" w:space="0" w:color="auto"/>
        <w:right w:val="none" w:sz="0" w:space="0" w:color="auto"/>
      </w:divBdr>
      <w:divsChild>
        <w:div w:id="1666739498">
          <w:marLeft w:val="0"/>
          <w:marRight w:val="0"/>
          <w:marTop w:val="0"/>
          <w:marBottom w:val="0"/>
          <w:divBdr>
            <w:top w:val="none" w:sz="0" w:space="0" w:color="auto"/>
            <w:left w:val="none" w:sz="0" w:space="0" w:color="auto"/>
            <w:bottom w:val="none" w:sz="0" w:space="0" w:color="auto"/>
            <w:right w:val="none" w:sz="0" w:space="0" w:color="auto"/>
          </w:divBdr>
        </w:div>
      </w:divsChild>
    </w:div>
    <w:div w:id="397365025">
      <w:marLeft w:val="0"/>
      <w:marRight w:val="0"/>
      <w:marTop w:val="200"/>
      <w:marBottom w:val="0"/>
      <w:divBdr>
        <w:top w:val="none" w:sz="0" w:space="0" w:color="auto"/>
        <w:left w:val="none" w:sz="0" w:space="0" w:color="auto"/>
        <w:bottom w:val="none" w:sz="0" w:space="0" w:color="auto"/>
        <w:right w:val="none" w:sz="0" w:space="0" w:color="auto"/>
      </w:divBdr>
    </w:div>
    <w:div w:id="397368468">
      <w:marLeft w:val="0"/>
      <w:marRight w:val="0"/>
      <w:marTop w:val="0"/>
      <w:marBottom w:val="0"/>
      <w:divBdr>
        <w:top w:val="none" w:sz="0" w:space="0" w:color="auto"/>
        <w:left w:val="none" w:sz="0" w:space="0" w:color="auto"/>
        <w:bottom w:val="none" w:sz="0" w:space="0" w:color="auto"/>
        <w:right w:val="none" w:sz="0" w:space="0" w:color="auto"/>
      </w:divBdr>
      <w:divsChild>
        <w:div w:id="109516729">
          <w:marLeft w:val="0"/>
          <w:marRight w:val="0"/>
          <w:marTop w:val="0"/>
          <w:marBottom w:val="0"/>
          <w:divBdr>
            <w:top w:val="none" w:sz="0" w:space="0" w:color="auto"/>
            <w:left w:val="none" w:sz="0" w:space="0" w:color="auto"/>
            <w:bottom w:val="none" w:sz="0" w:space="0" w:color="auto"/>
            <w:right w:val="none" w:sz="0" w:space="0" w:color="auto"/>
          </w:divBdr>
        </w:div>
      </w:divsChild>
    </w:div>
    <w:div w:id="397634670">
      <w:marLeft w:val="0"/>
      <w:marRight w:val="0"/>
      <w:marTop w:val="120"/>
      <w:marBottom w:val="0"/>
      <w:divBdr>
        <w:top w:val="none" w:sz="0" w:space="0" w:color="auto"/>
        <w:left w:val="none" w:sz="0" w:space="0" w:color="auto"/>
        <w:bottom w:val="none" w:sz="0" w:space="0" w:color="auto"/>
        <w:right w:val="none" w:sz="0" w:space="0" w:color="auto"/>
      </w:divBdr>
    </w:div>
    <w:div w:id="397754732">
      <w:marLeft w:val="0"/>
      <w:marRight w:val="0"/>
      <w:marTop w:val="120"/>
      <w:marBottom w:val="0"/>
      <w:divBdr>
        <w:top w:val="none" w:sz="0" w:space="0" w:color="auto"/>
        <w:left w:val="none" w:sz="0" w:space="0" w:color="auto"/>
        <w:bottom w:val="none" w:sz="0" w:space="0" w:color="auto"/>
        <w:right w:val="none" w:sz="0" w:space="0" w:color="auto"/>
      </w:divBdr>
    </w:div>
    <w:div w:id="398482752">
      <w:marLeft w:val="0"/>
      <w:marRight w:val="0"/>
      <w:marTop w:val="120"/>
      <w:marBottom w:val="0"/>
      <w:divBdr>
        <w:top w:val="none" w:sz="0" w:space="0" w:color="auto"/>
        <w:left w:val="none" w:sz="0" w:space="0" w:color="auto"/>
        <w:bottom w:val="none" w:sz="0" w:space="0" w:color="auto"/>
        <w:right w:val="none" w:sz="0" w:space="0" w:color="auto"/>
      </w:divBdr>
    </w:div>
    <w:div w:id="399794426">
      <w:marLeft w:val="0"/>
      <w:marRight w:val="0"/>
      <w:marTop w:val="0"/>
      <w:marBottom w:val="0"/>
      <w:divBdr>
        <w:top w:val="none" w:sz="0" w:space="0" w:color="auto"/>
        <w:left w:val="none" w:sz="0" w:space="0" w:color="auto"/>
        <w:bottom w:val="none" w:sz="0" w:space="0" w:color="auto"/>
        <w:right w:val="none" w:sz="0" w:space="0" w:color="auto"/>
      </w:divBdr>
      <w:divsChild>
        <w:div w:id="494300575">
          <w:marLeft w:val="0"/>
          <w:marRight w:val="0"/>
          <w:marTop w:val="0"/>
          <w:marBottom w:val="0"/>
          <w:divBdr>
            <w:top w:val="none" w:sz="0" w:space="0" w:color="auto"/>
            <w:left w:val="none" w:sz="0" w:space="0" w:color="auto"/>
            <w:bottom w:val="none" w:sz="0" w:space="0" w:color="auto"/>
            <w:right w:val="none" w:sz="0" w:space="0" w:color="auto"/>
          </w:divBdr>
        </w:div>
      </w:divsChild>
    </w:div>
    <w:div w:id="400493859">
      <w:marLeft w:val="0"/>
      <w:marRight w:val="0"/>
      <w:marTop w:val="120"/>
      <w:marBottom w:val="0"/>
      <w:divBdr>
        <w:top w:val="none" w:sz="0" w:space="0" w:color="auto"/>
        <w:left w:val="none" w:sz="0" w:space="0" w:color="auto"/>
        <w:bottom w:val="none" w:sz="0" w:space="0" w:color="auto"/>
        <w:right w:val="none" w:sz="0" w:space="0" w:color="auto"/>
      </w:divBdr>
    </w:div>
    <w:div w:id="402332371">
      <w:marLeft w:val="0"/>
      <w:marRight w:val="0"/>
      <w:marTop w:val="120"/>
      <w:marBottom w:val="0"/>
      <w:divBdr>
        <w:top w:val="none" w:sz="0" w:space="0" w:color="auto"/>
        <w:left w:val="none" w:sz="0" w:space="0" w:color="auto"/>
        <w:bottom w:val="none" w:sz="0" w:space="0" w:color="auto"/>
        <w:right w:val="none" w:sz="0" w:space="0" w:color="auto"/>
      </w:divBdr>
    </w:div>
    <w:div w:id="402535376">
      <w:marLeft w:val="0"/>
      <w:marRight w:val="0"/>
      <w:marTop w:val="200"/>
      <w:marBottom w:val="0"/>
      <w:divBdr>
        <w:top w:val="none" w:sz="0" w:space="0" w:color="auto"/>
        <w:left w:val="none" w:sz="0" w:space="0" w:color="auto"/>
        <w:bottom w:val="none" w:sz="0" w:space="0" w:color="auto"/>
        <w:right w:val="none" w:sz="0" w:space="0" w:color="auto"/>
      </w:divBdr>
    </w:div>
    <w:div w:id="402874717">
      <w:marLeft w:val="0"/>
      <w:marRight w:val="0"/>
      <w:marTop w:val="200"/>
      <w:marBottom w:val="0"/>
      <w:divBdr>
        <w:top w:val="none" w:sz="0" w:space="0" w:color="auto"/>
        <w:left w:val="none" w:sz="0" w:space="0" w:color="auto"/>
        <w:bottom w:val="none" w:sz="0" w:space="0" w:color="auto"/>
        <w:right w:val="none" w:sz="0" w:space="0" w:color="auto"/>
      </w:divBdr>
    </w:div>
    <w:div w:id="404031009">
      <w:marLeft w:val="0"/>
      <w:marRight w:val="0"/>
      <w:marTop w:val="120"/>
      <w:marBottom w:val="0"/>
      <w:divBdr>
        <w:top w:val="none" w:sz="0" w:space="0" w:color="auto"/>
        <w:left w:val="none" w:sz="0" w:space="0" w:color="auto"/>
        <w:bottom w:val="none" w:sz="0" w:space="0" w:color="auto"/>
        <w:right w:val="none" w:sz="0" w:space="0" w:color="auto"/>
      </w:divBdr>
    </w:div>
    <w:div w:id="404452415">
      <w:marLeft w:val="0"/>
      <w:marRight w:val="0"/>
      <w:marTop w:val="120"/>
      <w:marBottom w:val="0"/>
      <w:divBdr>
        <w:top w:val="none" w:sz="0" w:space="0" w:color="auto"/>
        <w:left w:val="none" w:sz="0" w:space="0" w:color="auto"/>
        <w:bottom w:val="none" w:sz="0" w:space="0" w:color="auto"/>
        <w:right w:val="none" w:sz="0" w:space="0" w:color="auto"/>
      </w:divBdr>
    </w:div>
    <w:div w:id="405301523">
      <w:marLeft w:val="0"/>
      <w:marRight w:val="0"/>
      <w:marTop w:val="120"/>
      <w:marBottom w:val="0"/>
      <w:divBdr>
        <w:top w:val="none" w:sz="0" w:space="0" w:color="auto"/>
        <w:left w:val="none" w:sz="0" w:space="0" w:color="auto"/>
        <w:bottom w:val="none" w:sz="0" w:space="0" w:color="auto"/>
        <w:right w:val="none" w:sz="0" w:space="0" w:color="auto"/>
      </w:divBdr>
    </w:div>
    <w:div w:id="405346368">
      <w:marLeft w:val="0"/>
      <w:marRight w:val="0"/>
      <w:marTop w:val="0"/>
      <w:marBottom w:val="0"/>
      <w:divBdr>
        <w:top w:val="none" w:sz="0" w:space="0" w:color="auto"/>
        <w:left w:val="none" w:sz="0" w:space="0" w:color="auto"/>
        <w:bottom w:val="none" w:sz="0" w:space="0" w:color="auto"/>
        <w:right w:val="none" w:sz="0" w:space="0" w:color="auto"/>
      </w:divBdr>
      <w:divsChild>
        <w:div w:id="1519738740">
          <w:marLeft w:val="0"/>
          <w:marRight w:val="0"/>
          <w:marTop w:val="0"/>
          <w:marBottom w:val="0"/>
          <w:divBdr>
            <w:top w:val="none" w:sz="0" w:space="0" w:color="auto"/>
            <w:left w:val="none" w:sz="0" w:space="0" w:color="auto"/>
            <w:bottom w:val="none" w:sz="0" w:space="0" w:color="auto"/>
            <w:right w:val="none" w:sz="0" w:space="0" w:color="auto"/>
          </w:divBdr>
        </w:div>
      </w:divsChild>
    </w:div>
    <w:div w:id="405736154">
      <w:marLeft w:val="0"/>
      <w:marRight w:val="0"/>
      <w:marTop w:val="120"/>
      <w:marBottom w:val="0"/>
      <w:divBdr>
        <w:top w:val="none" w:sz="0" w:space="0" w:color="auto"/>
        <w:left w:val="none" w:sz="0" w:space="0" w:color="auto"/>
        <w:bottom w:val="none" w:sz="0" w:space="0" w:color="auto"/>
        <w:right w:val="none" w:sz="0" w:space="0" w:color="auto"/>
      </w:divBdr>
    </w:div>
    <w:div w:id="406267850">
      <w:marLeft w:val="0"/>
      <w:marRight w:val="0"/>
      <w:marTop w:val="0"/>
      <w:marBottom w:val="0"/>
      <w:divBdr>
        <w:top w:val="none" w:sz="0" w:space="0" w:color="auto"/>
        <w:left w:val="none" w:sz="0" w:space="0" w:color="auto"/>
        <w:bottom w:val="none" w:sz="0" w:space="0" w:color="auto"/>
        <w:right w:val="none" w:sz="0" w:space="0" w:color="auto"/>
      </w:divBdr>
      <w:divsChild>
        <w:div w:id="542911628">
          <w:marLeft w:val="0"/>
          <w:marRight w:val="0"/>
          <w:marTop w:val="0"/>
          <w:marBottom w:val="0"/>
          <w:divBdr>
            <w:top w:val="none" w:sz="0" w:space="0" w:color="auto"/>
            <w:left w:val="none" w:sz="0" w:space="0" w:color="auto"/>
            <w:bottom w:val="none" w:sz="0" w:space="0" w:color="auto"/>
            <w:right w:val="none" w:sz="0" w:space="0" w:color="auto"/>
          </w:divBdr>
        </w:div>
      </w:divsChild>
    </w:div>
    <w:div w:id="406273692">
      <w:marLeft w:val="0"/>
      <w:marRight w:val="0"/>
      <w:marTop w:val="200"/>
      <w:marBottom w:val="0"/>
      <w:divBdr>
        <w:top w:val="none" w:sz="0" w:space="0" w:color="auto"/>
        <w:left w:val="none" w:sz="0" w:space="0" w:color="auto"/>
        <w:bottom w:val="none" w:sz="0" w:space="0" w:color="auto"/>
        <w:right w:val="none" w:sz="0" w:space="0" w:color="auto"/>
      </w:divBdr>
    </w:div>
    <w:div w:id="407461483">
      <w:marLeft w:val="0"/>
      <w:marRight w:val="0"/>
      <w:marTop w:val="200"/>
      <w:marBottom w:val="0"/>
      <w:divBdr>
        <w:top w:val="none" w:sz="0" w:space="0" w:color="auto"/>
        <w:left w:val="none" w:sz="0" w:space="0" w:color="auto"/>
        <w:bottom w:val="none" w:sz="0" w:space="0" w:color="auto"/>
        <w:right w:val="none" w:sz="0" w:space="0" w:color="auto"/>
      </w:divBdr>
    </w:div>
    <w:div w:id="409472627">
      <w:marLeft w:val="0"/>
      <w:marRight w:val="0"/>
      <w:marTop w:val="200"/>
      <w:marBottom w:val="0"/>
      <w:divBdr>
        <w:top w:val="none" w:sz="0" w:space="0" w:color="auto"/>
        <w:left w:val="none" w:sz="0" w:space="0" w:color="auto"/>
        <w:bottom w:val="none" w:sz="0" w:space="0" w:color="auto"/>
        <w:right w:val="none" w:sz="0" w:space="0" w:color="auto"/>
      </w:divBdr>
    </w:div>
    <w:div w:id="410738029">
      <w:marLeft w:val="0"/>
      <w:marRight w:val="0"/>
      <w:marTop w:val="200"/>
      <w:marBottom w:val="0"/>
      <w:divBdr>
        <w:top w:val="none" w:sz="0" w:space="0" w:color="auto"/>
        <w:left w:val="none" w:sz="0" w:space="0" w:color="auto"/>
        <w:bottom w:val="none" w:sz="0" w:space="0" w:color="auto"/>
        <w:right w:val="none" w:sz="0" w:space="0" w:color="auto"/>
      </w:divBdr>
    </w:div>
    <w:div w:id="411239960">
      <w:marLeft w:val="0"/>
      <w:marRight w:val="0"/>
      <w:marTop w:val="120"/>
      <w:marBottom w:val="0"/>
      <w:divBdr>
        <w:top w:val="none" w:sz="0" w:space="0" w:color="auto"/>
        <w:left w:val="none" w:sz="0" w:space="0" w:color="auto"/>
        <w:bottom w:val="none" w:sz="0" w:space="0" w:color="auto"/>
        <w:right w:val="none" w:sz="0" w:space="0" w:color="auto"/>
      </w:divBdr>
    </w:div>
    <w:div w:id="413935460">
      <w:marLeft w:val="0"/>
      <w:marRight w:val="0"/>
      <w:marTop w:val="200"/>
      <w:marBottom w:val="0"/>
      <w:divBdr>
        <w:top w:val="none" w:sz="0" w:space="0" w:color="auto"/>
        <w:left w:val="none" w:sz="0" w:space="0" w:color="auto"/>
        <w:bottom w:val="none" w:sz="0" w:space="0" w:color="auto"/>
        <w:right w:val="none" w:sz="0" w:space="0" w:color="auto"/>
      </w:divBdr>
    </w:div>
    <w:div w:id="414480652">
      <w:marLeft w:val="0"/>
      <w:marRight w:val="0"/>
      <w:marTop w:val="60"/>
      <w:marBottom w:val="0"/>
      <w:divBdr>
        <w:top w:val="none" w:sz="0" w:space="0" w:color="auto"/>
        <w:left w:val="none" w:sz="0" w:space="0" w:color="auto"/>
        <w:bottom w:val="none" w:sz="0" w:space="0" w:color="auto"/>
        <w:right w:val="none" w:sz="0" w:space="0" w:color="auto"/>
      </w:divBdr>
    </w:div>
    <w:div w:id="414783913">
      <w:marLeft w:val="0"/>
      <w:marRight w:val="0"/>
      <w:marTop w:val="100"/>
      <w:marBottom w:val="0"/>
      <w:divBdr>
        <w:top w:val="none" w:sz="0" w:space="0" w:color="auto"/>
        <w:left w:val="none" w:sz="0" w:space="0" w:color="auto"/>
        <w:bottom w:val="none" w:sz="0" w:space="0" w:color="auto"/>
        <w:right w:val="none" w:sz="0" w:space="0" w:color="auto"/>
      </w:divBdr>
      <w:divsChild>
        <w:div w:id="631980086">
          <w:marLeft w:val="0"/>
          <w:marRight w:val="0"/>
          <w:marTop w:val="0"/>
          <w:marBottom w:val="0"/>
          <w:divBdr>
            <w:top w:val="none" w:sz="0" w:space="0" w:color="auto"/>
            <w:left w:val="none" w:sz="0" w:space="0" w:color="auto"/>
            <w:bottom w:val="none" w:sz="0" w:space="0" w:color="auto"/>
            <w:right w:val="none" w:sz="0" w:space="0" w:color="auto"/>
          </w:divBdr>
        </w:div>
      </w:divsChild>
    </w:div>
    <w:div w:id="415174508">
      <w:marLeft w:val="0"/>
      <w:marRight w:val="0"/>
      <w:marTop w:val="120"/>
      <w:marBottom w:val="0"/>
      <w:divBdr>
        <w:top w:val="none" w:sz="0" w:space="0" w:color="auto"/>
        <w:left w:val="none" w:sz="0" w:space="0" w:color="auto"/>
        <w:bottom w:val="none" w:sz="0" w:space="0" w:color="auto"/>
        <w:right w:val="none" w:sz="0" w:space="0" w:color="auto"/>
      </w:divBdr>
    </w:div>
    <w:div w:id="416246772">
      <w:marLeft w:val="0"/>
      <w:marRight w:val="0"/>
      <w:marTop w:val="200"/>
      <w:marBottom w:val="0"/>
      <w:divBdr>
        <w:top w:val="none" w:sz="0" w:space="0" w:color="auto"/>
        <w:left w:val="none" w:sz="0" w:space="0" w:color="auto"/>
        <w:bottom w:val="none" w:sz="0" w:space="0" w:color="auto"/>
        <w:right w:val="none" w:sz="0" w:space="0" w:color="auto"/>
      </w:divBdr>
    </w:div>
    <w:div w:id="416830411">
      <w:marLeft w:val="0"/>
      <w:marRight w:val="0"/>
      <w:marTop w:val="120"/>
      <w:marBottom w:val="0"/>
      <w:divBdr>
        <w:top w:val="none" w:sz="0" w:space="0" w:color="auto"/>
        <w:left w:val="none" w:sz="0" w:space="0" w:color="auto"/>
        <w:bottom w:val="none" w:sz="0" w:space="0" w:color="auto"/>
        <w:right w:val="none" w:sz="0" w:space="0" w:color="auto"/>
      </w:divBdr>
    </w:div>
    <w:div w:id="417364490">
      <w:marLeft w:val="0"/>
      <w:marRight w:val="0"/>
      <w:marTop w:val="120"/>
      <w:marBottom w:val="0"/>
      <w:divBdr>
        <w:top w:val="none" w:sz="0" w:space="0" w:color="auto"/>
        <w:left w:val="none" w:sz="0" w:space="0" w:color="auto"/>
        <w:bottom w:val="none" w:sz="0" w:space="0" w:color="auto"/>
        <w:right w:val="none" w:sz="0" w:space="0" w:color="auto"/>
      </w:divBdr>
    </w:div>
    <w:div w:id="418405342">
      <w:marLeft w:val="0"/>
      <w:marRight w:val="0"/>
      <w:marTop w:val="60"/>
      <w:marBottom w:val="0"/>
      <w:divBdr>
        <w:top w:val="none" w:sz="0" w:space="0" w:color="auto"/>
        <w:left w:val="none" w:sz="0" w:space="0" w:color="auto"/>
        <w:bottom w:val="none" w:sz="0" w:space="0" w:color="auto"/>
        <w:right w:val="none" w:sz="0" w:space="0" w:color="auto"/>
      </w:divBdr>
    </w:div>
    <w:div w:id="418478323">
      <w:marLeft w:val="0"/>
      <w:marRight w:val="0"/>
      <w:marTop w:val="200"/>
      <w:marBottom w:val="0"/>
      <w:divBdr>
        <w:top w:val="none" w:sz="0" w:space="0" w:color="auto"/>
        <w:left w:val="none" w:sz="0" w:space="0" w:color="auto"/>
        <w:bottom w:val="none" w:sz="0" w:space="0" w:color="auto"/>
        <w:right w:val="none" w:sz="0" w:space="0" w:color="auto"/>
      </w:divBdr>
    </w:div>
    <w:div w:id="419524203">
      <w:marLeft w:val="0"/>
      <w:marRight w:val="0"/>
      <w:marTop w:val="120"/>
      <w:marBottom w:val="0"/>
      <w:divBdr>
        <w:top w:val="none" w:sz="0" w:space="0" w:color="auto"/>
        <w:left w:val="none" w:sz="0" w:space="0" w:color="auto"/>
        <w:bottom w:val="none" w:sz="0" w:space="0" w:color="auto"/>
        <w:right w:val="none" w:sz="0" w:space="0" w:color="auto"/>
      </w:divBdr>
    </w:div>
    <w:div w:id="419764405">
      <w:marLeft w:val="0"/>
      <w:marRight w:val="0"/>
      <w:marTop w:val="120"/>
      <w:marBottom w:val="0"/>
      <w:divBdr>
        <w:top w:val="none" w:sz="0" w:space="0" w:color="auto"/>
        <w:left w:val="none" w:sz="0" w:space="0" w:color="auto"/>
        <w:bottom w:val="none" w:sz="0" w:space="0" w:color="auto"/>
        <w:right w:val="none" w:sz="0" w:space="0" w:color="auto"/>
      </w:divBdr>
    </w:div>
    <w:div w:id="420757814">
      <w:marLeft w:val="0"/>
      <w:marRight w:val="0"/>
      <w:marTop w:val="0"/>
      <w:marBottom w:val="0"/>
      <w:divBdr>
        <w:top w:val="none" w:sz="0" w:space="0" w:color="auto"/>
        <w:left w:val="none" w:sz="0" w:space="0" w:color="auto"/>
        <w:bottom w:val="none" w:sz="0" w:space="0" w:color="auto"/>
        <w:right w:val="none" w:sz="0" w:space="0" w:color="auto"/>
      </w:divBdr>
      <w:divsChild>
        <w:div w:id="1248465798">
          <w:marLeft w:val="0"/>
          <w:marRight w:val="0"/>
          <w:marTop w:val="0"/>
          <w:marBottom w:val="0"/>
          <w:divBdr>
            <w:top w:val="none" w:sz="0" w:space="0" w:color="auto"/>
            <w:left w:val="none" w:sz="0" w:space="0" w:color="auto"/>
            <w:bottom w:val="none" w:sz="0" w:space="0" w:color="auto"/>
            <w:right w:val="none" w:sz="0" w:space="0" w:color="auto"/>
          </w:divBdr>
        </w:div>
      </w:divsChild>
    </w:div>
    <w:div w:id="421950537">
      <w:marLeft w:val="0"/>
      <w:marRight w:val="0"/>
      <w:marTop w:val="0"/>
      <w:marBottom w:val="0"/>
      <w:divBdr>
        <w:top w:val="none" w:sz="0" w:space="0" w:color="auto"/>
        <w:left w:val="none" w:sz="0" w:space="0" w:color="auto"/>
        <w:bottom w:val="none" w:sz="0" w:space="0" w:color="auto"/>
        <w:right w:val="none" w:sz="0" w:space="0" w:color="auto"/>
      </w:divBdr>
      <w:divsChild>
        <w:div w:id="321810817">
          <w:marLeft w:val="0"/>
          <w:marRight w:val="0"/>
          <w:marTop w:val="0"/>
          <w:marBottom w:val="0"/>
          <w:divBdr>
            <w:top w:val="none" w:sz="0" w:space="0" w:color="auto"/>
            <w:left w:val="none" w:sz="0" w:space="0" w:color="auto"/>
            <w:bottom w:val="none" w:sz="0" w:space="0" w:color="auto"/>
            <w:right w:val="none" w:sz="0" w:space="0" w:color="auto"/>
          </w:divBdr>
        </w:div>
      </w:divsChild>
    </w:div>
    <w:div w:id="422727665">
      <w:marLeft w:val="0"/>
      <w:marRight w:val="0"/>
      <w:marTop w:val="0"/>
      <w:marBottom w:val="0"/>
      <w:divBdr>
        <w:top w:val="none" w:sz="0" w:space="0" w:color="auto"/>
        <w:left w:val="none" w:sz="0" w:space="0" w:color="auto"/>
        <w:bottom w:val="none" w:sz="0" w:space="0" w:color="auto"/>
        <w:right w:val="none" w:sz="0" w:space="0" w:color="auto"/>
      </w:divBdr>
      <w:divsChild>
        <w:div w:id="1178080298">
          <w:marLeft w:val="0"/>
          <w:marRight w:val="0"/>
          <w:marTop w:val="0"/>
          <w:marBottom w:val="0"/>
          <w:divBdr>
            <w:top w:val="none" w:sz="0" w:space="0" w:color="auto"/>
            <w:left w:val="none" w:sz="0" w:space="0" w:color="auto"/>
            <w:bottom w:val="none" w:sz="0" w:space="0" w:color="auto"/>
            <w:right w:val="none" w:sz="0" w:space="0" w:color="auto"/>
          </w:divBdr>
        </w:div>
      </w:divsChild>
    </w:div>
    <w:div w:id="427042753">
      <w:marLeft w:val="0"/>
      <w:marRight w:val="0"/>
      <w:marTop w:val="120"/>
      <w:marBottom w:val="0"/>
      <w:divBdr>
        <w:top w:val="none" w:sz="0" w:space="0" w:color="auto"/>
        <w:left w:val="none" w:sz="0" w:space="0" w:color="auto"/>
        <w:bottom w:val="none" w:sz="0" w:space="0" w:color="auto"/>
        <w:right w:val="none" w:sz="0" w:space="0" w:color="auto"/>
      </w:divBdr>
    </w:div>
    <w:div w:id="427164515">
      <w:marLeft w:val="0"/>
      <w:marRight w:val="0"/>
      <w:marTop w:val="120"/>
      <w:marBottom w:val="0"/>
      <w:divBdr>
        <w:top w:val="none" w:sz="0" w:space="0" w:color="auto"/>
        <w:left w:val="none" w:sz="0" w:space="0" w:color="auto"/>
        <w:bottom w:val="none" w:sz="0" w:space="0" w:color="auto"/>
        <w:right w:val="none" w:sz="0" w:space="0" w:color="auto"/>
      </w:divBdr>
    </w:div>
    <w:div w:id="427771166">
      <w:marLeft w:val="0"/>
      <w:marRight w:val="0"/>
      <w:marTop w:val="120"/>
      <w:marBottom w:val="0"/>
      <w:divBdr>
        <w:top w:val="none" w:sz="0" w:space="0" w:color="auto"/>
        <w:left w:val="none" w:sz="0" w:space="0" w:color="auto"/>
        <w:bottom w:val="none" w:sz="0" w:space="0" w:color="auto"/>
        <w:right w:val="none" w:sz="0" w:space="0" w:color="auto"/>
      </w:divBdr>
    </w:div>
    <w:div w:id="427969572">
      <w:marLeft w:val="0"/>
      <w:marRight w:val="0"/>
      <w:marTop w:val="0"/>
      <w:marBottom w:val="0"/>
      <w:divBdr>
        <w:top w:val="none" w:sz="0" w:space="0" w:color="auto"/>
        <w:left w:val="none" w:sz="0" w:space="0" w:color="auto"/>
        <w:bottom w:val="none" w:sz="0" w:space="0" w:color="auto"/>
        <w:right w:val="none" w:sz="0" w:space="0" w:color="auto"/>
      </w:divBdr>
      <w:divsChild>
        <w:div w:id="611784900">
          <w:marLeft w:val="0"/>
          <w:marRight w:val="0"/>
          <w:marTop w:val="0"/>
          <w:marBottom w:val="0"/>
          <w:divBdr>
            <w:top w:val="none" w:sz="0" w:space="0" w:color="auto"/>
            <w:left w:val="none" w:sz="0" w:space="0" w:color="auto"/>
            <w:bottom w:val="none" w:sz="0" w:space="0" w:color="auto"/>
            <w:right w:val="none" w:sz="0" w:space="0" w:color="auto"/>
          </w:divBdr>
        </w:div>
      </w:divsChild>
    </w:div>
    <w:div w:id="429931964">
      <w:marLeft w:val="0"/>
      <w:marRight w:val="0"/>
      <w:marTop w:val="0"/>
      <w:marBottom w:val="0"/>
      <w:divBdr>
        <w:top w:val="none" w:sz="0" w:space="0" w:color="auto"/>
        <w:left w:val="none" w:sz="0" w:space="0" w:color="auto"/>
        <w:bottom w:val="none" w:sz="0" w:space="0" w:color="auto"/>
        <w:right w:val="none" w:sz="0" w:space="0" w:color="auto"/>
      </w:divBdr>
      <w:divsChild>
        <w:div w:id="243035761">
          <w:marLeft w:val="0"/>
          <w:marRight w:val="0"/>
          <w:marTop w:val="0"/>
          <w:marBottom w:val="0"/>
          <w:divBdr>
            <w:top w:val="none" w:sz="0" w:space="0" w:color="auto"/>
            <w:left w:val="none" w:sz="0" w:space="0" w:color="auto"/>
            <w:bottom w:val="none" w:sz="0" w:space="0" w:color="auto"/>
            <w:right w:val="none" w:sz="0" w:space="0" w:color="auto"/>
          </w:divBdr>
        </w:div>
      </w:divsChild>
    </w:div>
    <w:div w:id="430012973">
      <w:marLeft w:val="0"/>
      <w:marRight w:val="0"/>
      <w:marTop w:val="200"/>
      <w:marBottom w:val="0"/>
      <w:divBdr>
        <w:top w:val="none" w:sz="0" w:space="0" w:color="auto"/>
        <w:left w:val="none" w:sz="0" w:space="0" w:color="auto"/>
        <w:bottom w:val="none" w:sz="0" w:space="0" w:color="auto"/>
        <w:right w:val="none" w:sz="0" w:space="0" w:color="auto"/>
      </w:divBdr>
    </w:div>
    <w:div w:id="430858234">
      <w:marLeft w:val="0"/>
      <w:marRight w:val="0"/>
      <w:marTop w:val="120"/>
      <w:marBottom w:val="0"/>
      <w:divBdr>
        <w:top w:val="none" w:sz="0" w:space="0" w:color="auto"/>
        <w:left w:val="none" w:sz="0" w:space="0" w:color="auto"/>
        <w:bottom w:val="none" w:sz="0" w:space="0" w:color="auto"/>
        <w:right w:val="none" w:sz="0" w:space="0" w:color="auto"/>
      </w:divBdr>
    </w:div>
    <w:div w:id="431096566">
      <w:marLeft w:val="0"/>
      <w:marRight w:val="0"/>
      <w:marTop w:val="120"/>
      <w:marBottom w:val="0"/>
      <w:divBdr>
        <w:top w:val="none" w:sz="0" w:space="0" w:color="auto"/>
        <w:left w:val="none" w:sz="0" w:space="0" w:color="auto"/>
        <w:bottom w:val="none" w:sz="0" w:space="0" w:color="auto"/>
        <w:right w:val="none" w:sz="0" w:space="0" w:color="auto"/>
      </w:divBdr>
    </w:div>
    <w:div w:id="431508452">
      <w:marLeft w:val="0"/>
      <w:marRight w:val="0"/>
      <w:marTop w:val="120"/>
      <w:marBottom w:val="0"/>
      <w:divBdr>
        <w:top w:val="none" w:sz="0" w:space="0" w:color="auto"/>
        <w:left w:val="none" w:sz="0" w:space="0" w:color="auto"/>
        <w:bottom w:val="none" w:sz="0" w:space="0" w:color="auto"/>
        <w:right w:val="none" w:sz="0" w:space="0" w:color="auto"/>
      </w:divBdr>
    </w:div>
    <w:div w:id="433980974">
      <w:marLeft w:val="0"/>
      <w:marRight w:val="0"/>
      <w:marTop w:val="120"/>
      <w:marBottom w:val="0"/>
      <w:divBdr>
        <w:top w:val="none" w:sz="0" w:space="0" w:color="auto"/>
        <w:left w:val="none" w:sz="0" w:space="0" w:color="auto"/>
        <w:bottom w:val="none" w:sz="0" w:space="0" w:color="auto"/>
        <w:right w:val="none" w:sz="0" w:space="0" w:color="auto"/>
      </w:divBdr>
    </w:div>
    <w:div w:id="439377744">
      <w:marLeft w:val="0"/>
      <w:marRight w:val="0"/>
      <w:marTop w:val="0"/>
      <w:marBottom w:val="0"/>
      <w:divBdr>
        <w:top w:val="none" w:sz="0" w:space="0" w:color="auto"/>
        <w:left w:val="none" w:sz="0" w:space="0" w:color="auto"/>
        <w:bottom w:val="none" w:sz="0" w:space="0" w:color="auto"/>
        <w:right w:val="none" w:sz="0" w:space="0" w:color="auto"/>
      </w:divBdr>
      <w:divsChild>
        <w:div w:id="1129515760">
          <w:marLeft w:val="0"/>
          <w:marRight w:val="0"/>
          <w:marTop w:val="0"/>
          <w:marBottom w:val="0"/>
          <w:divBdr>
            <w:top w:val="none" w:sz="0" w:space="0" w:color="auto"/>
            <w:left w:val="none" w:sz="0" w:space="0" w:color="auto"/>
            <w:bottom w:val="none" w:sz="0" w:space="0" w:color="auto"/>
            <w:right w:val="none" w:sz="0" w:space="0" w:color="auto"/>
          </w:divBdr>
        </w:div>
      </w:divsChild>
    </w:div>
    <w:div w:id="440685991">
      <w:marLeft w:val="0"/>
      <w:marRight w:val="0"/>
      <w:marTop w:val="120"/>
      <w:marBottom w:val="0"/>
      <w:divBdr>
        <w:top w:val="none" w:sz="0" w:space="0" w:color="auto"/>
        <w:left w:val="none" w:sz="0" w:space="0" w:color="auto"/>
        <w:bottom w:val="none" w:sz="0" w:space="0" w:color="auto"/>
        <w:right w:val="none" w:sz="0" w:space="0" w:color="auto"/>
      </w:divBdr>
    </w:div>
    <w:div w:id="441075316">
      <w:marLeft w:val="0"/>
      <w:marRight w:val="0"/>
      <w:marTop w:val="120"/>
      <w:marBottom w:val="0"/>
      <w:divBdr>
        <w:top w:val="none" w:sz="0" w:space="0" w:color="auto"/>
        <w:left w:val="none" w:sz="0" w:space="0" w:color="auto"/>
        <w:bottom w:val="none" w:sz="0" w:space="0" w:color="auto"/>
        <w:right w:val="none" w:sz="0" w:space="0" w:color="auto"/>
      </w:divBdr>
    </w:div>
    <w:div w:id="442654523">
      <w:marLeft w:val="0"/>
      <w:marRight w:val="0"/>
      <w:marTop w:val="0"/>
      <w:marBottom w:val="0"/>
      <w:divBdr>
        <w:top w:val="none" w:sz="0" w:space="0" w:color="auto"/>
        <w:left w:val="none" w:sz="0" w:space="0" w:color="auto"/>
        <w:bottom w:val="none" w:sz="0" w:space="0" w:color="auto"/>
        <w:right w:val="none" w:sz="0" w:space="0" w:color="auto"/>
      </w:divBdr>
      <w:divsChild>
        <w:div w:id="640234624">
          <w:marLeft w:val="0"/>
          <w:marRight w:val="0"/>
          <w:marTop w:val="0"/>
          <w:marBottom w:val="0"/>
          <w:divBdr>
            <w:top w:val="none" w:sz="0" w:space="0" w:color="auto"/>
            <w:left w:val="none" w:sz="0" w:space="0" w:color="auto"/>
            <w:bottom w:val="none" w:sz="0" w:space="0" w:color="auto"/>
            <w:right w:val="none" w:sz="0" w:space="0" w:color="auto"/>
          </w:divBdr>
        </w:div>
      </w:divsChild>
    </w:div>
    <w:div w:id="444422346">
      <w:marLeft w:val="0"/>
      <w:marRight w:val="0"/>
      <w:marTop w:val="120"/>
      <w:marBottom w:val="0"/>
      <w:divBdr>
        <w:top w:val="none" w:sz="0" w:space="0" w:color="auto"/>
        <w:left w:val="none" w:sz="0" w:space="0" w:color="auto"/>
        <w:bottom w:val="none" w:sz="0" w:space="0" w:color="auto"/>
        <w:right w:val="none" w:sz="0" w:space="0" w:color="auto"/>
      </w:divBdr>
    </w:div>
    <w:div w:id="445126991">
      <w:marLeft w:val="0"/>
      <w:marRight w:val="0"/>
      <w:marTop w:val="120"/>
      <w:marBottom w:val="0"/>
      <w:divBdr>
        <w:top w:val="none" w:sz="0" w:space="0" w:color="auto"/>
        <w:left w:val="none" w:sz="0" w:space="0" w:color="auto"/>
        <w:bottom w:val="none" w:sz="0" w:space="0" w:color="auto"/>
        <w:right w:val="none" w:sz="0" w:space="0" w:color="auto"/>
      </w:divBdr>
    </w:div>
    <w:div w:id="446855138">
      <w:marLeft w:val="0"/>
      <w:marRight w:val="0"/>
      <w:marTop w:val="0"/>
      <w:marBottom w:val="0"/>
      <w:divBdr>
        <w:top w:val="none" w:sz="0" w:space="0" w:color="auto"/>
        <w:left w:val="none" w:sz="0" w:space="0" w:color="auto"/>
        <w:bottom w:val="none" w:sz="0" w:space="0" w:color="auto"/>
        <w:right w:val="none" w:sz="0" w:space="0" w:color="auto"/>
      </w:divBdr>
      <w:divsChild>
        <w:div w:id="781345149">
          <w:marLeft w:val="0"/>
          <w:marRight w:val="0"/>
          <w:marTop w:val="0"/>
          <w:marBottom w:val="0"/>
          <w:divBdr>
            <w:top w:val="none" w:sz="0" w:space="0" w:color="auto"/>
            <w:left w:val="none" w:sz="0" w:space="0" w:color="auto"/>
            <w:bottom w:val="none" w:sz="0" w:space="0" w:color="auto"/>
            <w:right w:val="none" w:sz="0" w:space="0" w:color="auto"/>
          </w:divBdr>
        </w:div>
      </w:divsChild>
    </w:div>
    <w:div w:id="448817721">
      <w:marLeft w:val="0"/>
      <w:marRight w:val="0"/>
      <w:marTop w:val="120"/>
      <w:marBottom w:val="0"/>
      <w:divBdr>
        <w:top w:val="none" w:sz="0" w:space="0" w:color="auto"/>
        <w:left w:val="none" w:sz="0" w:space="0" w:color="auto"/>
        <w:bottom w:val="none" w:sz="0" w:space="0" w:color="auto"/>
        <w:right w:val="none" w:sz="0" w:space="0" w:color="auto"/>
      </w:divBdr>
    </w:div>
    <w:div w:id="448937270">
      <w:marLeft w:val="0"/>
      <w:marRight w:val="0"/>
      <w:marTop w:val="200"/>
      <w:marBottom w:val="0"/>
      <w:divBdr>
        <w:top w:val="none" w:sz="0" w:space="0" w:color="auto"/>
        <w:left w:val="none" w:sz="0" w:space="0" w:color="auto"/>
        <w:bottom w:val="none" w:sz="0" w:space="0" w:color="auto"/>
        <w:right w:val="none" w:sz="0" w:space="0" w:color="auto"/>
      </w:divBdr>
    </w:div>
    <w:div w:id="449013366">
      <w:marLeft w:val="0"/>
      <w:marRight w:val="0"/>
      <w:marTop w:val="120"/>
      <w:marBottom w:val="0"/>
      <w:divBdr>
        <w:top w:val="none" w:sz="0" w:space="0" w:color="auto"/>
        <w:left w:val="none" w:sz="0" w:space="0" w:color="auto"/>
        <w:bottom w:val="none" w:sz="0" w:space="0" w:color="auto"/>
        <w:right w:val="none" w:sz="0" w:space="0" w:color="auto"/>
      </w:divBdr>
    </w:div>
    <w:div w:id="449395376">
      <w:marLeft w:val="0"/>
      <w:marRight w:val="0"/>
      <w:marTop w:val="200"/>
      <w:marBottom w:val="0"/>
      <w:divBdr>
        <w:top w:val="none" w:sz="0" w:space="0" w:color="auto"/>
        <w:left w:val="none" w:sz="0" w:space="0" w:color="auto"/>
        <w:bottom w:val="none" w:sz="0" w:space="0" w:color="auto"/>
        <w:right w:val="none" w:sz="0" w:space="0" w:color="auto"/>
      </w:divBdr>
    </w:div>
    <w:div w:id="449783411">
      <w:marLeft w:val="0"/>
      <w:marRight w:val="0"/>
      <w:marTop w:val="120"/>
      <w:marBottom w:val="0"/>
      <w:divBdr>
        <w:top w:val="none" w:sz="0" w:space="0" w:color="auto"/>
        <w:left w:val="none" w:sz="0" w:space="0" w:color="auto"/>
        <w:bottom w:val="none" w:sz="0" w:space="0" w:color="auto"/>
        <w:right w:val="none" w:sz="0" w:space="0" w:color="auto"/>
      </w:divBdr>
    </w:div>
    <w:div w:id="449977727">
      <w:marLeft w:val="0"/>
      <w:marRight w:val="0"/>
      <w:marTop w:val="200"/>
      <w:marBottom w:val="0"/>
      <w:divBdr>
        <w:top w:val="none" w:sz="0" w:space="0" w:color="auto"/>
        <w:left w:val="none" w:sz="0" w:space="0" w:color="auto"/>
        <w:bottom w:val="none" w:sz="0" w:space="0" w:color="auto"/>
        <w:right w:val="none" w:sz="0" w:space="0" w:color="auto"/>
      </w:divBdr>
    </w:div>
    <w:div w:id="450132743">
      <w:marLeft w:val="0"/>
      <w:marRight w:val="0"/>
      <w:marTop w:val="200"/>
      <w:marBottom w:val="0"/>
      <w:divBdr>
        <w:top w:val="none" w:sz="0" w:space="0" w:color="auto"/>
        <w:left w:val="none" w:sz="0" w:space="0" w:color="auto"/>
        <w:bottom w:val="none" w:sz="0" w:space="0" w:color="auto"/>
        <w:right w:val="none" w:sz="0" w:space="0" w:color="auto"/>
      </w:divBdr>
    </w:div>
    <w:div w:id="453182602">
      <w:marLeft w:val="0"/>
      <w:marRight w:val="0"/>
      <w:marTop w:val="120"/>
      <w:marBottom w:val="0"/>
      <w:divBdr>
        <w:top w:val="none" w:sz="0" w:space="0" w:color="auto"/>
        <w:left w:val="none" w:sz="0" w:space="0" w:color="auto"/>
        <w:bottom w:val="none" w:sz="0" w:space="0" w:color="auto"/>
        <w:right w:val="none" w:sz="0" w:space="0" w:color="auto"/>
      </w:divBdr>
    </w:div>
    <w:div w:id="455296458">
      <w:marLeft w:val="0"/>
      <w:marRight w:val="0"/>
      <w:marTop w:val="200"/>
      <w:marBottom w:val="0"/>
      <w:divBdr>
        <w:top w:val="none" w:sz="0" w:space="0" w:color="auto"/>
        <w:left w:val="none" w:sz="0" w:space="0" w:color="auto"/>
        <w:bottom w:val="none" w:sz="0" w:space="0" w:color="auto"/>
        <w:right w:val="none" w:sz="0" w:space="0" w:color="auto"/>
      </w:divBdr>
    </w:div>
    <w:div w:id="455368045">
      <w:marLeft w:val="0"/>
      <w:marRight w:val="0"/>
      <w:marTop w:val="120"/>
      <w:marBottom w:val="0"/>
      <w:divBdr>
        <w:top w:val="none" w:sz="0" w:space="0" w:color="auto"/>
        <w:left w:val="none" w:sz="0" w:space="0" w:color="auto"/>
        <w:bottom w:val="none" w:sz="0" w:space="0" w:color="auto"/>
        <w:right w:val="none" w:sz="0" w:space="0" w:color="auto"/>
      </w:divBdr>
    </w:div>
    <w:div w:id="459081665">
      <w:marLeft w:val="0"/>
      <w:marRight w:val="0"/>
      <w:marTop w:val="0"/>
      <w:marBottom w:val="0"/>
      <w:divBdr>
        <w:top w:val="none" w:sz="0" w:space="0" w:color="auto"/>
        <w:left w:val="none" w:sz="0" w:space="0" w:color="auto"/>
        <w:bottom w:val="none" w:sz="0" w:space="0" w:color="auto"/>
        <w:right w:val="none" w:sz="0" w:space="0" w:color="auto"/>
      </w:divBdr>
    </w:div>
    <w:div w:id="460927910">
      <w:marLeft w:val="0"/>
      <w:marRight w:val="0"/>
      <w:marTop w:val="120"/>
      <w:marBottom w:val="0"/>
      <w:divBdr>
        <w:top w:val="none" w:sz="0" w:space="0" w:color="auto"/>
        <w:left w:val="none" w:sz="0" w:space="0" w:color="auto"/>
        <w:bottom w:val="none" w:sz="0" w:space="0" w:color="auto"/>
        <w:right w:val="none" w:sz="0" w:space="0" w:color="auto"/>
      </w:divBdr>
    </w:div>
    <w:div w:id="461316104">
      <w:marLeft w:val="0"/>
      <w:marRight w:val="0"/>
      <w:marTop w:val="120"/>
      <w:marBottom w:val="0"/>
      <w:divBdr>
        <w:top w:val="none" w:sz="0" w:space="0" w:color="auto"/>
        <w:left w:val="none" w:sz="0" w:space="0" w:color="auto"/>
        <w:bottom w:val="none" w:sz="0" w:space="0" w:color="auto"/>
        <w:right w:val="none" w:sz="0" w:space="0" w:color="auto"/>
      </w:divBdr>
    </w:div>
    <w:div w:id="463038075">
      <w:marLeft w:val="0"/>
      <w:marRight w:val="0"/>
      <w:marTop w:val="120"/>
      <w:marBottom w:val="0"/>
      <w:divBdr>
        <w:top w:val="none" w:sz="0" w:space="0" w:color="auto"/>
        <w:left w:val="none" w:sz="0" w:space="0" w:color="auto"/>
        <w:bottom w:val="none" w:sz="0" w:space="0" w:color="auto"/>
        <w:right w:val="none" w:sz="0" w:space="0" w:color="auto"/>
      </w:divBdr>
    </w:div>
    <w:div w:id="463424969">
      <w:marLeft w:val="0"/>
      <w:marRight w:val="0"/>
      <w:marTop w:val="0"/>
      <w:marBottom w:val="0"/>
      <w:divBdr>
        <w:top w:val="none" w:sz="0" w:space="0" w:color="auto"/>
        <w:left w:val="none" w:sz="0" w:space="0" w:color="auto"/>
        <w:bottom w:val="none" w:sz="0" w:space="0" w:color="auto"/>
        <w:right w:val="none" w:sz="0" w:space="0" w:color="auto"/>
      </w:divBdr>
    </w:div>
    <w:div w:id="464354876">
      <w:marLeft w:val="0"/>
      <w:marRight w:val="0"/>
      <w:marTop w:val="120"/>
      <w:marBottom w:val="0"/>
      <w:divBdr>
        <w:top w:val="none" w:sz="0" w:space="0" w:color="auto"/>
        <w:left w:val="none" w:sz="0" w:space="0" w:color="auto"/>
        <w:bottom w:val="none" w:sz="0" w:space="0" w:color="auto"/>
        <w:right w:val="none" w:sz="0" w:space="0" w:color="auto"/>
      </w:divBdr>
    </w:div>
    <w:div w:id="464473047">
      <w:marLeft w:val="0"/>
      <w:marRight w:val="0"/>
      <w:marTop w:val="120"/>
      <w:marBottom w:val="0"/>
      <w:divBdr>
        <w:top w:val="none" w:sz="0" w:space="0" w:color="auto"/>
        <w:left w:val="none" w:sz="0" w:space="0" w:color="auto"/>
        <w:bottom w:val="none" w:sz="0" w:space="0" w:color="auto"/>
        <w:right w:val="none" w:sz="0" w:space="0" w:color="auto"/>
      </w:divBdr>
    </w:div>
    <w:div w:id="466362914">
      <w:marLeft w:val="0"/>
      <w:marRight w:val="0"/>
      <w:marTop w:val="120"/>
      <w:marBottom w:val="0"/>
      <w:divBdr>
        <w:top w:val="none" w:sz="0" w:space="0" w:color="auto"/>
        <w:left w:val="none" w:sz="0" w:space="0" w:color="auto"/>
        <w:bottom w:val="none" w:sz="0" w:space="0" w:color="auto"/>
        <w:right w:val="none" w:sz="0" w:space="0" w:color="auto"/>
      </w:divBdr>
    </w:div>
    <w:div w:id="467673955">
      <w:marLeft w:val="0"/>
      <w:marRight w:val="0"/>
      <w:marTop w:val="0"/>
      <w:marBottom w:val="0"/>
      <w:divBdr>
        <w:top w:val="none" w:sz="0" w:space="0" w:color="auto"/>
        <w:left w:val="none" w:sz="0" w:space="0" w:color="auto"/>
        <w:bottom w:val="none" w:sz="0" w:space="0" w:color="auto"/>
        <w:right w:val="none" w:sz="0" w:space="0" w:color="auto"/>
      </w:divBdr>
      <w:divsChild>
        <w:div w:id="1135486926">
          <w:marLeft w:val="0"/>
          <w:marRight w:val="0"/>
          <w:marTop w:val="0"/>
          <w:marBottom w:val="0"/>
          <w:divBdr>
            <w:top w:val="none" w:sz="0" w:space="0" w:color="auto"/>
            <w:left w:val="none" w:sz="0" w:space="0" w:color="auto"/>
            <w:bottom w:val="none" w:sz="0" w:space="0" w:color="auto"/>
            <w:right w:val="none" w:sz="0" w:space="0" w:color="auto"/>
          </w:divBdr>
        </w:div>
      </w:divsChild>
    </w:div>
    <w:div w:id="469251470">
      <w:marLeft w:val="0"/>
      <w:marRight w:val="0"/>
      <w:marTop w:val="200"/>
      <w:marBottom w:val="0"/>
      <w:divBdr>
        <w:top w:val="none" w:sz="0" w:space="0" w:color="auto"/>
        <w:left w:val="none" w:sz="0" w:space="0" w:color="auto"/>
        <w:bottom w:val="none" w:sz="0" w:space="0" w:color="auto"/>
        <w:right w:val="none" w:sz="0" w:space="0" w:color="auto"/>
      </w:divBdr>
    </w:div>
    <w:div w:id="471943649">
      <w:marLeft w:val="0"/>
      <w:marRight w:val="0"/>
      <w:marTop w:val="200"/>
      <w:marBottom w:val="0"/>
      <w:divBdr>
        <w:top w:val="none" w:sz="0" w:space="0" w:color="auto"/>
        <w:left w:val="none" w:sz="0" w:space="0" w:color="auto"/>
        <w:bottom w:val="none" w:sz="0" w:space="0" w:color="auto"/>
        <w:right w:val="none" w:sz="0" w:space="0" w:color="auto"/>
      </w:divBdr>
    </w:div>
    <w:div w:id="473328840">
      <w:marLeft w:val="0"/>
      <w:marRight w:val="0"/>
      <w:marTop w:val="120"/>
      <w:marBottom w:val="0"/>
      <w:divBdr>
        <w:top w:val="none" w:sz="0" w:space="0" w:color="auto"/>
        <w:left w:val="none" w:sz="0" w:space="0" w:color="auto"/>
        <w:bottom w:val="none" w:sz="0" w:space="0" w:color="auto"/>
        <w:right w:val="none" w:sz="0" w:space="0" w:color="auto"/>
      </w:divBdr>
    </w:div>
    <w:div w:id="473329271">
      <w:marLeft w:val="0"/>
      <w:marRight w:val="0"/>
      <w:marTop w:val="120"/>
      <w:marBottom w:val="0"/>
      <w:divBdr>
        <w:top w:val="none" w:sz="0" w:space="0" w:color="auto"/>
        <w:left w:val="none" w:sz="0" w:space="0" w:color="auto"/>
        <w:bottom w:val="none" w:sz="0" w:space="0" w:color="auto"/>
        <w:right w:val="none" w:sz="0" w:space="0" w:color="auto"/>
      </w:divBdr>
    </w:div>
    <w:div w:id="473715208">
      <w:marLeft w:val="0"/>
      <w:marRight w:val="0"/>
      <w:marTop w:val="60"/>
      <w:marBottom w:val="0"/>
      <w:divBdr>
        <w:top w:val="none" w:sz="0" w:space="0" w:color="auto"/>
        <w:left w:val="none" w:sz="0" w:space="0" w:color="auto"/>
        <w:bottom w:val="none" w:sz="0" w:space="0" w:color="auto"/>
        <w:right w:val="none" w:sz="0" w:space="0" w:color="auto"/>
      </w:divBdr>
    </w:div>
    <w:div w:id="474421079">
      <w:marLeft w:val="0"/>
      <w:marRight w:val="0"/>
      <w:marTop w:val="120"/>
      <w:marBottom w:val="0"/>
      <w:divBdr>
        <w:top w:val="none" w:sz="0" w:space="0" w:color="auto"/>
        <w:left w:val="none" w:sz="0" w:space="0" w:color="auto"/>
        <w:bottom w:val="none" w:sz="0" w:space="0" w:color="auto"/>
        <w:right w:val="none" w:sz="0" w:space="0" w:color="auto"/>
      </w:divBdr>
    </w:div>
    <w:div w:id="474756699">
      <w:marLeft w:val="0"/>
      <w:marRight w:val="0"/>
      <w:marTop w:val="0"/>
      <w:marBottom w:val="0"/>
      <w:divBdr>
        <w:top w:val="none" w:sz="0" w:space="0" w:color="auto"/>
        <w:left w:val="none" w:sz="0" w:space="0" w:color="auto"/>
        <w:bottom w:val="none" w:sz="0" w:space="0" w:color="auto"/>
        <w:right w:val="none" w:sz="0" w:space="0" w:color="auto"/>
      </w:divBdr>
      <w:divsChild>
        <w:div w:id="723329921">
          <w:marLeft w:val="0"/>
          <w:marRight w:val="0"/>
          <w:marTop w:val="0"/>
          <w:marBottom w:val="0"/>
          <w:divBdr>
            <w:top w:val="none" w:sz="0" w:space="0" w:color="auto"/>
            <w:left w:val="none" w:sz="0" w:space="0" w:color="auto"/>
            <w:bottom w:val="none" w:sz="0" w:space="0" w:color="auto"/>
            <w:right w:val="none" w:sz="0" w:space="0" w:color="auto"/>
          </w:divBdr>
        </w:div>
      </w:divsChild>
    </w:div>
    <w:div w:id="475799378">
      <w:marLeft w:val="0"/>
      <w:marRight w:val="0"/>
      <w:marTop w:val="120"/>
      <w:marBottom w:val="0"/>
      <w:divBdr>
        <w:top w:val="none" w:sz="0" w:space="0" w:color="auto"/>
        <w:left w:val="none" w:sz="0" w:space="0" w:color="auto"/>
        <w:bottom w:val="none" w:sz="0" w:space="0" w:color="auto"/>
        <w:right w:val="none" w:sz="0" w:space="0" w:color="auto"/>
      </w:divBdr>
    </w:div>
    <w:div w:id="476067683">
      <w:marLeft w:val="0"/>
      <w:marRight w:val="0"/>
      <w:marTop w:val="120"/>
      <w:marBottom w:val="0"/>
      <w:divBdr>
        <w:top w:val="none" w:sz="0" w:space="0" w:color="auto"/>
        <w:left w:val="none" w:sz="0" w:space="0" w:color="auto"/>
        <w:bottom w:val="none" w:sz="0" w:space="0" w:color="auto"/>
        <w:right w:val="none" w:sz="0" w:space="0" w:color="auto"/>
      </w:divBdr>
    </w:div>
    <w:div w:id="478576114">
      <w:marLeft w:val="0"/>
      <w:marRight w:val="0"/>
      <w:marTop w:val="0"/>
      <w:marBottom w:val="0"/>
      <w:divBdr>
        <w:top w:val="none" w:sz="0" w:space="0" w:color="auto"/>
        <w:left w:val="none" w:sz="0" w:space="0" w:color="auto"/>
        <w:bottom w:val="none" w:sz="0" w:space="0" w:color="auto"/>
        <w:right w:val="none" w:sz="0" w:space="0" w:color="auto"/>
      </w:divBdr>
      <w:divsChild>
        <w:div w:id="2143881411">
          <w:marLeft w:val="0"/>
          <w:marRight w:val="0"/>
          <w:marTop w:val="0"/>
          <w:marBottom w:val="0"/>
          <w:divBdr>
            <w:top w:val="none" w:sz="0" w:space="0" w:color="auto"/>
            <w:left w:val="none" w:sz="0" w:space="0" w:color="auto"/>
            <w:bottom w:val="none" w:sz="0" w:space="0" w:color="auto"/>
            <w:right w:val="none" w:sz="0" w:space="0" w:color="auto"/>
          </w:divBdr>
        </w:div>
      </w:divsChild>
    </w:div>
    <w:div w:id="480271794">
      <w:marLeft w:val="0"/>
      <w:marRight w:val="0"/>
      <w:marTop w:val="200"/>
      <w:marBottom w:val="0"/>
      <w:divBdr>
        <w:top w:val="none" w:sz="0" w:space="0" w:color="auto"/>
        <w:left w:val="none" w:sz="0" w:space="0" w:color="auto"/>
        <w:bottom w:val="none" w:sz="0" w:space="0" w:color="auto"/>
        <w:right w:val="none" w:sz="0" w:space="0" w:color="auto"/>
      </w:divBdr>
    </w:div>
    <w:div w:id="480662346">
      <w:marLeft w:val="0"/>
      <w:marRight w:val="0"/>
      <w:marTop w:val="0"/>
      <w:marBottom w:val="0"/>
      <w:divBdr>
        <w:top w:val="none" w:sz="0" w:space="0" w:color="auto"/>
        <w:left w:val="none" w:sz="0" w:space="0" w:color="auto"/>
        <w:bottom w:val="none" w:sz="0" w:space="0" w:color="auto"/>
        <w:right w:val="none" w:sz="0" w:space="0" w:color="auto"/>
      </w:divBdr>
      <w:divsChild>
        <w:div w:id="323820233">
          <w:marLeft w:val="0"/>
          <w:marRight w:val="0"/>
          <w:marTop w:val="0"/>
          <w:marBottom w:val="0"/>
          <w:divBdr>
            <w:top w:val="none" w:sz="0" w:space="0" w:color="auto"/>
            <w:left w:val="none" w:sz="0" w:space="0" w:color="auto"/>
            <w:bottom w:val="none" w:sz="0" w:space="0" w:color="auto"/>
            <w:right w:val="none" w:sz="0" w:space="0" w:color="auto"/>
          </w:divBdr>
        </w:div>
      </w:divsChild>
    </w:div>
    <w:div w:id="481315663">
      <w:marLeft w:val="0"/>
      <w:marRight w:val="0"/>
      <w:marTop w:val="200"/>
      <w:marBottom w:val="0"/>
      <w:divBdr>
        <w:top w:val="none" w:sz="0" w:space="0" w:color="auto"/>
        <w:left w:val="none" w:sz="0" w:space="0" w:color="auto"/>
        <w:bottom w:val="none" w:sz="0" w:space="0" w:color="auto"/>
        <w:right w:val="none" w:sz="0" w:space="0" w:color="auto"/>
      </w:divBdr>
    </w:div>
    <w:div w:id="481506371">
      <w:marLeft w:val="0"/>
      <w:marRight w:val="0"/>
      <w:marTop w:val="120"/>
      <w:marBottom w:val="0"/>
      <w:divBdr>
        <w:top w:val="none" w:sz="0" w:space="0" w:color="auto"/>
        <w:left w:val="none" w:sz="0" w:space="0" w:color="auto"/>
        <w:bottom w:val="none" w:sz="0" w:space="0" w:color="auto"/>
        <w:right w:val="none" w:sz="0" w:space="0" w:color="auto"/>
      </w:divBdr>
    </w:div>
    <w:div w:id="482507163">
      <w:marLeft w:val="0"/>
      <w:marRight w:val="0"/>
      <w:marTop w:val="120"/>
      <w:marBottom w:val="0"/>
      <w:divBdr>
        <w:top w:val="none" w:sz="0" w:space="0" w:color="auto"/>
        <w:left w:val="none" w:sz="0" w:space="0" w:color="auto"/>
        <w:bottom w:val="none" w:sz="0" w:space="0" w:color="auto"/>
        <w:right w:val="none" w:sz="0" w:space="0" w:color="auto"/>
      </w:divBdr>
    </w:div>
    <w:div w:id="482550167">
      <w:marLeft w:val="0"/>
      <w:marRight w:val="0"/>
      <w:marTop w:val="120"/>
      <w:marBottom w:val="0"/>
      <w:divBdr>
        <w:top w:val="none" w:sz="0" w:space="0" w:color="auto"/>
        <w:left w:val="none" w:sz="0" w:space="0" w:color="auto"/>
        <w:bottom w:val="none" w:sz="0" w:space="0" w:color="auto"/>
        <w:right w:val="none" w:sz="0" w:space="0" w:color="auto"/>
      </w:divBdr>
    </w:div>
    <w:div w:id="483356926">
      <w:marLeft w:val="0"/>
      <w:marRight w:val="0"/>
      <w:marTop w:val="120"/>
      <w:marBottom w:val="0"/>
      <w:divBdr>
        <w:top w:val="none" w:sz="0" w:space="0" w:color="auto"/>
        <w:left w:val="none" w:sz="0" w:space="0" w:color="auto"/>
        <w:bottom w:val="none" w:sz="0" w:space="0" w:color="auto"/>
        <w:right w:val="none" w:sz="0" w:space="0" w:color="auto"/>
      </w:divBdr>
    </w:div>
    <w:div w:id="484442575">
      <w:marLeft w:val="0"/>
      <w:marRight w:val="0"/>
      <w:marTop w:val="200"/>
      <w:marBottom w:val="0"/>
      <w:divBdr>
        <w:top w:val="none" w:sz="0" w:space="0" w:color="auto"/>
        <w:left w:val="none" w:sz="0" w:space="0" w:color="auto"/>
        <w:bottom w:val="none" w:sz="0" w:space="0" w:color="auto"/>
        <w:right w:val="none" w:sz="0" w:space="0" w:color="auto"/>
      </w:divBdr>
    </w:div>
    <w:div w:id="486702321">
      <w:marLeft w:val="0"/>
      <w:marRight w:val="0"/>
      <w:marTop w:val="200"/>
      <w:marBottom w:val="0"/>
      <w:divBdr>
        <w:top w:val="none" w:sz="0" w:space="0" w:color="auto"/>
        <w:left w:val="none" w:sz="0" w:space="0" w:color="auto"/>
        <w:bottom w:val="none" w:sz="0" w:space="0" w:color="auto"/>
        <w:right w:val="none" w:sz="0" w:space="0" w:color="auto"/>
      </w:divBdr>
    </w:div>
    <w:div w:id="487402514">
      <w:marLeft w:val="0"/>
      <w:marRight w:val="0"/>
      <w:marTop w:val="120"/>
      <w:marBottom w:val="0"/>
      <w:divBdr>
        <w:top w:val="none" w:sz="0" w:space="0" w:color="auto"/>
        <w:left w:val="none" w:sz="0" w:space="0" w:color="auto"/>
        <w:bottom w:val="none" w:sz="0" w:space="0" w:color="auto"/>
        <w:right w:val="none" w:sz="0" w:space="0" w:color="auto"/>
      </w:divBdr>
    </w:div>
    <w:div w:id="490996083">
      <w:marLeft w:val="0"/>
      <w:marRight w:val="0"/>
      <w:marTop w:val="0"/>
      <w:marBottom w:val="0"/>
      <w:divBdr>
        <w:top w:val="none" w:sz="0" w:space="0" w:color="auto"/>
        <w:left w:val="none" w:sz="0" w:space="0" w:color="auto"/>
        <w:bottom w:val="none" w:sz="0" w:space="0" w:color="auto"/>
        <w:right w:val="none" w:sz="0" w:space="0" w:color="auto"/>
      </w:divBdr>
      <w:divsChild>
        <w:div w:id="797912345">
          <w:marLeft w:val="0"/>
          <w:marRight w:val="0"/>
          <w:marTop w:val="0"/>
          <w:marBottom w:val="0"/>
          <w:divBdr>
            <w:top w:val="none" w:sz="0" w:space="0" w:color="auto"/>
            <w:left w:val="none" w:sz="0" w:space="0" w:color="auto"/>
            <w:bottom w:val="none" w:sz="0" w:space="0" w:color="auto"/>
            <w:right w:val="none" w:sz="0" w:space="0" w:color="auto"/>
          </w:divBdr>
        </w:div>
      </w:divsChild>
    </w:div>
    <w:div w:id="494299008">
      <w:marLeft w:val="0"/>
      <w:marRight w:val="0"/>
      <w:marTop w:val="120"/>
      <w:marBottom w:val="0"/>
      <w:divBdr>
        <w:top w:val="none" w:sz="0" w:space="0" w:color="auto"/>
        <w:left w:val="none" w:sz="0" w:space="0" w:color="auto"/>
        <w:bottom w:val="none" w:sz="0" w:space="0" w:color="auto"/>
        <w:right w:val="none" w:sz="0" w:space="0" w:color="auto"/>
      </w:divBdr>
    </w:div>
    <w:div w:id="495220426">
      <w:marLeft w:val="0"/>
      <w:marRight w:val="0"/>
      <w:marTop w:val="120"/>
      <w:marBottom w:val="0"/>
      <w:divBdr>
        <w:top w:val="none" w:sz="0" w:space="0" w:color="auto"/>
        <w:left w:val="none" w:sz="0" w:space="0" w:color="auto"/>
        <w:bottom w:val="none" w:sz="0" w:space="0" w:color="auto"/>
        <w:right w:val="none" w:sz="0" w:space="0" w:color="auto"/>
      </w:divBdr>
    </w:div>
    <w:div w:id="496191030">
      <w:marLeft w:val="0"/>
      <w:marRight w:val="0"/>
      <w:marTop w:val="0"/>
      <w:marBottom w:val="0"/>
      <w:divBdr>
        <w:top w:val="none" w:sz="0" w:space="0" w:color="auto"/>
        <w:left w:val="none" w:sz="0" w:space="0" w:color="auto"/>
        <w:bottom w:val="none" w:sz="0" w:space="0" w:color="auto"/>
        <w:right w:val="none" w:sz="0" w:space="0" w:color="auto"/>
      </w:divBdr>
      <w:divsChild>
        <w:div w:id="1044212968">
          <w:marLeft w:val="0"/>
          <w:marRight w:val="0"/>
          <w:marTop w:val="0"/>
          <w:marBottom w:val="0"/>
          <w:divBdr>
            <w:top w:val="none" w:sz="0" w:space="0" w:color="auto"/>
            <w:left w:val="none" w:sz="0" w:space="0" w:color="auto"/>
            <w:bottom w:val="none" w:sz="0" w:space="0" w:color="auto"/>
            <w:right w:val="none" w:sz="0" w:space="0" w:color="auto"/>
          </w:divBdr>
        </w:div>
      </w:divsChild>
    </w:div>
    <w:div w:id="497380945">
      <w:marLeft w:val="0"/>
      <w:marRight w:val="0"/>
      <w:marTop w:val="120"/>
      <w:marBottom w:val="0"/>
      <w:divBdr>
        <w:top w:val="none" w:sz="0" w:space="0" w:color="auto"/>
        <w:left w:val="none" w:sz="0" w:space="0" w:color="auto"/>
        <w:bottom w:val="none" w:sz="0" w:space="0" w:color="auto"/>
        <w:right w:val="none" w:sz="0" w:space="0" w:color="auto"/>
      </w:divBdr>
    </w:div>
    <w:div w:id="497579623">
      <w:marLeft w:val="0"/>
      <w:marRight w:val="0"/>
      <w:marTop w:val="200"/>
      <w:marBottom w:val="0"/>
      <w:divBdr>
        <w:top w:val="none" w:sz="0" w:space="0" w:color="auto"/>
        <w:left w:val="none" w:sz="0" w:space="0" w:color="auto"/>
        <w:bottom w:val="none" w:sz="0" w:space="0" w:color="auto"/>
        <w:right w:val="none" w:sz="0" w:space="0" w:color="auto"/>
      </w:divBdr>
    </w:div>
    <w:div w:id="497817538">
      <w:marLeft w:val="0"/>
      <w:marRight w:val="0"/>
      <w:marTop w:val="120"/>
      <w:marBottom w:val="0"/>
      <w:divBdr>
        <w:top w:val="none" w:sz="0" w:space="0" w:color="auto"/>
        <w:left w:val="none" w:sz="0" w:space="0" w:color="auto"/>
        <w:bottom w:val="none" w:sz="0" w:space="0" w:color="auto"/>
        <w:right w:val="none" w:sz="0" w:space="0" w:color="auto"/>
      </w:divBdr>
    </w:div>
    <w:div w:id="498692009">
      <w:marLeft w:val="0"/>
      <w:marRight w:val="0"/>
      <w:marTop w:val="120"/>
      <w:marBottom w:val="0"/>
      <w:divBdr>
        <w:top w:val="none" w:sz="0" w:space="0" w:color="auto"/>
        <w:left w:val="none" w:sz="0" w:space="0" w:color="auto"/>
        <w:bottom w:val="none" w:sz="0" w:space="0" w:color="auto"/>
        <w:right w:val="none" w:sz="0" w:space="0" w:color="auto"/>
      </w:divBdr>
    </w:div>
    <w:div w:id="499780435">
      <w:marLeft w:val="0"/>
      <w:marRight w:val="0"/>
      <w:marTop w:val="200"/>
      <w:marBottom w:val="0"/>
      <w:divBdr>
        <w:top w:val="none" w:sz="0" w:space="0" w:color="auto"/>
        <w:left w:val="none" w:sz="0" w:space="0" w:color="auto"/>
        <w:bottom w:val="none" w:sz="0" w:space="0" w:color="auto"/>
        <w:right w:val="none" w:sz="0" w:space="0" w:color="auto"/>
      </w:divBdr>
    </w:div>
    <w:div w:id="500898765">
      <w:marLeft w:val="0"/>
      <w:marRight w:val="0"/>
      <w:marTop w:val="120"/>
      <w:marBottom w:val="0"/>
      <w:divBdr>
        <w:top w:val="none" w:sz="0" w:space="0" w:color="auto"/>
        <w:left w:val="none" w:sz="0" w:space="0" w:color="auto"/>
        <w:bottom w:val="none" w:sz="0" w:space="0" w:color="auto"/>
        <w:right w:val="none" w:sz="0" w:space="0" w:color="auto"/>
      </w:divBdr>
    </w:div>
    <w:div w:id="502282593">
      <w:marLeft w:val="0"/>
      <w:marRight w:val="0"/>
      <w:marTop w:val="120"/>
      <w:marBottom w:val="0"/>
      <w:divBdr>
        <w:top w:val="none" w:sz="0" w:space="0" w:color="auto"/>
        <w:left w:val="none" w:sz="0" w:space="0" w:color="auto"/>
        <w:bottom w:val="none" w:sz="0" w:space="0" w:color="auto"/>
        <w:right w:val="none" w:sz="0" w:space="0" w:color="auto"/>
      </w:divBdr>
    </w:div>
    <w:div w:id="502748680">
      <w:marLeft w:val="0"/>
      <w:marRight w:val="0"/>
      <w:marTop w:val="120"/>
      <w:marBottom w:val="0"/>
      <w:divBdr>
        <w:top w:val="none" w:sz="0" w:space="0" w:color="auto"/>
        <w:left w:val="none" w:sz="0" w:space="0" w:color="auto"/>
        <w:bottom w:val="none" w:sz="0" w:space="0" w:color="auto"/>
        <w:right w:val="none" w:sz="0" w:space="0" w:color="auto"/>
      </w:divBdr>
    </w:div>
    <w:div w:id="503974409">
      <w:marLeft w:val="0"/>
      <w:marRight w:val="0"/>
      <w:marTop w:val="120"/>
      <w:marBottom w:val="0"/>
      <w:divBdr>
        <w:top w:val="none" w:sz="0" w:space="0" w:color="auto"/>
        <w:left w:val="none" w:sz="0" w:space="0" w:color="auto"/>
        <w:bottom w:val="none" w:sz="0" w:space="0" w:color="auto"/>
        <w:right w:val="none" w:sz="0" w:space="0" w:color="auto"/>
      </w:divBdr>
    </w:div>
    <w:div w:id="505175651">
      <w:marLeft w:val="0"/>
      <w:marRight w:val="0"/>
      <w:marTop w:val="120"/>
      <w:marBottom w:val="0"/>
      <w:divBdr>
        <w:top w:val="none" w:sz="0" w:space="0" w:color="auto"/>
        <w:left w:val="none" w:sz="0" w:space="0" w:color="auto"/>
        <w:bottom w:val="none" w:sz="0" w:space="0" w:color="auto"/>
        <w:right w:val="none" w:sz="0" w:space="0" w:color="auto"/>
      </w:divBdr>
    </w:div>
    <w:div w:id="507257307">
      <w:marLeft w:val="0"/>
      <w:marRight w:val="0"/>
      <w:marTop w:val="200"/>
      <w:marBottom w:val="0"/>
      <w:divBdr>
        <w:top w:val="none" w:sz="0" w:space="0" w:color="auto"/>
        <w:left w:val="none" w:sz="0" w:space="0" w:color="auto"/>
        <w:bottom w:val="none" w:sz="0" w:space="0" w:color="auto"/>
        <w:right w:val="none" w:sz="0" w:space="0" w:color="auto"/>
      </w:divBdr>
    </w:div>
    <w:div w:id="508327495">
      <w:marLeft w:val="0"/>
      <w:marRight w:val="0"/>
      <w:marTop w:val="120"/>
      <w:marBottom w:val="0"/>
      <w:divBdr>
        <w:top w:val="none" w:sz="0" w:space="0" w:color="auto"/>
        <w:left w:val="none" w:sz="0" w:space="0" w:color="auto"/>
        <w:bottom w:val="none" w:sz="0" w:space="0" w:color="auto"/>
        <w:right w:val="none" w:sz="0" w:space="0" w:color="auto"/>
      </w:divBdr>
    </w:div>
    <w:div w:id="509374412">
      <w:marLeft w:val="0"/>
      <w:marRight w:val="0"/>
      <w:marTop w:val="120"/>
      <w:marBottom w:val="0"/>
      <w:divBdr>
        <w:top w:val="none" w:sz="0" w:space="0" w:color="auto"/>
        <w:left w:val="none" w:sz="0" w:space="0" w:color="auto"/>
        <w:bottom w:val="none" w:sz="0" w:space="0" w:color="auto"/>
        <w:right w:val="none" w:sz="0" w:space="0" w:color="auto"/>
      </w:divBdr>
    </w:div>
    <w:div w:id="510219614">
      <w:marLeft w:val="0"/>
      <w:marRight w:val="0"/>
      <w:marTop w:val="200"/>
      <w:marBottom w:val="0"/>
      <w:divBdr>
        <w:top w:val="none" w:sz="0" w:space="0" w:color="auto"/>
        <w:left w:val="none" w:sz="0" w:space="0" w:color="auto"/>
        <w:bottom w:val="none" w:sz="0" w:space="0" w:color="auto"/>
        <w:right w:val="none" w:sz="0" w:space="0" w:color="auto"/>
      </w:divBdr>
    </w:div>
    <w:div w:id="519467188">
      <w:marLeft w:val="0"/>
      <w:marRight w:val="0"/>
      <w:marTop w:val="200"/>
      <w:marBottom w:val="0"/>
      <w:divBdr>
        <w:top w:val="none" w:sz="0" w:space="0" w:color="auto"/>
        <w:left w:val="none" w:sz="0" w:space="0" w:color="auto"/>
        <w:bottom w:val="none" w:sz="0" w:space="0" w:color="auto"/>
        <w:right w:val="none" w:sz="0" w:space="0" w:color="auto"/>
      </w:divBdr>
    </w:div>
    <w:div w:id="520172088">
      <w:marLeft w:val="0"/>
      <w:marRight w:val="0"/>
      <w:marTop w:val="120"/>
      <w:marBottom w:val="0"/>
      <w:divBdr>
        <w:top w:val="none" w:sz="0" w:space="0" w:color="auto"/>
        <w:left w:val="none" w:sz="0" w:space="0" w:color="auto"/>
        <w:bottom w:val="none" w:sz="0" w:space="0" w:color="auto"/>
        <w:right w:val="none" w:sz="0" w:space="0" w:color="auto"/>
      </w:divBdr>
    </w:div>
    <w:div w:id="524446008">
      <w:marLeft w:val="0"/>
      <w:marRight w:val="0"/>
      <w:marTop w:val="200"/>
      <w:marBottom w:val="0"/>
      <w:divBdr>
        <w:top w:val="none" w:sz="0" w:space="0" w:color="auto"/>
        <w:left w:val="none" w:sz="0" w:space="0" w:color="auto"/>
        <w:bottom w:val="none" w:sz="0" w:space="0" w:color="auto"/>
        <w:right w:val="none" w:sz="0" w:space="0" w:color="auto"/>
      </w:divBdr>
    </w:div>
    <w:div w:id="525100102">
      <w:marLeft w:val="0"/>
      <w:marRight w:val="0"/>
      <w:marTop w:val="120"/>
      <w:marBottom w:val="0"/>
      <w:divBdr>
        <w:top w:val="none" w:sz="0" w:space="0" w:color="auto"/>
        <w:left w:val="none" w:sz="0" w:space="0" w:color="auto"/>
        <w:bottom w:val="none" w:sz="0" w:space="0" w:color="auto"/>
        <w:right w:val="none" w:sz="0" w:space="0" w:color="auto"/>
      </w:divBdr>
    </w:div>
    <w:div w:id="525559242">
      <w:marLeft w:val="0"/>
      <w:marRight w:val="0"/>
      <w:marTop w:val="0"/>
      <w:marBottom w:val="0"/>
      <w:divBdr>
        <w:top w:val="none" w:sz="0" w:space="0" w:color="auto"/>
        <w:left w:val="none" w:sz="0" w:space="0" w:color="auto"/>
        <w:bottom w:val="none" w:sz="0" w:space="0" w:color="auto"/>
        <w:right w:val="none" w:sz="0" w:space="0" w:color="auto"/>
      </w:divBdr>
    </w:div>
    <w:div w:id="526062109">
      <w:marLeft w:val="0"/>
      <w:marRight w:val="0"/>
      <w:marTop w:val="120"/>
      <w:marBottom w:val="0"/>
      <w:divBdr>
        <w:top w:val="none" w:sz="0" w:space="0" w:color="auto"/>
        <w:left w:val="none" w:sz="0" w:space="0" w:color="auto"/>
        <w:bottom w:val="none" w:sz="0" w:space="0" w:color="auto"/>
        <w:right w:val="none" w:sz="0" w:space="0" w:color="auto"/>
      </w:divBdr>
    </w:div>
    <w:div w:id="526259599">
      <w:marLeft w:val="0"/>
      <w:marRight w:val="0"/>
      <w:marTop w:val="200"/>
      <w:marBottom w:val="0"/>
      <w:divBdr>
        <w:top w:val="none" w:sz="0" w:space="0" w:color="auto"/>
        <w:left w:val="none" w:sz="0" w:space="0" w:color="auto"/>
        <w:bottom w:val="none" w:sz="0" w:space="0" w:color="auto"/>
        <w:right w:val="none" w:sz="0" w:space="0" w:color="auto"/>
      </w:divBdr>
    </w:div>
    <w:div w:id="527330757">
      <w:marLeft w:val="0"/>
      <w:marRight w:val="0"/>
      <w:marTop w:val="0"/>
      <w:marBottom w:val="0"/>
      <w:divBdr>
        <w:top w:val="none" w:sz="0" w:space="0" w:color="auto"/>
        <w:left w:val="none" w:sz="0" w:space="0" w:color="auto"/>
        <w:bottom w:val="none" w:sz="0" w:space="0" w:color="auto"/>
        <w:right w:val="none" w:sz="0" w:space="0" w:color="auto"/>
      </w:divBdr>
    </w:div>
    <w:div w:id="529924462">
      <w:marLeft w:val="0"/>
      <w:marRight w:val="0"/>
      <w:marTop w:val="120"/>
      <w:marBottom w:val="0"/>
      <w:divBdr>
        <w:top w:val="none" w:sz="0" w:space="0" w:color="auto"/>
        <w:left w:val="none" w:sz="0" w:space="0" w:color="auto"/>
        <w:bottom w:val="none" w:sz="0" w:space="0" w:color="auto"/>
        <w:right w:val="none" w:sz="0" w:space="0" w:color="auto"/>
      </w:divBdr>
    </w:div>
    <w:div w:id="532576636">
      <w:marLeft w:val="0"/>
      <w:marRight w:val="0"/>
      <w:marTop w:val="120"/>
      <w:marBottom w:val="0"/>
      <w:divBdr>
        <w:top w:val="none" w:sz="0" w:space="0" w:color="auto"/>
        <w:left w:val="none" w:sz="0" w:space="0" w:color="auto"/>
        <w:bottom w:val="none" w:sz="0" w:space="0" w:color="auto"/>
        <w:right w:val="none" w:sz="0" w:space="0" w:color="auto"/>
      </w:divBdr>
    </w:div>
    <w:div w:id="533032690">
      <w:marLeft w:val="0"/>
      <w:marRight w:val="0"/>
      <w:marTop w:val="120"/>
      <w:marBottom w:val="0"/>
      <w:divBdr>
        <w:top w:val="none" w:sz="0" w:space="0" w:color="auto"/>
        <w:left w:val="none" w:sz="0" w:space="0" w:color="auto"/>
        <w:bottom w:val="none" w:sz="0" w:space="0" w:color="auto"/>
        <w:right w:val="none" w:sz="0" w:space="0" w:color="auto"/>
      </w:divBdr>
    </w:div>
    <w:div w:id="534124041">
      <w:marLeft w:val="0"/>
      <w:marRight w:val="0"/>
      <w:marTop w:val="120"/>
      <w:marBottom w:val="0"/>
      <w:divBdr>
        <w:top w:val="none" w:sz="0" w:space="0" w:color="auto"/>
        <w:left w:val="none" w:sz="0" w:space="0" w:color="auto"/>
        <w:bottom w:val="none" w:sz="0" w:space="0" w:color="auto"/>
        <w:right w:val="none" w:sz="0" w:space="0" w:color="auto"/>
      </w:divBdr>
    </w:div>
    <w:div w:id="534389631">
      <w:marLeft w:val="0"/>
      <w:marRight w:val="0"/>
      <w:marTop w:val="120"/>
      <w:marBottom w:val="0"/>
      <w:divBdr>
        <w:top w:val="none" w:sz="0" w:space="0" w:color="auto"/>
        <w:left w:val="none" w:sz="0" w:space="0" w:color="auto"/>
        <w:bottom w:val="none" w:sz="0" w:space="0" w:color="auto"/>
        <w:right w:val="none" w:sz="0" w:space="0" w:color="auto"/>
      </w:divBdr>
    </w:div>
    <w:div w:id="537165468">
      <w:marLeft w:val="0"/>
      <w:marRight w:val="0"/>
      <w:marTop w:val="120"/>
      <w:marBottom w:val="0"/>
      <w:divBdr>
        <w:top w:val="none" w:sz="0" w:space="0" w:color="auto"/>
        <w:left w:val="none" w:sz="0" w:space="0" w:color="auto"/>
        <w:bottom w:val="none" w:sz="0" w:space="0" w:color="auto"/>
        <w:right w:val="none" w:sz="0" w:space="0" w:color="auto"/>
      </w:divBdr>
    </w:div>
    <w:div w:id="537277706">
      <w:marLeft w:val="0"/>
      <w:marRight w:val="0"/>
      <w:marTop w:val="120"/>
      <w:marBottom w:val="0"/>
      <w:divBdr>
        <w:top w:val="none" w:sz="0" w:space="0" w:color="auto"/>
        <w:left w:val="none" w:sz="0" w:space="0" w:color="auto"/>
        <w:bottom w:val="none" w:sz="0" w:space="0" w:color="auto"/>
        <w:right w:val="none" w:sz="0" w:space="0" w:color="auto"/>
      </w:divBdr>
    </w:div>
    <w:div w:id="537819853">
      <w:marLeft w:val="0"/>
      <w:marRight w:val="0"/>
      <w:marTop w:val="120"/>
      <w:marBottom w:val="0"/>
      <w:divBdr>
        <w:top w:val="none" w:sz="0" w:space="0" w:color="auto"/>
        <w:left w:val="none" w:sz="0" w:space="0" w:color="auto"/>
        <w:bottom w:val="none" w:sz="0" w:space="0" w:color="auto"/>
        <w:right w:val="none" w:sz="0" w:space="0" w:color="auto"/>
      </w:divBdr>
    </w:div>
    <w:div w:id="539055743">
      <w:marLeft w:val="0"/>
      <w:marRight w:val="0"/>
      <w:marTop w:val="120"/>
      <w:marBottom w:val="0"/>
      <w:divBdr>
        <w:top w:val="none" w:sz="0" w:space="0" w:color="auto"/>
        <w:left w:val="none" w:sz="0" w:space="0" w:color="auto"/>
        <w:bottom w:val="none" w:sz="0" w:space="0" w:color="auto"/>
        <w:right w:val="none" w:sz="0" w:space="0" w:color="auto"/>
      </w:divBdr>
    </w:div>
    <w:div w:id="539056253">
      <w:marLeft w:val="0"/>
      <w:marRight w:val="0"/>
      <w:marTop w:val="120"/>
      <w:marBottom w:val="0"/>
      <w:divBdr>
        <w:top w:val="none" w:sz="0" w:space="0" w:color="auto"/>
        <w:left w:val="none" w:sz="0" w:space="0" w:color="auto"/>
        <w:bottom w:val="none" w:sz="0" w:space="0" w:color="auto"/>
        <w:right w:val="none" w:sz="0" w:space="0" w:color="auto"/>
      </w:divBdr>
    </w:div>
    <w:div w:id="542403386">
      <w:marLeft w:val="0"/>
      <w:marRight w:val="0"/>
      <w:marTop w:val="120"/>
      <w:marBottom w:val="0"/>
      <w:divBdr>
        <w:top w:val="none" w:sz="0" w:space="0" w:color="auto"/>
        <w:left w:val="none" w:sz="0" w:space="0" w:color="auto"/>
        <w:bottom w:val="none" w:sz="0" w:space="0" w:color="auto"/>
        <w:right w:val="none" w:sz="0" w:space="0" w:color="auto"/>
      </w:divBdr>
    </w:div>
    <w:div w:id="542985243">
      <w:marLeft w:val="0"/>
      <w:marRight w:val="0"/>
      <w:marTop w:val="120"/>
      <w:marBottom w:val="0"/>
      <w:divBdr>
        <w:top w:val="none" w:sz="0" w:space="0" w:color="auto"/>
        <w:left w:val="none" w:sz="0" w:space="0" w:color="auto"/>
        <w:bottom w:val="none" w:sz="0" w:space="0" w:color="auto"/>
        <w:right w:val="none" w:sz="0" w:space="0" w:color="auto"/>
      </w:divBdr>
    </w:div>
    <w:div w:id="543829568">
      <w:marLeft w:val="0"/>
      <w:marRight w:val="0"/>
      <w:marTop w:val="120"/>
      <w:marBottom w:val="0"/>
      <w:divBdr>
        <w:top w:val="none" w:sz="0" w:space="0" w:color="auto"/>
        <w:left w:val="none" w:sz="0" w:space="0" w:color="auto"/>
        <w:bottom w:val="none" w:sz="0" w:space="0" w:color="auto"/>
        <w:right w:val="none" w:sz="0" w:space="0" w:color="auto"/>
      </w:divBdr>
    </w:div>
    <w:div w:id="544173646">
      <w:marLeft w:val="0"/>
      <w:marRight w:val="0"/>
      <w:marTop w:val="200"/>
      <w:marBottom w:val="0"/>
      <w:divBdr>
        <w:top w:val="none" w:sz="0" w:space="0" w:color="auto"/>
        <w:left w:val="none" w:sz="0" w:space="0" w:color="auto"/>
        <w:bottom w:val="none" w:sz="0" w:space="0" w:color="auto"/>
        <w:right w:val="none" w:sz="0" w:space="0" w:color="auto"/>
      </w:divBdr>
    </w:div>
    <w:div w:id="546067218">
      <w:marLeft w:val="0"/>
      <w:marRight w:val="0"/>
      <w:marTop w:val="200"/>
      <w:marBottom w:val="0"/>
      <w:divBdr>
        <w:top w:val="none" w:sz="0" w:space="0" w:color="auto"/>
        <w:left w:val="none" w:sz="0" w:space="0" w:color="auto"/>
        <w:bottom w:val="none" w:sz="0" w:space="0" w:color="auto"/>
        <w:right w:val="none" w:sz="0" w:space="0" w:color="auto"/>
      </w:divBdr>
    </w:div>
    <w:div w:id="547496651">
      <w:marLeft w:val="0"/>
      <w:marRight w:val="0"/>
      <w:marTop w:val="120"/>
      <w:marBottom w:val="0"/>
      <w:divBdr>
        <w:top w:val="none" w:sz="0" w:space="0" w:color="auto"/>
        <w:left w:val="none" w:sz="0" w:space="0" w:color="auto"/>
        <w:bottom w:val="none" w:sz="0" w:space="0" w:color="auto"/>
        <w:right w:val="none" w:sz="0" w:space="0" w:color="auto"/>
      </w:divBdr>
    </w:div>
    <w:div w:id="547761106">
      <w:marLeft w:val="0"/>
      <w:marRight w:val="0"/>
      <w:marTop w:val="120"/>
      <w:marBottom w:val="0"/>
      <w:divBdr>
        <w:top w:val="none" w:sz="0" w:space="0" w:color="auto"/>
        <w:left w:val="none" w:sz="0" w:space="0" w:color="auto"/>
        <w:bottom w:val="none" w:sz="0" w:space="0" w:color="auto"/>
        <w:right w:val="none" w:sz="0" w:space="0" w:color="auto"/>
      </w:divBdr>
    </w:div>
    <w:div w:id="548107966">
      <w:marLeft w:val="0"/>
      <w:marRight w:val="0"/>
      <w:marTop w:val="120"/>
      <w:marBottom w:val="0"/>
      <w:divBdr>
        <w:top w:val="none" w:sz="0" w:space="0" w:color="auto"/>
        <w:left w:val="none" w:sz="0" w:space="0" w:color="auto"/>
        <w:bottom w:val="none" w:sz="0" w:space="0" w:color="auto"/>
        <w:right w:val="none" w:sz="0" w:space="0" w:color="auto"/>
      </w:divBdr>
    </w:div>
    <w:div w:id="548222468">
      <w:marLeft w:val="0"/>
      <w:marRight w:val="0"/>
      <w:marTop w:val="0"/>
      <w:marBottom w:val="0"/>
      <w:divBdr>
        <w:top w:val="none" w:sz="0" w:space="0" w:color="auto"/>
        <w:left w:val="none" w:sz="0" w:space="0" w:color="auto"/>
        <w:bottom w:val="none" w:sz="0" w:space="0" w:color="auto"/>
        <w:right w:val="none" w:sz="0" w:space="0" w:color="auto"/>
      </w:divBdr>
      <w:divsChild>
        <w:div w:id="1919823362">
          <w:marLeft w:val="0"/>
          <w:marRight w:val="0"/>
          <w:marTop w:val="0"/>
          <w:marBottom w:val="0"/>
          <w:divBdr>
            <w:top w:val="none" w:sz="0" w:space="0" w:color="auto"/>
            <w:left w:val="none" w:sz="0" w:space="0" w:color="auto"/>
            <w:bottom w:val="none" w:sz="0" w:space="0" w:color="auto"/>
            <w:right w:val="none" w:sz="0" w:space="0" w:color="auto"/>
          </w:divBdr>
        </w:div>
      </w:divsChild>
    </w:div>
    <w:div w:id="548958200">
      <w:marLeft w:val="0"/>
      <w:marRight w:val="0"/>
      <w:marTop w:val="120"/>
      <w:marBottom w:val="0"/>
      <w:divBdr>
        <w:top w:val="none" w:sz="0" w:space="0" w:color="auto"/>
        <w:left w:val="none" w:sz="0" w:space="0" w:color="auto"/>
        <w:bottom w:val="none" w:sz="0" w:space="0" w:color="auto"/>
        <w:right w:val="none" w:sz="0" w:space="0" w:color="auto"/>
      </w:divBdr>
    </w:div>
    <w:div w:id="549609018">
      <w:marLeft w:val="0"/>
      <w:marRight w:val="0"/>
      <w:marTop w:val="120"/>
      <w:marBottom w:val="0"/>
      <w:divBdr>
        <w:top w:val="none" w:sz="0" w:space="0" w:color="auto"/>
        <w:left w:val="none" w:sz="0" w:space="0" w:color="auto"/>
        <w:bottom w:val="none" w:sz="0" w:space="0" w:color="auto"/>
        <w:right w:val="none" w:sz="0" w:space="0" w:color="auto"/>
      </w:divBdr>
    </w:div>
    <w:div w:id="551622392">
      <w:marLeft w:val="0"/>
      <w:marRight w:val="0"/>
      <w:marTop w:val="120"/>
      <w:marBottom w:val="0"/>
      <w:divBdr>
        <w:top w:val="none" w:sz="0" w:space="0" w:color="auto"/>
        <w:left w:val="none" w:sz="0" w:space="0" w:color="auto"/>
        <w:bottom w:val="none" w:sz="0" w:space="0" w:color="auto"/>
        <w:right w:val="none" w:sz="0" w:space="0" w:color="auto"/>
      </w:divBdr>
    </w:div>
    <w:div w:id="552039625">
      <w:marLeft w:val="0"/>
      <w:marRight w:val="0"/>
      <w:marTop w:val="200"/>
      <w:marBottom w:val="0"/>
      <w:divBdr>
        <w:top w:val="none" w:sz="0" w:space="0" w:color="auto"/>
        <w:left w:val="none" w:sz="0" w:space="0" w:color="auto"/>
        <w:bottom w:val="none" w:sz="0" w:space="0" w:color="auto"/>
        <w:right w:val="none" w:sz="0" w:space="0" w:color="auto"/>
      </w:divBdr>
    </w:div>
    <w:div w:id="553546163">
      <w:marLeft w:val="0"/>
      <w:marRight w:val="0"/>
      <w:marTop w:val="120"/>
      <w:marBottom w:val="0"/>
      <w:divBdr>
        <w:top w:val="none" w:sz="0" w:space="0" w:color="auto"/>
        <w:left w:val="none" w:sz="0" w:space="0" w:color="auto"/>
        <w:bottom w:val="none" w:sz="0" w:space="0" w:color="auto"/>
        <w:right w:val="none" w:sz="0" w:space="0" w:color="auto"/>
      </w:divBdr>
    </w:div>
    <w:div w:id="554044854">
      <w:marLeft w:val="0"/>
      <w:marRight w:val="0"/>
      <w:marTop w:val="100"/>
      <w:marBottom w:val="0"/>
      <w:divBdr>
        <w:top w:val="none" w:sz="0" w:space="0" w:color="auto"/>
        <w:left w:val="none" w:sz="0" w:space="0" w:color="auto"/>
        <w:bottom w:val="none" w:sz="0" w:space="0" w:color="auto"/>
        <w:right w:val="none" w:sz="0" w:space="0" w:color="auto"/>
      </w:divBdr>
    </w:div>
    <w:div w:id="554242394">
      <w:marLeft w:val="0"/>
      <w:marRight w:val="0"/>
      <w:marTop w:val="200"/>
      <w:marBottom w:val="0"/>
      <w:divBdr>
        <w:top w:val="none" w:sz="0" w:space="0" w:color="auto"/>
        <w:left w:val="none" w:sz="0" w:space="0" w:color="auto"/>
        <w:bottom w:val="none" w:sz="0" w:space="0" w:color="auto"/>
        <w:right w:val="none" w:sz="0" w:space="0" w:color="auto"/>
      </w:divBdr>
    </w:div>
    <w:div w:id="554392886">
      <w:marLeft w:val="0"/>
      <w:marRight w:val="0"/>
      <w:marTop w:val="120"/>
      <w:marBottom w:val="0"/>
      <w:divBdr>
        <w:top w:val="none" w:sz="0" w:space="0" w:color="auto"/>
        <w:left w:val="none" w:sz="0" w:space="0" w:color="auto"/>
        <w:bottom w:val="none" w:sz="0" w:space="0" w:color="auto"/>
        <w:right w:val="none" w:sz="0" w:space="0" w:color="auto"/>
      </w:divBdr>
    </w:div>
    <w:div w:id="556627852">
      <w:marLeft w:val="0"/>
      <w:marRight w:val="0"/>
      <w:marTop w:val="120"/>
      <w:marBottom w:val="0"/>
      <w:divBdr>
        <w:top w:val="none" w:sz="0" w:space="0" w:color="auto"/>
        <w:left w:val="none" w:sz="0" w:space="0" w:color="auto"/>
        <w:bottom w:val="none" w:sz="0" w:space="0" w:color="auto"/>
        <w:right w:val="none" w:sz="0" w:space="0" w:color="auto"/>
      </w:divBdr>
    </w:div>
    <w:div w:id="559485263">
      <w:marLeft w:val="0"/>
      <w:marRight w:val="0"/>
      <w:marTop w:val="200"/>
      <w:marBottom w:val="0"/>
      <w:divBdr>
        <w:top w:val="none" w:sz="0" w:space="0" w:color="auto"/>
        <w:left w:val="none" w:sz="0" w:space="0" w:color="auto"/>
        <w:bottom w:val="none" w:sz="0" w:space="0" w:color="auto"/>
        <w:right w:val="none" w:sz="0" w:space="0" w:color="auto"/>
      </w:divBdr>
    </w:div>
    <w:div w:id="560139065">
      <w:marLeft w:val="0"/>
      <w:marRight w:val="0"/>
      <w:marTop w:val="120"/>
      <w:marBottom w:val="0"/>
      <w:divBdr>
        <w:top w:val="none" w:sz="0" w:space="0" w:color="auto"/>
        <w:left w:val="none" w:sz="0" w:space="0" w:color="auto"/>
        <w:bottom w:val="none" w:sz="0" w:space="0" w:color="auto"/>
        <w:right w:val="none" w:sz="0" w:space="0" w:color="auto"/>
      </w:divBdr>
    </w:div>
    <w:div w:id="560479618">
      <w:marLeft w:val="0"/>
      <w:marRight w:val="0"/>
      <w:marTop w:val="120"/>
      <w:marBottom w:val="0"/>
      <w:divBdr>
        <w:top w:val="none" w:sz="0" w:space="0" w:color="auto"/>
        <w:left w:val="none" w:sz="0" w:space="0" w:color="auto"/>
        <w:bottom w:val="none" w:sz="0" w:space="0" w:color="auto"/>
        <w:right w:val="none" w:sz="0" w:space="0" w:color="auto"/>
      </w:divBdr>
    </w:div>
    <w:div w:id="561603223">
      <w:marLeft w:val="0"/>
      <w:marRight w:val="0"/>
      <w:marTop w:val="120"/>
      <w:marBottom w:val="0"/>
      <w:divBdr>
        <w:top w:val="none" w:sz="0" w:space="0" w:color="auto"/>
        <w:left w:val="none" w:sz="0" w:space="0" w:color="auto"/>
        <w:bottom w:val="none" w:sz="0" w:space="0" w:color="auto"/>
        <w:right w:val="none" w:sz="0" w:space="0" w:color="auto"/>
      </w:divBdr>
    </w:div>
    <w:div w:id="566108261">
      <w:marLeft w:val="0"/>
      <w:marRight w:val="0"/>
      <w:marTop w:val="200"/>
      <w:marBottom w:val="0"/>
      <w:divBdr>
        <w:top w:val="none" w:sz="0" w:space="0" w:color="auto"/>
        <w:left w:val="none" w:sz="0" w:space="0" w:color="auto"/>
        <w:bottom w:val="none" w:sz="0" w:space="0" w:color="auto"/>
        <w:right w:val="none" w:sz="0" w:space="0" w:color="auto"/>
      </w:divBdr>
    </w:div>
    <w:div w:id="566762298">
      <w:marLeft w:val="0"/>
      <w:marRight w:val="0"/>
      <w:marTop w:val="200"/>
      <w:marBottom w:val="0"/>
      <w:divBdr>
        <w:top w:val="none" w:sz="0" w:space="0" w:color="auto"/>
        <w:left w:val="none" w:sz="0" w:space="0" w:color="auto"/>
        <w:bottom w:val="none" w:sz="0" w:space="0" w:color="auto"/>
        <w:right w:val="none" w:sz="0" w:space="0" w:color="auto"/>
      </w:divBdr>
    </w:div>
    <w:div w:id="567228770">
      <w:marLeft w:val="0"/>
      <w:marRight w:val="0"/>
      <w:marTop w:val="120"/>
      <w:marBottom w:val="0"/>
      <w:divBdr>
        <w:top w:val="none" w:sz="0" w:space="0" w:color="auto"/>
        <w:left w:val="none" w:sz="0" w:space="0" w:color="auto"/>
        <w:bottom w:val="none" w:sz="0" w:space="0" w:color="auto"/>
        <w:right w:val="none" w:sz="0" w:space="0" w:color="auto"/>
      </w:divBdr>
    </w:div>
    <w:div w:id="568461545">
      <w:marLeft w:val="0"/>
      <w:marRight w:val="0"/>
      <w:marTop w:val="120"/>
      <w:marBottom w:val="0"/>
      <w:divBdr>
        <w:top w:val="none" w:sz="0" w:space="0" w:color="auto"/>
        <w:left w:val="none" w:sz="0" w:space="0" w:color="auto"/>
        <w:bottom w:val="none" w:sz="0" w:space="0" w:color="auto"/>
        <w:right w:val="none" w:sz="0" w:space="0" w:color="auto"/>
      </w:divBdr>
    </w:div>
    <w:div w:id="569004589">
      <w:marLeft w:val="0"/>
      <w:marRight w:val="0"/>
      <w:marTop w:val="0"/>
      <w:marBottom w:val="0"/>
      <w:divBdr>
        <w:top w:val="none" w:sz="0" w:space="0" w:color="auto"/>
        <w:left w:val="none" w:sz="0" w:space="0" w:color="auto"/>
        <w:bottom w:val="none" w:sz="0" w:space="0" w:color="auto"/>
        <w:right w:val="none" w:sz="0" w:space="0" w:color="auto"/>
      </w:divBdr>
      <w:divsChild>
        <w:div w:id="943004471">
          <w:marLeft w:val="0"/>
          <w:marRight w:val="0"/>
          <w:marTop w:val="0"/>
          <w:marBottom w:val="0"/>
          <w:divBdr>
            <w:top w:val="none" w:sz="0" w:space="0" w:color="auto"/>
            <w:left w:val="none" w:sz="0" w:space="0" w:color="auto"/>
            <w:bottom w:val="none" w:sz="0" w:space="0" w:color="auto"/>
            <w:right w:val="none" w:sz="0" w:space="0" w:color="auto"/>
          </w:divBdr>
        </w:div>
      </w:divsChild>
    </w:div>
    <w:div w:id="570774148">
      <w:marLeft w:val="0"/>
      <w:marRight w:val="0"/>
      <w:marTop w:val="120"/>
      <w:marBottom w:val="0"/>
      <w:divBdr>
        <w:top w:val="none" w:sz="0" w:space="0" w:color="auto"/>
        <w:left w:val="none" w:sz="0" w:space="0" w:color="auto"/>
        <w:bottom w:val="none" w:sz="0" w:space="0" w:color="auto"/>
        <w:right w:val="none" w:sz="0" w:space="0" w:color="auto"/>
      </w:divBdr>
    </w:div>
    <w:div w:id="571086840">
      <w:marLeft w:val="0"/>
      <w:marRight w:val="0"/>
      <w:marTop w:val="120"/>
      <w:marBottom w:val="0"/>
      <w:divBdr>
        <w:top w:val="none" w:sz="0" w:space="0" w:color="auto"/>
        <w:left w:val="none" w:sz="0" w:space="0" w:color="auto"/>
        <w:bottom w:val="none" w:sz="0" w:space="0" w:color="auto"/>
        <w:right w:val="none" w:sz="0" w:space="0" w:color="auto"/>
      </w:divBdr>
    </w:div>
    <w:div w:id="571896057">
      <w:marLeft w:val="0"/>
      <w:marRight w:val="0"/>
      <w:marTop w:val="200"/>
      <w:marBottom w:val="0"/>
      <w:divBdr>
        <w:top w:val="none" w:sz="0" w:space="0" w:color="auto"/>
        <w:left w:val="none" w:sz="0" w:space="0" w:color="auto"/>
        <w:bottom w:val="none" w:sz="0" w:space="0" w:color="auto"/>
        <w:right w:val="none" w:sz="0" w:space="0" w:color="auto"/>
      </w:divBdr>
    </w:div>
    <w:div w:id="573782589">
      <w:marLeft w:val="0"/>
      <w:marRight w:val="0"/>
      <w:marTop w:val="120"/>
      <w:marBottom w:val="0"/>
      <w:divBdr>
        <w:top w:val="none" w:sz="0" w:space="0" w:color="auto"/>
        <w:left w:val="none" w:sz="0" w:space="0" w:color="auto"/>
        <w:bottom w:val="none" w:sz="0" w:space="0" w:color="auto"/>
        <w:right w:val="none" w:sz="0" w:space="0" w:color="auto"/>
      </w:divBdr>
    </w:div>
    <w:div w:id="574363035">
      <w:marLeft w:val="0"/>
      <w:marRight w:val="0"/>
      <w:marTop w:val="120"/>
      <w:marBottom w:val="0"/>
      <w:divBdr>
        <w:top w:val="none" w:sz="0" w:space="0" w:color="auto"/>
        <w:left w:val="none" w:sz="0" w:space="0" w:color="auto"/>
        <w:bottom w:val="none" w:sz="0" w:space="0" w:color="auto"/>
        <w:right w:val="none" w:sz="0" w:space="0" w:color="auto"/>
      </w:divBdr>
    </w:div>
    <w:div w:id="574507768">
      <w:marLeft w:val="0"/>
      <w:marRight w:val="0"/>
      <w:marTop w:val="120"/>
      <w:marBottom w:val="0"/>
      <w:divBdr>
        <w:top w:val="none" w:sz="0" w:space="0" w:color="auto"/>
        <w:left w:val="none" w:sz="0" w:space="0" w:color="auto"/>
        <w:bottom w:val="none" w:sz="0" w:space="0" w:color="auto"/>
        <w:right w:val="none" w:sz="0" w:space="0" w:color="auto"/>
      </w:divBdr>
    </w:div>
    <w:div w:id="576093971">
      <w:marLeft w:val="0"/>
      <w:marRight w:val="0"/>
      <w:marTop w:val="120"/>
      <w:marBottom w:val="0"/>
      <w:divBdr>
        <w:top w:val="none" w:sz="0" w:space="0" w:color="auto"/>
        <w:left w:val="none" w:sz="0" w:space="0" w:color="auto"/>
        <w:bottom w:val="none" w:sz="0" w:space="0" w:color="auto"/>
        <w:right w:val="none" w:sz="0" w:space="0" w:color="auto"/>
      </w:divBdr>
    </w:div>
    <w:div w:id="576984497">
      <w:marLeft w:val="0"/>
      <w:marRight w:val="0"/>
      <w:marTop w:val="120"/>
      <w:marBottom w:val="0"/>
      <w:divBdr>
        <w:top w:val="none" w:sz="0" w:space="0" w:color="auto"/>
        <w:left w:val="none" w:sz="0" w:space="0" w:color="auto"/>
        <w:bottom w:val="none" w:sz="0" w:space="0" w:color="auto"/>
        <w:right w:val="none" w:sz="0" w:space="0" w:color="auto"/>
      </w:divBdr>
    </w:div>
    <w:div w:id="577323141">
      <w:marLeft w:val="0"/>
      <w:marRight w:val="0"/>
      <w:marTop w:val="120"/>
      <w:marBottom w:val="0"/>
      <w:divBdr>
        <w:top w:val="none" w:sz="0" w:space="0" w:color="auto"/>
        <w:left w:val="none" w:sz="0" w:space="0" w:color="auto"/>
        <w:bottom w:val="none" w:sz="0" w:space="0" w:color="auto"/>
        <w:right w:val="none" w:sz="0" w:space="0" w:color="auto"/>
      </w:divBdr>
    </w:div>
    <w:div w:id="582377228">
      <w:marLeft w:val="0"/>
      <w:marRight w:val="0"/>
      <w:marTop w:val="200"/>
      <w:marBottom w:val="0"/>
      <w:divBdr>
        <w:top w:val="none" w:sz="0" w:space="0" w:color="auto"/>
        <w:left w:val="none" w:sz="0" w:space="0" w:color="auto"/>
        <w:bottom w:val="none" w:sz="0" w:space="0" w:color="auto"/>
        <w:right w:val="none" w:sz="0" w:space="0" w:color="auto"/>
      </w:divBdr>
    </w:div>
    <w:div w:id="582639826">
      <w:marLeft w:val="0"/>
      <w:marRight w:val="0"/>
      <w:marTop w:val="120"/>
      <w:marBottom w:val="0"/>
      <w:divBdr>
        <w:top w:val="none" w:sz="0" w:space="0" w:color="auto"/>
        <w:left w:val="none" w:sz="0" w:space="0" w:color="auto"/>
        <w:bottom w:val="none" w:sz="0" w:space="0" w:color="auto"/>
        <w:right w:val="none" w:sz="0" w:space="0" w:color="auto"/>
      </w:divBdr>
    </w:div>
    <w:div w:id="584850702">
      <w:marLeft w:val="0"/>
      <w:marRight w:val="0"/>
      <w:marTop w:val="120"/>
      <w:marBottom w:val="0"/>
      <w:divBdr>
        <w:top w:val="none" w:sz="0" w:space="0" w:color="auto"/>
        <w:left w:val="none" w:sz="0" w:space="0" w:color="auto"/>
        <w:bottom w:val="none" w:sz="0" w:space="0" w:color="auto"/>
        <w:right w:val="none" w:sz="0" w:space="0" w:color="auto"/>
      </w:divBdr>
    </w:div>
    <w:div w:id="586693803">
      <w:marLeft w:val="0"/>
      <w:marRight w:val="0"/>
      <w:marTop w:val="120"/>
      <w:marBottom w:val="0"/>
      <w:divBdr>
        <w:top w:val="none" w:sz="0" w:space="0" w:color="auto"/>
        <w:left w:val="none" w:sz="0" w:space="0" w:color="auto"/>
        <w:bottom w:val="none" w:sz="0" w:space="0" w:color="auto"/>
        <w:right w:val="none" w:sz="0" w:space="0" w:color="auto"/>
      </w:divBdr>
    </w:div>
    <w:div w:id="588007774">
      <w:marLeft w:val="0"/>
      <w:marRight w:val="0"/>
      <w:marTop w:val="0"/>
      <w:marBottom w:val="0"/>
      <w:divBdr>
        <w:top w:val="none" w:sz="0" w:space="0" w:color="auto"/>
        <w:left w:val="none" w:sz="0" w:space="0" w:color="auto"/>
        <w:bottom w:val="none" w:sz="0" w:space="0" w:color="auto"/>
        <w:right w:val="none" w:sz="0" w:space="0" w:color="auto"/>
      </w:divBdr>
      <w:divsChild>
        <w:div w:id="1876847551">
          <w:marLeft w:val="0"/>
          <w:marRight w:val="0"/>
          <w:marTop w:val="0"/>
          <w:marBottom w:val="0"/>
          <w:divBdr>
            <w:top w:val="none" w:sz="0" w:space="0" w:color="auto"/>
            <w:left w:val="none" w:sz="0" w:space="0" w:color="auto"/>
            <w:bottom w:val="none" w:sz="0" w:space="0" w:color="auto"/>
            <w:right w:val="none" w:sz="0" w:space="0" w:color="auto"/>
          </w:divBdr>
        </w:div>
      </w:divsChild>
    </w:div>
    <w:div w:id="588349191">
      <w:marLeft w:val="0"/>
      <w:marRight w:val="0"/>
      <w:marTop w:val="120"/>
      <w:marBottom w:val="0"/>
      <w:divBdr>
        <w:top w:val="none" w:sz="0" w:space="0" w:color="auto"/>
        <w:left w:val="none" w:sz="0" w:space="0" w:color="auto"/>
        <w:bottom w:val="none" w:sz="0" w:space="0" w:color="auto"/>
        <w:right w:val="none" w:sz="0" w:space="0" w:color="auto"/>
      </w:divBdr>
    </w:div>
    <w:div w:id="588392583">
      <w:marLeft w:val="0"/>
      <w:marRight w:val="0"/>
      <w:marTop w:val="120"/>
      <w:marBottom w:val="0"/>
      <w:divBdr>
        <w:top w:val="none" w:sz="0" w:space="0" w:color="auto"/>
        <w:left w:val="none" w:sz="0" w:space="0" w:color="auto"/>
        <w:bottom w:val="none" w:sz="0" w:space="0" w:color="auto"/>
        <w:right w:val="none" w:sz="0" w:space="0" w:color="auto"/>
      </w:divBdr>
    </w:div>
    <w:div w:id="588662223">
      <w:marLeft w:val="0"/>
      <w:marRight w:val="0"/>
      <w:marTop w:val="120"/>
      <w:marBottom w:val="0"/>
      <w:divBdr>
        <w:top w:val="none" w:sz="0" w:space="0" w:color="auto"/>
        <w:left w:val="none" w:sz="0" w:space="0" w:color="auto"/>
        <w:bottom w:val="none" w:sz="0" w:space="0" w:color="auto"/>
        <w:right w:val="none" w:sz="0" w:space="0" w:color="auto"/>
      </w:divBdr>
    </w:div>
    <w:div w:id="588779053">
      <w:marLeft w:val="0"/>
      <w:marRight w:val="0"/>
      <w:marTop w:val="0"/>
      <w:marBottom w:val="0"/>
      <w:divBdr>
        <w:top w:val="none" w:sz="0" w:space="0" w:color="auto"/>
        <w:left w:val="none" w:sz="0" w:space="0" w:color="auto"/>
        <w:bottom w:val="none" w:sz="0" w:space="0" w:color="auto"/>
        <w:right w:val="none" w:sz="0" w:space="0" w:color="auto"/>
      </w:divBdr>
      <w:divsChild>
        <w:div w:id="1605378058">
          <w:marLeft w:val="0"/>
          <w:marRight w:val="0"/>
          <w:marTop w:val="0"/>
          <w:marBottom w:val="0"/>
          <w:divBdr>
            <w:top w:val="none" w:sz="0" w:space="0" w:color="auto"/>
            <w:left w:val="none" w:sz="0" w:space="0" w:color="auto"/>
            <w:bottom w:val="none" w:sz="0" w:space="0" w:color="auto"/>
            <w:right w:val="none" w:sz="0" w:space="0" w:color="auto"/>
          </w:divBdr>
        </w:div>
      </w:divsChild>
    </w:div>
    <w:div w:id="589315401">
      <w:marLeft w:val="0"/>
      <w:marRight w:val="0"/>
      <w:marTop w:val="200"/>
      <w:marBottom w:val="0"/>
      <w:divBdr>
        <w:top w:val="none" w:sz="0" w:space="0" w:color="auto"/>
        <w:left w:val="none" w:sz="0" w:space="0" w:color="auto"/>
        <w:bottom w:val="none" w:sz="0" w:space="0" w:color="auto"/>
        <w:right w:val="none" w:sz="0" w:space="0" w:color="auto"/>
      </w:divBdr>
    </w:div>
    <w:div w:id="590701649">
      <w:marLeft w:val="0"/>
      <w:marRight w:val="0"/>
      <w:marTop w:val="120"/>
      <w:marBottom w:val="0"/>
      <w:divBdr>
        <w:top w:val="none" w:sz="0" w:space="0" w:color="auto"/>
        <w:left w:val="none" w:sz="0" w:space="0" w:color="auto"/>
        <w:bottom w:val="none" w:sz="0" w:space="0" w:color="auto"/>
        <w:right w:val="none" w:sz="0" w:space="0" w:color="auto"/>
      </w:divBdr>
    </w:div>
    <w:div w:id="590940829">
      <w:marLeft w:val="0"/>
      <w:marRight w:val="0"/>
      <w:marTop w:val="200"/>
      <w:marBottom w:val="0"/>
      <w:divBdr>
        <w:top w:val="none" w:sz="0" w:space="0" w:color="auto"/>
        <w:left w:val="none" w:sz="0" w:space="0" w:color="auto"/>
        <w:bottom w:val="none" w:sz="0" w:space="0" w:color="auto"/>
        <w:right w:val="none" w:sz="0" w:space="0" w:color="auto"/>
      </w:divBdr>
    </w:div>
    <w:div w:id="593974310">
      <w:marLeft w:val="0"/>
      <w:marRight w:val="0"/>
      <w:marTop w:val="120"/>
      <w:marBottom w:val="0"/>
      <w:divBdr>
        <w:top w:val="none" w:sz="0" w:space="0" w:color="auto"/>
        <w:left w:val="none" w:sz="0" w:space="0" w:color="auto"/>
        <w:bottom w:val="none" w:sz="0" w:space="0" w:color="auto"/>
        <w:right w:val="none" w:sz="0" w:space="0" w:color="auto"/>
      </w:divBdr>
    </w:div>
    <w:div w:id="595288441">
      <w:marLeft w:val="0"/>
      <w:marRight w:val="0"/>
      <w:marTop w:val="120"/>
      <w:marBottom w:val="0"/>
      <w:divBdr>
        <w:top w:val="none" w:sz="0" w:space="0" w:color="auto"/>
        <w:left w:val="none" w:sz="0" w:space="0" w:color="auto"/>
        <w:bottom w:val="none" w:sz="0" w:space="0" w:color="auto"/>
        <w:right w:val="none" w:sz="0" w:space="0" w:color="auto"/>
      </w:divBdr>
    </w:div>
    <w:div w:id="595671960">
      <w:marLeft w:val="0"/>
      <w:marRight w:val="0"/>
      <w:marTop w:val="120"/>
      <w:marBottom w:val="0"/>
      <w:divBdr>
        <w:top w:val="none" w:sz="0" w:space="0" w:color="auto"/>
        <w:left w:val="none" w:sz="0" w:space="0" w:color="auto"/>
        <w:bottom w:val="none" w:sz="0" w:space="0" w:color="auto"/>
        <w:right w:val="none" w:sz="0" w:space="0" w:color="auto"/>
      </w:divBdr>
    </w:div>
    <w:div w:id="595863553">
      <w:marLeft w:val="0"/>
      <w:marRight w:val="0"/>
      <w:marTop w:val="120"/>
      <w:marBottom w:val="0"/>
      <w:divBdr>
        <w:top w:val="none" w:sz="0" w:space="0" w:color="auto"/>
        <w:left w:val="none" w:sz="0" w:space="0" w:color="auto"/>
        <w:bottom w:val="none" w:sz="0" w:space="0" w:color="auto"/>
        <w:right w:val="none" w:sz="0" w:space="0" w:color="auto"/>
      </w:divBdr>
    </w:div>
    <w:div w:id="597522220">
      <w:marLeft w:val="0"/>
      <w:marRight w:val="0"/>
      <w:marTop w:val="200"/>
      <w:marBottom w:val="0"/>
      <w:divBdr>
        <w:top w:val="none" w:sz="0" w:space="0" w:color="auto"/>
        <w:left w:val="none" w:sz="0" w:space="0" w:color="auto"/>
        <w:bottom w:val="none" w:sz="0" w:space="0" w:color="auto"/>
        <w:right w:val="none" w:sz="0" w:space="0" w:color="auto"/>
      </w:divBdr>
    </w:div>
    <w:div w:id="600068246">
      <w:marLeft w:val="0"/>
      <w:marRight w:val="0"/>
      <w:marTop w:val="200"/>
      <w:marBottom w:val="0"/>
      <w:divBdr>
        <w:top w:val="none" w:sz="0" w:space="0" w:color="auto"/>
        <w:left w:val="none" w:sz="0" w:space="0" w:color="auto"/>
        <w:bottom w:val="none" w:sz="0" w:space="0" w:color="auto"/>
        <w:right w:val="none" w:sz="0" w:space="0" w:color="auto"/>
      </w:divBdr>
    </w:div>
    <w:div w:id="600601856">
      <w:marLeft w:val="0"/>
      <w:marRight w:val="0"/>
      <w:marTop w:val="120"/>
      <w:marBottom w:val="0"/>
      <w:divBdr>
        <w:top w:val="none" w:sz="0" w:space="0" w:color="auto"/>
        <w:left w:val="none" w:sz="0" w:space="0" w:color="auto"/>
        <w:bottom w:val="none" w:sz="0" w:space="0" w:color="auto"/>
        <w:right w:val="none" w:sz="0" w:space="0" w:color="auto"/>
      </w:divBdr>
    </w:div>
    <w:div w:id="602229748">
      <w:marLeft w:val="0"/>
      <w:marRight w:val="0"/>
      <w:marTop w:val="200"/>
      <w:marBottom w:val="0"/>
      <w:divBdr>
        <w:top w:val="none" w:sz="0" w:space="0" w:color="auto"/>
        <w:left w:val="none" w:sz="0" w:space="0" w:color="auto"/>
        <w:bottom w:val="none" w:sz="0" w:space="0" w:color="auto"/>
        <w:right w:val="none" w:sz="0" w:space="0" w:color="auto"/>
      </w:divBdr>
    </w:div>
    <w:div w:id="604650364">
      <w:marLeft w:val="0"/>
      <w:marRight w:val="0"/>
      <w:marTop w:val="120"/>
      <w:marBottom w:val="0"/>
      <w:divBdr>
        <w:top w:val="none" w:sz="0" w:space="0" w:color="auto"/>
        <w:left w:val="none" w:sz="0" w:space="0" w:color="auto"/>
        <w:bottom w:val="none" w:sz="0" w:space="0" w:color="auto"/>
        <w:right w:val="none" w:sz="0" w:space="0" w:color="auto"/>
      </w:divBdr>
    </w:div>
    <w:div w:id="606935355">
      <w:marLeft w:val="0"/>
      <w:marRight w:val="0"/>
      <w:marTop w:val="100"/>
      <w:marBottom w:val="0"/>
      <w:divBdr>
        <w:top w:val="none" w:sz="0" w:space="0" w:color="auto"/>
        <w:left w:val="none" w:sz="0" w:space="0" w:color="auto"/>
        <w:bottom w:val="none" w:sz="0" w:space="0" w:color="auto"/>
        <w:right w:val="none" w:sz="0" w:space="0" w:color="auto"/>
      </w:divBdr>
    </w:div>
    <w:div w:id="607003164">
      <w:marLeft w:val="0"/>
      <w:marRight w:val="0"/>
      <w:marTop w:val="0"/>
      <w:marBottom w:val="0"/>
      <w:divBdr>
        <w:top w:val="none" w:sz="0" w:space="0" w:color="auto"/>
        <w:left w:val="none" w:sz="0" w:space="0" w:color="auto"/>
        <w:bottom w:val="none" w:sz="0" w:space="0" w:color="auto"/>
        <w:right w:val="none" w:sz="0" w:space="0" w:color="auto"/>
      </w:divBdr>
    </w:div>
    <w:div w:id="608584164">
      <w:marLeft w:val="0"/>
      <w:marRight w:val="0"/>
      <w:marTop w:val="120"/>
      <w:marBottom w:val="0"/>
      <w:divBdr>
        <w:top w:val="none" w:sz="0" w:space="0" w:color="auto"/>
        <w:left w:val="none" w:sz="0" w:space="0" w:color="auto"/>
        <w:bottom w:val="none" w:sz="0" w:space="0" w:color="auto"/>
        <w:right w:val="none" w:sz="0" w:space="0" w:color="auto"/>
      </w:divBdr>
    </w:div>
    <w:div w:id="610940042">
      <w:marLeft w:val="0"/>
      <w:marRight w:val="0"/>
      <w:marTop w:val="200"/>
      <w:marBottom w:val="0"/>
      <w:divBdr>
        <w:top w:val="none" w:sz="0" w:space="0" w:color="auto"/>
        <w:left w:val="none" w:sz="0" w:space="0" w:color="auto"/>
        <w:bottom w:val="none" w:sz="0" w:space="0" w:color="auto"/>
        <w:right w:val="none" w:sz="0" w:space="0" w:color="auto"/>
      </w:divBdr>
    </w:div>
    <w:div w:id="611322278">
      <w:marLeft w:val="0"/>
      <w:marRight w:val="0"/>
      <w:marTop w:val="200"/>
      <w:marBottom w:val="0"/>
      <w:divBdr>
        <w:top w:val="none" w:sz="0" w:space="0" w:color="auto"/>
        <w:left w:val="none" w:sz="0" w:space="0" w:color="auto"/>
        <w:bottom w:val="none" w:sz="0" w:space="0" w:color="auto"/>
        <w:right w:val="none" w:sz="0" w:space="0" w:color="auto"/>
      </w:divBdr>
    </w:div>
    <w:div w:id="611788166">
      <w:marLeft w:val="0"/>
      <w:marRight w:val="0"/>
      <w:marTop w:val="0"/>
      <w:marBottom w:val="0"/>
      <w:divBdr>
        <w:top w:val="none" w:sz="0" w:space="0" w:color="auto"/>
        <w:left w:val="none" w:sz="0" w:space="0" w:color="auto"/>
        <w:bottom w:val="none" w:sz="0" w:space="0" w:color="auto"/>
        <w:right w:val="none" w:sz="0" w:space="0" w:color="auto"/>
      </w:divBdr>
      <w:divsChild>
        <w:div w:id="1889488399">
          <w:marLeft w:val="0"/>
          <w:marRight w:val="0"/>
          <w:marTop w:val="0"/>
          <w:marBottom w:val="0"/>
          <w:divBdr>
            <w:top w:val="none" w:sz="0" w:space="0" w:color="auto"/>
            <w:left w:val="none" w:sz="0" w:space="0" w:color="auto"/>
            <w:bottom w:val="none" w:sz="0" w:space="0" w:color="auto"/>
            <w:right w:val="none" w:sz="0" w:space="0" w:color="auto"/>
          </w:divBdr>
        </w:div>
      </w:divsChild>
    </w:div>
    <w:div w:id="611865567">
      <w:marLeft w:val="0"/>
      <w:marRight w:val="0"/>
      <w:marTop w:val="120"/>
      <w:marBottom w:val="0"/>
      <w:divBdr>
        <w:top w:val="none" w:sz="0" w:space="0" w:color="auto"/>
        <w:left w:val="none" w:sz="0" w:space="0" w:color="auto"/>
        <w:bottom w:val="none" w:sz="0" w:space="0" w:color="auto"/>
        <w:right w:val="none" w:sz="0" w:space="0" w:color="auto"/>
      </w:divBdr>
    </w:div>
    <w:div w:id="612055646">
      <w:marLeft w:val="0"/>
      <w:marRight w:val="0"/>
      <w:marTop w:val="120"/>
      <w:marBottom w:val="0"/>
      <w:divBdr>
        <w:top w:val="none" w:sz="0" w:space="0" w:color="auto"/>
        <w:left w:val="none" w:sz="0" w:space="0" w:color="auto"/>
        <w:bottom w:val="none" w:sz="0" w:space="0" w:color="auto"/>
        <w:right w:val="none" w:sz="0" w:space="0" w:color="auto"/>
      </w:divBdr>
    </w:div>
    <w:div w:id="612631369">
      <w:marLeft w:val="0"/>
      <w:marRight w:val="0"/>
      <w:marTop w:val="120"/>
      <w:marBottom w:val="0"/>
      <w:divBdr>
        <w:top w:val="none" w:sz="0" w:space="0" w:color="auto"/>
        <w:left w:val="none" w:sz="0" w:space="0" w:color="auto"/>
        <w:bottom w:val="none" w:sz="0" w:space="0" w:color="auto"/>
        <w:right w:val="none" w:sz="0" w:space="0" w:color="auto"/>
      </w:divBdr>
    </w:div>
    <w:div w:id="613439705">
      <w:marLeft w:val="0"/>
      <w:marRight w:val="0"/>
      <w:marTop w:val="200"/>
      <w:marBottom w:val="0"/>
      <w:divBdr>
        <w:top w:val="none" w:sz="0" w:space="0" w:color="auto"/>
        <w:left w:val="none" w:sz="0" w:space="0" w:color="auto"/>
        <w:bottom w:val="none" w:sz="0" w:space="0" w:color="auto"/>
        <w:right w:val="none" w:sz="0" w:space="0" w:color="auto"/>
      </w:divBdr>
    </w:div>
    <w:div w:id="613443235">
      <w:marLeft w:val="0"/>
      <w:marRight w:val="0"/>
      <w:marTop w:val="0"/>
      <w:marBottom w:val="0"/>
      <w:divBdr>
        <w:top w:val="none" w:sz="0" w:space="0" w:color="auto"/>
        <w:left w:val="none" w:sz="0" w:space="0" w:color="auto"/>
        <w:bottom w:val="none" w:sz="0" w:space="0" w:color="auto"/>
        <w:right w:val="none" w:sz="0" w:space="0" w:color="auto"/>
      </w:divBdr>
    </w:div>
    <w:div w:id="613680030">
      <w:marLeft w:val="0"/>
      <w:marRight w:val="0"/>
      <w:marTop w:val="120"/>
      <w:marBottom w:val="0"/>
      <w:divBdr>
        <w:top w:val="none" w:sz="0" w:space="0" w:color="auto"/>
        <w:left w:val="none" w:sz="0" w:space="0" w:color="auto"/>
        <w:bottom w:val="none" w:sz="0" w:space="0" w:color="auto"/>
        <w:right w:val="none" w:sz="0" w:space="0" w:color="auto"/>
      </w:divBdr>
    </w:div>
    <w:div w:id="613751384">
      <w:marLeft w:val="0"/>
      <w:marRight w:val="0"/>
      <w:marTop w:val="0"/>
      <w:marBottom w:val="0"/>
      <w:divBdr>
        <w:top w:val="none" w:sz="0" w:space="0" w:color="auto"/>
        <w:left w:val="none" w:sz="0" w:space="0" w:color="auto"/>
        <w:bottom w:val="none" w:sz="0" w:space="0" w:color="auto"/>
        <w:right w:val="none" w:sz="0" w:space="0" w:color="auto"/>
      </w:divBdr>
      <w:divsChild>
        <w:div w:id="1533303929">
          <w:marLeft w:val="0"/>
          <w:marRight w:val="0"/>
          <w:marTop w:val="0"/>
          <w:marBottom w:val="0"/>
          <w:divBdr>
            <w:top w:val="none" w:sz="0" w:space="0" w:color="auto"/>
            <w:left w:val="none" w:sz="0" w:space="0" w:color="auto"/>
            <w:bottom w:val="none" w:sz="0" w:space="0" w:color="auto"/>
            <w:right w:val="none" w:sz="0" w:space="0" w:color="auto"/>
          </w:divBdr>
        </w:div>
      </w:divsChild>
    </w:div>
    <w:div w:id="613900686">
      <w:marLeft w:val="0"/>
      <w:marRight w:val="0"/>
      <w:marTop w:val="200"/>
      <w:marBottom w:val="0"/>
      <w:divBdr>
        <w:top w:val="none" w:sz="0" w:space="0" w:color="auto"/>
        <w:left w:val="none" w:sz="0" w:space="0" w:color="auto"/>
        <w:bottom w:val="none" w:sz="0" w:space="0" w:color="auto"/>
        <w:right w:val="none" w:sz="0" w:space="0" w:color="auto"/>
      </w:divBdr>
    </w:div>
    <w:div w:id="614144300">
      <w:marLeft w:val="0"/>
      <w:marRight w:val="0"/>
      <w:marTop w:val="120"/>
      <w:marBottom w:val="0"/>
      <w:divBdr>
        <w:top w:val="none" w:sz="0" w:space="0" w:color="auto"/>
        <w:left w:val="none" w:sz="0" w:space="0" w:color="auto"/>
        <w:bottom w:val="none" w:sz="0" w:space="0" w:color="auto"/>
        <w:right w:val="none" w:sz="0" w:space="0" w:color="auto"/>
      </w:divBdr>
    </w:div>
    <w:div w:id="614749377">
      <w:marLeft w:val="0"/>
      <w:marRight w:val="0"/>
      <w:marTop w:val="120"/>
      <w:marBottom w:val="0"/>
      <w:divBdr>
        <w:top w:val="none" w:sz="0" w:space="0" w:color="auto"/>
        <w:left w:val="none" w:sz="0" w:space="0" w:color="auto"/>
        <w:bottom w:val="none" w:sz="0" w:space="0" w:color="auto"/>
        <w:right w:val="none" w:sz="0" w:space="0" w:color="auto"/>
      </w:divBdr>
    </w:div>
    <w:div w:id="615526176">
      <w:marLeft w:val="0"/>
      <w:marRight w:val="0"/>
      <w:marTop w:val="0"/>
      <w:marBottom w:val="0"/>
      <w:divBdr>
        <w:top w:val="none" w:sz="0" w:space="0" w:color="auto"/>
        <w:left w:val="none" w:sz="0" w:space="0" w:color="auto"/>
        <w:bottom w:val="none" w:sz="0" w:space="0" w:color="auto"/>
        <w:right w:val="none" w:sz="0" w:space="0" w:color="auto"/>
      </w:divBdr>
      <w:divsChild>
        <w:div w:id="403845424">
          <w:marLeft w:val="0"/>
          <w:marRight w:val="0"/>
          <w:marTop w:val="0"/>
          <w:marBottom w:val="0"/>
          <w:divBdr>
            <w:top w:val="none" w:sz="0" w:space="0" w:color="auto"/>
            <w:left w:val="none" w:sz="0" w:space="0" w:color="auto"/>
            <w:bottom w:val="none" w:sz="0" w:space="0" w:color="auto"/>
            <w:right w:val="none" w:sz="0" w:space="0" w:color="auto"/>
          </w:divBdr>
        </w:div>
      </w:divsChild>
    </w:div>
    <w:div w:id="618100046">
      <w:marLeft w:val="0"/>
      <w:marRight w:val="0"/>
      <w:marTop w:val="0"/>
      <w:marBottom w:val="0"/>
      <w:divBdr>
        <w:top w:val="none" w:sz="0" w:space="0" w:color="auto"/>
        <w:left w:val="none" w:sz="0" w:space="0" w:color="auto"/>
        <w:bottom w:val="none" w:sz="0" w:space="0" w:color="auto"/>
        <w:right w:val="none" w:sz="0" w:space="0" w:color="auto"/>
      </w:divBdr>
    </w:div>
    <w:div w:id="618150841">
      <w:marLeft w:val="0"/>
      <w:marRight w:val="0"/>
      <w:marTop w:val="120"/>
      <w:marBottom w:val="0"/>
      <w:divBdr>
        <w:top w:val="none" w:sz="0" w:space="0" w:color="auto"/>
        <w:left w:val="none" w:sz="0" w:space="0" w:color="auto"/>
        <w:bottom w:val="none" w:sz="0" w:space="0" w:color="auto"/>
        <w:right w:val="none" w:sz="0" w:space="0" w:color="auto"/>
      </w:divBdr>
    </w:div>
    <w:div w:id="619142199">
      <w:marLeft w:val="0"/>
      <w:marRight w:val="0"/>
      <w:marTop w:val="120"/>
      <w:marBottom w:val="0"/>
      <w:divBdr>
        <w:top w:val="none" w:sz="0" w:space="0" w:color="auto"/>
        <w:left w:val="none" w:sz="0" w:space="0" w:color="auto"/>
        <w:bottom w:val="none" w:sz="0" w:space="0" w:color="auto"/>
        <w:right w:val="none" w:sz="0" w:space="0" w:color="auto"/>
      </w:divBdr>
    </w:div>
    <w:div w:id="620765457">
      <w:marLeft w:val="0"/>
      <w:marRight w:val="0"/>
      <w:marTop w:val="0"/>
      <w:marBottom w:val="0"/>
      <w:divBdr>
        <w:top w:val="none" w:sz="0" w:space="0" w:color="auto"/>
        <w:left w:val="none" w:sz="0" w:space="0" w:color="auto"/>
        <w:bottom w:val="none" w:sz="0" w:space="0" w:color="auto"/>
        <w:right w:val="none" w:sz="0" w:space="0" w:color="auto"/>
      </w:divBdr>
    </w:div>
    <w:div w:id="620889009">
      <w:marLeft w:val="0"/>
      <w:marRight w:val="0"/>
      <w:marTop w:val="100"/>
      <w:marBottom w:val="0"/>
      <w:divBdr>
        <w:top w:val="none" w:sz="0" w:space="0" w:color="auto"/>
        <w:left w:val="none" w:sz="0" w:space="0" w:color="auto"/>
        <w:bottom w:val="none" w:sz="0" w:space="0" w:color="auto"/>
        <w:right w:val="none" w:sz="0" w:space="0" w:color="auto"/>
      </w:divBdr>
    </w:div>
    <w:div w:id="621114749">
      <w:marLeft w:val="0"/>
      <w:marRight w:val="0"/>
      <w:marTop w:val="120"/>
      <w:marBottom w:val="0"/>
      <w:divBdr>
        <w:top w:val="none" w:sz="0" w:space="0" w:color="auto"/>
        <w:left w:val="none" w:sz="0" w:space="0" w:color="auto"/>
        <w:bottom w:val="none" w:sz="0" w:space="0" w:color="auto"/>
        <w:right w:val="none" w:sz="0" w:space="0" w:color="auto"/>
      </w:divBdr>
    </w:div>
    <w:div w:id="621616804">
      <w:marLeft w:val="0"/>
      <w:marRight w:val="0"/>
      <w:marTop w:val="120"/>
      <w:marBottom w:val="0"/>
      <w:divBdr>
        <w:top w:val="none" w:sz="0" w:space="0" w:color="auto"/>
        <w:left w:val="none" w:sz="0" w:space="0" w:color="auto"/>
        <w:bottom w:val="none" w:sz="0" w:space="0" w:color="auto"/>
        <w:right w:val="none" w:sz="0" w:space="0" w:color="auto"/>
      </w:divBdr>
    </w:div>
    <w:div w:id="621809348">
      <w:marLeft w:val="0"/>
      <w:marRight w:val="0"/>
      <w:marTop w:val="120"/>
      <w:marBottom w:val="0"/>
      <w:divBdr>
        <w:top w:val="none" w:sz="0" w:space="0" w:color="auto"/>
        <w:left w:val="none" w:sz="0" w:space="0" w:color="auto"/>
        <w:bottom w:val="none" w:sz="0" w:space="0" w:color="auto"/>
        <w:right w:val="none" w:sz="0" w:space="0" w:color="auto"/>
      </w:divBdr>
    </w:div>
    <w:div w:id="622077569">
      <w:marLeft w:val="0"/>
      <w:marRight w:val="0"/>
      <w:marTop w:val="200"/>
      <w:marBottom w:val="0"/>
      <w:divBdr>
        <w:top w:val="none" w:sz="0" w:space="0" w:color="auto"/>
        <w:left w:val="none" w:sz="0" w:space="0" w:color="auto"/>
        <w:bottom w:val="none" w:sz="0" w:space="0" w:color="auto"/>
        <w:right w:val="none" w:sz="0" w:space="0" w:color="auto"/>
      </w:divBdr>
    </w:div>
    <w:div w:id="622687196">
      <w:marLeft w:val="0"/>
      <w:marRight w:val="0"/>
      <w:marTop w:val="0"/>
      <w:marBottom w:val="0"/>
      <w:divBdr>
        <w:top w:val="none" w:sz="0" w:space="0" w:color="auto"/>
        <w:left w:val="none" w:sz="0" w:space="0" w:color="auto"/>
        <w:bottom w:val="none" w:sz="0" w:space="0" w:color="auto"/>
        <w:right w:val="none" w:sz="0" w:space="0" w:color="auto"/>
      </w:divBdr>
      <w:divsChild>
        <w:div w:id="2022199820">
          <w:marLeft w:val="0"/>
          <w:marRight w:val="0"/>
          <w:marTop w:val="0"/>
          <w:marBottom w:val="0"/>
          <w:divBdr>
            <w:top w:val="none" w:sz="0" w:space="0" w:color="auto"/>
            <w:left w:val="none" w:sz="0" w:space="0" w:color="auto"/>
            <w:bottom w:val="none" w:sz="0" w:space="0" w:color="auto"/>
            <w:right w:val="none" w:sz="0" w:space="0" w:color="auto"/>
          </w:divBdr>
        </w:div>
      </w:divsChild>
    </w:div>
    <w:div w:id="622804640">
      <w:marLeft w:val="0"/>
      <w:marRight w:val="0"/>
      <w:marTop w:val="200"/>
      <w:marBottom w:val="0"/>
      <w:divBdr>
        <w:top w:val="none" w:sz="0" w:space="0" w:color="auto"/>
        <w:left w:val="none" w:sz="0" w:space="0" w:color="auto"/>
        <w:bottom w:val="none" w:sz="0" w:space="0" w:color="auto"/>
        <w:right w:val="none" w:sz="0" w:space="0" w:color="auto"/>
      </w:divBdr>
    </w:div>
    <w:div w:id="623266789">
      <w:marLeft w:val="0"/>
      <w:marRight w:val="0"/>
      <w:marTop w:val="120"/>
      <w:marBottom w:val="0"/>
      <w:divBdr>
        <w:top w:val="none" w:sz="0" w:space="0" w:color="auto"/>
        <w:left w:val="none" w:sz="0" w:space="0" w:color="auto"/>
        <w:bottom w:val="none" w:sz="0" w:space="0" w:color="auto"/>
        <w:right w:val="none" w:sz="0" w:space="0" w:color="auto"/>
      </w:divBdr>
    </w:div>
    <w:div w:id="623274065">
      <w:marLeft w:val="0"/>
      <w:marRight w:val="0"/>
      <w:marTop w:val="200"/>
      <w:marBottom w:val="0"/>
      <w:divBdr>
        <w:top w:val="none" w:sz="0" w:space="0" w:color="auto"/>
        <w:left w:val="none" w:sz="0" w:space="0" w:color="auto"/>
        <w:bottom w:val="none" w:sz="0" w:space="0" w:color="auto"/>
        <w:right w:val="none" w:sz="0" w:space="0" w:color="auto"/>
      </w:divBdr>
    </w:div>
    <w:div w:id="623772485">
      <w:marLeft w:val="0"/>
      <w:marRight w:val="0"/>
      <w:marTop w:val="0"/>
      <w:marBottom w:val="0"/>
      <w:divBdr>
        <w:top w:val="none" w:sz="0" w:space="0" w:color="auto"/>
        <w:left w:val="none" w:sz="0" w:space="0" w:color="auto"/>
        <w:bottom w:val="none" w:sz="0" w:space="0" w:color="auto"/>
        <w:right w:val="none" w:sz="0" w:space="0" w:color="auto"/>
      </w:divBdr>
      <w:divsChild>
        <w:div w:id="715278969">
          <w:marLeft w:val="0"/>
          <w:marRight w:val="0"/>
          <w:marTop w:val="0"/>
          <w:marBottom w:val="0"/>
          <w:divBdr>
            <w:top w:val="none" w:sz="0" w:space="0" w:color="auto"/>
            <w:left w:val="none" w:sz="0" w:space="0" w:color="auto"/>
            <w:bottom w:val="none" w:sz="0" w:space="0" w:color="auto"/>
            <w:right w:val="none" w:sz="0" w:space="0" w:color="auto"/>
          </w:divBdr>
        </w:div>
      </w:divsChild>
    </w:div>
    <w:div w:id="623775689">
      <w:marLeft w:val="0"/>
      <w:marRight w:val="0"/>
      <w:marTop w:val="0"/>
      <w:marBottom w:val="0"/>
      <w:divBdr>
        <w:top w:val="none" w:sz="0" w:space="0" w:color="auto"/>
        <w:left w:val="none" w:sz="0" w:space="0" w:color="auto"/>
        <w:bottom w:val="none" w:sz="0" w:space="0" w:color="auto"/>
        <w:right w:val="none" w:sz="0" w:space="0" w:color="auto"/>
      </w:divBdr>
    </w:div>
    <w:div w:id="626087308">
      <w:marLeft w:val="0"/>
      <w:marRight w:val="0"/>
      <w:marTop w:val="0"/>
      <w:marBottom w:val="0"/>
      <w:divBdr>
        <w:top w:val="none" w:sz="0" w:space="0" w:color="auto"/>
        <w:left w:val="none" w:sz="0" w:space="0" w:color="auto"/>
        <w:bottom w:val="none" w:sz="0" w:space="0" w:color="auto"/>
        <w:right w:val="none" w:sz="0" w:space="0" w:color="auto"/>
      </w:divBdr>
      <w:divsChild>
        <w:div w:id="1727407755">
          <w:marLeft w:val="0"/>
          <w:marRight w:val="0"/>
          <w:marTop w:val="0"/>
          <w:marBottom w:val="0"/>
          <w:divBdr>
            <w:top w:val="none" w:sz="0" w:space="0" w:color="auto"/>
            <w:left w:val="none" w:sz="0" w:space="0" w:color="auto"/>
            <w:bottom w:val="none" w:sz="0" w:space="0" w:color="auto"/>
            <w:right w:val="none" w:sz="0" w:space="0" w:color="auto"/>
          </w:divBdr>
        </w:div>
      </w:divsChild>
    </w:div>
    <w:div w:id="626660540">
      <w:marLeft w:val="0"/>
      <w:marRight w:val="0"/>
      <w:marTop w:val="200"/>
      <w:marBottom w:val="0"/>
      <w:divBdr>
        <w:top w:val="none" w:sz="0" w:space="0" w:color="auto"/>
        <w:left w:val="none" w:sz="0" w:space="0" w:color="auto"/>
        <w:bottom w:val="none" w:sz="0" w:space="0" w:color="auto"/>
        <w:right w:val="none" w:sz="0" w:space="0" w:color="auto"/>
      </w:divBdr>
    </w:div>
    <w:div w:id="627320646">
      <w:marLeft w:val="0"/>
      <w:marRight w:val="0"/>
      <w:marTop w:val="120"/>
      <w:marBottom w:val="0"/>
      <w:divBdr>
        <w:top w:val="none" w:sz="0" w:space="0" w:color="auto"/>
        <w:left w:val="none" w:sz="0" w:space="0" w:color="auto"/>
        <w:bottom w:val="none" w:sz="0" w:space="0" w:color="auto"/>
        <w:right w:val="none" w:sz="0" w:space="0" w:color="auto"/>
      </w:divBdr>
    </w:div>
    <w:div w:id="627668683">
      <w:marLeft w:val="0"/>
      <w:marRight w:val="0"/>
      <w:marTop w:val="120"/>
      <w:marBottom w:val="0"/>
      <w:divBdr>
        <w:top w:val="none" w:sz="0" w:space="0" w:color="auto"/>
        <w:left w:val="none" w:sz="0" w:space="0" w:color="auto"/>
        <w:bottom w:val="none" w:sz="0" w:space="0" w:color="auto"/>
        <w:right w:val="none" w:sz="0" w:space="0" w:color="auto"/>
      </w:divBdr>
    </w:div>
    <w:div w:id="628098640">
      <w:marLeft w:val="0"/>
      <w:marRight w:val="0"/>
      <w:marTop w:val="120"/>
      <w:marBottom w:val="0"/>
      <w:divBdr>
        <w:top w:val="none" w:sz="0" w:space="0" w:color="auto"/>
        <w:left w:val="none" w:sz="0" w:space="0" w:color="auto"/>
        <w:bottom w:val="none" w:sz="0" w:space="0" w:color="auto"/>
        <w:right w:val="none" w:sz="0" w:space="0" w:color="auto"/>
      </w:divBdr>
    </w:div>
    <w:div w:id="629365908">
      <w:marLeft w:val="0"/>
      <w:marRight w:val="0"/>
      <w:marTop w:val="120"/>
      <w:marBottom w:val="0"/>
      <w:divBdr>
        <w:top w:val="none" w:sz="0" w:space="0" w:color="auto"/>
        <w:left w:val="none" w:sz="0" w:space="0" w:color="auto"/>
        <w:bottom w:val="none" w:sz="0" w:space="0" w:color="auto"/>
        <w:right w:val="none" w:sz="0" w:space="0" w:color="auto"/>
      </w:divBdr>
    </w:div>
    <w:div w:id="630862131">
      <w:marLeft w:val="0"/>
      <w:marRight w:val="0"/>
      <w:marTop w:val="120"/>
      <w:marBottom w:val="0"/>
      <w:divBdr>
        <w:top w:val="none" w:sz="0" w:space="0" w:color="auto"/>
        <w:left w:val="none" w:sz="0" w:space="0" w:color="auto"/>
        <w:bottom w:val="none" w:sz="0" w:space="0" w:color="auto"/>
        <w:right w:val="none" w:sz="0" w:space="0" w:color="auto"/>
      </w:divBdr>
    </w:div>
    <w:div w:id="633757840">
      <w:marLeft w:val="0"/>
      <w:marRight w:val="0"/>
      <w:marTop w:val="120"/>
      <w:marBottom w:val="0"/>
      <w:divBdr>
        <w:top w:val="none" w:sz="0" w:space="0" w:color="auto"/>
        <w:left w:val="none" w:sz="0" w:space="0" w:color="auto"/>
        <w:bottom w:val="none" w:sz="0" w:space="0" w:color="auto"/>
        <w:right w:val="none" w:sz="0" w:space="0" w:color="auto"/>
      </w:divBdr>
    </w:div>
    <w:div w:id="634331557">
      <w:marLeft w:val="0"/>
      <w:marRight w:val="0"/>
      <w:marTop w:val="200"/>
      <w:marBottom w:val="0"/>
      <w:divBdr>
        <w:top w:val="none" w:sz="0" w:space="0" w:color="auto"/>
        <w:left w:val="none" w:sz="0" w:space="0" w:color="auto"/>
        <w:bottom w:val="none" w:sz="0" w:space="0" w:color="auto"/>
        <w:right w:val="none" w:sz="0" w:space="0" w:color="auto"/>
      </w:divBdr>
    </w:div>
    <w:div w:id="636178963">
      <w:marLeft w:val="0"/>
      <w:marRight w:val="0"/>
      <w:marTop w:val="0"/>
      <w:marBottom w:val="0"/>
      <w:divBdr>
        <w:top w:val="none" w:sz="0" w:space="0" w:color="auto"/>
        <w:left w:val="none" w:sz="0" w:space="0" w:color="auto"/>
        <w:bottom w:val="none" w:sz="0" w:space="0" w:color="auto"/>
        <w:right w:val="none" w:sz="0" w:space="0" w:color="auto"/>
      </w:divBdr>
    </w:div>
    <w:div w:id="636490494">
      <w:marLeft w:val="0"/>
      <w:marRight w:val="0"/>
      <w:marTop w:val="200"/>
      <w:marBottom w:val="0"/>
      <w:divBdr>
        <w:top w:val="none" w:sz="0" w:space="0" w:color="auto"/>
        <w:left w:val="none" w:sz="0" w:space="0" w:color="auto"/>
        <w:bottom w:val="none" w:sz="0" w:space="0" w:color="auto"/>
        <w:right w:val="none" w:sz="0" w:space="0" w:color="auto"/>
      </w:divBdr>
    </w:div>
    <w:div w:id="636640708">
      <w:marLeft w:val="0"/>
      <w:marRight w:val="0"/>
      <w:marTop w:val="200"/>
      <w:marBottom w:val="0"/>
      <w:divBdr>
        <w:top w:val="none" w:sz="0" w:space="0" w:color="auto"/>
        <w:left w:val="none" w:sz="0" w:space="0" w:color="auto"/>
        <w:bottom w:val="none" w:sz="0" w:space="0" w:color="auto"/>
        <w:right w:val="none" w:sz="0" w:space="0" w:color="auto"/>
      </w:divBdr>
    </w:div>
    <w:div w:id="636765838">
      <w:marLeft w:val="0"/>
      <w:marRight w:val="0"/>
      <w:marTop w:val="60"/>
      <w:marBottom w:val="0"/>
      <w:divBdr>
        <w:top w:val="none" w:sz="0" w:space="0" w:color="auto"/>
        <w:left w:val="none" w:sz="0" w:space="0" w:color="auto"/>
        <w:bottom w:val="none" w:sz="0" w:space="0" w:color="auto"/>
        <w:right w:val="none" w:sz="0" w:space="0" w:color="auto"/>
      </w:divBdr>
    </w:div>
    <w:div w:id="637154402">
      <w:marLeft w:val="0"/>
      <w:marRight w:val="0"/>
      <w:marTop w:val="200"/>
      <w:marBottom w:val="0"/>
      <w:divBdr>
        <w:top w:val="none" w:sz="0" w:space="0" w:color="auto"/>
        <w:left w:val="none" w:sz="0" w:space="0" w:color="auto"/>
        <w:bottom w:val="none" w:sz="0" w:space="0" w:color="auto"/>
        <w:right w:val="none" w:sz="0" w:space="0" w:color="auto"/>
      </w:divBdr>
    </w:div>
    <w:div w:id="637540853">
      <w:marLeft w:val="0"/>
      <w:marRight w:val="0"/>
      <w:marTop w:val="200"/>
      <w:marBottom w:val="0"/>
      <w:divBdr>
        <w:top w:val="none" w:sz="0" w:space="0" w:color="auto"/>
        <w:left w:val="none" w:sz="0" w:space="0" w:color="auto"/>
        <w:bottom w:val="none" w:sz="0" w:space="0" w:color="auto"/>
        <w:right w:val="none" w:sz="0" w:space="0" w:color="auto"/>
      </w:divBdr>
    </w:div>
    <w:div w:id="638995559">
      <w:marLeft w:val="0"/>
      <w:marRight w:val="0"/>
      <w:marTop w:val="120"/>
      <w:marBottom w:val="0"/>
      <w:divBdr>
        <w:top w:val="none" w:sz="0" w:space="0" w:color="auto"/>
        <w:left w:val="none" w:sz="0" w:space="0" w:color="auto"/>
        <w:bottom w:val="none" w:sz="0" w:space="0" w:color="auto"/>
        <w:right w:val="none" w:sz="0" w:space="0" w:color="auto"/>
      </w:divBdr>
    </w:div>
    <w:div w:id="639728532">
      <w:marLeft w:val="0"/>
      <w:marRight w:val="0"/>
      <w:marTop w:val="200"/>
      <w:marBottom w:val="0"/>
      <w:divBdr>
        <w:top w:val="none" w:sz="0" w:space="0" w:color="auto"/>
        <w:left w:val="none" w:sz="0" w:space="0" w:color="auto"/>
        <w:bottom w:val="none" w:sz="0" w:space="0" w:color="auto"/>
        <w:right w:val="none" w:sz="0" w:space="0" w:color="auto"/>
      </w:divBdr>
    </w:div>
    <w:div w:id="640039673">
      <w:marLeft w:val="0"/>
      <w:marRight w:val="0"/>
      <w:marTop w:val="0"/>
      <w:marBottom w:val="0"/>
      <w:divBdr>
        <w:top w:val="none" w:sz="0" w:space="0" w:color="auto"/>
        <w:left w:val="none" w:sz="0" w:space="0" w:color="auto"/>
        <w:bottom w:val="none" w:sz="0" w:space="0" w:color="auto"/>
        <w:right w:val="none" w:sz="0" w:space="0" w:color="auto"/>
      </w:divBdr>
      <w:divsChild>
        <w:div w:id="674846910">
          <w:marLeft w:val="0"/>
          <w:marRight w:val="0"/>
          <w:marTop w:val="0"/>
          <w:marBottom w:val="0"/>
          <w:divBdr>
            <w:top w:val="none" w:sz="0" w:space="0" w:color="auto"/>
            <w:left w:val="none" w:sz="0" w:space="0" w:color="auto"/>
            <w:bottom w:val="none" w:sz="0" w:space="0" w:color="auto"/>
            <w:right w:val="none" w:sz="0" w:space="0" w:color="auto"/>
          </w:divBdr>
        </w:div>
      </w:divsChild>
    </w:div>
    <w:div w:id="640310773">
      <w:marLeft w:val="0"/>
      <w:marRight w:val="0"/>
      <w:marTop w:val="0"/>
      <w:marBottom w:val="0"/>
      <w:divBdr>
        <w:top w:val="none" w:sz="0" w:space="0" w:color="auto"/>
        <w:left w:val="none" w:sz="0" w:space="0" w:color="auto"/>
        <w:bottom w:val="none" w:sz="0" w:space="0" w:color="auto"/>
        <w:right w:val="none" w:sz="0" w:space="0" w:color="auto"/>
      </w:divBdr>
      <w:divsChild>
        <w:div w:id="1937984114">
          <w:marLeft w:val="0"/>
          <w:marRight w:val="0"/>
          <w:marTop w:val="0"/>
          <w:marBottom w:val="0"/>
          <w:divBdr>
            <w:top w:val="none" w:sz="0" w:space="0" w:color="auto"/>
            <w:left w:val="none" w:sz="0" w:space="0" w:color="auto"/>
            <w:bottom w:val="none" w:sz="0" w:space="0" w:color="auto"/>
            <w:right w:val="none" w:sz="0" w:space="0" w:color="auto"/>
          </w:divBdr>
        </w:div>
      </w:divsChild>
    </w:div>
    <w:div w:id="640572338">
      <w:marLeft w:val="0"/>
      <w:marRight w:val="0"/>
      <w:marTop w:val="0"/>
      <w:marBottom w:val="0"/>
      <w:divBdr>
        <w:top w:val="none" w:sz="0" w:space="0" w:color="auto"/>
        <w:left w:val="none" w:sz="0" w:space="0" w:color="auto"/>
        <w:bottom w:val="none" w:sz="0" w:space="0" w:color="auto"/>
        <w:right w:val="none" w:sz="0" w:space="0" w:color="auto"/>
      </w:divBdr>
      <w:divsChild>
        <w:div w:id="1895584171">
          <w:marLeft w:val="0"/>
          <w:marRight w:val="0"/>
          <w:marTop w:val="0"/>
          <w:marBottom w:val="0"/>
          <w:divBdr>
            <w:top w:val="none" w:sz="0" w:space="0" w:color="auto"/>
            <w:left w:val="none" w:sz="0" w:space="0" w:color="auto"/>
            <w:bottom w:val="none" w:sz="0" w:space="0" w:color="auto"/>
            <w:right w:val="none" w:sz="0" w:space="0" w:color="auto"/>
          </w:divBdr>
        </w:div>
      </w:divsChild>
    </w:div>
    <w:div w:id="640772283">
      <w:marLeft w:val="0"/>
      <w:marRight w:val="0"/>
      <w:marTop w:val="0"/>
      <w:marBottom w:val="0"/>
      <w:divBdr>
        <w:top w:val="none" w:sz="0" w:space="0" w:color="auto"/>
        <w:left w:val="none" w:sz="0" w:space="0" w:color="auto"/>
        <w:bottom w:val="none" w:sz="0" w:space="0" w:color="auto"/>
        <w:right w:val="none" w:sz="0" w:space="0" w:color="auto"/>
      </w:divBdr>
      <w:divsChild>
        <w:div w:id="3631876">
          <w:marLeft w:val="0"/>
          <w:marRight w:val="0"/>
          <w:marTop w:val="0"/>
          <w:marBottom w:val="0"/>
          <w:divBdr>
            <w:top w:val="none" w:sz="0" w:space="0" w:color="auto"/>
            <w:left w:val="none" w:sz="0" w:space="0" w:color="auto"/>
            <w:bottom w:val="none" w:sz="0" w:space="0" w:color="auto"/>
            <w:right w:val="none" w:sz="0" w:space="0" w:color="auto"/>
          </w:divBdr>
        </w:div>
      </w:divsChild>
    </w:div>
    <w:div w:id="641157988">
      <w:marLeft w:val="0"/>
      <w:marRight w:val="0"/>
      <w:marTop w:val="120"/>
      <w:marBottom w:val="0"/>
      <w:divBdr>
        <w:top w:val="none" w:sz="0" w:space="0" w:color="auto"/>
        <w:left w:val="none" w:sz="0" w:space="0" w:color="auto"/>
        <w:bottom w:val="none" w:sz="0" w:space="0" w:color="auto"/>
        <w:right w:val="none" w:sz="0" w:space="0" w:color="auto"/>
      </w:divBdr>
    </w:div>
    <w:div w:id="641736596">
      <w:marLeft w:val="0"/>
      <w:marRight w:val="0"/>
      <w:marTop w:val="0"/>
      <w:marBottom w:val="0"/>
      <w:divBdr>
        <w:top w:val="none" w:sz="0" w:space="0" w:color="auto"/>
        <w:left w:val="none" w:sz="0" w:space="0" w:color="auto"/>
        <w:bottom w:val="none" w:sz="0" w:space="0" w:color="auto"/>
        <w:right w:val="none" w:sz="0" w:space="0" w:color="auto"/>
      </w:divBdr>
      <w:divsChild>
        <w:div w:id="1844470455">
          <w:marLeft w:val="0"/>
          <w:marRight w:val="0"/>
          <w:marTop w:val="0"/>
          <w:marBottom w:val="0"/>
          <w:divBdr>
            <w:top w:val="none" w:sz="0" w:space="0" w:color="auto"/>
            <w:left w:val="none" w:sz="0" w:space="0" w:color="auto"/>
            <w:bottom w:val="none" w:sz="0" w:space="0" w:color="auto"/>
            <w:right w:val="none" w:sz="0" w:space="0" w:color="auto"/>
          </w:divBdr>
        </w:div>
      </w:divsChild>
    </w:div>
    <w:div w:id="642197714">
      <w:marLeft w:val="0"/>
      <w:marRight w:val="0"/>
      <w:marTop w:val="120"/>
      <w:marBottom w:val="0"/>
      <w:divBdr>
        <w:top w:val="none" w:sz="0" w:space="0" w:color="auto"/>
        <w:left w:val="none" w:sz="0" w:space="0" w:color="auto"/>
        <w:bottom w:val="none" w:sz="0" w:space="0" w:color="auto"/>
        <w:right w:val="none" w:sz="0" w:space="0" w:color="auto"/>
      </w:divBdr>
    </w:div>
    <w:div w:id="642393538">
      <w:marLeft w:val="0"/>
      <w:marRight w:val="0"/>
      <w:marTop w:val="0"/>
      <w:marBottom w:val="0"/>
      <w:divBdr>
        <w:top w:val="none" w:sz="0" w:space="0" w:color="auto"/>
        <w:left w:val="none" w:sz="0" w:space="0" w:color="auto"/>
        <w:bottom w:val="none" w:sz="0" w:space="0" w:color="auto"/>
        <w:right w:val="none" w:sz="0" w:space="0" w:color="auto"/>
      </w:divBdr>
      <w:divsChild>
        <w:div w:id="1260330037">
          <w:marLeft w:val="0"/>
          <w:marRight w:val="0"/>
          <w:marTop w:val="0"/>
          <w:marBottom w:val="0"/>
          <w:divBdr>
            <w:top w:val="none" w:sz="0" w:space="0" w:color="auto"/>
            <w:left w:val="none" w:sz="0" w:space="0" w:color="auto"/>
            <w:bottom w:val="none" w:sz="0" w:space="0" w:color="auto"/>
            <w:right w:val="none" w:sz="0" w:space="0" w:color="auto"/>
          </w:divBdr>
        </w:div>
      </w:divsChild>
    </w:div>
    <w:div w:id="643045441">
      <w:marLeft w:val="0"/>
      <w:marRight w:val="0"/>
      <w:marTop w:val="120"/>
      <w:marBottom w:val="0"/>
      <w:divBdr>
        <w:top w:val="none" w:sz="0" w:space="0" w:color="auto"/>
        <w:left w:val="none" w:sz="0" w:space="0" w:color="auto"/>
        <w:bottom w:val="none" w:sz="0" w:space="0" w:color="auto"/>
        <w:right w:val="none" w:sz="0" w:space="0" w:color="auto"/>
      </w:divBdr>
    </w:div>
    <w:div w:id="643463311">
      <w:marLeft w:val="0"/>
      <w:marRight w:val="0"/>
      <w:marTop w:val="200"/>
      <w:marBottom w:val="0"/>
      <w:divBdr>
        <w:top w:val="none" w:sz="0" w:space="0" w:color="auto"/>
        <w:left w:val="none" w:sz="0" w:space="0" w:color="auto"/>
        <w:bottom w:val="none" w:sz="0" w:space="0" w:color="auto"/>
        <w:right w:val="none" w:sz="0" w:space="0" w:color="auto"/>
      </w:divBdr>
    </w:div>
    <w:div w:id="643657562">
      <w:marLeft w:val="0"/>
      <w:marRight w:val="0"/>
      <w:marTop w:val="0"/>
      <w:marBottom w:val="0"/>
      <w:divBdr>
        <w:top w:val="none" w:sz="0" w:space="0" w:color="auto"/>
        <w:left w:val="none" w:sz="0" w:space="0" w:color="auto"/>
        <w:bottom w:val="none" w:sz="0" w:space="0" w:color="auto"/>
        <w:right w:val="none" w:sz="0" w:space="0" w:color="auto"/>
      </w:divBdr>
      <w:divsChild>
        <w:div w:id="1121803078">
          <w:marLeft w:val="0"/>
          <w:marRight w:val="0"/>
          <w:marTop w:val="0"/>
          <w:marBottom w:val="0"/>
          <w:divBdr>
            <w:top w:val="none" w:sz="0" w:space="0" w:color="auto"/>
            <w:left w:val="none" w:sz="0" w:space="0" w:color="auto"/>
            <w:bottom w:val="none" w:sz="0" w:space="0" w:color="auto"/>
            <w:right w:val="none" w:sz="0" w:space="0" w:color="auto"/>
          </w:divBdr>
        </w:div>
      </w:divsChild>
    </w:div>
    <w:div w:id="643774185">
      <w:marLeft w:val="0"/>
      <w:marRight w:val="0"/>
      <w:marTop w:val="120"/>
      <w:marBottom w:val="0"/>
      <w:divBdr>
        <w:top w:val="none" w:sz="0" w:space="0" w:color="auto"/>
        <w:left w:val="none" w:sz="0" w:space="0" w:color="auto"/>
        <w:bottom w:val="none" w:sz="0" w:space="0" w:color="auto"/>
        <w:right w:val="none" w:sz="0" w:space="0" w:color="auto"/>
      </w:divBdr>
    </w:div>
    <w:div w:id="643853393">
      <w:marLeft w:val="0"/>
      <w:marRight w:val="0"/>
      <w:marTop w:val="0"/>
      <w:marBottom w:val="0"/>
      <w:divBdr>
        <w:top w:val="none" w:sz="0" w:space="0" w:color="auto"/>
        <w:left w:val="none" w:sz="0" w:space="0" w:color="auto"/>
        <w:bottom w:val="none" w:sz="0" w:space="0" w:color="auto"/>
        <w:right w:val="none" w:sz="0" w:space="0" w:color="auto"/>
      </w:divBdr>
      <w:divsChild>
        <w:div w:id="776947991">
          <w:marLeft w:val="0"/>
          <w:marRight w:val="0"/>
          <w:marTop w:val="0"/>
          <w:marBottom w:val="0"/>
          <w:divBdr>
            <w:top w:val="none" w:sz="0" w:space="0" w:color="auto"/>
            <w:left w:val="none" w:sz="0" w:space="0" w:color="auto"/>
            <w:bottom w:val="none" w:sz="0" w:space="0" w:color="auto"/>
            <w:right w:val="none" w:sz="0" w:space="0" w:color="auto"/>
          </w:divBdr>
        </w:div>
      </w:divsChild>
    </w:div>
    <w:div w:id="645938723">
      <w:marLeft w:val="0"/>
      <w:marRight w:val="0"/>
      <w:marTop w:val="120"/>
      <w:marBottom w:val="0"/>
      <w:divBdr>
        <w:top w:val="none" w:sz="0" w:space="0" w:color="auto"/>
        <w:left w:val="none" w:sz="0" w:space="0" w:color="auto"/>
        <w:bottom w:val="none" w:sz="0" w:space="0" w:color="auto"/>
        <w:right w:val="none" w:sz="0" w:space="0" w:color="auto"/>
      </w:divBdr>
    </w:div>
    <w:div w:id="646977852">
      <w:marLeft w:val="0"/>
      <w:marRight w:val="0"/>
      <w:marTop w:val="120"/>
      <w:marBottom w:val="0"/>
      <w:divBdr>
        <w:top w:val="none" w:sz="0" w:space="0" w:color="auto"/>
        <w:left w:val="none" w:sz="0" w:space="0" w:color="auto"/>
        <w:bottom w:val="none" w:sz="0" w:space="0" w:color="auto"/>
        <w:right w:val="none" w:sz="0" w:space="0" w:color="auto"/>
      </w:divBdr>
    </w:div>
    <w:div w:id="647438436">
      <w:marLeft w:val="0"/>
      <w:marRight w:val="0"/>
      <w:marTop w:val="120"/>
      <w:marBottom w:val="0"/>
      <w:divBdr>
        <w:top w:val="none" w:sz="0" w:space="0" w:color="auto"/>
        <w:left w:val="none" w:sz="0" w:space="0" w:color="auto"/>
        <w:bottom w:val="none" w:sz="0" w:space="0" w:color="auto"/>
        <w:right w:val="none" w:sz="0" w:space="0" w:color="auto"/>
      </w:divBdr>
    </w:div>
    <w:div w:id="648167190">
      <w:marLeft w:val="0"/>
      <w:marRight w:val="0"/>
      <w:marTop w:val="120"/>
      <w:marBottom w:val="0"/>
      <w:divBdr>
        <w:top w:val="none" w:sz="0" w:space="0" w:color="auto"/>
        <w:left w:val="none" w:sz="0" w:space="0" w:color="auto"/>
        <w:bottom w:val="none" w:sz="0" w:space="0" w:color="auto"/>
        <w:right w:val="none" w:sz="0" w:space="0" w:color="auto"/>
      </w:divBdr>
    </w:div>
    <w:div w:id="648553915">
      <w:marLeft w:val="0"/>
      <w:marRight w:val="0"/>
      <w:marTop w:val="120"/>
      <w:marBottom w:val="0"/>
      <w:divBdr>
        <w:top w:val="none" w:sz="0" w:space="0" w:color="auto"/>
        <w:left w:val="none" w:sz="0" w:space="0" w:color="auto"/>
        <w:bottom w:val="none" w:sz="0" w:space="0" w:color="auto"/>
        <w:right w:val="none" w:sz="0" w:space="0" w:color="auto"/>
      </w:divBdr>
    </w:div>
    <w:div w:id="652297901">
      <w:marLeft w:val="0"/>
      <w:marRight w:val="0"/>
      <w:marTop w:val="120"/>
      <w:marBottom w:val="0"/>
      <w:divBdr>
        <w:top w:val="none" w:sz="0" w:space="0" w:color="auto"/>
        <w:left w:val="none" w:sz="0" w:space="0" w:color="auto"/>
        <w:bottom w:val="none" w:sz="0" w:space="0" w:color="auto"/>
        <w:right w:val="none" w:sz="0" w:space="0" w:color="auto"/>
      </w:divBdr>
    </w:div>
    <w:div w:id="654727872">
      <w:marLeft w:val="0"/>
      <w:marRight w:val="0"/>
      <w:marTop w:val="200"/>
      <w:marBottom w:val="0"/>
      <w:divBdr>
        <w:top w:val="none" w:sz="0" w:space="0" w:color="auto"/>
        <w:left w:val="none" w:sz="0" w:space="0" w:color="auto"/>
        <w:bottom w:val="none" w:sz="0" w:space="0" w:color="auto"/>
        <w:right w:val="none" w:sz="0" w:space="0" w:color="auto"/>
      </w:divBdr>
    </w:div>
    <w:div w:id="655888293">
      <w:marLeft w:val="0"/>
      <w:marRight w:val="0"/>
      <w:marTop w:val="120"/>
      <w:marBottom w:val="0"/>
      <w:divBdr>
        <w:top w:val="none" w:sz="0" w:space="0" w:color="auto"/>
        <w:left w:val="none" w:sz="0" w:space="0" w:color="auto"/>
        <w:bottom w:val="none" w:sz="0" w:space="0" w:color="auto"/>
        <w:right w:val="none" w:sz="0" w:space="0" w:color="auto"/>
      </w:divBdr>
    </w:div>
    <w:div w:id="656807885">
      <w:marLeft w:val="0"/>
      <w:marRight w:val="0"/>
      <w:marTop w:val="100"/>
      <w:marBottom w:val="0"/>
      <w:divBdr>
        <w:top w:val="none" w:sz="0" w:space="0" w:color="auto"/>
        <w:left w:val="none" w:sz="0" w:space="0" w:color="auto"/>
        <w:bottom w:val="none" w:sz="0" w:space="0" w:color="auto"/>
        <w:right w:val="none" w:sz="0" w:space="0" w:color="auto"/>
      </w:divBdr>
    </w:div>
    <w:div w:id="657998656">
      <w:marLeft w:val="0"/>
      <w:marRight w:val="0"/>
      <w:marTop w:val="200"/>
      <w:marBottom w:val="0"/>
      <w:divBdr>
        <w:top w:val="none" w:sz="0" w:space="0" w:color="auto"/>
        <w:left w:val="none" w:sz="0" w:space="0" w:color="auto"/>
        <w:bottom w:val="none" w:sz="0" w:space="0" w:color="auto"/>
        <w:right w:val="none" w:sz="0" w:space="0" w:color="auto"/>
      </w:divBdr>
    </w:div>
    <w:div w:id="658967026">
      <w:marLeft w:val="0"/>
      <w:marRight w:val="0"/>
      <w:marTop w:val="120"/>
      <w:marBottom w:val="0"/>
      <w:divBdr>
        <w:top w:val="none" w:sz="0" w:space="0" w:color="auto"/>
        <w:left w:val="none" w:sz="0" w:space="0" w:color="auto"/>
        <w:bottom w:val="none" w:sz="0" w:space="0" w:color="auto"/>
        <w:right w:val="none" w:sz="0" w:space="0" w:color="auto"/>
      </w:divBdr>
    </w:div>
    <w:div w:id="661541730">
      <w:marLeft w:val="0"/>
      <w:marRight w:val="0"/>
      <w:marTop w:val="200"/>
      <w:marBottom w:val="0"/>
      <w:divBdr>
        <w:top w:val="none" w:sz="0" w:space="0" w:color="auto"/>
        <w:left w:val="none" w:sz="0" w:space="0" w:color="auto"/>
        <w:bottom w:val="none" w:sz="0" w:space="0" w:color="auto"/>
        <w:right w:val="none" w:sz="0" w:space="0" w:color="auto"/>
      </w:divBdr>
    </w:div>
    <w:div w:id="662899661">
      <w:marLeft w:val="0"/>
      <w:marRight w:val="0"/>
      <w:marTop w:val="200"/>
      <w:marBottom w:val="0"/>
      <w:divBdr>
        <w:top w:val="none" w:sz="0" w:space="0" w:color="auto"/>
        <w:left w:val="none" w:sz="0" w:space="0" w:color="auto"/>
        <w:bottom w:val="none" w:sz="0" w:space="0" w:color="auto"/>
        <w:right w:val="none" w:sz="0" w:space="0" w:color="auto"/>
      </w:divBdr>
    </w:div>
    <w:div w:id="663433234">
      <w:marLeft w:val="0"/>
      <w:marRight w:val="0"/>
      <w:marTop w:val="120"/>
      <w:marBottom w:val="0"/>
      <w:divBdr>
        <w:top w:val="none" w:sz="0" w:space="0" w:color="auto"/>
        <w:left w:val="none" w:sz="0" w:space="0" w:color="auto"/>
        <w:bottom w:val="none" w:sz="0" w:space="0" w:color="auto"/>
        <w:right w:val="none" w:sz="0" w:space="0" w:color="auto"/>
      </w:divBdr>
    </w:div>
    <w:div w:id="663556936">
      <w:marLeft w:val="0"/>
      <w:marRight w:val="0"/>
      <w:marTop w:val="200"/>
      <w:marBottom w:val="0"/>
      <w:divBdr>
        <w:top w:val="none" w:sz="0" w:space="0" w:color="auto"/>
        <w:left w:val="none" w:sz="0" w:space="0" w:color="auto"/>
        <w:bottom w:val="none" w:sz="0" w:space="0" w:color="auto"/>
        <w:right w:val="none" w:sz="0" w:space="0" w:color="auto"/>
      </w:divBdr>
    </w:div>
    <w:div w:id="664012621">
      <w:marLeft w:val="0"/>
      <w:marRight w:val="0"/>
      <w:marTop w:val="120"/>
      <w:marBottom w:val="0"/>
      <w:divBdr>
        <w:top w:val="none" w:sz="0" w:space="0" w:color="auto"/>
        <w:left w:val="none" w:sz="0" w:space="0" w:color="auto"/>
        <w:bottom w:val="none" w:sz="0" w:space="0" w:color="auto"/>
        <w:right w:val="none" w:sz="0" w:space="0" w:color="auto"/>
      </w:divBdr>
    </w:div>
    <w:div w:id="668606142">
      <w:marLeft w:val="0"/>
      <w:marRight w:val="0"/>
      <w:marTop w:val="120"/>
      <w:marBottom w:val="0"/>
      <w:divBdr>
        <w:top w:val="none" w:sz="0" w:space="0" w:color="auto"/>
        <w:left w:val="none" w:sz="0" w:space="0" w:color="auto"/>
        <w:bottom w:val="none" w:sz="0" w:space="0" w:color="auto"/>
        <w:right w:val="none" w:sz="0" w:space="0" w:color="auto"/>
      </w:divBdr>
    </w:div>
    <w:div w:id="671027927">
      <w:marLeft w:val="0"/>
      <w:marRight w:val="0"/>
      <w:marTop w:val="120"/>
      <w:marBottom w:val="0"/>
      <w:divBdr>
        <w:top w:val="none" w:sz="0" w:space="0" w:color="auto"/>
        <w:left w:val="none" w:sz="0" w:space="0" w:color="auto"/>
        <w:bottom w:val="none" w:sz="0" w:space="0" w:color="auto"/>
        <w:right w:val="none" w:sz="0" w:space="0" w:color="auto"/>
      </w:divBdr>
    </w:div>
    <w:div w:id="671955186">
      <w:marLeft w:val="0"/>
      <w:marRight w:val="0"/>
      <w:marTop w:val="120"/>
      <w:marBottom w:val="0"/>
      <w:divBdr>
        <w:top w:val="none" w:sz="0" w:space="0" w:color="auto"/>
        <w:left w:val="none" w:sz="0" w:space="0" w:color="auto"/>
        <w:bottom w:val="none" w:sz="0" w:space="0" w:color="auto"/>
        <w:right w:val="none" w:sz="0" w:space="0" w:color="auto"/>
      </w:divBdr>
    </w:div>
    <w:div w:id="672924645">
      <w:marLeft w:val="0"/>
      <w:marRight w:val="0"/>
      <w:marTop w:val="200"/>
      <w:marBottom w:val="0"/>
      <w:divBdr>
        <w:top w:val="none" w:sz="0" w:space="0" w:color="auto"/>
        <w:left w:val="none" w:sz="0" w:space="0" w:color="auto"/>
        <w:bottom w:val="none" w:sz="0" w:space="0" w:color="auto"/>
        <w:right w:val="none" w:sz="0" w:space="0" w:color="auto"/>
      </w:divBdr>
    </w:div>
    <w:div w:id="672994006">
      <w:marLeft w:val="0"/>
      <w:marRight w:val="0"/>
      <w:marTop w:val="0"/>
      <w:marBottom w:val="0"/>
      <w:divBdr>
        <w:top w:val="none" w:sz="0" w:space="0" w:color="auto"/>
        <w:left w:val="none" w:sz="0" w:space="0" w:color="auto"/>
        <w:bottom w:val="none" w:sz="0" w:space="0" w:color="auto"/>
        <w:right w:val="none" w:sz="0" w:space="0" w:color="auto"/>
      </w:divBdr>
      <w:divsChild>
        <w:div w:id="29688683">
          <w:marLeft w:val="0"/>
          <w:marRight w:val="0"/>
          <w:marTop w:val="0"/>
          <w:marBottom w:val="0"/>
          <w:divBdr>
            <w:top w:val="none" w:sz="0" w:space="0" w:color="auto"/>
            <w:left w:val="none" w:sz="0" w:space="0" w:color="auto"/>
            <w:bottom w:val="none" w:sz="0" w:space="0" w:color="auto"/>
            <w:right w:val="none" w:sz="0" w:space="0" w:color="auto"/>
          </w:divBdr>
        </w:div>
      </w:divsChild>
    </w:div>
    <w:div w:id="678196483">
      <w:marLeft w:val="0"/>
      <w:marRight w:val="0"/>
      <w:marTop w:val="120"/>
      <w:marBottom w:val="0"/>
      <w:divBdr>
        <w:top w:val="none" w:sz="0" w:space="0" w:color="auto"/>
        <w:left w:val="none" w:sz="0" w:space="0" w:color="auto"/>
        <w:bottom w:val="none" w:sz="0" w:space="0" w:color="auto"/>
        <w:right w:val="none" w:sz="0" w:space="0" w:color="auto"/>
      </w:divBdr>
    </w:div>
    <w:div w:id="678234467">
      <w:marLeft w:val="0"/>
      <w:marRight w:val="0"/>
      <w:marTop w:val="120"/>
      <w:marBottom w:val="0"/>
      <w:divBdr>
        <w:top w:val="none" w:sz="0" w:space="0" w:color="auto"/>
        <w:left w:val="none" w:sz="0" w:space="0" w:color="auto"/>
        <w:bottom w:val="none" w:sz="0" w:space="0" w:color="auto"/>
        <w:right w:val="none" w:sz="0" w:space="0" w:color="auto"/>
      </w:divBdr>
    </w:div>
    <w:div w:id="679166054">
      <w:marLeft w:val="0"/>
      <w:marRight w:val="0"/>
      <w:marTop w:val="120"/>
      <w:marBottom w:val="0"/>
      <w:divBdr>
        <w:top w:val="none" w:sz="0" w:space="0" w:color="auto"/>
        <w:left w:val="none" w:sz="0" w:space="0" w:color="auto"/>
        <w:bottom w:val="none" w:sz="0" w:space="0" w:color="auto"/>
        <w:right w:val="none" w:sz="0" w:space="0" w:color="auto"/>
      </w:divBdr>
    </w:div>
    <w:div w:id="680205642">
      <w:marLeft w:val="0"/>
      <w:marRight w:val="0"/>
      <w:marTop w:val="120"/>
      <w:marBottom w:val="0"/>
      <w:divBdr>
        <w:top w:val="none" w:sz="0" w:space="0" w:color="auto"/>
        <w:left w:val="none" w:sz="0" w:space="0" w:color="auto"/>
        <w:bottom w:val="none" w:sz="0" w:space="0" w:color="auto"/>
        <w:right w:val="none" w:sz="0" w:space="0" w:color="auto"/>
      </w:divBdr>
    </w:div>
    <w:div w:id="684136721">
      <w:marLeft w:val="0"/>
      <w:marRight w:val="0"/>
      <w:marTop w:val="200"/>
      <w:marBottom w:val="0"/>
      <w:divBdr>
        <w:top w:val="none" w:sz="0" w:space="0" w:color="auto"/>
        <w:left w:val="none" w:sz="0" w:space="0" w:color="auto"/>
        <w:bottom w:val="none" w:sz="0" w:space="0" w:color="auto"/>
        <w:right w:val="none" w:sz="0" w:space="0" w:color="auto"/>
      </w:divBdr>
    </w:div>
    <w:div w:id="684595807">
      <w:marLeft w:val="0"/>
      <w:marRight w:val="0"/>
      <w:marTop w:val="120"/>
      <w:marBottom w:val="0"/>
      <w:divBdr>
        <w:top w:val="none" w:sz="0" w:space="0" w:color="auto"/>
        <w:left w:val="none" w:sz="0" w:space="0" w:color="auto"/>
        <w:bottom w:val="none" w:sz="0" w:space="0" w:color="auto"/>
        <w:right w:val="none" w:sz="0" w:space="0" w:color="auto"/>
      </w:divBdr>
    </w:div>
    <w:div w:id="687023329">
      <w:marLeft w:val="0"/>
      <w:marRight w:val="0"/>
      <w:marTop w:val="0"/>
      <w:marBottom w:val="0"/>
      <w:divBdr>
        <w:top w:val="none" w:sz="0" w:space="0" w:color="auto"/>
        <w:left w:val="none" w:sz="0" w:space="0" w:color="auto"/>
        <w:bottom w:val="none" w:sz="0" w:space="0" w:color="auto"/>
        <w:right w:val="none" w:sz="0" w:space="0" w:color="auto"/>
      </w:divBdr>
      <w:divsChild>
        <w:div w:id="181239101">
          <w:marLeft w:val="0"/>
          <w:marRight w:val="0"/>
          <w:marTop w:val="0"/>
          <w:marBottom w:val="0"/>
          <w:divBdr>
            <w:top w:val="none" w:sz="0" w:space="0" w:color="auto"/>
            <w:left w:val="none" w:sz="0" w:space="0" w:color="auto"/>
            <w:bottom w:val="none" w:sz="0" w:space="0" w:color="auto"/>
            <w:right w:val="none" w:sz="0" w:space="0" w:color="auto"/>
          </w:divBdr>
        </w:div>
      </w:divsChild>
    </w:div>
    <w:div w:id="689069599">
      <w:marLeft w:val="0"/>
      <w:marRight w:val="0"/>
      <w:marTop w:val="120"/>
      <w:marBottom w:val="0"/>
      <w:divBdr>
        <w:top w:val="none" w:sz="0" w:space="0" w:color="auto"/>
        <w:left w:val="none" w:sz="0" w:space="0" w:color="auto"/>
        <w:bottom w:val="none" w:sz="0" w:space="0" w:color="auto"/>
        <w:right w:val="none" w:sz="0" w:space="0" w:color="auto"/>
      </w:divBdr>
    </w:div>
    <w:div w:id="691304111">
      <w:marLeft w:val="0"/>
      <w:marRight w:val="0"/>
      <w:marTop w:val="200"/>
      <w:marBottom w:val="0"/>
      <w:divBdr>
        <w:top w:val="none" w:sz="0" w:space="0" w:color="auto"/>
        <w:left w:val="none" w:sz="0" w:space="0" w:color="auto"/>
        <w:bottom w:val="none" w:sz="0" w:space="0" w:color="auto"/>
        <w:right w:val="none" w:sz="0" w:space="0" w:color="auto"/>
      </w:divBdr>
    </w:div>
    <w:div w:id="692415346">
      <w:marLeft w:val="0"/>
      <w:marRight w:val="0"/>
      <w:marTop w:val="120"/>
      <w:marBottom w:val="0"/>
      <w:divBdr>
        <w:top w:val="none" w:sz="0" w:space="0" w:color="auto"/>
        <w:left w:val="none" w:sz="0" w:space="0" w:color="auto"/>
        <w:bottom w:val="none" w:sz="0" w:space="0" w:color="auto"/>
        <w:right w:val="none" w:sz="0" w:space="0" w:color="auto"/>
      </w:divBdr>
    </w:div>
    <w:div w:id="693725114">
      <w:marLeft w:val="0"/>
      <w:marRight w:val="0"/>
      <w:marTop w:val="120"/>
      <w:marBottom w:val="0"/>
      <w:divBdr>
        <w:top w:val="none" w:sz="0" w:space="0" w:color="auto"/>
        <w:left w:val="none" w:sz="0" w:space="0" w:color="auto"/>
        <w:bottom w:val="none" w:sz="0" w:space="0" w:color="auto"/>
        <w:right w:val="none" w:sz="0" w:space="0" w:color="auto"/>
      </w:divBdr>
    </w:div>
    <w:div w:id="695808911">
      <w:marLeft w:val="0"/>
      <w:marRight w:val="0"/>
      <w:marTop w:val="120"/>
      <w:marBottom w:val="0"/>
      <w:divBdr>
        <w:top w:val="none" w:sz="0" w:space="0" w:color="auto"/>
        <w:left w:val="none" w:sz="0" w:space="0" w:color="auto"/>
        <w:bottom w:val="none" w:sz="0" w:space="0" w:color="auto"/>
        <w:right w:val="none" w:sz="0" w:space="0" w:color="auto"/>
      </w:divBdr>
    </w:div>
    <w:div w:id="695811871">
      <w:marLeft w:val="0"/>
      <w:marRight w:val="0"/>
      <w:marTop w:val="120"/>
      <w:marBottom w:val="0"/>
      <w:divBdr>
        <w:top w:val="none" w:sz="0" w:space="0" w:color="auto"/>
        <w:left w:val="none" w:sz="0" w:space="0" w:color="auto"/>
        <w:bottom w:val="none" w:sz="0" w:space="0" w:color="auto"/>
        <w:right w:val="none" w:sz="0" w:space="0" w:color="auto"/>
      </w:divBdr>
    </w:div>
    <w:div w:id="697241017">
      <w:marLeft w:val="0"/>
      <w:marRight w:val="0"/>
      <w:marTop w:val="120"/>
      <w:marBottom w:val="0"/>
      <w:divBdr>
        <w:top w:val="none" w:sz="0" w:space="0" w:color="auto"/>
        <w:left w:val="none" w:sz="0" w:space="0" w:color="auto"/>
        <w:bottom w:val="none" w:sz="0" w:space="0" w:color="auto"/>
        <w:right w:val="none" w:sz="0" w:space="0" w:color="auto"/>
      </w:divBdr>
    </w:div>
    <w:div w:id="697269410">
      <w:marLeft w:val="0"/>
      <w:marRight w:val="0"/>
      <w:marTop w:val="200"/>
      <w:marBottom w:val="0"/>
      <w:divBdr>
        <w:top w:val="none" w:sz="0" w:space="0" w:color="auto"/>
        <w:left w:val="none" w:sz="0" w:space="0" w:color="auto"/>
        <w:bottom w:val="none" w:sz="0" w:space="0" w:color="auto"/>
        <w:right w:val="none" w:sz="0" w:space="0" w:color="auto"/>
      </w:divBdr>
    </w:div>
    <w:div w:id="697435218">
      <w:marLeft w:val="0"/>
      <w:marRight w:val="0"/>
      <w:marTop w:val="120"/>
      <w:marBottom w:val="0"/>
      <w:divBdr>
        <w:top w:val="none" w:sz="0" w:space="0" w:color="auto"/>
        <w:left w:val="none" w:sz="0" w:space="0" w:color="auto"/>
        <w:bottom w:val="none" w:sz="0" w:space="0" w:color="auto"/>
        <w:right w:val="none" w:sz="0" w:space="0" w:color="auto"/>
      </w:divBdr>
    </w:div>
    <w:div w:id="700130406">
      <w:marLeft w:val="0"/>
      <w:marRight w:val="0"/>
      <w:marTop w:val="120"/>
      <w:marBottom w:val="0"/>
      <w:divBdr>
        <w:top w:val="none" w:sz="0" w:space="0" w:color="auto"/>
        <w:left w:val="none" w:sz="0" w:space="0" w:color="auto"/>
        <w:bottom w:val="none" w:sz="0" w:space="0" w:color="auto"/>
        <w:right w:val="none" w:sz="0" w:space="0" w:color="auto"/>
      </w:divBdr>
    </w:div>
    <w:div w:id="700667782">
      <w:marLeft w:val="0"/>
      <w:marRight w:val="0"/>
      <w:marTop w:val="120"/>
      <w:marBottom w:val="0"/>
      <w:divBdr>
        <w:top w:val="none" w:sz="0" w:space="0" w:color="auto"/>
        <w:left w:val="none" w:sz="0" w:space="0" w:color="auto"/>
        <w:bottom w:val="none" w:sz="0" w:space="0" w:color="auto"/>
        <w:right w:val="none" w:sz="0" w:space="0" w:color="auto"/>
      </w:divBdr>
    </w:div>
    <w:div w:id="702363139">
      <w:marLeft w:val="0"/>
      <w:marRight w:val="0"/>
      <w:marTop w:val="120"/>
      <w:marBottom w:val="0"/>
      <w:divBdr>
        <w:top w:val="none" w:sz="0" w:space="0" w:color="auto"/>
        <w:left w:val="none" w:sz="0" w:space="0" w:color="auto"/>
        <w:bottom w:val="none" w:sz="0" w:space="0" w:color="auto"/>
        <w:right w:val="none" w:sz="0" w:space="0" w:color="auto"/>
      </w:divBdr>
    </w:div>
    <w:div w:id="702437156">
      <w:marLeft w:val="0"/>
      <w:marRight w:val="0"/>
      <w:marTop w:val="200"/>
      <w:marBottom w:val="0"/>
      <w:divBdr>
        <w:top w:val="none" w:sz="0" w:space="0" w:color="auto"/>
        <w:left w:val="none" w:sz="0" w:space="0" w:color="auto"/>
        <w:bottom w:val="none" w:sz="0" w:space="0" w:color="auto"/>
        <w:right w:val="none" w:sz="0" w:space="0" w:color="auto"/>
      </w:divBdr>
    </w:div>
    <w:div w:id="708994343">
      <w:marLeft w:val="0"/>
      <w:marRight w:val="0"/>
      <w:marTop w:val="120"/>
      <w:marBottom w:val="0"/>
      <w:divBdr>
        <w:top w:val="none" w:sz="0" w:space="0" w:color="auto"/>
        <w:left w:val="none" w:sz="0" w:space="0" w:color="auto"/>
        <w:bottom w:val="none" w:sz="0" w:space="0" w:color="auto"/>
        <w:right w:val="none" w:sz="0" w:space="0" w:color="auto"/>
      </w:divBdr>
    </w:div>
    <w:div w:id="709648259">
      <w:marLeft w:val="0"/>
      <w:marRight w:val="0"/>
      <w:marTop w:val="120"/>
      <w:marBottom w:val="0"/>
      <w:divBdr>
        <w:top w:val="none" w:sz="0" w:space="0" w:color="auto"/>
        <w:left w:val="none" w:sz="0" w:space="0" w:color="auto"/>
        <w:bottom w:val="none" w:sz="0" w:space="0" w:color="auto"/>
        <w:right w:val="none" w:sz="0" w:space="0" w:color="auto"/>
      </w:divBdr>
    </w:div>
    <w:div w:id="710299813">
      <w:marLeft w:val="0"/>
      <w:marRight w:val="0"/>
      <w:marTop w:val="200"/>
      <w:marBottom w:val="0"/>
      <w:divBdr>
        <w:top w:val="none" w:sz="0" w:space="0" w:color="auto"/>
        <w:left w:val="none" w:sz="0" w:space="0" w:color="auto"/>
        <w:bottom w:val="none" w:sz="0" w:space="0" w:color="auto"/>
        <w:right w:val="none" w:sz="0" w:space="0" w:color="auto"/>
      </w:divBdr>
    </w:div>
    <w:div w:id="710694410">
      <w:marLeft w:val="0"/>
      <w:marRight w:val="0"/>
      <w:marTop w:val="120"/>
      <w:marBottom w:val="0"/>
      <w:divBdr>
        <w:top w:val="none" w:sz="0" w:space="0" w:color="auto"/>
        <w:left w:val="none" w:sz="0" w:space="0" w:color="auto"/>
        <w:bottom w:val="none" w:sz="0" w:space="0" w:color="auto"/>
        <w:right w:val="none" w:sz="0" w:space="0" w:color="auto"/>
      </w:divBdr>
    </w:div>
    <w:div w:id="711227379">
      <w:marLeft w:val="0"/>
      <w:marRight w:val="0"/>
      <w:marTop w:val="120"/>
      <w:marBottom w:val="0"/>
      <w:divBdr>
        <w:top w:val="none" w:sz="0" w:space="0" w:color="auto"/>
        <w:left w:val="none" w:sz="0" w:space="0" w:color="auto"/>
        <w:bottom w:val="none" w:sz="0" w:space="0" w:color="auto"/>
        <w:right w:val="none" w:sz="0" w:space="0" w:color="auto"/>
      </w:divBdr>
    </w:div>
    <w:div w:id="713235154">
      <w:marLeft w:val="0"/>
      <w:marRight w:val="0"/>
      <w:marTop w:val="120"/>
      <w:marBottom w:val="0"/>
      <w:divBdr>
        <w:top w:val="none" w:sz="0" w:space="0" w:color="auto"/>
        <w:left w:val="none" w:sz="0" w:space="0" w:color="auto"/>
        <w:bottom w:val="none" w:sz="0" w:space="0" w:color="auto"/>
        <w:right w:val="none" w:sz="0" w:space="0" w:color="auto"/>
      </w:divBdr>
    </w:div>
    <w:div w:id="713624958">
      <w:marLeft w:val="0"/>
      <w:marRight w:val="0"/>
      <w:marTop w:val="200"/>
      <w:marBottom w:val="0"/>
      <w:divBdr>
        <w:top w:val="none" w:sz="0" w:space="0" w:color="auto"/>
        <w:left w:val="none" w:sz="0" w:space="0" w:color="auto"/>
        <w:bottom w:val="none" w:sz="0" w:space="0" w:color="auto"/>
        <w:right w:val="none" w:sz="0" w:space="0" w:color="auto"/>
      </w:divBdr>
    </w:div>
    <w:div w:id="714889673">
      <w:marLeft w:val="0"/>
      <w:marRight w:val="0"/>
      <w:marTop w:val="120"/>
      <w:marBottom w:val="0"/>
      <w:divBdr>
        <w:top w:val="none" w:sz="0" w:space="0" w:color="auto"/>
        <w:left w:val="none" w:sz="0" w:space="0" w:color="auto"/>
        <w:bottom w:val="none" w:sz="0" w:space="0" w:color="auto"/>
        <w:right w:val="none" w:sz="0" w:space="0" w:color="auto"/>
      </w:divBdr>
    </w:div>
    <w:div w:id="715546866">
      <w:marLeft w:val="0"/>
      <w:marRight w:val="0"/>
      <w:marTop w:val="120"/>
      <w:marBottom w:val="0"/>
      <w:divBdr>
        <w:top w:val="none" w:sz="0" w:space="0" w:color="auto"/>
        <w:left w:val="none" w:sz="0" w:space="0" w:color="auto"/>
        <w:bottom w:val="none" w:sz="0" w:space="0" w:color="auto"/>
        <w:right w:val="none" w:sz="0" w:space="0" w:color="auto"/>
      </w:divBdr>
    </w:div>
    <w:div w:id="716315634">
      <w:marLeft w:val="0"/>
      <w:marRight w:val="0"/>
      <w:marTop w:val="200"/>
      <w:marBottom w:val="0"/>
      <w:divBdr>
        <w:top w:val="none" w:sz="0" w:space="0" w:color="auto"/>
        <w:left w:val="none" w:sz="0" w:space="0" w:color="auto"/>
        <w:bottom w:val="none" w:sz="0" w:space="0" w:color="auto"/>
        <w:right w:val="none" w:sz="0" w:space="0" w:color="auto"/>
      </w:divBdr>
    </w:div>
    <w:div w:id="717508732">
      <w:marLeft w:val="0"/>
      <w:marRight w:val="0"/>
      <w:marTop w:val="200"/>
      <w:marBottom w:val="0"/>
      <w:divBdr>
        <w:top w:val="none" w:sz="0" w:space="0" w:color="auto"/>
        <w:left w:val="none" w:sz="0" w:space="0" w:color="auto"/>
        <w:bottom w:val="none" w:sz="0" w:space="0" w:color="auto"/>
        <w:right w:val="none" w:sz="0" w:space="0" w:color="auto"/>
      </w:divBdr>
    </w:div>
    <w:div w:id="717582264">
      <w:marLeft w:val="0"/>
      <w:marRight w:val="0"/>
      <w:marTop w:val="120"/>
      <w:marBottom w:val="0"/>
      <w:divBdr>
        <w:top w:val="none" w:sz="0" w:space="0" w:color="auto"/>
        <w:left w:val="none" w:sz="0" w:space="0" w:color="auto"/>
        <w:bottom w:val="none" w:sz="0" w:space="0" w:color="auto"/>
        <w:right w:val="none" w:sz="0" w:space="0" w:color="auto"/>
      </w:divBdr>
    </w:div>
    <w:div w:id="717706115">
      <w:marLeft w:val="0"/>
      <w:marRight w:val="0"/>
      <w:marTop w:val="120"/>
      <w:marBottom w:val="0"/>
      <w:divBdr>
        <w:top w:val="none" w:sz="0" w:space="0" w:color="auto"/>
        <w:left w:val="none" w:sz="0" w:space="0" w:color="auto"/>
        <w:bottom w:val="none" w:sz="0" w:space="0" w:color="auto"/>
        <w:right w:val="none" w:sz="0" w:space="0" w:color="auto"/>
      </w:divBdr>
    </w:div>
    <w:div w:id="717708319">
      <w:marLeft w:val="0"/>
      <w:marRight w:val="0"/>
      <w:marTop w:val="120"/>
      <w:marBottom w:val="0"/>
      <w:divBdr>
        <w:top w:val="none" w:sz="0" w:space="0" w:color="auto"/>
        <w:left w:val="none" w:sz="0" w:space="0" w:color="auto"/>
        <w:bottom w:val="none" w:sz="0" w:space="0" w:color="auto"/>
        <w:right w:val="none" w:sz="0" w:space="0" w:color="auto"/>
      </w:divBdr>
    </w:div>
    <w:div w:id="719746588">
      <w:marLeft w:val="0"/>
      <w:marRight w:val="0"/>
      <w:marTop w:val="200"/>
      <w:marBottom w:val="0"/>
      <w:divBdr>
        <w:top w:val="none" w:sz="0" w:space="0" w:color="auto"/>
        <w:left w:val="none" w:sz="0" w:space="0" w:color="auto"/>
        <w:bottom w:val="none" w:sz="0" w:space="0" w:color="auto"/>
        <w:right w:val="none" w:sz="0" w:space="0" w:color="auto"/>
      </w:divBdr>
    </w:div>
    <w:div w:id="719747394">
      <w:marLeft w:val="0"/>
      <w:marRight w:val="0"/>
      <w:marTop w:val="0"/>
      <w:marBottom w:val="0"/>
      <w:divBdr>
        <w:top w:val="none" w:sz="0" w:space="0" w:color="auto"/>
        <w:left w:val="none" w:sz="0" w:space="0" w:color="auto"/>
        <w:bottom w:val="none" w:sz="0" w:space="0" w:color="auto"/>
        <w:right w:val="none" w:sz="0" w:space="0" w:color="auto"/>
      </w:divBdr>
    </w:div>
    <w:div w:id="719789697">
      <w:marLeft w:val="0"/>
      <w:marRight w:val="0"/>
      <w:marTop w:val="200"/>
      <w:marBottom w:val="0"/>
      <w:divBdr>
        <w:top w:val="none" w:sz="0" w:space="0" w:color="auto"/>
        <w:left w:val="none" w:sz="0" w:space="0" w:color="auto"/>
        <w:bottom w:val="none" w:sz="0" w:space="0" w:color="auto"/>
        <w:right w:val="none" w:sz="0" w:space="0" w:color="auto"/>
      </w:divBdr>
    </w:div>
    <w:div w:id="719938352">
      <w:marLeft w:val="0"/>
      <w:marRight w:val="0"/>
      <w:marTop w:val="120"/>
      <w:marBottom w:val="0"/>
      <w:divBdr>
        <w:top w:val="none" w:sz="0" w:space="0" w:color="auto"/>
        <w:left w:val="none" w:sz="0" w:space="0" w:color="auto"/>
        <w:bottom w:val="none" w:sz="0" w:space="0" w:color="auto"/>
        <w:right w:val="none" w:sz="0" w:space="0" w:color="auto"/>
      </w:divBdr>
    </w:div>
    <w:div w:id="720176189">
      <w:marLeft w:val="0"/>
      <w:marRight w:val="0"/>
      <w:marTop w:val="200"/>
      <w:marBottom w:val="0"/>
      <w:divBdr>
        <w:top w:val="none" w:sz="0" w:space="0" w:color="auto"/>
        <w:left w:val="none" w:sz="0" w:space="0" w:color="auto"/>
        <w:bottom w:val="none" w:sz="0" w:space="0" w:color="auto"/>
        <w:right w:val="none" w:sz="0" w:space="0" w:color="auto"/>
      </w:divBdr>
    </w:div>
    <w:div w:id="721055961">
      <w:marLeft w:val="0"/>
      <w:marRight w:val="0"/>
      <w:marTop w:val="100"/>
      <w:marBottom w:val="0"/>
      <w:divBdr>
        <w:top w:val="none" w:sz="0" w:space="0" w:color="auto"/>
        <w:left w:val="none" w:sz="0" w:space="0" w:color="auto"/>
        <w:bottom w:val="none" w:sz="0" w:space="0" w:color="auto"/>
        <w:right w:val="none" w:sz="0" w:space="0" w:color="auto"/>
      </w:divBdr>
    </w:div>
    <w:div w:id="722215841">
      <w:marLeft w:val="0"/>
      <w:marRight w:val="0"/>
      <w:marTop w:val="120"/>
      <w:marBottom w:val="0"/>
      <w:divBdr>
        <w:top w:val="none" w:sz="0" w:space="0" w:color="auto"/>
        <w:left w:val="none" w:sz="0" w:space="0" w:color="auto"/>
        <w:bottom w:val="none" w:sz="0" w:space="0" w:color="auto"/>
        <w:right w:val="none" w:sz="0" w:space="0" w:color="auto"/>
      </w:divBdr>
    </w:div>
    <w:div w:id="722562058">
      <w:marLeft w:val="0"/>
      <w:marRight w:val="0"/>
      <w:marTop w:val="0"/>
      <w:marBottom w:val="0"/>
      <w:divBdr>
        <w:top w:val="none" w:sz="0" w:space="0" w:color="auto"/>
        <w:left w:val="none" w:sz="0" w:space="0" w:color="auto"/>
        <w:bottom w:val="none" w:sz="0" w:space="0" w:color="auto"/>
        <w:right w:val="none" w:sz="0" w:space="0" w:color="auto"/>
      </w:divBdr>
      <w:divsChild>
        <w:div w:id="768622140">
          <w:marLeft w:val="0"/>
          <w:marRight w:val="0"/>
          <w:marTop w:val="0"/>
          <w:marBottom w:val="0"/>
          <w:divBdr>
            <w:top w:val="none" w:sz="0" w:space="0" w:color="auto"/>
            <w:left w:val="none" w:sz="0" w:space="0" w:color="auto"/>
            <w:bottom w:val="none" w:sz="0" w:space="0" w:color="auto"/>
            <w:right w:val="none" w:sz="0" w:space="0" w:color="auto"/>
          </w:divBdr>
        </w:div>
      </w:divsChild>
    </w:div>
    <w:div w:id="722676574">
      <w:marLeft w:val="0"/>
      <w:marRight w:val="0"/>
      <w:marTop w:val="0"/>
      <w:marBottom w:val="0"/>
      <w:divBdr>
        <w:top w:val="none" w:sz="0" w:space="0" w:color="auto"/>
        <w:left w:val="none" w:sz="0" w:space="0" w:color="auto"/>
        <w:bottom w:val="none" w:sz="0" w:space="0" w:color="auto"/>
        <w:right w:val="none" w:sz="0" w:space="0" w:color="auto"/>
      </w:divBdr>
      <w:divsChild>
        <w:div w:id="559898805">
          <w:marLeft w:val="0"/>
          <w:marRight w:val="0"/>
          <w:marTop w:val="0"/>
          <w:marBottom w:val="0"/>
          <w:divBdr>
            <w:top w:val="none" w:sz="0" w:space="0" w:color="auto"/>
            <w:left w:val="none" w:sz="0" w:space="0" w:color="auto"/>
            <w:bottom w:val="none" w:sz="0" w:space="0" w:color="auto"/>
            <w:right w:val="none" w:sz="0" w:space="0" w:color="auto"/>
          </w:divBdr>
        </w:div>
      </w:divsChild>
    </w:div>
    <w:div w:id="722679297">
      <w:marLeft w:val="0"/>
      <w:marRight w:val="0"/>
      <w:marTop w:val="200"/>
      <w:marBottom w:val="0"/>
      <w:divBdr>
        <w:top w:val="none" w:sz="0" w:space="0" w:color="auto"/>
        <w:left w:val="none" w:sz="0" w:space="0" w:color="auto"/>
        <w:bottom w:val="none" w:sz="0" w:space="0" w:color="auto"/>
        <w:right w:val="none" w:sz="0" w:space="0" w:color="auto"/>
      </w:divBdr>
    </w:div>
    <w:div w:id="724643853">
      <w:marLeft w:val="0"/>
      <w:marRight w:val="0"/>
      <w:marTop w:val="120"/>
      <w:marBottom w:val="0"/>
      <w:divBdr>
        <w:top w:val="none" w:sz="0" w:space="0" w:color="auto"/>
        <w:left w:val="none" w:sz="0" w:space="0" w:color="auto"/>
        <w:bottom w:val="none" w:sz="0" w:space="0" w:color="auto"/>
        <w:right w:val="none" w:sz="0" w:space="0" w:color="auto"/>
      </w:divBdr>
    </w:div>
    <w:div w:id="726144334">
      <w:marLeft w:val="0"/>
      <w:marRight w:val="0"/>
      <w:marTop w:val="0"/>
      <w:marBottom w:val="0"/>
      <w:divBdr>
        <w:top w:val="none" w:sz="0" w:space="0" w:color="auto"/>
        <w:left w:val="none" w:sz="0" w:space="0" w:color="auto"/>
        <w:bottom w:val="none" w:sz="0" w:space="0" w:color="auto"/>
        <w:right w:val="none" w:sz="0" w:space="0" w:color="auto"/>
      </w:divBdr>
    </w:div>
    <w:div w:id="727531464">
      <w:marLeft w:val="0"/>
      <w:marRight w:val="0"/>
      <w:marTop w:val="120"/>
      <w:marBottom w:val="0"/>
      <w:divBdr>
        <w:top w:val="none" w:sz="0" w:space="0" w:color="auto"/>
        <w:left w:val="none" w:sz="0" w:space="0" w:color="auto"/>
        <w:bottom w:val="none" w:sz="0" w:space="0" w:color="auto"/>
        <w:right w:val="none" w:sz="0" w:space="0" w:color="auto"/>
      </w:divBdr>
    </w:div>
    <w:div w:id="727652029">
      <w:marLeft w:val="0"/>
      <w:marRight w:val="0"/>
      <w:marTop w:val="120"/>
      <w:marBottom w:val="0"/>
      <w:divBdr>
        <w:top w:val="none" w:sz="0" w:space="0" w:color="auto"/>
        <w:left w:val="none" w:sz="0" w:space="0" w:color="auto"/>
        <w:bottom w:val="none" w:sz="0" w:space="0" w:color="auto"/>
        <w:right w:val="none" w:sz="0" w:space="0" w:color="auto"/>
      </w:divBdr>
    </w:div>
    <w:div w:id="728112811">
      <w:marLeft w:val="0"/>
      <w:marRight w:val="0"/>
      <w:marTop w:val="120"/>
      <w:marBottom w:val="0"/>
      <w:divBdr>
        <w:top w:val="none" w:sz="0" w:space="0" w:color="auto"/>
        <w:left w:val="none" w:sz="0" w:space="0" w:color="auto"/>
        <w:bottom w:val="none" w:sz="0" w:space="0" w:color="auto"/>
        <w:right w:val="none" w:sz="0" w:space="0" w:color="auto"/>
      </w:divBdr>
    </w:div>
    <w:div w:id="729114317">
      <w:marLeft w:val="0"/>
      <w:marRight w:val="0"/>
      <w:marTop w:val="120"/>
      <w:marBottom w:val="0"/>
      <w:divBdr>
        <w:top w:val="none" w:sz="0" w:space="0" w:color="auto"/>
        <w:left w:val="none" w:sz="0" w:space="0" w:color="auto"/>
        <w:bottom w:val="none" w:sz="0" w:space="0" w:color="auto"/>
        <w:right w:val="none" w:sz="0" w:space="0" w:color="auto"/>
      </w:divBdr>
    </w:div>
    <w:div w:id="730347337">
      <w:marLeft w:val="0"/>
      <w:marRight w:val="0"/>
      <w:marTop w:val="120"/>
      <w:marBottom w:val="0"/>
      <w:divBdr>
        <w:top w:val="none" w:sz="0" w:space="0" w:color="auto"/>
        <w:left w:val="none" w:sz="0" w:space="0" w:color="auto"/>
        <w:bottom w:val="none" w:sz="0" w:space="0" w:color="auto"/>
        <w:right w:val="none" w:sz="0" w:space="0" w:color="auto"/>
      </w:divBdr>
    </w:div>
    <w:div w:id="731345137">
      <w:marLeft w:val="0"/>
      <w:marRight w:val="0"/>
      <w:marTop w:val="200"/>
      <w:marBottom w:val="0"/>
      <w:divBdr>
        <w:top w:val="none" w:sz="0" w:space="0" w:color="auto"/>
        <w:left w:val="none" w:sz="0" w:space="0" w:color="auto"/>
        <w:bottom w:val="none" w:sz="0" w:space="0" w:color="auto"/>
        <w:right w:val="none" w:sz="0" w:space="0" w:color="auto"/>
      </w:divBdr>
    </w:div>
    <w:div w:id="731462900">
      <w:marLeft w:val="0"/>
      <w:marRight w:val="0"/>
      <w:marTop w:val="0"/>
      <w:marBottom w:val="0"/>
      <w:divBdr>
        <w:top w:val="none" w:sz="0" w:space="0" w:color="auto"/>
        <w:left w:val="none" w:sz="0" w:space="0" w:color="auto"/>
        <w:bottom w:val="none" w:sz="0" w:space="0" w:color="auto"/>
        <w:right w:val="none" w:sz="0" w:space="0" w:color="auto"/>
      </w:divBdr>
      <w:divsChild>
        <w:div w:id="211116720">
          <w:marLeft w:val="0"/>
          <w:marRight w:val="0"/>
          <w:marTop w:val="0"/>
          <w:marBottom w:val="0"/>
          <w:divBdr>
            <w:top w:val="none" w:sz="0" w:space="0" w:color="auto"/>
            <w:left w:val="none" w:sz="0" w:space="0" w:color="auto"/>
            <w:bottom w:val="none" w:sz="0" w:space="0" w:color="auto"/>
            <w:right w:val="none" w:sz="0" w:space="0" w:color="auto"/>
          </w:divBdr>
        </w:div>
      </w:divsChild>
    </w:div>
    <w:div w:id="732312276">
      <w:marLeft w:val="0"/>
      <w:marRight w:val="0"/>
      <w:marTop w:val="200"/>
      <w:marBottom w:val="0"/>
      <w:divBdr>
        <w:top w:val="none" w:sz="0" w:space="0" w:color="auto"/>
        <w:left w:val="none" w:sz="0" w:space="0" w:color="auto"/>
        <w:bottom w:val="none" w:sz="0" w:space="0" w:color="auto"/>
        <w:right w:val="none" w:sz="0" w:space="0" w:color="auto"/>
      </w:divBdr>
    </w:div>
    <w:div w:id="732392858">
      <w:marLeft w:val="0"/>
      <w:marRight w:val="0"/>
      <w:marTop w:val="0"/>
      <w:marBottom w:val="0"/>
      <w:divBdr>
        <w:top w:val="none" w:sz="0" w:space="0" w:color="auto"/>
        <w:left w:val="none" w:sz="0" w:space="0" w:color="auto"/>
        <w:bottom w:val="none" w:sz="0" w:space="0" w:color="auto"/>
        <w:right w:val="none" w:sz="0" w:space="0" w:color="auto"/>
      </w:divBdr>
      <w:divsChild>
        <w:div w:id="1532956694">
          <w:marLeft w:val="0"/>
          <w:marRight w:val="0"/>
          <w:marTop w:val="0"/>
          <w:marBottom w:val="0"/>
          <w:divBdr>
            <w:top w:val="none" w:sz="0" w:space="0" w:color="auto"/>
            <w:left w:val="none" w:sz="0" w:space="0" w:color="auto"/>
            <w:bottom w:val="none" w:sz="0" w:space="0" w:color="auto"/>
            <w:right w:val="none" w:sz="0" w:space="0" w:color="auto"/>
          </w:divBdr>
        </w:div>
      </w:divsChild>
    </w:div>
    <w:div w:id="733309756">
      <w:marLeft w:val="0"/>
      <w:marRight w:val="0"/>
      <w:marTop w:val="120"/>
      <w:marBottom w:val="0"/>
      <w:divBdr>
        <w:top w:val="none" w:sz="0" w:space="0" w:color="auto"/>
        <w:left w:val="none" w:sz="0" w:space="0" w:color="auto"/>
        <w:bottom w:val="none" w:sz="0" w:space="0" w:color="auto"/>
        <w:right w:val="none" w:sz="0" w:space="0" w:color="auto"/>
      </w:divBdr>
    </w:div>
    <w:div w:id="733700088">
      <w:marLeft w:val="0"/>
      <w:marRight w:val="0"/>
      <w:marTop w:val="120"/>
      <w:marBottom w:val="0"/>
      <w:divBdr>
        <w:top w:val="none" w:sz="0" w:space="0" w:color="auto"/>
        <w:left w:val="none" w:sz="0" w:space="0" w:color="auto"/>
        <w:bottom w:val="none" w:sz="0" w:space="0" w:color="auto"/>
        <w:right w:val="none" w:sz="0" w:space="0" w:color="auto"/>
      </w:divBdr>
    </w:div>
    <w:div w:id="736323342">
      <w:marLeft w:val="0"/>
      <w:marRight w:val="0"/>
      <w:marTop w:val="120"/>
      <w:marBottom w:val="0"/>
      <w:divBdr>
        <w:top w:val="none" w:sz="0" w:space="0" w:color="auto"/>
        <w:left w:val="none" w:sz="0" w:space="0" w:color="auto"/>
        <w:bottom w:val="none" w:sz="0" w:space="0" w:color="auto"/>
        <w:right w:val="none" w:sz="0" w:space="0" w:color="auto"/>
      </w:divBdr>
    </w:div>
    <w:div w:id="737246086">
      <w:marLeft w:val="0"/>
      <w:marRight w:val="0"/>
      <w:marTop w:val="200"/>
      <w:marBottom w:val="0"/>
      <w:divBdr>
        <w:top w:val="none" w:sz="0" w:space="0" w:color="auto"/>
        <w:left w:val="none" w:sz="0" w:space="0" w:color="auto"/>
        <w:bottom w:val="none" w:sz="0" w:space="0" w:color="auto"/>
        <w:right w:val="none" w:sz="0" w:space="0" w:color="auto"/>
      </w:divBdr>
    </w:div>
    <w:div w:id="737749735">
      <w:marLeft w:val="0"/>
      <w:marRight w:val="0"/>
      <w:marTop w:val="200"/>
      <w:marBottom w:val="0"/>
      <w:divBdr>
        <w:top w:val="none" w:sz="0" w:space="0" w:color="auto"/>
        <w:left w:val="none" w:sz="0" w:space="0" w:color="auto"/>
        <w:bottom w:val="none" w:sz="0" w:space="0" w:color="auto"/>
        <w:right w:val="none" w:sz="0" w:space="0" w:color="auto"/>
      </w:divBdr>
    </w:div>
    <w:div w:id="739059622">
      <w:marLeft w:val="0"/>
      <w:marRight w:val="0"/>
      <w:marTop w:val="0"/>
      <w:marBottom w:val="0"/>
      <w:divBdr>
        <w:top w:val="none" w:sz="0" w:space="0" w:color="auto"/>
        <w:left w:val="none" w:sz="0" w:space="0" w:color="auto"/>
        <w:bottom w:val="none" w:sz="0" w:space="0" w:color="auto"/>
        <w:right w:val="none" w:sz="0" w:space="0" w:color="auto"/>
      </w:divBdr>
      <w:divsChild>
        <w:div w:id="1389651362">
          <w:marLeft w:val="0"/>
          <w:marRight w:val="0"/>
          <w:marTop w:val="0"/>
          <w:marBottom w:val="0"/>
          <w:divBdr>
            <w:top w:val="none" w:sz="0" w:space="0" w:color="auto"/>
            <w:left w:val="none" w:sz="0" w:space="0" w:color="auto"/>
            <w:bottom w:val="none" w:sz="0" w:space="0" w:color="auto"/>
            <w:right w:val="none" w:sz="0" w:space="0" w:color="auto"/>
          </w:divBdr>
        </w:div>
      </w:divsChild>
    </w:div>
    <w:div w:id="740104711">
      <w:marLeft w:val="0"/>
      <w:marRight w:val="0"/>
      <w:marTop w:val="120"/>
      <w:marBottom w:val="0"/>
      <w:divBdr>
        <w:top w:val="none" w:sz="0" w:space="0" w:color="auto"/>
        <w:left w:val="none" w:sz="0" w:space="0" w:color="auto"/>
        <w:bottom w:val="none" w:sz="0" w:space="0" w:color="auto"/>
        <w:right w:val="none" w:sz="0" w:space="0" w:color="auto"/>
      </w:divBdr>
    </w:div>
    <w:div w:id="740981092">
      <w:marLeft w:val="0"/>
      <w:marRight w:val="0"/>
      <w:marTop w:val="0"/>
      <w:marBottom w:val="0"/>
      <w:divBdr>
        <w:top w:val="none" w:sz="0" w:space="0" w:color="auto"/>
        <w:left w:val="none" w:sz="0" w:space="0" w:color="auto"/>
        <w:bottom w:val="none" w:sz="0" w:space="0" w:color="auto"/>
        <w:right w:val="none" w:sz="0" w:space="0" w:color="auto"/>
      </w:divBdr>
      <w:divsChild>
        <w:div w:id="861285537">
          <w:marLeft w:val="0"/>
          <w:marRight w:val="0"/>
          <w:marTop w:val="0"/>
          <w:marBottom w:val="0"/>
          <w:divBdr>
            <w:top w:val="none" w:sz="0" w:space="0" w:color="auto"/>
            <w:left w:val="none" w:sz="0" w:space="0" w:color="auto"/>
            <w:bottom w:val="none" w:sz="0" w:space="0" w:color="auto"/>
            <w:right w:val="none" w:sz="0" w:space="0" w:color="auto"/>
          </w:divBdr>
        </w:div>
      </w:divsChild>
    </w:div>
    <w:div w:id="741558906">
      <w:marLeft w:val="0"/>
      <w:marRight w:val="0"/>
      <w:marTop w:val="200"/>
      <w:marBottom w:val="0"/>
      <w:divBdr>
        <w:top w:val="none" w:sz="0" w:space="0" w:color="auto"/>
        <w:left w:val="none" w:sz="0" w:space="0" w:color="auto"/>
        <w:bottom w:val="none" w:sz="0" w:space="0" w:color="auto"/>
        <w:right w:val="none" w:sz="0" w:space="0" w:color="auto"/>
      </w:divBdr>
    </w:div>
    <w:div w:id="741831140">
      <w:marLeft w:val="0"/>
      <w:marRight w:val="0"/>
      <w:marTop w:val="100"/>
      <w:marBottom w:val="0"/>
      <w:divBdr>
        <w:top w:val="none" w:sz="0" w:space="0" w:color="auto"/>
        <w:left w:val="none" w:sz="0" w:space="0" w:color="auto"/>
        <w:bottom w:val="none" w:sz="0" w:space="0" w:color="auto"/>
        <w:right w:val="none" w:sz="0" w:space="0" w:color="auto"/>
      </w:divBdr>
    </w:div>
    <w:div w:id="742801568">
      <w:marLeft w:val="0"/>
      <w:marRight w:val="0"/>
      <w:marTop w:val="120"/>
      <w:marBottom w:val="0"/>
      <w:divBdr>
        <w:top w:val="none" w:sz="0" w:space="0" w:color="auto"/>
        <w:left w:val="none" w:sz="0" w:space="0" w:color="auto"/>
        <w:bottom w:val="none" w:sz="0" w:space="0" w:color="auto"/>
        <w:right w:val="none" w:sz="0" w:space="0" w:color="auto"/>
      </w:divBdr>
    </w:div>
    <w:div w:id="748969049">
      <w:marLeft w:val="0"/>
      <w:marRight w:val="0"/>
      <w:marTop w:val="200"/>
      <w:marBottom w:val="0"/>
      <w:divBdr>
        <w:top w:val="none" w:sz="0" w:space="0" w:color="auto"/>
        <w:left w:val="none" w:sz="0" w:space="0" w:color="auto"/>
        <w:bottom w:val="none" w:sz="0" w:space="0" w:color="auto"/>
        <w:right w:val="none" w:sz="0" w:space="0" w:color="auto"/>
      </w:divBdr>
    </w:div>
    <w:div w:id="751127541">
      <w:marLeft w:val="0"/>
      <w:marRight w:val="0"/>
      <w:marTop w:val="0"/>
      <w:marBottom w:val="0"/>
      <w:divBdr>
        <w:top w:val="none" w:sz="0" w:space="0" w:color="auto"/>
        <w:left w:val="none" w:sz="0" w:space="0" w:color="auto"/>
        <w:bottom w:val="none" w:sz="0" w:space="0" w:color="auto"/>
        <w:right w:val="none" w:sz="0" w:space="0" w:color="auto"/>
      </w:divBdr>
      <w:divsChild>
        <w:div w:id="1091588106">
          <w:marLeft w:val="0"/>
          <w:marRight w:val="0"/>
          <w:marTop w:val="0"/>
          <w:marBottom w:val="0"/>
          <w:divBdr>
            <w:top w:val="none" w:sz="0" w:space="0" w:color="auto"/>
            <w:left w:val="none" w:sz="0" w:space="0" w:color="auto"/>
            <w:bottom w:val="none" w:sz="0" w:space="0" w:color="auto"/>
            <w:right w:val="none" w:sz="0" w:space="0" w:color="auto"/>
          </w:divBdr>
        </w:div>
      </w:divsChild>
    </w:div>
    <w:div w:id="751393793">
      <w:marLeft w:val="0"/>
      <w:marRight w:val="0"/>
      <w:marTop w:val="200"/>
      <w:marBottom w:val="0"/>
      <w:divBdr>
        <w:top w:val="none" w:sz="0" w:space="0" w:color="auto"/>
        <w:left w:val="none" w:sz="0" w:space="0" w:color="auto"/>
        <w:bottom w:val="none" w:sz="0" w:space="0" w:color="auto"/>
        <w:right w:val="none" w:sz="0" w:space="0" w:color="auto"/>
      </w:divBdr>
    </w:div>
    <w:div w:id="752510262">
      <w:marLeft w:val="0"/>
      <w:marRight w:val="0"/>
      <w:marTop w:val="0"/>
      <w:marBottom w:val="0"/>
      <w:divBdr>
        <w:top w:val="none" w:sz="0" w:space="0" w:color="auto"/>
        <w:left w:val="none" w:sz="0" w:space="0" w:color="auto"/>
        <w:bottom w:val="none" w:sz="0" w:space="0" w:color="auto"/>
        <w:right w:val="none" w:sz="0" w:space="0" w:color="auto"/>
      </w:divBdr>
      <w:divsChild>
        <w:div w:id="576869203">
          <w:marLeft w:val="0"/>
          <w:marRight w:val="0"/>
          <w:marTop w:val="0"/>
          <w:marBottom w:val="0"/>
          <w:divBdr>
            <w:top w:val="none" w:sz="0" w:space="0" w:color="auto"/>
            <w:left w:val="none" w:sz="0" w:space="0" w:color="auto"/>
            <w:bottom w:val="none" w:sz="0" w:space="0" w:color="auto"/>
            <w:right w:val="none" w:sz="0" w:space="0" w:color="auto"/>
          </w:divBdr>
        </w:div>
      </w:divsChild>
    </w:div>
    <w:div w:id="752631495">
      <w:marLeft w:val="0"/>
      <w:marRight w:val="0"/>
      <w:marTop w:val="120"/>
      <w:marBottom w:val="0"/>
      <w:divBdr>
        <w:top w:val="none" w:sz="0" w:space="0" w:color="auto"/>
        <w:left w:val="none" w:sz="0" w:space="0" w:color="auto"/>
        <w:bottom w:val="none" w:sz="0" w:space="0" w:color="auto"/>
        <w:right w:val="none" w:sz="0" w:space="0" w:color="auto"/>
      </w:divBdr>
    </w:div>
    <w:div w:id="754285640">
      <w:marLeft w:val="0"/>
      <w:marRight w:val="0"/>
      <w:marTop w:val="120"/>
      <w:marBottom w:val="0"/>
      <w:divBdr>
        <w:top w:val="none" w:sz="0" w:space="0" w:color="auto"/>
        <w:left w:val="none" w:sz="0" w:space="0" w:color="auto"/>
        <w:bottom w:val="none" w:sz="0" w:space="0" w:color="auto"/>
        <w:right w:val="none" w:sz="0" w:space="0" w:color="auto"/>
      </w:divBdr>
    </w:div>
    <w:div w:id="756168129">
      <w:marLeft w:val="0"/>
      <w:marRight w:val="0"/>
      <w:marTop w:val="200"/>
      <w:marBottom w:val="0"/>
      <w:divBdr>
        <w:top w:val="none" w:sz="0" w:space="0" w:color="auto"/>
        <w:left w:val="none" w:sz="0" w:space="0" w:color="auto"/>
        <w:bottom w:val="none" w:sz="0" w:space="0" w:color="auto"/>
        <w:right w:val="none" w:sz="0" w:space="0" w:color="auto"/>
      </w:divBdr>
    </w:div>
    <w:div w:id="757215436">
      <w:marLeft w:val="0"/>
      <w:marRight w:val="0"/>
      <w:marTop w:val="120"/>
      <w:marBottom w:val="0"/>
      <w:divBdr>
        <w:top w:val="none" w:sz="0" w:space="0" w:color="auto"/>
        <w:left w:val="none" w:sz="0" w:space="0" w:color="auto"/>
        <w:bottom w:val="none" w:sz="0" w:space="0" w:color="auto"/>
        <w:right w:val="none" w:sz="0" w:space="0" w:color="auto"/>
      </w:divBdr>
    </w:div>
    <w:div w:id="757362096">
      <w:marLeft w:val="0"/>
      <w:marRight w:val="0"/>
      <w:marTop w:val="0"/>
      <w:marBottom w:val="0"/>
      <w:divBdr>
        <w:top w:val="none" w:sz="0" w:space="0" w:color="auto"/>
        <w:left w:val="none" w:sz="0" w:space="0" w:color="auto"/>
        <w:bottom w:val="none" w:sz="0" w:space="0" w:color="auto"/>
        <w:right w:val="none" w:sz="0" w:space="0" w:color="auto"/>
      </w:divBdr>
    </w:div>
    <w:div w:id="757946776">
      <w:marLeft w:val="0"/>
      <w:marRight w:val="0"/>
      <w:marTop w:val="120"/>
      <w:marBottom w:val="0"/>
      <w:divBdr>
        <w:top w:val="none" w:sz="0" w:space="0" w:color="auto"/>
        <w:left w:val="none" w:sz="0" w:space="0" w:color="auto"/>
        <w:bottom w:val="none" w:sz="0" w:space="0" w:color="auto"/>
        <w:right w:val="none" w:sz="0" w:space="0" w:color="auto"/>
      </w:divBdr>
    </w:div>
    <w:div w:id="758018374">
      <w:marLeft w:val="0"/>
      <w:marRight w:val="0"/>
      <w:marTop w:val="200"/>
      <w:marBottom w:val="0"/>
      <w:divBdr>
        <w:top w:val="none" w:sz="0" w:space="0" w:color="auto"/>
        <w:left w:val="none" w:sz="0" w:space="0" w:color="auto"/>
        <w:bottom w:val="none" w:sz="0" w:space="0" w:color="auto"/>
        <w:right w:val="none" w:sz="0" w:space="0" w:color="auto"/>
      </w:divBdr>
    </w:div>
    <w:div w:id="758871462">
      <w:marLeft w:val="0"/>
      <w:marRight w:val="0"/>
      <w:marTop w:val="100"/>
      <w:marBottom w:val="0"/>
      <w:divBdr>
        <w:top w:val="none" w:sz="0" w:space="0" w:color="auto"/>
        <w:left w:val="none" w:sz="0" w:space="0" w:color="auto"/>
        <w:bottom w:val="none" w:sz="0" w:space="0" w:color="auto"/>
        <w:right w:val="none" w:sz="0" w:space="0" w:color="auto"/>
      </w:divBdr>
      <w:divsChild>
        <w:div w:id="168716997">
          <w:marLeft w:val="0"/>
          <w:marRight w:val="0"/>
          <w:marTop w:val="0"/>
          <w:marBottom w:val="0"/>
          <w:divBdr>
            <w:top w:val="none" w:sz="0" w:space="0" w:color="auto"/>
            <w:left w:val="none" w:sz="0" w:space="0" w:color="auto"/>
            <w:bottom w:val="none" w:sz="0" w:space="0" w:color="auto"/>
            <w:right w:val="none" w:sz="0" w:space="0" w:color="auto"/>
          </w:divBdr>
        </w:div>
        <w:div w:id="797844380">
          <w:marLeft w:val="0"/>
          <w:marRight w:val="0"/>
          <w:marTop w:val="0"/>
          <w:marBottom w:val="0"/>
          <w:divBdr>
            <w:top w:val="none" w:sz="0" w:space="0" w:color="auto"/>
            <w:left w:val="none" w:sz="0" w:space="0" w:color="auto"/>
            <w:bottom w:val="none" w:sz="0" w:space="0" w:color="auto"/>
            <w:right w:val="none" w:sz="0" w:space="0" w:color="auto"/>
          </w:divBdr>
        </w:div>
        <w:div w:id="882058440">
          <w:marLeft w:val="0"/>
          <w:marRight w:val="0"/>
          <w:marTop w:val="0"/>
          <w:marBottom w:val="0"/>
          <w:divBdr>
            <w:top w:val="none" w:sz="0" w:space="0" w:color="auto"/>
            <w:left w:val="none" w:sz="0" w:space="0" w:color="auto"/>
            <w:bottom w:val="none" w:sz="0" w:space="0" w:color="auto"/>
            <w:right w:val="none" w:sz="0" w:space="0" w:color="auto"/>
          </w:divBdr>
        </w:div>
        <w:div w:id="828058071">
          <w:marLeft w:val="0"/>
          <w:marRight w:val="0"/>
          <w:marTop w:val="0"/>
          <w:marBottom w:val="0"/>
          <w:divBdr>
            <w:top w:val="none" w:sz="0" w:space="0" w:color="auto"/>
            <w:left w:val="none" w:sz="0" w:space="0" w:color="auto"/>
            <w:bottom w:val="none" w:sz="0" w:space="0" w:color="auto"/>
            <w:right w:val="none" w:sz="0" w:space="0" w:color="auto"/>
          </w:divBdr>
        </w:div>
        <w:div w:id="875704928">
          <w:marLeft w:val="0"/>
          <w:marRight w:val="0"/>
          <w:marTop w:val="0"/>
          <w:marBottom w:val="0"/>
          <w:divBdr>
            <w:top w:val="none" w:sz="0" w:space="0" w:color="auto"/>
            <w:left w:val="none" w:sz="0" w:space="0" w:color="auto"/>
            <w:bottom w:val="none" w:sz="0" w:space="0" w:color="auto"/>
            <w:right w:val="none" w:sz="0" w:space="0" w:color="auto"/>
          </w:divBdr>
        </w:div>
      </w:divsChild>
    </w:div>
    <w:div w:id="759109617">
      <w:marLeft w:val="0"/>
      <w:marRight w:val="0"/>
      <w:marTop w:val="120"/>
      <w:marBottom w:val="0"/>
      <w:divBdr>
        <w:top w:val="none" w:sz="0" w:space="0" w:color="auto"/>
        <w:left w:val="none" w:sz="0" w:space="0" w:color="auto"/>
        <w:bottom w:val="none" w:sz="0" w:space="0" w:color="auto"/>
        <w:right w:val="none" w:sz="0" w:space="0" w:color="auto"/>
      </w:divBdr>
    </w:div>
    <w:div w:id="760491522">
      <w:marLeft w:val="0"/>
      <w:marRight w:val="0"/>
      <w:marTop w:val="200"/>
      <w:marBottom w:val="0"/>
      <w:divBdr>
        <w:top w:val="none" w:sz="0" w:space="0" w:color="auto"/>
        <w:left w:val="none" w:sz="0" w:space="0" w:color="auto"/>
        <w:bottom w:val="none" w:sz="0" w:space="0" w:color="auto"/>
        <w:right w:val="none" w:sz="0" w:space="0" w:color="auto"/>
      </w:divBdr>
    </w:div>
    <w:div w:id="762649570">
      <w:marLeft w:val="0"/>
      <w:marRight w:val="0"/>
      <w:marTop w:val="120"/>
      <w:marBottom w:val="0"/>
      <w:divBdr>
        <w:top w:val="none" w:sz="0" w:space="0" w:color="auto"/>
        <w:left w:val="none" w:sz="0" w:space="0" w:color="auto"/>
        <w:bottom w:val="none" w:sz="0" w:space="0" w:color="auto"/>
        <w:right w:val="none" w:sz="0" w:space="0" w:color="auto"/>
      </w:divBdr>
    </w:div>
    <w:div w:id="762841778">
      <w:marLeft w:val="0"/>
      <w:marRight w:val="0"/>
      <w:marTop w:val="120"/>
      <w:marBottom w:val="0"/>
      <w:divBdr>
        <w:top w:val="none" w:sz="0" w:space="0" w:color="auto"/>
        <w:left w:val="none" w:sz="0" w:space="0" w:color="auto"/>
        <w:bottom w:val="none" w:sz="0" w:space="0" w:color="auto"/>
        <w:right w:val="none" w:sz="0" w:space="0" w:color="auto"/>
      </w:divBdr>
    </w:div>
    <w:div w:id="763112588">
      <w:marLeft w:val="0"/>
      <w:marRight w:val="0"/>
      <w:marTop w:val="0"/>
      <w:marBottom w:val="0"/>
      <w:divBdr>
        <w:top w:val="none" w:sz="0" w:space="0" w:color="auto"/>
        <w:left w:val="none" w:sz="0" w:space="0" w:color="auto"/>
        <w:bottom w:val="none" w:sz="0" w:space="0" w:color="auto"/>
        <w:right w:val="none" w:sz="0" w:space="0" w:color="auto"/>
      </w:divBdr>
      <w:divsChild>
        <w:div w:id="1779792572">
          <w:marLeft w:val="0"/>
          <w:marRight w:val="0"/>
          <w:marTop w:val="0"/>
          <w:marBottom w:val="0"/>
          <w:divBdr>
            <w:top w:val="none" w:sz="0" w:space="0" w:color="auto"/>
            <w:left w:val="none" w:sz="0" w:space="0" w:color="auto"/>
            <w:bottom w:val="none" w:sz="0" w:space="0" w:color="auto"/>
            <w:right w:val="none" w:sz="0" w:space="0" w:color="auto"/>
          </w:divBdr>
        </w:div>
      </w:divsChild>
    </w:div>
    <w:div w:id="764620008">
      <w:marLeft w:val="0"/>
      <w:marRight w:val="0"/>
      <w:marTop w:val="200"/>
      <w:marBottom w:val="0"/>
      <w:divBdr>
        <w:top w:val="none" w:sz="0" w:space="0" w:color="auto"/>
        <w:left w:val="none" w:sz="0" w:space="0" w:color="auto"/>
        <w:bottom w:val="none" w:sz="0" w:space="0" w:color="auto"/>
        <w:right w:val="none" w:sz="0" w:space="0" w:color="auto"/>
      </w:divBdr>
    </w:div>
    <w:div w:id="764692782">
      <w:marLeft w:val="0"/>
      <w:marRight w:val="0"/>
      <w:marTop w:val="120"/>
      <w:marBottom w:val="0"/>
      <w:divBdr>
        <w:top w:val="none" w:sz="0" w:space="0" w:color="auto"/>
        <w:left w:val="none" w:sz="0" w:space="0" w:color="auto"/>
        <w:bottom w:val="none" w:sz="0" w:space="0" w:color="auto"/>
        <w:right w:val="none" w:sz="0" w:space="0" w:color="auto"/>
      </w:divBdr>
    </w:div>
    <w:div w:id="765153611">
      <w:marLeft w:val="0"/>
      <w:marRight w:val="0"/>
      <w:marTop w:val="0"/>
      <w:marBottom w:val="0"/>
      <w:divBdr>
        <w:top w:val="none" w:sz="0" w:space="0" w:color="auto"/>
        <w:left w:val="none" w:sz="0" w:space="0" w:color="auto"/>
        <w:bottom w:val="none" w:sz="0" w:space="0" w:color="auto"/>
        <w:right w:val="none" w:sz="0" w:space="0" w:color="auto"/>
      </w:divBdr>
      <w:divsChild>
        <w:div w:id="648872491">
          <w:marLeft w:val="0"/>
          <w:marRight w:val="0"/>
          <w:marTop w:val="0"/>
          <w:marBottom w:val="0"/>
          <w:divBdr>
            <w:top w:val="none" w:sz="0" w:space="0" w:color="auto"/>
            <w:left w:val="none" w:sz="0" w:space="0" w:color="auto"/>
            <w:bottom w:val="none" w:sz="0" w:space="0" w:color="auto"/>
            <w:right w:val="none" w:sz="0" w:space="0" w:color="auto"/>
          </w:divBdr>
        </w:div>
      </w:divsChild>
    </w:div>
    <w:div w:id="770856115">
      <w:marLeft w:val="0"/>
      <w:marRight w:val="0"/>
      <w:marTop w:val="120"/>
      <w:marBottom w:val="0"/>
      <w:divBdr>
        <w:top w:val="none" w:sz="0" w:space="0" w:color="auto"/>
        <w:left w:val="none" w:sz="0" w:space="0" w:color="auto"/>
        <w:bottom w:val="none" w:sz="0" w:space="0" w:color="auto"/>
        <w:right w:val="none" w:sz="0" w:space="0" w:color="auto"/>
      </w:divBdr>
    </w:div>
    <w:div w:id="771242866">
      <w:marLeft w:val="0"/>
      <w:marRight w:val="0"/>
      <w:marTop w:val="120"/>
      <w:marBottom w:val="0"/>
      <w:divBdr>
        <w:top w:val="none" w:sz="0" w:space="0" w:color="auto"/>
        <w:left w:val="none" w:sz="0" w:space="0" w:color="auto"/>
        <w:bottom w:val="none" w:sz="0" w:space="0" w:color="auto"/>
        <w:right w:val="none" w:sz="0" w:space="0" w:color="auto"/>
      </w:divBdr>
    </w:div>
    <w:div w:id="771513414">
      <w:marLeft w:val="0"/>
      <w:marRight w:val="0"/>
      <w:marTop w:val="0"/>
      <w:marBottom w:val="0"/>
      <w:divBdr>
        <w:top w:val="none" w:sz="0" w:space="0" w:color="auto"/>
        <w:left w:val="none" w:sz="0" w:space="0" w:color="auto"/>
        <w:bottom w:val="none" w:sz="0" w:space="0" w:color="auto"/>
        <w:right w:val="none" w:sz="0" w:space="0" w:color="auto"/>
      </w:divBdr>
      <w:divsChild>
        <w:div w:id="791248442">
          <w:marLeft w:val="0"/>
          <w:marRight w:val="0"/>
          <w:marTop w:val="0"/>
          <w:marBottom w:val="0"/>
          <w:divBdr>
            <w:top w:val="none" w:sz="0" w:space="0" w:color="auto"/>
            <w:left w:val="none" w:sz="0" w:space="0" w:color="auto"/>
            <w:bottom w:val="none" w:sz="0" w:space="0" w:color="auto"/>
            <w:right w:val="none" w:sz="0" w:space="0" w:color="auto"/>
          </w:divBdr>
        </w:div>
      </w:divsChild>
    </w:div>
    <w:div w:id="771783902">
      <w:marLeft w:val="0"/>
      <w:marRight w:val="0"/>
      <w:marTop w:val="120"/>
      <w:marBottom w:val="0"/>
      <w:divBdr>
        <w:top w:val="none" w:sz="0" w:space="0" w:color="auto"/>
        <w:left w:val="none" w:sz="0" w:space="0" w:color="auto"/>
        <w:bottom w:val="none" w:sz="0" w:space="0" w:color="auto"/>
        <w:right w:val="none" w:sz="0" w:space="0" w:color="auto"/>
      </w:divBdr>
    </w:div>
    <w:div w:id="773523898">
      <w:marLeft w:val="0"/>
      <w:marRight w:val="0"/>
      <w:marTop w:val="0"/>
      <w:marBottom w:val="0"/>
      <w:divBdr>
        <w:top w:val="none" w:sz="0" w:space="0" w:color="auto"/>
        <w:left w:val="none" w:sz="0" w:space="0" w:color="auto"/>
        <w:bottom w:val="none" w:sz="0" w:space="0" w:color="auto"/>
        <w:right w:val="none" w:sz="0" w:space="0" w:color="auto"/>
      </w:divBdr>
      <w:divsChild>
        <w:div w:id="446582544">
          <w:marLeft w:val="0"/>
          <w:marRight w:val="0"/>
          <w:marTop w:val="0"/>
          <w:marBottom w:val="0"/>
          <w:divBdr>
            <w:top w:val="none" w:sz="0" w:space="0" w:color="auto"/>
            <w:left w:val="none" w:sz="0" w:space="0" w:color="auto"/>
            <w:bottom w:val="none" w:sz="0" w:space="0" w:color="auto"/>
            <w:right w:val="none" w:sz="0" w:space="0" w:color="auto"/>
          </w:divBdr>
        </w:div>
      </w:divsChild>
    </w:div>
    <w:div w:id="773982954">
      <w:marLeft w:val="0"/>
      <w:marRight w:val="0"/>
      <w:marTop w:val="120"/>
      <w:marBottom w:val="0"/>
      <w:divBdr>
        <w:top w:val="none" w:sz="0" w:space="0" w:color="auto"/>
        <w:left w:val="none" w:sz="0" w:space="0" w:color="auto"/>
        <w:bottom w:val="none" w:sz="0" w:space="0" w:color="auto"/>
        <w:right w:val="none" w:sz="0" w:space="0" w:color="auto"/>
      </w:divBdr>
    </w:div>
    <w:div w:id="777681561">
      <w:marLeft w:val="0"/>
      <w:marRight w:val="0"/>
      <w:marTop w:val="200"/>
      <w:marBottom w:val="0"/>
      <w:divBdr>
        <w:top w:val="none" w:sz="0" w:space="0" w:color="auto"/>
        <w:left w:val="none" w:sz="0" w:space="0" w:color="auto"/>
        <w:bottom w:val="none" w:sz="0" w:space="0" w:color="auto"/>
        <w:right w:val="none" w:sz="0" w:space="0" w:color="auto"/>
      </w:divBdr>
    </w:div>
    <w:div w:id="779108732">
      <w:marLeft w:val="0"/>
      <w:marRight w:val="0"/>
      <w:marTop w:val="0"/>
      <w:marBottom w:val="0"/>
      <w:divBdr>
        <w:top w:val="none" w:sz="0" w:space="0" w:color="auto"/>
        <w:left w:val="none" w:sz="0" w:space="0" w:color="auto"/>
        <w:bottom w:val="none" w:sz="0" w:space="0" w:color="auto"/>
        <w:right w:val="none" w:sz="0" w:space="0" w:color="auto"/>
      </w:divBdr>
      <w:divsChild>
        <w:div w:id="1938556900">
          <w:marLeft w:val="0"/>
          <w:marRight w:val="0"/>
          <w:marTop w:val="0"/>
          <w:marBottom w:val="0"/>
          <w:divBdr>
            <w:top w:val="none" w:sz="0" w:space="0" w:color="auto"/>
            <w:left w:val="none" w:sz="0" w:space="0" w:color="auto"/>
            <w:bottom w:val="none" w:sz="0" w:space="0" w:color="auto"/>
            <w:right w:val="none" w:sz="0" w:space="0" w:color="auto"/>
          </w:divBdr>
        </w:div>
      </w:divsChild>
    </w:div>
    <w:div w:id="780758209">
      <w:marLeft w:val="0"/>
      <w:marRight w:val="0"/>
      <w:marTop w:val="100"/>
      <w:marBottom w:val="0"/>
      <w:divBdr>
        <w:top w:val="none" w:sz="0" w:space="0" w:color="auto"/>
        <w:left w:val="none" w:sz="0" w:space="0" w:color="auto"/>
        <w:bottom w:val="none" w:sz="0" w:space="0" w:color="auto"/>
        <w:right w:val="none" w:sz="0" w:space="0" w:color="auto"/>
      </w:divBdr>
    </w:div>
    <w:div w:id="782727170">
      <w:marLeft w:val="0"/>
      <w:marRight w:val="0"/>
      <w:marTop w:val="0"/>
      <w:marBottom w:val="0"/>
      <w:divBdr>
        <w:top w:val="none" w:sz="0" w:space="0" w:color="auto"/>
        <w:left w:val="none" w:sz="0" w:space="0" w:color="auto"/>
        <w:bottom w:val="none" w:sz="0" w:space="0" w:color="auto"/>
        <w:right w:val="none" w:sz="0" w:space="0" w:color="auto"/>
      </w:divBdr>
    </w:div>
    <w:div w:id="786122326">
      <w:marLeft w:val="0"/>
      <w:marRight w:val="0"/>
      <w:marTop w:val="120"/>
      <w:marBottom w:val="0"/>
      <w:divBdr>
        <w:top w:val="none" w:sz="0" w:space="0" w:color="auto"/>
        <w:left w:val="none" w:sz="0" w:space="0" w:color="auto"/>
        <w:bottom w:val="none" w:sz="0" w:space="0" w:color="auto"/>
        <w:right w:val="none" w:sz="0" w:space="0" w:color="auto"/>
      </w:divBdr>
    </w:div>
    <w:div w:id="787160750">
      <w:marLeft w:val="0"/>
      <w:marRight w:val="0"/>
      <w:marTop w:val="0"/>
      <w:marBottom w:val="0"/>
      <w:divBdr>
        <w:top w:val="none" w:sz="0" w:space="0" w:color="auto"/>
        <w:left w:val="none" w:sz="0" w:space="0" w:color="auto"/>
        <w:bottom w:val="none" w:sz="0" w:space="0" w:color="auto"/>
        <w:right w:val="none" w:sz="0" w:space="0" w:color="auto"/>
      </w:divBdr>
      <w:divsChild>
        <w:div w:id="1979649817">
          <w:marLeft w:val="0"/>
          <w:marRight w:val="0"/>
          <w:marTop w:val="0"/>
          <w:marBottom w:val="0"/>
          <w:divBdr>
            <w:top w:val="none" w:sz="0" w:space="0" w:color="auto"/>
            <w:left w:val="none" w:sz="0" w:space="0" w:color="auto"/>
            <w:bottom w:val="none" w:sz="0" w:space="0" w:color="auto"/>
            <w:right w:val="none" w:sz="0" w:space="0" w:color="auto"/>
          </w:divBdr>
        </w:div>
      </w:divsChild>
    </w:div>
    <w:div w:id="787353460">
      <w:marLeft w:val="0"/>
      <w:marRight w:val="0"/>
      <w:marTop w:val="120"/>
      <w:marBottom w:val="0"/>
      <w:divBdr>
        <w:top w:val="none" w:sz="0" w:space="0" w:color="auto"/>
        <w:left w:val="none" w:sz="0" w:space="0" w:color="auto"/>
        <w:bottom w:val="none" w:sz="0" w:space="0" w:color="auto"/>
        <w:right w:val="none" w:sz="0" w:space="0" w:color="auto"/>
      </w:divBdr>
    </w:div>
    <w:div w:id="789980087">
      <w:marLeft w:val="0"/>
      <w:marRight w:val="0"/>
      <w:marTop w:val="0"/>
      <w:marBottom w:val="0"/>
      <w:divBdr>
        <w:top w:val="none" w:sz="0" w:space="0" w:color="auto"/>
        <w:left w:val="none" w:sz="0" w:space="0" w:color="auto"/>
        <w:bottom w:val="none" w:sz="0" w:space="0" w:color="auto"/>
        <w:right w:val="none" w:sz="0" w:space="0" w:color="auto"/>
      </w:divBdr>
      <w:divsChild>
        <w:div w:id="1031951133">
          <w:marLeft w:val="0"/>
          <w:marRight w:val="0"/>
          <w:marTop w:val="0"/>
          <w:marBottom w:val="0"/>
          <w:divBdr>
            <w:top w:val="none" w:sz="0" w:space="0" w:color="auto"/>
            <w:left w:val="none" w:sz="0" w:space="0" w:color="auto"/>
            <w:bottom w:val="none" w:sz="0" w:space="0" w:color="auto"/>
            <w:right w:val="none" w:sz="0" w:space="0" w:color="auto"/>
          </w:divBdr>
          <w:divsChild>
            <w:div w:id="137542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52327">
      <w:marLeft w:val="0"/>
      <w:marRight w:val="0"/>
      <w:marTop w:val="120"/>
      <w:marBottom w:val="0"/>
      <w:divBdr>
        <w:top w:val="none" w:sz="0" w:space="0" w:color="auto"/>
        <w:left w:val="none" w:sz="0" w:space="0" w:color="auto"/>
        <w:bottom w:val="none" w:sz="0" w:space="0" w:color="auto"/>
        <w:right w:val="none" w:sz="0" w:space="0" w:color="auto"/>
      </w:divBdr>
    </w:div>
    <w:div w:id="791048843">
      <w:marLeft w:val="0"/>
      <w:marRight w:val="0"/>
      <w:marTop w:val="120"/>
      <w:marBottom w:val="0"/>
      <w:divBdr>
        <w:top w:val="none" w:sz="0" w:space="0" w:color="auto"/>
        <w:left w:val="none" w:sz="0" w:space="0" w:color="auto"/>
        <w:bottom w:val="none" w:sz="0" w:space="0" w:color="auto"/>
        <w:right w:val="none" w:sz="0" w:space="0" w:color="auto"/>
      </w:divBdr>
    </w:div>
    <w:div w:id="791248499">
      <w:marLeft w:val="0"/>
      <w:marRight w:val="0"/>
      <w:marTop w:val="0"/>
      <w:marBottom w:val="0"/>
      <w:divBdr>
        <w:top w:val="none" w:sz="0" w:space="0" w:color="auto"/>
        <w:left w:val="none" w:sz="0" w:space="0" w:color="auto"/>
        <w:bottom w:val="none" w:sz="0" w:space="0" w:color="auto"/>
        <w:right w:val="none" w:sz="0" w:space="0" w:color="auto"/>
      </w:divBdr>
      <w:divsChild>
        <w:div w:id="1053307722">
          <w:marLeft w:val="0"/>
          <w:marRight w:val="0"/>
          <w:marTop w:val="0"/>
          <w:marBottom w:val="0"/>
          <w:divBdr>
            <w:top w:val="none" w:sz="0" w:space="0" w:color="auto"/>
            <w:left w:val="none" w:sz="0" w:space="0" w:color="auto"/>
            <w:bottom w:val="none" w:sz="0" w:space="0" w:color="auto"/>
            <w:right w:val="none" w:sz="0" w:space="0" w:color="auto"/>
          </w:divBdr>
        </w:div>
      </w:divsChild>
    </w:div>
    <w:div w:id="796026846">
      <w:marLeft w:val="0"/>
      <w:marRight w:val="0"/>
      <w:marTop w:val="120"/>
      <w:marBottom w:val="0"/>
      <w:divBdr>
        <w:top w:val="none" w:sz="0" w:space="0" w:color="auto"/>
        <w:left w:val="none" w:sz="0" w:space="0" w:color="auto"/>
        <w:bottom w:val="none" w:sz="0" w:space="0" w:color="auto"/>
        <w:right w:val="none" w:sz="0" w:space="0" w:color="auto"/>
      </w:divBdr>
    </w:div>
    <w:div w:id="796410545">
      <w:marLeft w:val="0"/>
      <w:marRight w:val="0"/>
      <w:marTop w:val="120"/>
      <w:marBottom w:val="0"/>
      <w:divBdr>
        <w:top w:val="none" w:sz="0" w:space="0" w:color="auto"/>
        <w:left w:val="none" w:sz="0" w:space="0" w:color="auto"/>
        <w:bottom w:val="none" w:sz="0" w:space="0" w:color="auto"/>
        <w:right w:val="none" w:sz="0" w:space="0" w:color="auto"/>
      </w:divBdr>
    </w:div>
    <w:div w:id="799886414">
      <w:marLeft w:val="0"/>
      <w:marRight w:val="0"/>
      <w:marTop w:val="0"/>
      <w:marBottom w:val="0"/>
      <w:divBdr>
        <w:top w:val="none" w:sz="0" w:space="0" w:color="auto"/>
        <w:left w:val="none" w:sz="0" w:space="0" w:color="auto"/>
        <w:bottom w:val="none" w:sz="0" w:space="0" w:color="auto"/>
        <w:right w:val="none" w:sz="0" w:space="0" w:color="auto"/>
      </w:divBdr>
      <w:divsChild>
        <w:div w:id="1132669115">
          <w:marLeft w:val="0"/>
          <w:marRight w:val="0"/>
          <w:marTop w:val="0"/>
          <w:marBottom w:val="0"/>
          <w:divBdr>
            <w:top w:val="none" w:sz="0" w:space="0" w:color="auto"/>
            <w:left w:val="none" w:sz="0" w:space="0" w:color="auto"/>
            <w:bottom w:val="none" w:sz="0" w:space="0" w:color="auto"/>
            <w:right w:val="none" w:sz="0" w:space="0" w:color="auto"/>
          </w:divBdr>
        </w:div>
      </w:divsChild>
    </w:div>
    <w:div w:id="805201201">
      <w:marLeft w:val="0"/>
      <w:marRight w:val="0"/>
      <w:marTop w:val="120"/>
      <w:marBottom w:val="0"/>
      <w:divBdr>
        <w:top w:val="none" w:sz="0" w:space="0" w:color="auto"/>
        <w:left w:val="none" w:sz="0" w:space="0" w:color="auto"/>
        <w:bottom w:val="none" w:sz="0" w:space="0" w:color="auto"/>
        <w:right w:val="none" w:sz="0" w:space="0" w:color="auto"/>
      </w:divBdr>
    </w:div>
    <w:div w:id="806049100">
      <w:marLeft w:val="0"/>
      <w:marRight w:val="0"/>
      <w:marTop w:val="0"/>
      <w:marBottom w:val="0"/>
      <w:divBdr>
        <w:top w:val="none" w:sz="0" w:space="0" w:color="auto"/>
        <w:left w:val="none" w:sz="0" w:space="0" w:color="auto"/>
        <w:bottom w:val="none" w:sz="0" w:space="0" w:color="auto"/>
        <w:right w:val="none" w:sz="0" w:space="0" w:color="auto"/>
      </w:divBdr>
      <w:divsChild>
        <w:div w:id="2059157363">
          <w:marLeft w:val="0"/>
          <w:marRight w:val="0"/>
          <w:marTop w:val="0"/>
          <w:marBottom w:val="0"/>
          <w:divBdr>
            <w:top w:val="none" w:sz="0" w:space="0" w:color="auto"/>
            <w:left w:val="none" w:sz="0" w:space="0" w:color="auto"/>
            <w:bottom w:val="none" w:sz="0" w:space="0" w:color="auto"/>
            <w:right w:val="none" w:sz="0" w:space="0" w:color="auto"/>
          </w:divBdr>
        </w:div>
      </w:divsChild>
    </w:div>
    <w:div w:id="806243966">
      <w:marLeft w:val="0"/>
      <w:marRight w:val="0"/>
      <w:marTop w:val="200"/>
      <w:marBottom w:val="0"/>
      <w:divBdr>
        <w:top w:val="none" w:sz="0" w:space="0" w:color="auto"/>
        <w:left w:val="none" w:sz="0" w:space="0" w:color="auto"/>
        <w:bottom w:val="none" w:sz="0" w:space="0" w:color="auto"/>
        <w:right w:val="none" w:sz="0" w:space="0" w:color="auto"/>
      </w:divBdr>
    </w:div>
    <w:div w:id="807092119">
      <w:marLeft w:val="0"/>
      <w:marRight w:val="0"/>
      <w:marTop w:val="100"/>
      <w:marBottom w:val="0"/>
      <w:divBdr>
        <w:top w:val="none" w:sz="0" w:space="0" w:color="auto"/>
        <w:left w:val="none" w:sz="0" w:space="0" w:color="auto"/>
        <w:bottom w:val="none" w:sz="0" w:space="0" w:color="auto"/>
        <w:right w:val="none" w:sz="0" w:space="0" w:color="auto"/>
      </w:divBdr>
      <w:divsChild>
        <w:div w:id="985474303">
          <w:marLeft w:val="0"/>
          <w:marRight w:val="0"/>
          <w:marTop w:val="20"/>
          <w:marBottom w:val="0"/>
          <w:divBdr>
            <w:top w:val="none" w:sz="0" w:space="0" w:color="auto"/>
            <w:left w:val="none" w:sz="0" w:space="0" w:color="auto"/>
            <w:bottom w:val="none" w:sz="0" w:space="0" w:color="auto"/>
            <w:right w:val="none" w:sz="0" w:space="0" w:color="auto"/>
          </w:divBdr>
        </w:div>
        <w:div w:id="1451243230">
          <w:marLeft w:val="0"/>
          <w:marRight w:val="0"/>
          <w:marTop w:val="20"/>
          <w:marBottom w:val="0"/>
          <w:divBdr>
            <w:top w:val="none" w:sz="0" w:space="0" w:color="auto"/>
            <w:left w:val="none" w:sz="0" w:space="0" w:color="auto"/>
            <w:bottom w:val="none" w:sz="0" w:space="0" w:color="auto"/>
            <w:right w:val="none" w:sz="0" w:space="0" w:color="auto"/>
          </w:divBdr>
        </w:div>
        <w:div w:id="1805654123">
          <w:marLeft w:val="0"/>
          <w:marRight w:val="0"/>
          <w:marTop w:val="20"/>
          <w:marBottom w:val="0"/>
          <w:divBdr>
            <w:top w:val="none" w:sz="0" w:space="0" w:color="auto"/>
            <w:left w:val="none" w:sz="0" w:space="0" w:color="auto"/>
            <w:bottom w:val="none" w:sz="0" w:space="0" w:color="auto"/>
            <w:right w:val="none" w:sz="0" w:space="0" w:color="auto"/>
          </w:divBdr>
        </w:div>
        <w:div w:id="1083724914">
          <w:marLeft w:val="0"/>
          <w:marRight w:val="0"/>
          <w:marTop w:val="20"/>
          <w:marBottom w:val="0"/>
          <w:divBdr>
            <w:top w:val="none" w:sz="0" w:space="0" w:color="auto"/>
            <w:left w:val="none" w:sz="0" w:space="0" w:color="auto"/>
            <w:bottom w:val="none" w:sz="0" w:space="0" w:color="auto"/>
            <w:right w:val="none" w:sz="0" w:space="0" w:color="auto"/>
          </w:divBdr>
        </w:div>
        <w:div w:id="988678371">
          <w:marLeft w:val="0"/>
          <w:marRight w:val="0"/>
          <w:marTop w:val="20"/>
          <w:marBottom w:val="0"/>
          <w:divBdr>
            <w:top w:val="none" w:sz="0" w:space="0" w:color="auto"/>
            <w:left w:val="none" w:sz="0" w:space="0" w:color="auto"/>
            <w:bottom w:val="none" w:sz="0" w:space="0" w:color="auto"/>
            <w:right w:val="none" w:sz="0" w:space="0" w:color="auto"/>
          </w:divBdr>
        </w:div>
      </w:divsChild>
    </w:div>
    <w:div w:id="807816375">
      <w:marLeft w:val="0"/>
      <w:marRight w:val="0"/>
      <w:marTop w:val="0"/>
      <w:marBottom w:val="0"/>
      <w:divBdr>
        <w:top w:val="none" w:sz="0" w:space="0" w:color="auto"/>
        <w:left w:val="none" w:sz="0" w:space="0" w:color="auto"/>
        <w:bottom w:val="none" w:sz="0" w:space="0" w:color="auto"/>
        <w:right w:val="none" w:sz="0" w:space="0" w:color="auto"/>
      </w:divBdr>
      <w:divsChild>
        <w:div w:id="1495411316">
          <w:marLeft w:val="0"/>
          <w:marRight w:val="0"/>
          <w:marTop w:val="0"/>
          <w:marBottom w:val="0"/>
          <w:divBdr>
            <w:top w:val="none" w:sz="0" w:space="0" w:color="auto"/>
            <w:left w:val="none" w:sz="0" w:space="0" w:color="auto"/>
            <w:bottom w:val="none" w:sz="0" w:space="0" w:color="auto"/>
            <w:right w:val="none" w:sz="0" w:space="0" w:color="auto"/>
          </w:divBdr>
        </w:div>
      </w:divsChild>
    </w:div>
    <w:div w:id="808861517">
      <w:marLeft w:val="0"/>
      <w:marRight w:val="0"/>
      <w:marTop w:val="120"/>
      <w:marBottom w:val="0"/>
      <w:divBdr>
        <w:top w:val="none" w:sz="0" w:space="0" w:color="auto"/>
        <w:left w:val="none" w:sz="0" w:space="0" w:color="auto"/>
        <w:bottom w:val="none" w:sz="0" w:space="0" w:color="auto"/>
        <w:right w:val="none" w:sz="0" w:space="0" w:color="auto"/>
      </w:divBdr>
    </w:div>
    <w:div w:id="810095597">
      <w:marLeft w:val="0"/>
      <w:marRight w:val="0"/>
      <w:marTop w:val="100"/>
      <w:marBottom w:val="0"/>
      <w:divBdr>
        <w:top w:val="none" w:sz="0" w:space="0" w:color="auto"/>
        <w:left w:val="none" w:sz="0" w:space="0" w:color="auto"/>
        <w:bottom w:val="none" w:sz="0" w:space="0" w:color="auto"/>
        <w:right w:val="none" w:sz="0" w:space="0" w:color="auto"/>
      </w:divBdr>
    </w:div>
    <w:div w:id="814294275">
      <w:marLeft w:val="0"/>
      <w:marRight w:val="0"/>
      <w:marTop w:val="120"/>
      <w:marBottom w:val="0"/>
      <w:divBdr>
        <w:top w:val="none" w:sz="0" w:space="0" w:color="auto"/>
        <w:left w:val="none" w:sz="0" w:space="0" w:color="auto"/>
        <w:bottom w:val="none" w:sz="0" w:space="0" w:color="auto"/>
        <w:right w:val="none" w:sz="0" w:space="0" w:color="auto"/>
      </w:divBdr>
    </w:div>
    <w:div w:id="814564858">
      <w:marLeft w:val="0"/>
      <w:marRight w:val="0"/>
      <w:marTop w:val="120"/>
      <w:marBottom w:val="0"/>
      <w:divBdr>
        <w:top w:val="none" w:sz="0" w:space="0" w:color="auto"/>
        <w:left w:val="none" w:sz="0" w:space="0" w:color="auto"/>
        <w:bottom w:val="none" w:sz="0" w:space="0" w:color="auto"/>
        <w:right w:val="none" w:sz="0" w:space="0" w:color="auto"/>
      </w:divBdr>
    </w:div>
    <w:div w:id="814906779">
      <w:marLeft w:val="0"/>
      <w:marRight w:val="0"/>
      <w:marTop w:val="100"/>
      <w:marBottom w:val="0"/>
      <w:divBdr>
        <w:top w:val="none" w:sz="0" w:space="0" w:color="auto"/>
        <w:left w:val="none" w:sz="0" w:space="0" w:color="auto"/>
        <w:bottom w:val="none" w:sz="0" w:space="0" w:color="auto"/>
        <w:right w:val="none" w:sz="0" w:space="0" w:color="auto"/>
      </w:divBdr>
    </w:div>
    <w:div w:id="815950527">
      <w:marLeft w:val="0"/>
      <w:marRight w:val="0"/>
      <w:marTop w:val="200"/>
      <w:marBottom w:val="0"/>
      <w:divBdr>
        <w:top w:val="none" w:sz="0" w:space="0" w:color="auto"/>
        <w:left w:val="none" w:sz="0" w:space="0" w:color="auto"/>
        <w:bottom w:val="none" w:sz="0" w:space="0" w:color="auto"/>
        <w:right w:val="none" w:sz="0" w:space="0" w:color="auto"/>
      </w:divBdr>
    </w:div>
    <w:div w:id="815991894">
      <w:marLeft w:val="0"/>
      <w:marRight w:val="0"/>
      <w:marTop w:val="200"/>
      <w:marBottom w:val="0"/>
      <w:divBdr>
        <w:top w:val="none" w:sz="0" w:space="0" w:color="auto"/>
        <w:left w:val="none" w:sz="0" w:space="0" w:color="auto"/>
        <w:bottom w:val="none" w:sz="0" w:space="0" w:color="auto"/>
        <w:right w:val="none" w:sz="0" w:space="0" w:color="auto"/>
      </w:divBdr>
    </w:div>
    <w:div w:id="817652565">
      <w:marLeft w:val="0"/>
      <w:marRight w:val="0"/>
      <w:marTop w:val="200"/>
      <w:marBottom w:val="0"/>
      <w:divBdr>
        <w:top w:val="none" w:sz="0" w:space="0" w:color="auto"/>
        <w:left w:val="none" w:sz="0" w:space="0" w:color="auto"/>
        <w:bottom w:val="none" w:sz="0" w:space="0" w:color="auto"/>
        <w:right w:val="none" w:sz="0" w:space="0" w:color="auto"/>
      </w:divBdr>
    </w:div>
    <w:div w:id="818576320">
      <w:marLeft w:val="0"/>
      <w:marRight w:val="0"/>
      <w:marTop w:val="120"/>
      <w:marBottom w:val="0"/>
      <w:divBdr>
        <w:top w:val="none" w:sz="0" w:space="0" w:color="auto"/>
        <w:left w:val="none" w:sz="0" w:space="0" w:color="auto"/>
        <w:bottom w:val="none" w:sz="0" w:space="0" w:color="auto"/>
        <w:right w:val="none" w:sz="0" w:space="0" w:color="auto"/>
      </w:divBdr>
    </w:div>
    <w:div w:id="820388147">
      <w:marLeft w:val="0"/>
      <w:marRight w:val="0"/>
      <w:marTop w:val="0"/>
      <w:marBottom w:val="0"/>
      <w:divBdr>
        <w:top w:val="none" w:sz="0" w:space="0" w:color="auto"/>
        <w:left w:val="none" w:sz="0" w:space="0" w:color="auto"/>
        <w:bottom w:val="none" w:sz="0" w:space="0" w:color="auto"/>
        <w:right w:val="none" w:sz="0" w:space="0" w:color="auto"/>
      </w:divBdr>
      <w:divsChild>
        <w:div w:id="1771046657">
          <w:marLeft w:val="0"/>
          <w:marRight w:val="0"/>
          <w:marTop w:val="0"/>
          <w:marBottom w:val="0"/>
          <w:divBdr>
            <w:top w:val="none" w:sz="0" w:space="0" w:color="auto"/>
            <w:left w:val="none" w:sz="0" w:space="0" w:color="auto"/>
            <w:bottom w:val="none" w:sz="0" w:space="0" w:color="auto"/>
            <w:right w:val="none" w:sz="0" w:space="0" w:color="auto"/>
          </w:divBdr>
        </w:div>
      </w:divsChild>
    </w:div>
    <w:div w:id="821969919">
      <w:marLeft w:val="0"/>
      <w:marRight w:val="0"/>
      <w:marTop w:val="0"/>
      <w:marBottom w:val="0"/>
      <w:divBdr>
        <w:top w:val="none" w:sz="0" w:space="0" w:color="auto"/>
        <w:left w:val="none" w:sz="0" w:space="0" w:color="auto"/>
        <w:bottom w:val="none" w:sz="0" w:space="0" w:color="auto"/>
        <w:right w:val="none" w:sz="0" w:space="0" w:color="auto"/>
      </w:divBdr>
      <w:divsChild>
        <w:div w:id="821502356">
          <w:marLeft w:val="0"/>
          <w:marRight w:val="0"/>
          <w:marTop w:val="0"/>
          <w:marBottom w:val="0"/>
          <w:divBdr>
            <w:top w:val="none" w:sz="0" w:space="0" w:color="auto"/>
            <w:left w:val="none" w:sz="0" w:space="0" w:color="auto"/>
            <w:bottom w:val="none" w:sz="0" w:space="0" w:color="auto"/>
            <w:right w:val="none" w:sz="0" w:space="0" w:color="auto"/>
          </w:divBdr>
        </w:div>
      </w:divsChild>
    </w:div>
    <w:div w:id="822503683">
      <w:marLeft w:val="0"/>
      <w:marRight w:val="0"/>
      <w:marTop w:val="200"/>
      <w:marBottom w:val="0"/>
      <w:divBdr>
        <w:top w:val="none" w:sz="0" w:space="0" w:color="auto"/>
        <w:left w:val="none" w:sz="0" w:space="0" w:color="auto"/>
        <w:bottom w:val="none" w:sz="0" w:space="0" w:color="auto"/>
        <w:right w:val="none" w:sz="0" w:space="0" w:color="auto"/>
      </w:divBdr>
    </w:div>
    <w:div w:id="823737386">
      <w:marLeft w:val="0"/>
      <w:marRight w:val="0"/>
      <w:marTop w:val="200"/>
      <w:marBottom w:val="0"/>
      <w:divBdr>
        <w:top w:val="none" w:sz="0" w:space="0" w:color="auto"/>
        <w:left w:val="none" w:sz="0" w:space="0" w:color="auto"/>
        <w:bottom w:val="none" w:sz="0" w:space="0" w:color="auto"/>
        <w:right w:val="none" w:sz="0" w:space="0" w:color="auto"/>
      </w:divBdr>
    </w:div>
    <w:div w:id="823854004">
      <w:marLeft w:val="0"/>
      <w:marRight w:val="0"/>
      <w:marTop w:val="120"/>
      <w:marBottom w:val="0"/>
      <w:divBdr>
        <w:top w:val="none" w:sz="0" w:space="0" w:color="auto"/>
        <w:left w:val="none" w:sz="0" w:space="0" w:color="auto"/>
        <w:bottom w:val="none" w:sz="0" w:space="0" w:color="auto"/>
        <w:right w:val="none" w:sz="0" w:space="0" w:color="auto"/>
      </w:divBdr>
    </w:div>
    <w:div w:id="824203178">
      <w:marLeft w:val="0"/>
      <w:marRight w:val="0"/>
      <w:marTop w:val="120"/>
      <w:marBottom w:val="0"/>
      <w:divBdr>
        <w:top w:val="none" w:sz="0" w:space="0" w:color="auto"/>
        <w:left w:val="none" w:sz="0" w:space="0" w:color="auto"/>
        <w:bottom w:val="none" w:sz="0" w:space="0" w:color="auto"/>
        <w:right w:val="none" w:sz="0" w:space="0" w:color="auto"/>
      </w:divBdr>
    </w:div>
    <w:div w:id="824978946">
      <w:marLeft w:val="0"/>
      <w:marRight w:val="0"/>
      <w:marTop w:val="120"/>
      <w:marBottom w:val="0"/>
      <w:divBdr>
        <w:top w:val="none" w:sz="0" w:space="0" w:color="auto"/>
        <w:left w:val="none" w:sz="0" w:space="0" w:color="auto"/>
        <w:bottom w:val="none" w:sz="0" w:space="0" w:color="auto"/>
        <w:right w:val="none" w:sz="0" w:space="0" w:color="auto"/>
      </w:divBdr>
    </w:div>
    <w:div w:id="825820019">
      <w:marLeft w:val="0"/>
      <w:marRight w:val="0"/>
      <w:marTop w:val="120"/>
      <w:marBottom w:val="0"/>
      <w:divBdr>
        <w:top w:val="none" w:sz="0" w:space="0" w:color="auto"/>
        <w:left w:val="none" w:sz="0" w:space="0" w:color="auto"/>
        <w:bottom w:val="none" w:sz="0" w:space="0" w:color="auto"/>
        <w:right w:val="none" w:sz="0" w:space="0" w:color="auto"/>
      </w:divBdr>
    </w:div>
    <w:div w:id="825897208">
      <w:marLeft w:val="0"/>
      <w:marRight w:val="0"/>
      <w:marTop w:val="120"/>
      <w:marBottom w:val="0"/>
      <w:divBdr>
        <w:top w:val="none" w:sz="0" w:space="0" w:color="auto"/>
        <w:left w:val="none" w:sz="0" w:space="0" w:color="auto"/>
        <w:bottom w:val="none" w:sz="0" w:space="0" w:color="auto"/>
        <w:right w:val="none" w:sz="0" w:space="0" w:color="auto"/>
      </w:divBdr>
    </w:div>
    <w:div w:id="828326713">
      <w:marLeft w:val="0"/>
      <w:marRight w:val="0"/>
      <w:marTop w:val="120"/>
      <w:marBottom w:val="0"/>
      <w:divBdr>
        <w:top w:val="none" w:sz="0" w:space="0" w:color="auto"/>
        <w:left w:val="none" w:sz="0" w:space="0" w:color="auto"/>
        <w:bottom w:val="none" w:sz="0" w:space="0" w:color="auto"/>
        <w:right w:val="none" w:sz="0" w:space="0" w:color="auto"/>
      </w:divBdr>
    </w:div>
    <w:div w:id="829831751">
      <w:marLeft w:val="0"/>
      <w:marRight w:val="0"/>
      <w:marTop w:val="0"/>
      <w:marBottom w:val="0"/>
      <w:divBdr>
        <w:top w:val="none" w:sz="0" w:space="0" w:color="auto"/>
        <w:left w:val="none" w:sz="0" w:space="0" w:color="auto"/>
        <w:bottom w:val="none" w:sz="0" w:space="0" w:color="auto"/>
        <w:right w:val="none" w:sz="0" w:space="0" w:color="auto"/>
      </w:divBdr>
      <w:divsChild>
        <w:div w:id="1562322708">
          <w:marLeft w:val="0"/>
          <w:marRight w:val="0"/>
          <w:marTop w:val="0"/>
          <w:marBottom w:val="0"/>
          <w:divBdr>
            <w:top w:val="none" w:sz="0" w:space="0" w:color="auto"/>
            <w:left w:val="none" w:sz="0" w:space="0" w:color="auto"/>
            <w:bottom w:val="none" w:sz="0" w:space="0" w:color="auto"/>
            <w:right w:val="none" w:sz="0" w:space="0" w:color="auto"/>
          </w:divBdr>
        </w:div>
      </w:divsChild>
    </w:div>
    <w:div w:id="831485934">
      <w:marLeft w:val="0"/>
      <w:marRight w:val="0"/>
      <w:marTop w:val="120"/>
      <w:marBottom w:val="0"/>
      <w:divBdr>
        <w:top w:val="none" w:sz="0" w:space="0" w:color="auto"/>
        <w:left w:val="none" w:sz="0" w:space="0" w:color="auto"/>
        <w:bottom w:val="none" w:sz="0" w:space="0" w:color="auto"/>
        <w:right w:val="none" w:sz="0" w:space="0" w:color="auto"/>
      </w:divBdr>
    </w:div>
    <w:div w:id="831681082">
      <w:marLeft w:val="0"/>
      <w:marRight w:val="0"/>
      <w:marTop w:val="0"/>
      <w:marBottom w:val="0"/>
      <w:divBdr>
        <w:top w:val="none" w:sz="0" w:space="0" w:color="auto"/>
        <w:left w:val="none" w:sz="0" w:space="0" w:color="auto"/>
        <w:bottom w:val="none" w:sz="0" w:space="0" w:color="auto"/>
        <w:right w:val="none" w:sz="0" w:space="0" w:color="auto"/>
      </w:divBdr>
      <w:divsChild>
        <w:div w:id="2068332079">
          <w:marLeft w:val="0"/>
          <w:marRight w:val="0"/>
          <w:marTop w:val="0"/>
          <w:marBottom w:val="0"/>
          <w:divBdr>
            <w:top w:val="none" w:sz="0" w:space="0" w:color="auto"/>
            <w:left w:val="none" w:sz="0" w:space="0" w:color="auto"/>
            <w:bottom w:val="none" w:sz="0" w:space="0" w:color="auto"/>
            <w:right w:val="none" w:sz="0" w:space="0" w:color="auto"/>
          </w:divBdr>
        </w:div>
      </w:divsChild>
    </w:div>
    <w:div w:id="832768166">
      <w:marLeft w:val="0"/>
      <w:marRight w:val="0"/>
      <w:marTop w:val="0"/>
      <w:marBottom w:val="0"/>
      <w:divBdr>
        <w:top w:val="none" w:sz="0" w:space="0" w:color="auto"/>
        <w:left w:val="none" w:sz="0" w:space="0" w:color="auto"/>
        <w:bottom w:val="none" w:sz="0" w:space="0" w:color="auto"/>
        <w:right w:val="none" w:sz="0" w:space="0" w:color="auto"/>
      </w:divBdr>
      <w:divsChild>
        <w:div w:id="479736213">
          <w:marLeft w:val="0"/>
          <w:marRight w:val="0"/>
          <w:marTop w:val="0"/>
          <w:marBottom w:val="0"/>
          <w:divBdr>
            <w:top w:val="none" w:sz="0" w:space="0" w:color="auto"/>
            <w:left w:val="none" w:sz="0" w:space="0" w:color="auto"/>
            <w:bottom w:val="none" w:sz="0" w:space="0" w:color="auto"/>
            <w:right w:val="none" w:sz="0" w:space="0" w:color="auto"/>
          </w:divBdr>
        </w:div>
      </w:divsChild>
    </w:div>
    <w:div w:id="835000978">
      <w:marLeft w:val="0"/>
      <w:marRight w:val="0"/>
      <w:marTop w:val="120"/>
      <w:marBottom w:val="0"/>
      <w:divBdr>
        <w:top w:val="none" w:sz="0" w:space="0" w:color="auto"/>
        <w:left w:val="none" w:sz="0" w:space="0" w:color="auto"/>
        <w:bottom w:val="none" w:sz="0" w:space="0" w:color="auto"/>
        <w:right w:val="none" w:sz="0" w:space="0" w:color="auto"/>
      </w:divBdr>
    </w:div>
    <w:div w:id="836189707">
      <w:marLeft w:val="0"/>
      <w:marRight w:val="0"/>
      <w:marTop w:val="120"/>
      <w:marBottom w:val="0"/>
      <w:divBdr>
        <w:top w:val="none" w:sz="0" w:space="0" w:color="auto"/>
        <w:left w:val="none" w:sz="0" w:space="0" w:color="auto"/>
        <w:bottom w:val="none" w:sz="0" w:space="0" w:color="auto"/>
        <w:right w:val="none" w:sz="0" w:space="0" w:color="auto"/>
      </w:divBdr>
    </w:div>
    <w:div w:id="839471771">
      <w:marLeft w:val="0"/>
      <w:marRight w:val="0"/>
      <w:marTop w:val="200"/>
      <w:marBottom w:val="0"/>
      <w:divBdr>
        <w:top w:val="none" w:sz="0" w:space="0" w:color="auto"/>
        <w:left w:val="none" w:sz="0" w:space="0" w:color="auto"/>
        <w:bottom w:val="none" w:sz="0" w:space="0" w:color="auto"/>
        <w:right w:val="none" w:sz="0" w:space="0" w:color="auto"/>
      </w:divBdr>
    </w:div>
    <w:div w:id="840051626">
      <w:marLeft w:val="0"/>
      <w:marRight w:val="0"/>
      <w:marTop w:val="120"/>
      <w:marBottom w:val="0"/>
      <w:divBdr>
        <w:top w:val="none" w:sz="0" w:space="0" w:color="auto"/>
        <w:left w:val="none" w:sz="0" w:space="0" w:color="auto"/>
        <w:bottom w:val="none" w:sz="0" w:space="0" w:color="auto"/>
        <w:right w:val="none" w:sz="0" w:space="0" w:color="auto"/>
      </w:divBdr>
    </w:div>
    <w:div w:id="842939242">
      <w:marLeft w:val="0"/>
      <w:marRight w:val="0"/>
      <w:marTop w:val="0"/>
      <w:marBottom w:val="0"/>
      <w:divBdr>
        <w:top w:val="none" w:sz="0" w:space="0" w:color="auto"/>
        <w:left w:val="none" w:sz="0" w:space="0" w:color="auto"/>
        <w:bottom w:val="none" w:sz="0" w:space="0" w:color="auto"/>
        <w:right w:val="none" w:sz="0" w:space="0" w:color="auto"/>
      </w:divBdr>
    </w:div>
    <w:div w:id="843403443">
      <w:marLeft w:val="0"/>
      <w:marRight w:val="0"/>
      <w:marTop w:val="200"/>
      <w:marBottom w:val="0"/>
      <w:divBdr>
        <w:top w:val="none" w:sz="0" w:space="0" w:color="auto"/>
        <w:left w:val="none" w:sz="0" w:space="0" w:color="auto"/>
        <w:bottom w:val="none" w:sz="0" w:space="0" w:color="auto"/>
        <w:right w:val="none" w:sz="0" w:space="0" w:color="auto"/>
      </w:divBdr>
    </w:div>
    <w:div w:id="843589430">
      <w:marLeft w:val="0"/>
      <w:marRight w:val="0"/>
      <w:marTop w:val="200"/>
      <w:marBottom w:val="0"/>
      <w:divBdr>
        <w:top w:val="none" w:sz="0" w:space="0" w:color="auto"/>
        <w:left w:val="none" w:sz="0" w:space="0" w:color="auto"/>
        <w:bottom w:val="none" w:sz="0" w:space="0" w:color="auto"/>
        <w:right w:val="none" w:sz="0" w:space="0" w:color="auto"/>
      </w:divBdr>
    </w:div>
    <w:div w:id="844053805">
      <w:marLeft w:val="0"/>
      <w:marRight w:val="0"/>
      <w:marTop w:val="200"/>
      <w:marBottom w:val="0"/>
      <w:divBdr>
        <w:top w:val="none" w:sz="0" w:space="0" w:color="auto"/>
        <w:left w:val="none" w:sz="0" w:space="0" w:color="auto"/>
        <w:bottom w:val="none" w:sz="0" w:space="0" w:color="auto"/>
        <w:right w:val="none" w:sz="0" w:space="0" w:color="auto"/>
      </w:divBdr>
    </w:div>
    <w:div w:id="844974898">
      <w:marLeft w:val="0"/>
      <w:marRight w:val="0"/>
      <w:marTop w:val="200"/>
      <w:marBottom w:val="0"/>
      <w:divBdr>
        <w:top w:val="none" w:sz="0" w:space="0" w:color="auto"/>
        <w:left w:val="none" w:sz="0" w:space="0" w:color="auto"/>
        <w:bottom w:val="none" w:sz="0" w:space="0" w:color="auto"/>
        <w:right w:val="none" w:sz="0" w:space="0" w:color="auto"/>
      </w:divBdr>
    </w:div>
    <w:div w:id="846359657">
      <w:marLeft w:val="0"/>
      <w:marRight w:val="0"/>
      <w:marTop w:val="120"/>
      <w:marBottom w:val="0"/>
      <w:divBdr>
        <w:top w:val="none" w:sz="0" w:space="0" w:color="auto"/>
        <w:left w:val="none" w:sz="0" w:space="0" w:color="auto"/>
        <w:bottom w:val="none" w:sz="0" w:space="0" w:color="auto"/>
        <w:right w:val="none" w:sz="0" w:space="0" w:color="auto"/>
      </w:divBdr>
    </w:div>
    <w:div w:id="846989205">
      <w:marLeft w:val="0"/>
      <w:marRight w:val="0"/>
      <w:marTop w:val="200"/>
      <w:marBottom w:val="0"/>
      <w:divBdr>
        <w:top w:val="none" w:sz="0" w:space="0" w:color="auto"/>
        <w:left w:val="none" w:sz="0" w:space="0" w:color="auto"/>
        <w:bottom w:val="none" w:sz="0" w:space="0" w:color="auto"/>
        <w:right w:val="none" w:sz="0" w:space="0" w:color="auto"/>
      </w:divBdr>
    </w:div>
    <w:div w:id="847519525">
      <w:marLeft w:val="0"/>
      <w:marRight w:val="0"/>
      <w:marTop w:val="120"/>
      <w:marBottom w:val="0"/>
      <w:divBdr>
        <w:top w:val="none" w:sz="0" w:space="0" w:color="auto"/>
        <w:left w:val="none" w:sz="0" w:space="0" w:color="auto"/>
        <w:bottom w:val="none" w:sz="0" w:space="0" w:color="auto"/>
        <w:right w:val="none" w:sz="0" w:space="0" w:color="auto"/>
      </w:divBdr>
    </w:div>
    <w:div w:id="848105280">
      <w:marLeft w:val="0"/>
      <w:marRight w:val="0"/>
      <w:marTop w:val="120"/>
      <w:marBottom w:val="0"/>
      <w:divBdr>
        <w:top w:val="none" w:sz="0" w:space="0" w:color="auto"/>
        <w:left w:val="none" w:sz="0" w:space="0" w:color="auto"/>
        <w:bottom w:val="none" w:sz="0" w:space="0" w:color="auto"/>
        <w:right w:val="none" w:sz="0" w:space="0" w:color="auto"/>
      </w:divBdr>
    </w:div>
    <w:div w:id="849567691">
      <w:marLeft w:val="0"/>
      <w:marRight w:val="0"/>
      <w:marTop w:val="120"/>
      <w:marBottom w:val="0"/>
      <w:divBdr>
        <w:top w:val="none" w:sz="0" w:space="0" w:color="auto"/>
        <w:left w:val="none" w:sz="0" w:space="0" w:color="auto"/>
        <w:bottom w:val="none" w:sz="0" w:space="0" w:color="auto"/>
        <w:right w:val="none" w:sz="0" w:space="0" w:color="auto"/>
      </w:divBdr>
    </w:div>
    <w:div w:id="850682265">
      <w:marLeft w:val="0"/>
      <w:marRight w:val="0"/>
      <w:marTop w:val="200"/>
      <w:marBottom w:val="0"/>
      <w:divBdr>
        <w:top w:val="none" w:sz="0" w:space="0" w:color="auto"/>
        <w:left w:val="none" w:sz="0" w:space="0" w:color="auto"/>
        <w:bottom w:val="none" w:sz="0" w:space="0" w:color="auto"/>
        <w:right w:val="none" w:sz="0" w:space="0" w:color="auto"/>
      </w:divBdr>
    </w:div>
    <w:div w:id="851073489">
      <w:marLeft w:val="0"/>
      <w:marRight w:val="0"/>
      <w:marTop w:val="120"/>
      <w:marBottom w:val="0"/>
      <w:divBdr>
        <w:top w:val="none" w:sz="0" w:space="0" w:color="auto"/>
        <w:left w:val="none" w:sz="0" w:space="0" w:color="auto"/>
        <w:bottom w:val="none" w:sz="0" w:space="0" w:color="auto"/>
        <w:right w:val="none" w:sz="0" w:space="0" w:color="auto"/>
      </w:divBdr>
    </w:div>
    <w:div w:id="851913777">
      <w:marLeft w:val="0"/>
      <w:marRight w:val="0"/>
      <w:marTop w:val="120"/>
      <w:marBottom w:val="0"/>
      <w:divBdr>
        <w:top w:val="none" w:sz="0" w:space="0" w:color="auto"/>
        <w:left w:val="none" w:sz="0" w:space="0" w:color="auto"/>
        <w:bottom w:val="none" w:sz="0" w:space="0" w:color="auto"/>
        <w:right w:val="none" w:sz="0" w:space="0" w:color="auto"/>
      </w:divBdr>
    </w:div>
    <w:div w:id="851919832">
      <w:marLeft w:val="0"/>
      <w:marRight w:val="0"/>
      <w:marTop w:val="0"/>
      <w:marBottom w:val="0"/>
      <w:divBdr>
        <w:top w:val="none" w:sz="0" w:space="0" w:color="auto"/>
        <w:left w:val="none" w:sz="0" w:space="0" w:color="auto"/>
        <w:bottom w:val="none" w:sz="0" w:space="0" w:color="auto"/>
        <w:right w:val="none" w:sz="0" w:space="0" w:color="auto"/>
      </w:divBdr>
      <w:divsChild>
        <w:div w:id="684095407">
          <w:marLeft w:val="0"/>
          <w:marRight w:val="0"/>
          <w:marTop w:val="0"/>
          <w:marBottom w:val="0"/>
          <w:divBdr>
            <w:top w:val="none" w:sz="0" w:space="0" w:color="auto"/>
            <w:left w:val="none" w:sz="0" w:space="0" w:color="auto"/>
            <w:bottom w:val="none" w:sz="0" w:space="0" w:color="auto"/>
            <w:right w:val="none" w:sz="0" w:space="0" w:color="auto"/>
          </w:divBdr>
        </w:div>
      </w:divsChild>
    </w:div>
    <w:div w:id="852379416">
      <w:marLeft w:val="0"/>
      <w:marRight w:val="0"/>
      <w:marTop w:val="0"/>
      <w:marBottom w:val="0"/>
      <w:divBdr>
        <w:top w:val="none" w:sz="0" w:space="0" w:color="auto"/>
        <w:left w:val="none" w:sz="0" w:space="0" w:color="auto"/>
        <w:bottom w:val="none" w:sz="0" w:space="0" w:color="auto"/>
        <w:right w:val="none" w:sz="0" w:space="0" w:color="auto"/>
      </w:divBdr>
      <w:divsChild>
        <w:div w:id="728915562">
          <w:marLeft w:val="0"/>
          <w:marRight w:val="0"/>
          <w:marTop w:val="0"/>
          <w:marBottom w:val="0"/>
          <w:divBdr>
            <w:top w:val="none" w:sz="0" w:space="0" w:color="auto"/>
            <w:left w:val="none" w:sz="0" w:space="0" w:color="auto"/>
            <w:bottom w:val="none" w:sz="0" w:space="0" w:color="auto"/>
            <w:right w:val="none" w:sz="0" w:space="0" w:color="auto"/>
          </w:divBdr>
        </w:div>
      </w:divsChild>
    </w:div>
    <w:div w:id="853348499">
      <w:marLeft w:val="0"/>
      <w:marRight w:val="0"/>
      <w:marTop w:val="120"/>
      <w:marBottom w:val="0"/>
      <w:divBdr>
        <w:top w:val="none" w:sz="0" w:space="0" w:color="auto"/>
        <w:left w:val="none" w:sz="0" w:space="0" w:color="auto"/>
        <w:bottom w:val="none" w:sz="0" w:space="0" w:color="auto"/>
        <w:right w:val="none" w:sz="0" w:space="0" w:color="auto"/>
      </w:divBdr>
    </w:div>
    <w:div w:id="853886377">
      <w:marLeft w:val="0"/>
      <w:marRight w:val="0"/>
      <w:marTop w:val="120"/>
      <w:marBottom w:val="0"/>
      <w:divBdr>
        <w:top w:val="none" w:sz="0" w:space="0" w:color="auto"/>
        <w:left w:val="none" w:sz="0" w:space="0" w:color="auto"/>
        <w:bottom w:val="none" w:sz="0" w:space="0" w:color="auto"/>
        <w:right w:val="none" w:sz="0" w:space="0" w:color="auto"/>
      </w:divBdr>
    </w:div>
    <w:div w:id="855119618">
      <w:marLeft w:val="0"/>
      <w:marRight w:val="0"/>
      <w:marTop w:val="0"/>
      <w:marBottom w:val="0"/>
      <w:divBdr>
        <w:top w:val="none" w:sz="0" w:space="0" w:color="auto"/>
        <w:left w:val="none" w:sz="0" w:space="0" w:color="auto"/>
        <w:bottom w:val="none" w:sz="0" w:space="0" w:color="auto"/>
        <w:right w:val="none" w:sz="0" w:space="0" w:color="auto"/>
      </w:divBdr>
      <w:divsChild>
        <w:div w:id="1664510718">
          <w:marLeft w:val="0"/>
          <w:marRight w:val="0"/>
          <w:marTop w:val="0"/>
          <w:marBottom w:val="0"/>
          <w:divBdr>
            <w:top w:val="none" w:sz="0" w:space="0" w:color="auto"/>
            <w:left w:val="none" w:sz="0" w:space="0" w:color="auto"/>
            <w:bottom w:val="none" w:sz="0" w:space="0" w:color="auto"/>
            <w:right w:val="none" w:sz="0" w:space="0" w:color="auto"/>
          </w:divBdr>
        </w:div>
      </w:divsChild>
    </w:div>
    <w:div w:id="856504029">
      <w:marLeft w:val="0"/>
      <w:marRight w:val="0"/>
      <w:marTop w:val="120"/>
      <w:marBottom w:val="0"/>
      <w:divBdr>
        <w:top w:val="none" w:sz="0" w:space="0" w:color="auto"/>
        <w:left w:val="none" w:sz="0" w:space="0" w:color="auto"/>
        <w:bottom w:val="none" w:sz="0" w:space="0" w:color="auto"/>
        <w:right w:val="none" w:sz="0" w:space="0" w:color="auto"/>
      </w:divBdr>
    </w:div>
    <w:div w:id="858741098">
      <w:marLeft w:val="0"/>
      <w:marRight w:val="0"/>
      <w:marTop w:val="0"/>
      <w:marBottom w:val="0"/>
      <w:divBdr>
        <w:top w:val="none" w:sz="0" w:space="0" w:color="auto"/>
        <w:left w:val="none" w:sz="0" w:space="0" w:color="auto"/>
        <w:bottom w:val="none" w:sz="0" w:space="0" w:color="auto"/>
        <w:right w:val="none" w:sz="0" w:space="0" w:color="auto"/>
      </w:divBdr>
      <w:divsChild>
        <w:div w:id="1289749525">
          <w:marLeft w:val="0"/>
          <w:marRight w:val="0"/>
          <w:marTop w:val="0"/>
          <w:marBottom w:val="0"/>
          <w:divBdr>
            <w:top w:val="none" w:sz="0" w:space="0" w:color="auto"/>
            <w:left w:val="none" w:sz="0" w:space="0" w:color="auto"/>
            <w:bottom w:val="none" w:sz="0" w:space="0" w:color="auto"/>
            <w:right w:val="none" w:sz="0" w:space="0" w:color="auto"/>
          </w:divBdr>
        </w:div>
      </w:divsChild>
    </w:div>
    <w:div w:id="859126744">
      <w:marLeft w:val="0"/>
      <w:marRight w:val="0"/>
      <w:marTop w:val="120"/>
      <w:marBottom w:val="0"/>
      <w:divBdr>
        <w:top w:val="none" w:sz="0" w:space="0" w:color="auto"/>
        <w:left w:val="none" w:sz="0" w:space="0" w:color="auto"/>
        <w:bottom w:val="none" w:sz="0" w:space="0" w:color="auto"/>
        <w:right w:val="none" w:sz="0" w:space="0" w:color="auto"/>
      </w:divBdr>
    </w:div>
    <w:div w:id="859664380">
      <w:marLeft w:val="0"/>
      <w:marRight w:val="0"/>
      <w:marTop w:val="200"/>
      <w:marBottom w:val="0"/>
      <w:divBdr>
        <w:top w:val="none" w:sz="0" w:space="0" w:color="auto"/>
        <w:left w:val="none" w:sz="0" w:space="0" w:color="auto"/>
        <w:bottom w:val="none" w:sz="0" w:space="0" w:color="auto"/>
        <w:right w:val="none" w:sz="0" w:space="0" w:color="auto"/>
      </w:divBdr>
    </w:div>
    <w:div w:id="860506782">
      <w:marLeft w:val="0"/>
      <w:marRight w:val="0"/>
      <w:marTop w:val="120"/>
      <w:marBottom w:val="0"/>
      <w:divBdr>
        <w:top w:val="none" w:sz="0" w:space="0" w:color="auto"/>
        <w:left w:val="none" w:sz="0" w:space="0" w:color="auto"/>
        <w:bottom w:val="none" w:sz="0" w:space="0" w:color="auto"/>
        <w:right w:val="none" w:sz="0" w:space="0" w:color="auto"/>
      </w:divBdr>
    </w:div>
    <w:div w:id="860901215">
      <w:marLeft w:val="0"/>
      <w:marRight w:val="0"/>
      <w:marTop w:val="200"/>
      <w:marBottom w:val="0"/>
      <w:divBdr>
        <w:top w:val="none" w:sz="0" w:space="0" w:color="auto"/>
        <w:left w:val="none" w:sz="0" w:space="0" w:color="auto"/>
        <w:bottom w:val="none" w:sz="0" w:space="0" w:color="auto"/>
        <w:right w:val="none" w:sz="0" w:space="0" w:color="auto"/>
      </w:divBdr>
    </w:div>
    <w:div w:id="864558979">
      <w:marLeft w:val="0"/>
      <w:marRight w:val="0"/>
      <w:marTop w:val="120"/>
      <w:marBottom w:val="0"/>
      <w:divBdr>
        <w:top w:val="none" w:sz="0" w:space="0" w:color="auto"/>
        <w:left w:val="none" w:sz="0" w:space="0" w:color="auto"/>
        <w:bottom w:val="none" w:sz="0" w:space="0" w:color="auto"/>
        <w:right w:val="none" w:sz="0" w:space="0" w:color="auto"/>
      </w:divBdr>
    </w:div>
    <w:div w:id="866719134">
      <w:marLeft w:val="0"/>
      <w:marRight w:val="0"/>
      <w:marTop w:val="120"/>
      <w:marBottom w:val="0"/>
      <w:divBdr>
        <w:top w:val="none" w:sz="0" w:space="0" w:color="auto"/>
        <w:left w:val="none" w:sz="0" w:space="0" w:color="auto"/>
        <w:bottom w:val="none" w:sz="0" w:space="0" w:color="auto"/>
        <w:right w:val="none" w:sz="0" w:space="0" w:color="auto"/>
      </w:divBdr>
    </w:div>
    <w:div w:id="869728800">
      <w:marLeft w:val="0"/>
      <w:marRight w:val="0"/>
      <w:marTop w:val="120"/>
      <w:marBottom w:val="0"/>
      <w:divBdr>
        <w:top w:val="none" w:sz="0" w:space="0" w:color="auto"/>
        <w:left w:val="none" w:sz="0" w:space="0" w:color="auto"/>
        <w:bottom w:val="none" w:sz="0" w:space="0" w:color="auto"/>
        <w:right w:val="none" w:sz="0" w:space="0" w:color="auto"/>
      </w:divBdr>
    </w:div>
    <w:div w:id="870530186">
      <w:marLeft w:val="0"/>
      <w:marRight w:val="0"/>
      <w:marTop w:val="120"/>
      <w:marBottom w:val="0"/>
      <w:divBdr>
        <w:top w:val="none" w:sz="0" w:space="0" w:color="auto"/>
        <w:left w:val="none" w:sz="0" w:space="0" w:color="auto"/>
        <w:bottom w:val="none" w:sz="0" w:space="0" w:color="auto"/>
        <w:right w:val="none" w:sz="0" w:space="0" w:color="auto"/>
      </w:divBdr>
    </w:div>
    <w:div w:id="870611968">
      <w:marLeft w:val="0"/>
      <w:marRight w:val="0"/>
      <w:marTop w:val="200"/>
      <w:marBottom w:val="0"/>
      <w:divBdr>
        <w:top w:val="none" w:sz="0" w:space="0" w:color="auto"/>
        <w:left w:val="none" w:sz="0" w:space="0" w:color="auto"/>
        <w:bottom w:val="none" w:sz="0" w:space="0" w:color="auto"/>
        <w:right w:val="none" w:sz="0" w:space="0" w:color="auto"/>
      </w:divBdr>
    </w:div>
    <w:div w:id="870726566">
      <w:marLeft w:val="0"/>
      <w:marRight w:val="0"/>
      <w:marTop w:val="120"/>
      <w:marBottom w:val="0"/>
      <w:divBdr>
        <w:top w:val="none" w:sz="0" w:space="0" w:color="auto"/>
        <w:left w:val="none" w:sz="0" w:space="0" w:color="auto"/>
        <w:bottom w:val="none" w:sz="0" w:space="0" w:color="auto"/>
        <w:right w:val="none" w:sz="0" w:space="0" w:color="auto"/>
      </w:divBdr>
    </w:div>
    <w:div w:id="871576618">
      <w:marLeft w:val="0"/>
      <w:marRight w:val="0"/>
      <w:marTop w:val="200"/>
      <w:marBottom w:val="0"/>
      <w:divBdr>
        <w:top w:val="none" w:sz="0" w:space="0" w:color="auto"/>
        <w:left w:val="none" w:sz="0" w:space="0" w:color="auto"/>
        <w:bottom w:val="none" w:sz="0" w:space="0" w:color="auto"/>
        <w:right w:val="none" w:sz="0" w:space="0" w:color="auto"/>
      </w:divBdr>
    </w:div>
    <w:div w:id="871965513">
      <w:marLeft w:val="0"/>
      <w:marRight w:val="0"/>
      <w:marTop w:val="120"/>
      <w:marBottom w:val="0"/>
      <w:divBdr>
        <w:top w:val="none" w:sz="0" w:space="0" w:color="auto"/>
        <w:left w:val="none" w:sz="0" w:space="0" w:color="auto"/>
        <w:bottom w:val="none" w:sz="0" w:space="0" w:color="auto"/>
        <w:right w:val="none" w:sz="0" w:space="0" w:color="auto"/>
      </w:divBdr>
    </w:div>
    <w:div w:id="872229990">
      <w:marLeft w:val="0"/>
      <w:marRight w:val="0"/>
      <w:marTop w:val="200"/>
      <w:marBottom w:val="0"/>
      <w:divBdr>
        <w:top w:val="none" w:sz="0" w:space="0" w:color="auto"/>
        <w:left w:val="none" w:sz="0" w:space="0" w:color="auto"/>
        <w:bottom w:val="none" w:sz="0" w:space="0" w:color="auto"/>
        <w:right w:val="none" w:sz="0" w:space="0" w:color="auto"/>
      </w:divBdr>
    </w:div>
    <w:div w:id="872687999">
      <w:marLeft w:val="0"/>
      <w:marRight w:val="0"/>
      <w:marTop w:val="0"/>
      <w:marBottom w:val="0"/>
      <w:divBdr>
        <w:top w:val="none" w:sz="0" w:space="0" w:color="auto"/>
        <w:left w:val="none" w:sz="0" w:space="0" w:color="auto"/>
        <w:bottom w:val="none" w:sz="0" w:space="0" w:color="auto"/>
        <w:right w:val="none" w:sz="0" w:space="0" w:color="auto"/>
      </w:divBdr>
      <w:divsChild>
        <w:div w:id="443691767">
          <w:marLeft w:val="0"/>
          <w:marRight w:val="0"/>
          <w:marTop w:val="0"/>
          <w:marBottom w:val="0"/>
          <w:divBdr>
            <w:top w:val="none" w:sz="0" w:space="0" w:color="auto"/>
            <w:left w:val="none" w:sz="0" w:space="0" w:color="auto"/>
            <w:bottom w:val="none" w:sz="0" w:space="0" w:color="auto"/>
            <w:right w:val="none" w:sz="0" w:space="0" w:color="auto"/>
          </w:divBdr>
        </w:div>
      </w:divsChild>
    </w:div>
    <w:div w:id="873611688">
      <w:marLeft w:val="0"/>
      <w:marRight w:val="0"/>
      <w:marTop w:val="120"/>
      <w:marBottom w:val="0"/>
      <w:divBdr>
        <w:top w:val="none" w:sz="0" w:space="0" w:color="auto"/>
        <w:left w:val="none" w:sz="0" w:space="0" w:color="auto"/>
        <w:bottom w:val="none" w:sz="0" w:space="0" w:color="auto"/>
        <w:right w:val="none" w:sz="0" w:space="0" w:color="auto"/>
      </w:divBdr>
    </w:div>
    <w:div w:id="875233370">
      <w:marLeft w:val="0"/>
      <w:marRight w:val="0"/>
      <w:marTop w:val="200"/>
      <w:marBottom w:val="0"/>
      <w:divBdr>
        <w:top w:val="none" w:sz="0" w:space="0" w:color="auto"/>
        <w:left w:val="none" w:sz="0" w:space="0" w:color="auto"/>
        <w:bottom w:val="none" w:sz="0" w:space="0" w:color="auto"/>
        <w:right w:val="none" w:sz="0" w:space="0" w:color="auto"/>
      </w:divBdr>
    </w:div>
    <w:div w:id="877819968">
      <w:marLeft w:val="0"/>
      <w:marRight w:val="0"/>
      <w:marTop w:val="120"/>
      <w:marBottom w:val="0"/>
      <w:divBdr>
        <w:top w:val="none" w:sz="0" w:space="0" w:color="auto"/>
        <w:left w:val="none" w:sz="0" w:space="0" w:color="auto"/>
        <w:bottom w:val="none" w:sz="0" w:space="0" w:color="auto"/>
        <w:right w:val="none" w:sz="0" w:space="0" w:color="auto"/>
      </w:divBdr>
    </w:div>
    <w:div w:id="878476200">
      <w:marLeft w:val="0"/>
      <w:marRight w:val="0"/>
      <w:marTop w:val="0"/>
      <w:marBottom w:val="0"/>
      <w:divBdr>
        <w:top w:val="none" w:sz="0" w:space="0" w:color="auto"/>
        <w:left w:val="none" w:sz="0" w:space="0" w:color="auto"/>
        <w:bottom w:val="none" w:sz="0" w:space="0" w:color="auto"/>
        <w:right w:val="none" w:sz="0" w:space="0" w:color="auto"/>
      </w:divBdr>
      <w:divsChild>
        <w:div w:id="971404528">
          <w:marLeft w:val="0"/>
          <w:marRight w:val="0"/>
          <w:marTop w:val="0"/>
          <w:marBottom w:val="0"/>
          <w:divBdr>
            <w:top w:val="none" w:sz="0" w:space="0" w:color="auto"/>
            <w:left w:val="none" w:sz="0" w:space="0" w:color="auto"/>
            <w:bottom w:val="none" w:sz="0" w:space="0" w:color="auto"/>
            <w:right w:val="none" w:sz="0" w:space="0" w:color="auto"/>
          </w:divBdr>
        </w:div>
      </w:divsChild>
    </w:div>
    <w:div w:id="878862870">
      <w:marLeft w:val="0"/>
      <w:marRight w:val="0"/>
      <w:marTop w:val="0"/>
      <w:marBottom w:val="0"/>
      <w:divBdr>
        <w:top w:val="none" w:sz="0" w:space="0" w:color="auto"/>
        <w:left w:val="none" w:sz="0" w:space="0" w:color="auto"/>
        <w:bottom w:val="none" w:sz="0" w:space="0" w:color="auto"/>
        <w:right w:val="none" w:sz="0" w:space="0" w:color="auto"/>
      </w:divBdr>
      <w:divsChild>
        <w:div w:id="1116414499">
          <w:marLeft w:val="0"/>
          <w:marRight w:val="0"/>
          <w:marTop w:val="0"/>
          <w:marBottom w:val="0"/>
          <w:divBdr>
            <w:top w:val="none" w:sz="0" w:space="0" w:color="auto"/>
            <w:left w:val="none" w:sz="0" w:space="0" w:color="auto"/>
            <w:bottom w:val="none" w:sz="0" w:space="0" w:color="auto"/>
            <w:right w:val="none" w:sz="0" w:space="0" w:color="auto"/>
          </w:divBdr>
        </w:div>
      </w:divsChild>
    </w:div>
    <w:div w:id="879323709">
      <w:marLeft w:val="0"/>
      <w:marRight w:val="0"/>
      <w:marTop w:val="200"/>
      <w:marBottom w:val="0"/>
      <w:divBdr>
        <w:top w:val="none" w:sz="0" w:space="0" w:color="auto"/>
        <w:left w:val="none" w:sz="0" w:space="0" w:color="auto"/>
        <w:bottom w:val="none" w:sz="0" w:space="0" w:color="auto"/>
        <w:right w:val="none" w:sz="0" w:space="0" w:color="auto"/>
      </w:divBdr>
    </w:div>
    <w:div w:id="879784810">
      <w:marLeft w:val="0"/>
      <w:marRight w:val="0"/>
      <w:marTop w:val="120"/>
      <w:marBottom w:val="0"/>
      <w:divBdr>
        <w:top w:val="none" w:sz="0" w:space="0" w:color="auto"/>
        <w:left w:val="none" w:sz="0" w:space="0" w:color="auto"/>
        <w:bottom w:val="none" w:sz="0" w:space="0" w:color="auto"/>
        <w:right w:val="none" w:sz="0" w:space="0" w:color="auto"/>
      </w:divBdr>
    </w:div>
    <w:div w:id="879900116">
      <w:marLeft w:val="0"/>
      <w:marRight w:val="0"/>
      <w:marTop w:val="0"/>
      <w:marBottom w:val="0"/>
      <w:divBdr>
        <w:top w:val="none" w:sz="0" w:space="0" w:color="auto"/>
        <w:left w:val="none" w:sz="0" w:space="0" w:color="auto"/>
        <w:bottom w:val="none" w:sz="0" w:space="0" w:color="auto"/>
        <w:right w:val="none" w:sz="0" w:space="0" w:color="auto"/>
      </w:divBdr>
      <w:divsChild>
        <w:div w:id="1116488199">
          <w:marLeft w:val="0"/>
          <w:marRight w:val="0"/>
          <w:marTop w:val="0"/>
          <w:marBottom w:val="0"/>
          <w:divBdr>
            <w:top w:val="none" w:sz="0" w:space="0" w:color="auto"/>
            <w:left w:val="none" w:sz="0" w:space="0" w:color="auto"/>
            <w:bottom w:val="none" w:sz="0" w:space="0" w:color="auto"/>
            <w:right w:val="none" w:sz="0" w:space="0" w:color="auto"/>
          </w:divBdr>
        </w:div>
      </w:divsChild>
    </w:div>
    <w:div w:id="882209300">
      <w:marLeft w:val="0"/>
      <w:marRight w:val="0"/>
      <w:marTop w:val="0"/>
      <w:marBottom w:val="0"/>
      <w:divBdr>
        <w:top w:val="none" w:sz="0" w:space="0" w:color="auto"/>
        <w:left w:val="none" w:sz="0" w:space="0" w:color="auto"/>
        <w:bottom w:val="none" w:sz="0" w:space="0" w:color="auto"/>
        <w:right w:val="none" w:sz="0" w:space="0" w:color="auto"/>
      </w:divBdr>
    </w:div>
    <w:div w:id="882711281">
      <w:marLeft w:val="0"/>
      <w:marRight w:val="0"/>
      <w:marTop w:val="120"/>
      <w:marBottom w:val="0"/>
      <w:divBdr>
        <w:top w:val="none" w:sz="0" w:space="0" w:color="auto"/>
        <w:left w:val="none" w:sz="0" w:space="0" w:color="auto"/>
        <w:bottom w:val="none" w:sz="0" w:space="0" w:color="auto"/>
        <w:right w:val="none" w:sz="0" w:space="0" w:color="auto"/>
      </w:divBdr>
    </w:div>
    <w:div w:id="882715687">
      <w:marLeft w:val="0"/>
      <w:marRight w:val="0"/>
      <w:marTop w:val="200"/>
      <w:marBottom w:val="0"/>
      <w:divBdr>
        <w:top w:val="none" w:sz="0" w:space="0" w:color="auto"/>
        <w:left w:val="none" w:sz="0" w:space="0" w:color="auto"/>
        <w:bottom w:val="none" w:sz="0" w:space="0" w:color="auto"/>
        <w:right w:val="none" w:sz="0" w:space="0" w:color="auto"/>
      </w:divBdr>
    </w:div>
    <w:div w:id="882987402">
      <w:marLeft w:val="0"/>
      <w:marRight w:val="0"/>
      <w:marTop w:val="120"/>
      <w:marBottom w:val="0"/>
      <w:divBdr>
        <w:top w:val="none" w:sz="0" w:space="0" w:color="auto"/>
        <w:left w:val="none" w:sz="0" w:space="0" w:color="auto"/>
        <w:bottom w:val="none" w:sz="0" w:space="0" w:color="auto"/>
        <w:right w:val="none" w:sz="0" w:space="0" w:color="auto"/>
      </w:divBdr>
    </w:div>
    <w:div w:id="883519376">
      <w:marLeft w:val="0"/>
      <w:marRight w:val="0"/>
      <w:marTop w:val="120"/>
      <w:marBottom w:val="0"/>
      <w:divBdr>
        <w:top w:val="none" w:sz="0" w:space="0" w:color="auto"/>
        <w:left w:val="none" w:sz="0" w:space="0" w:color="auto"/>
        <w:bottom w:val="none" w:sz="0" w:space="0" w:color="auto"/>
        <w:right w:val="none" w:sz="0" w:space="0" w:color="auto"/>
      </w:divBdr>
    </w:div>
    <w:div w:id="885068213">
      <w:marLeft w:val="0"/>
      <w:marRight w:val="0"/>
      <w:marTop w:val="0"/>
      <w:marBottom w:val="0"/>
      <w:divBdr>
        <w:top w:val="none" w:sz="0" w:space="0" w:color="auto"/>
        <w:left w:val="none" w:sz="0" w:space="0" w:color="auto"/>
        <w:bottom w:val="none" w:sz="0" w:space="0" w:color="auto"/>
        <w:right w:val="none" w:sz="0" w:space="0" w:color="auto"/>
      </w:divBdr>
    </w:div>
    <w:div w:id="886375330">
      <w:marLeft w:val="0"/>
      <w:marRight w:val="0"/>
      <w:marTop w:val="0"/>
      <w:marBottom w:val="0"/>
      <w:divBdr>
        <w:top w:val="none" w:sz="0" w:space="0" w:color="auto"/>
        <w:left w:val="none" w:sz="0" w:space="0" w:color="auto"/>
        <w:bottom w:val="none" w:sz="0" w:space="0" w:color="auto"/>
        <w:right w:val="none" w:sz="0" w:space="0" w:color="auto"/>
      </w:divBdr>
      <w:divsChild>
        <w:div w:id="1675768823">
          <w:marLeft w:val="0"/>
          <w:marRight w:val="0"/>
          <w:marTop w:val="0"/>
          <w:marBottom w:val="0"/>
          <w:divBdr>
            <w:top w:val="none" w:sz="0" w:space="0" w:color="auto"/>
            <w:left w:val="none" w:sz="0" w:space="0" w:color="auto"/>
            <w:bottom w:val="none" w:sz="0" w:space="0" w:color="auto"/>
            <w:right w:val="none" w:sz="0" w:space="0" w:color="auto"/>
          </w:divBdr>
        </w:div>
      </w:divsChild>
    </w:div>
    <w:div w:id="887575194">
      <w:marLeft w:val="0"/>
      <w:marRight w:val="0"/>
      <w:marTop w:val="0"/>
      <w:marBottom w:val="0"/>
      <w:divBdr>
        <w:top w:val="none" w:sz="0" w:space="0" w:color="auto"/>
        <w:left w:val="none" w:sz="0" w:space="0" w:color="auto"/>
        <w:bottom w:val="none" w:sz="0" w:space="0" w:color="auto"/>
        <w:right w:val="none" w:sz="0" w:space="0" w:color="auto"/>
      </w:divBdr>
      <w:divsChild>
        <w:div w:id="406345278">
          <w:marLeft w:val="0"/>
          <w:marRight w:val="0"/>
          <w:marTop w:val="0"/>
          <w:marBottom w:val="0"/>
          <w:divBdr>
            <w:top w:val="none" w:sz="0" w:space="0" w:color="auto"/>
            <w:left w:val="none" w:sz="0" w:space="0" w:color="auto"/>
            <w:bottom w:val="none" w:sz="0" w:space="0" w:color="auto"/>
            <w:right w:val="none" w:sz="0" w:space="0" w:color="auto"/>
          </w:divBdr>
        </w:div>
      </w:divsChild>
    </w:div>
    <w:div w:id="887837518">
      <w:marLeft w:val="0"/>
      <w:marRight w:val="0"/>
      <w:marTop w:val="200"/>
      <w:marBottom w:val="0"/>
      <w:divBdr>
        <w:top w:val="none" w:sz="0" w:space="0" w:color="auto"/>
        <w:left w:val="none" w:sz="0" w:space="0" w:color="auto"/>
        <w:bottom w:val="none" w:sz="0" w:space="0" w:color="auto"/>
        <w:right w:val="none" w:sz="0" w:space="0" w:color="auto"/>
      </w:divBdr>
    </w:div>
    <w:div w:id="889879968">
      <w:marLeft w:val="0"/>
      <w:marRight w:val="0"/>
      <w:marTop w:val="120"/>
      <w:marBottom w:val="0"/>
      <w:divBdr>
        <w:top w:val="none" w:sz="0" w:space="0" w:color="auto"/>
        <w:left w:val="none" w:sz="0" w:space="0" w:color="auto"/>
        <w:bottom w:val="none" w:sz="0" w:space="0" w:color="auto"/>
        <w:right w:val="none" w:sz="0" w:space="0" w:color="auto"/>
      </w:divBdr>
    </w:div>
    <w:div w:id="890963361">
      <w:marLeft w:val="0"/>
      <w:marRight w:val="0"/>
      <w:marTop w:val="200"/>
      <w:marBottom w:val="0"/>
      <w:divBdr>
        <w:top w:val="none" w:sz="0" w:space="0" w:color="auto"/>
        <w:left w:val="none" w:sz="0" w:space="0" w:color="auto"/>
        <w:bottom w:val="none" w:sz="0" w:space="0" w:color="auto"/>
        <w:right w:val="none" w:sz="0" w:space="0" w:color="auto"/>
      </w:divBdr>
    </w:div>
    <w:div w:id="895043602">
      <w:marLeft w:val="0"/>
      <w:marRight w:val="0"/>
      <w:marTop w:val="0"/>
      <w:marBottom w:val="0"/>
      <w:divBdr>
        <w:top w:val="none" w:sz="0" w:space="0" w:color="auto"/>
        <w:left w:val="none" w:sz="0" w:space="0" w:color="auto"/>
        <w:bottom w:val="none" w:sz="0" w:space="0" w:color="auto"/>
        <w:right w:val="none" w:sz="0" w:space="0" w:color="auto"/>
      </w:divBdr>
      <w:divsChild>
        <w:div w:id="1381973935">
          <w:marLeft w:val="0"/>
          <w:marRight w:val="0"/>
          <w:marTop w:val="0"/>
          <w:marBottom w:val="0"/>
          <w:divBdr>
            <w:top w:val="none" w:sz="0" w:space="0" w:color="auto"/>
            <w:left w:val="none" w:sz="0" w:space="0" w:color="auto"/>
            <w:bottom w:val="none" w:sz="0" w:space="0" w:color="auto"/>
            <w:right w:val="none" w:sz="0" w:space="0" w:color="auto"/>
          </w:divBdr>
        </w:div>
      </w:divsChild>
    </w:div>
    <w:div w:id="895505326">
      <w:marLeft w:val="0"/>
      <w:marRight w:val="0"/>
      <w:marTop w:val="0"/>
      <w:marBottom w:val="0"/>
      <w:divBdr>
        <w:top w:val="none" w:sz="0" w:space="0" w:color="auto"/>
        <w:left w:val="none" w:sz="0" w:space="0" w:color="auto"/>
        <w:bottom w:val="none" w:sz="0" w:space="0" w:color="auto"/>
        <w:right w:val="none" w:sz="0" w:space="0" w:color="auto"/>
      </w:divBdr>
      <w:divsChild>
        <w:div w:id="1887717889">
          <w:marLeft w:val="0"/>
          <w:marRight w:val="0"/>
          <w:marTop w:val="0"/>
          <w:marBottom w:val="0"/>
          <w:divBdr>
            <w:top w:val="none" w:sz="0" w:space="0" w:color="auto"/>
            <w:left w:val="none" w:sz="0" w:space="0" w:color="auto"/>
            <w:bottom w:val="none" w:sz="0" w:space="0" w:color="auto"/>
            <w:right w:val="none" w:sz="0" w:space="0" w:color="auto"/>
          </w:divBdr>
        </w:div>
      </w:divsChild>
    </w:div>
    <w:div w:id="895775481">
      <w:marLeft w:val="0"/>
      <w:marRight w:val="0"/>
      <w:marTop w:val="0"/>
      <w:marBottom w:val="0"/>
      <w:divBdr>
        <w:top w:val="none" w:sz="0" w:space="0" w:color="auto"/>
        <w:left w:val="none" w:sz="0" w:space="0" w:color="auto"/>
        <w:bottom w:val="none" w:sz="0" w:space="0" w:color="auto"/>
        <w:right w:val="none" w:sz="0" w:space="0" w:color="auto"/>
      </w:divBdr>
    </w:div>
    <w:div w:id="900210555">
      <w:marLeft w:val="0"/>
      <w:marRight w:val="0"/>
      <w:marTop w:val="120"/>
      <w:marBottom w:val="0"/>
      <w:divBdr>
        <w:top w:val="none" w:sz="0" w:space="0" w:color="auto"/>
        <w:left w:val="none" w:sz="0" w:space="0" w:color="auto"/>
        <w:bottom w:val="none" w:sz="0" w:space="0" w:color="auto"/>
        <w:right w:val="none" w:sz="0" w:space="0" w:color="auto"/>
      </w:divBdr>
    </w:div>
    <w:div w:id="900793772">
      <w:marLeft w:val="0"/>
      <w:marRight w:val="0"/>
      <w:marTop w:val="60"/>
      <w:marBottom w:val="0"/>
      <w:divBdr>
        <w:top w:val="none" w:sz="0" w:space="0" w:color="auto"/>
        <w:left w:val="none" w:sz="0" w:space="0" w:color="auto"/>
        <w:bottom w:val="none" w:sz="0" w:space="0" w:color="auto"/>
        <w:right w:val="none" w:sz="0" w:space="0" w:color="auto"/>
      </w:divBdr>
    </w:div>
    <w:div w:id="901062731">
      <w:marLeft w:val="0"/>
      <w:marRight w:val="0"/>
      <w:marTop w:val="120"/>
      <w:marBottom w:val="0"/>
      <w:divBdr>
        <w:top w:val="none" w:sz="0" w:space="0" w:color="auto"/>
        <w:left w:val="none" w:sz="0" w:space="0" w:color="auto"/>
        <w:bottom w:val="none" w:sz="0" w:space="0" w:color="auto"/>
        <w:right w:val="none" w:sz="0" w:space="0" w:color="auto"/>
      </w:divBdr>
    </w:div>
    <w:div w:id="903180469">
      <w:marLeft w:val="0"/>
      <w:marRight w:val="0"/>
      <w:marTop w:val="120"/>
      <w:marBottom w:val="0"/>
      <w:divBdr>
        <w:top w:val="none" w:sz="0" w:space="0" w:color="auto"/>
        <w:left w:val="none" w:sz="0" w:space="0" w:color="auto"/>
        <w:bottom w:val="none" w:sz="0" w:space="0" w:color="auto"/>
        <w:right w:val="none" w:sz="0" w:space="0" w:color="auto"/>
      </w:divBdr>
    </w:div>
    <w:div w:id="904605062">
      <w:marLeft w:val="0"/>
      <w:marRight w:val="0"/>
      <w:marTop w:val="0"/>
      <w:marBottom w:val="0"/>
      <w:divBdr>
        <w:top w:val="none" w:sz="0" w:space="0" w:color="auto"/>
        <w:left w:val="none" w:sz="0" w:space="0" w:color="auto"/>
        <w:bottom w:val="none" w:sz="0" w:space="0" w:color="auto"/>
        <w:right w:val="none" w:sz="0" w:space="0" w:color="auto"/>
      </w:divBdr>
      <w:divsChild>
        <w:div w:id="522673246">
          <w:marLeft w:val="0"/>
          <w:marRight w:val="0"/>
          <w:marTop w:val="0"/>
          <w:marBottom w:val="0"/>
          <w:divBdr>
            <w:top w:val="none" w:sz="0" w:space="0" w:color="auto"/>
            <w:left w:val="none" w:sz="0" w:space="0" w:color="auto"/>
            <w:bottom w:val="none" w:sz="0" w:space="0" w:color="auto"/>
            <w:right w:val="none" w:sz="0" w:space="0" w:color="auto"/>
          </w:divBdr>
        </w:div>
      </w:divsChild>
    </w:div>
    <w:div w:id="907694500">
      <w:marLeft w:val="0"/>
      <w:marRight w:val="0"/>
      <w:marTop w:val="120"/>
      <w:marBottom w:val="0"/>
      <w:divBdr>
        <w:top w:val="none" w:sz="0" w:space="0" w:color="auto"/>
        <w:left w:val="none" w:sz="0" w:space="0" w:color="auto"/>
        <w:bottom w:val="none" w:sz="0" w:space="0" w:color="auto"/>
        <w:right w:val="none" w:sz="0" w:space="0" w:color="auto"/>
      </w:divBdr>
    </w:div>
    <w:div w:id="908922478">
      <w:marLeft w:val="0"/>
      <w:marRight w:val="0"/>
      <w:marTop w:val="200"/>
      <w:marBottom w:val="0"/>
      <w:divBdr>
        <w:top w:val="none" w:sz="0" w:space="0" w:color="auto"/>
        <w:left w:val="none" w:sz="0" w:space="0" w:color="auto"/>
        <w:bottom w:val="none" w:sz="0" w:space="0" w:color="auto"/>
        <w:right w:val="none" w:sz="0" w:space="0" w:color="auto"/>
      </w:divBdr>
    </w:div>
    <w:div w:id="909122279">
      <w:marLeft w:val="0"/>
      <w:marRight w:val="0"/>
      <w:marTop w:val="120"/>
      <w:marBottom w:val="0"/>
      <w:divBdr>
        <w:top w:val="none" w:sz="0" w:space="0" w:color="auto"/>
        <w:left w:val="none" w:sz="0" w:space="0" w:color="auto"/>
        <w:bottom w:val="none" w:sz="0" w:space="0" w:color="auto"/>
        <w:right w:val="none" w:sz="0" w:space="0" w:color="auto"/>
      </w:divBdr>
    </w:div>
    <w:div w:id="909272586">
      <w:marLeft w:val="0"/>
      <w:marRight w:val="0"/>
      <w:marTop w:val="120"/>
      <w:marBottom w:val="0"/>
      <w:divBdr>
        <w:top w:val="none" w:sz="0" w:space="0" w:color="auto"/>
        <w:left w:val="none" w:sz="0" w:space="0" w:color="auto"/>
        <w:bottom w:val="none" w:sz="0" w:space="0" w:color="auto"/>
        <w:right w:val="none" w:sz="0" w:space="0" w:color="auto"/>
      </w:divBdr>
    </w:div>
    <w:div w:id="911233789">
      <w:marLeft w:val="0"/>
      <w:marRight w:val="0"/>
      <w:marTop w:val="120"/>
      <w:marBottom w:val="0"/>
      <w:divBdr>
        <w:top w:val="none" w:sz="0" w:space="0" w:color="auto"/>
        <w:left w:val="none" w:sz="0" w:space="0" w:color="auto"/>
        <w:bottom w:val="none" w:sz="0" w:space="0" w:color="auto"/>
        <w:right w:val="none" w:sz="0" w:space="0" w:color="auto"/>
      </w:divBdr>
    </w:div>
    <w:div w:id="913246232">
      <w:marLeft w:val="0"/>
      <w:marRight w:val="0"/>
      <w:marTop w:val="200"/>
      <w:marBottom w:val="0"/>
      <w:divBdr>
        <w:top w:val="none" w:sz="0" w:space="0" w:color="auto"/>
        <w:left w:val="none" w:sz="0" w:space="0" w:color="auto"/>
        <w:bottom w:val="none" w:sz="0" w:space="0" w:color="auto"/>
        <w:right w:val="none" w:sz="0" w:space="0" w:color="auto"/>
      </w:divBdr>
    </w:div>
    <w:div w:id="914126006">
      <w:marLeft w:val="0"/>
      <w:marRight w:val="0"/>
      <w:marTop w:val="200"/>
      <w:marBottom w:val="0"/>
      <w:divBdr>
        <w:top w:val="none" w:sz="0" w:space="0" w:color="auto"/>
        <w:left w:val="none" w:sz="0" w:space="0" w:color="auto"/>
        <w:bottom w:val="none" w:sz="0" w:space="0" w:color="auto"/>
        <w:right w:val="none" w:sz="0" w:space="0" w:color="auto"/>
      </w:divBdr>
    </w:div>
    <w:div w:id="914821524">
      <w:marLeft w:val="0"/>
      <w:marRight w:val="0"/>
      <w:marTop w:val="0"/>
      <w:marBottom w:val="0"/>
      <w:divBdr>
        <w:top w:val="none" w:sz="0" w:space="0" w:color="auto"/>
        <w:left w:val="none" w:sz="0" w:space="0" w:color="auto"/>
        <w:bottom w:val="none" w:sz="0" w:space="0" w:color="auto"/>
        <w:right w:val="none" w:sz="0" w:space="0" w:color="auto"/>
      </w:divBdr>
      <w:divsChild>
        <w:div w:id="1806578936">
          <w:marLeft w:val="0"/>
          <w:marRight w:val="0"/>
          <w:marTop w:val="0"/>
          <w:marBottom w:val="0"/>
          <w:divBdr>
            <w:top w:val="none" w:sz="0" w:space="0" w:color="auto"/>
            <w:left w:val="none" w:sz="0" w:space="0" w:color="auto"/>
            <w:bottom w:val="none" w:sz="0" w:space="0" w:color="auto"/>
            <w:right w:val="none" w:sz="0" w:space="0" w:color="auto"/>
          </w:divBdr>
        </w:div>
      </w:divsChild>
    </w:div>
    <w:div w:id="916786444">
      <w:marLeft w:val="0"/>
      <w:marRight w:val="0"/>
      <w:marTop w:val="120"/>
      <w:marBottom w:val="0"/>
      <w:divBdr>
        <w:top w:val="none" w:sz="0" w:space="0" w:color="auto"/>
        <w:left w:val="none" w:sz="0" w:space="0" w:color="auto"/>
        <w:bottom w:val="none" w:sz="0" w:space="0" w:color="auto"/>
        <w:right w:val="none" w:sz="0" w:space="0" w:color="auto"/>
      </w:divBdr>
    </w:div>
    <w:div w:id="916789447">
      <w:marLeft w:val="0"/>
      <w:marRight w:val="0"/>
      <w:marTop w:val="120"/>
      <w:marBottom w:val="0"/>
      <w:divBdr>
        <w:top w:val="none" w:sz="0" w:space="0" w:color="auto"/>
        <w:left w:val="none" w:sz="0" w:space="0" w:color="auto"/>
        <w:bottom w:val="none" w:sz="0" w:space="0" w:color="auto"/>
        <w:right w:val="none" w:sz="0" w:space="0" w:color="auto"/>
      </w:divBdr>
    </w:div>
    <w:div w:id="917404333">
      <w:marLeft w:val="0"/>
      <w:marRight w:val="0"/>
      <w:marTop w:val="100"/>
      <w:marBottom w:val="0"/>
      <w:divBdr>
        <w:top w:val="none" w:sz="0" w:space="0" w:color="auto"/>
        <w:left w:val="none" w:sz="0" w:space="0" w:color="auto"/>
        <w:bottom w:val="none" w:sz="0" w:space="0" w:color="auto"/>
        <w:right w:val="none" w:sz="0" w:space="0" w:color="auto"/>
      </w:divBdr>
    </w:div>
    <w:div w:id="917864037">
      <w:marLeft w:val="0"/>
      <w:marRight w:val="0"/>
      <w:marTop w:val="200"/>
      <w:marBottom w:val="0"/>
      <w:divBdr>
        <w:top w:val="none" w:sz="0" w:space="0" w:color="auto"/>
        <w:left w:val="none" w:sz="0" w:space="0" w:color="auto"/>
        <w:bottom w:val="none" w:sz="0" w:space="0" w:color="auto"/>
        <w:right w:val="none" w:sz="0" w:space="0" w:color="auto"/>
      </w:divBdr>
    </w:div>
    <w:div w:id="922110041">
      <w:marLeft w:val="0"/>
      <w:marRight w:val="0"/>
      <w:marTop w:val="120"/>
      <w:marBottom w:val="0"/>
      <w:divBdr>
        <w:top w:val="none" w:sz="0" w:space="0" w:color="auto"/>
        <w:left w:val="none" w:sz="0" w:space="0" w:color="auto"/>
        <w:bottom w:val="none" w:sz="0" w:space="0" w:color="auto"/>
        <w:right w:val="none" w:sz="0" w:space="0" w:color="auto"/>
      </w:divBdr>
    </w:div>
    <w:div w:id="922683900">
      <w:marLeft w:val="0"/>
      <w:marRight w:val="0"/>
      <w:marTop w:val="120"/>
      <w:marBottom w:val="0"/>
      <w:divBdr>
        <w:top w:val="none" w:sz="0" w:space="0" w:color="auto"/>
        <w:left w:val="none" w:sz="0" w:space="0" w:color="auto"/>
        <w:bottom w:val="none" w:sz="0" w:space="0" w:color="auto"/>
        <w:right w:val="none" w:sz="0" w:space="0" w:color="auto"/>
      </w:divBdr>
    </w:div>
    <w:div w:id="922761781">
      <w:marLeft w:val="0"/>
      <w:marRight w:val="0"/>
      <w:marTop w:val="120"/>
      <w:marBottom w:val="0"/>
      <w:divBdr>
        <w:top w:val="none" w:sz="0" w:space="0" w:color="auto"/>
        <w:left w:val="none" w:sz="0" w:space="0" w:color="auto"/>
        <w:bottom w:val="none" w:sz="0" w:space="0" w:color="auto"/>
        <w:right w:val="none" w:sz="0" w:space="0" w:color="auto"/>
      </w:divBdr>
    </w:div>
    <w:div w:id="923223530">
      <w:marLeft w:val="0"/>
      <w:marRight w:val="0"/>
      <w:marTop w:val="120"/>
      <w:marBottom w:val="0"/>
      <w:divBdr>
        <w:top w:val="none" w:sz="0" w:space="0" w:color="auto"/>
        <w:left w:val="none" w:sz="0" w:space="0" w:color="auto"/>
        <w:bottom w:val="none" w:sz="0" w:space="0" w:color="auto"/>
        <w:right w:val="none" w:sz="0" w:space="0" w:color="auto"/>
      </w:divBdr>
    </w:div>
    <w:div w:id="923613879">
      <w:marLeft w:val="0"/>
      <w:marRight w:val="0"/>
      <w:marTop w:val="200"/>
      <w:marBottom w:val="0"/>
      <w:divBdr>
        <w:top w:val="none" w:sz="0" w:space="0" w:color="auto"/>
        <w:left w:val="none" w:sz="0" w:space="0" w:color="auto"/>
        <w:bottom w:val="none" w:sz="0" w:space="0" w:color="auto"/>
        <w:right w:val="none" w:sz="0" w:space="0" w:color="auto"/>
      </w:divBdr>
    </w:div>
    <w:div w:id="924923232">
      <w:marLeft w:val="0"/>
      <w:marRight w:val="0"/>
      <w:marTop w:val="120"/>
      <w:marBottom w:val="0"/>
      <w:divBdr>
        <w:top w:val="none" w:sz="0" w:space="0" w:color="auto"/>
        <w:left w:val="none" w:sz="0" w:space="0" w:color="auto"/>
        <w:bottom w:val="none" w:sz="0" w:space="0" w:color="auto"/>
        <w:right w:val="none" w:sz="0" w:space="0" w:color="auto"/>
      </w:divBdr>
    </w:div>
    <w:div w:id="925186680">
      <w:marLeft w:val="0"/>
      <w:marRight w:val="0"/>
      <w:marTop w:val="200"/>
      <w:marBottom w:val="0"/>
      <w:divBdr>
        <w:top w:val="none" w:sz="0" w:space="0" w:color="auto"/>
        <w:left w:val="none" w:sz="0" w:space="0" w:color="auto"/>
        <w:bottom w:val="none" w:sz="0" w:space="0" w:color="auto"/>
        <w:right w:val="none" w:sz="0" w:space="0" w:color="auto"/>
      </w:divBdr>
    </w:div>
    <w:div w:id="925961107">
      <w:marLeft w:val="0"/>
      <w:marRight w:val="0"/>
      <w:marTop w:val="200"/>
      <w:marBottom w:val="0"/>
      <w:divBdr>
        <w:top w:val="none" w:sz="0" w:space="0" w:color="auto"/>
        <w:left w:val="none" w:sz="0" w:space="0" w:color="auto"/>
        <w:bottom w:val="none" w:sz="0" w:space="0" w:color="auto"/>
        <w:right w:val="none" w:sz="0" w:space="0" w:color="auto"/>
      </w:divBdr>
    </w:div>
    <w:div w:id="926228523">
      <w:marLeft w:val="0"/>
      <w:marRight w:val="0"/>
      <w:marTop w:val="200"/>
      <w:marBottom w:val="0"/>
      <w:divBdr>
        <w:top w:val="none" w:sz="0" w:space="0" w:color="auto"/>
        <w:left w:val="none" w:sz="0" w:space="0" w:color="auto"/>
        <w:bottom w:val="none" w:sz="0" w:space="0" w:color="auto"/>
        <w:right w:val="none" w:sz="0" w:space="0" w:color="auto"/>
      </w:divBdr>
    </w:div>
    <w:div w:id="926842236">
      <w:marLeft w:val="0"/>
      <w:marRight w:val="0"/>
      <w:marTop w:val="120"/>
      <w:marBottom w:val="0"/>
      <w:divBdr>
        <w:top w:val="none" w:sz="0" w:space="0" w:color="auto"/>
        <w:left w:val="none" w:sz="0" w:space="0" w:color="auto"/>
        <w:bottom w:val="none" w:sz="0" w:space="0" w:color="auto"/>
        <w:right w:val="none" w:sz="0" w:space="0" w:color="auto"/>
      </w:divBdr>
    </w:div>
    <w:div w:id="927889759">
      <w:marLeft w:val="0"/>
      <w:marRight w:val="0"/>
      <w:marTop w:val="0"/>
      <w:marBottom w:val="0"/>
      <w:divBdr>
        <w:top w:val="none" w:sz="0" w:space="0" w:color="auto"/>
        <w:left w:val="none" w:sz="0" w:space="0" w:color="auto"/>
        <w:bottom w:val="none" w:sz="0" w:space="0" w:color="auto"/>
        <w:right w:val="none" w:sz="0" w:space="0" w:color="auto"/>
      </w:divBdr>
      <w:divsChild>
        <w:div w:id="199326416">
          <w:marLeft w:val="0"/>
          <w:marRight w:val="0"/>
          <w:marTop w:val="0"/>
          <w:marBottom w:val="0"/>
          <w:divBdr>
            <w:top w:val="none" w:sz="0" w:space="0" w:color="auto"/>
            <w:left w:val="none" w:sz="0" w:space="0" w:color="auto"/>
            <w:bottom w:val="none" w:sz="0" w:space="0" w:color="auto"/>
            <w:right w:val="none" w:sz="0" w:space="0" w:color="auto"/>
          </w:divBdr>
        </w:div>
      </w:divsChild>
    </w:div>
    <w:div w:id="928195777">
      <w:marLeft w:val="0"/>
      <w:marRight w:val="0"/>
      <w:marTop w:val="120"/>
      <w:marBottom w:val="0"/>
      <w:divBdr>
        <w:top w:val="none" w:sz="0" w:space="0" w:color="auto"/>
        <w:left w:val="none" w:sz="0" w:space="0" w:color="auto"/>
        <w:bottom w:val="none" w:sz="0" w:space="0" w:color="auto"/>
        <w:right w:val="none" w:sz="0" w:space="0" w:color="auto"/>
      </w:divBdr>
    </w:div>
    <w:div w:id="928199066">
      <w:marLeft w:val="0"/>
      <w:marRight w:val="0"/>
      <w:marTop w:val="120"/>
      <w:marBottom w:val="0"/>
      <w:divBdr>
        <w:top w:val="none" w:sz="0" w:space="0" w:color="auto"/>
        <w:left w:val="none" w:sz="0" w:space="0" w:color="auto"/>
        <w:bottom w:val="none" w:sz="0" w:space="0" w:color="auto"/>
        <w:right w:val="none" w:sz="0" w:space="0" w:color="auto"/>
      </w:divBdr>
    </w:div>
    <w:div w:id="928855904">
      <w:marLeft w:val="0"/>
      <w:marRight w:val="0"/>
      <w:marTop w:val="200"/>
      <w:marBottom w:val="0"/>
      <w:divBdr>
        <w:top w:val="none" w:sz="0" w:space="0" w:color="auto"/>
        <w:left w:val="none" w:sz="0" w:space="0" w:color="auto"/>
        <w:bottom w:val="none" w:sz="0" w:space="0" w:color="auto"/>
        <w:right w:val="none" w:sz="0" w:space="0" w:color="auto"/>
      </w:divBdr>
    </w:div>
    <w:div w:id="931016247">
      <w:marLeft w:val="0"/>
      <w:marRight w:val="0"/>
      <w:marTop w:val="200"/>
      <w:marBottom w:val="0"/>
      <w:divBdr>
        <w:top w:val="none" w:sz="0" w:space="0" w:color="auto"/>
        <w:left w:val="none" w:sz="0" w:space="0" w:color="auto"/>
        <w:bottom w:val="none" w:sz="0" w:space="0" w:color="auto"/>
        <w:right w:val="none" w:sz="0" w:space="0" w:color="auto"/>
      </w:divBdr>
    </w:div>
    <w:div w:id="935361353">
      <w:marLeft w:val="0"/>
      <w:marRight w:val="0"/>
      <w:marTop w:val="200"/>
      <w:marBottom w:val="0"/>
      <w:divBdr>
        <w:top w:val="none" w:sz="0" w:space="0" w:color="auto"/>
        <w:left w:val="none" w:sz="0" w:space="0" w:color="auto"/>
        <w:bottom w:val="none" w:sz="0" w:space="0" w:color="auto"/>
        <w:right w:val="none" w:sz="0" w:space="0" w:color="auto"/>
      </w:divBdr>
    </w:div>
    <w:div w:id="937326918">
      <w:marLeft w:val="0"/>
      <w:marRight w:val="0"/>
      <w:marTop w:val="120"/>
      <w:marBottom w:val="0"/>
      <w:divBdr>
        <w:top w:val="none" w:sz="0" w:space="0" w:color="auto"/>
        <w:left w:val="none" w:sz="0" w:space="0" w:color="auto"/>
        <w:bottom w:val="none" w:sz="0" w:space="0" w:color="auto"/>
        <w:right w:val="none" w:sz="0" w:space="0" w:color="auto"/>
      </w:divBdr>
    </w:div>
    <w:div w:id="937719304">
      <w:marLeft w:val="0"/>
      <w:marRight w:val="0"/>
      <w:marTop w:val="120"/>
      <w:marBottom w:val="0"/>
      <w:divBdr>
        <w:top w:val="none" w:sz="0" w:space="0" w:color="auto"/>
        <w:left w:val="none" w:sz="0" w:space="0" w:color="auto"/>
        <w:bottom w:val="none" w:sz="0" w:space="0" w:color="auto"/>
        <w:right w:val="none" w:sz="0" w:space="0" w:color="auto"/>
      </w:divBdr>
    </w:div>
    <w:div w:id="938029993">
      <w:marLeft w:val="0"/>
      <w:marRight w:val="0"/>
      <w:marTop w:val="120"/>
      <w:marBottom w:val="0"/>
      <w:divBdr>
        <w:top w:val="none" w:sz="0" w:space="0" w:color="auto"/>
        <w:left w:val="none" w:sz="0" w:space="0" w:color="auto"/>
        <w:bottom w:val="none" w:sz="0" w:space="0" w:color="auto"/>
        <w:right w:val="none" w:sz="0" w:space="0" w:color="auto"/>
      </w:divBdr>
    </w:div>
    <w:div w:id="938176421">
      <w:marLeft w:val="0"/>
      <w:marRight w:val="0"/>
      <w:marTop w:val="0"/>
      <w:marBottom w:val="0"/>
      <w:divBdr>
        <w:top w:val="none" w:sz="0" w:space="0" w:color="auto"/>
        <w:left w:val="none" w:sz="0" w:space="0" w:color="auto"/>
        <w:bottom w:val="none" w:sz="0" w:space="0" w:color="auto"/>
        <w:right w:val="none" w:sz="0" w:space="0" w:color="auto"/>
      </w:divBdr>
      <w:divsChild>
        <w:div w:id="718237772">
          <w:marLeft w:val="0"/>
          <w:marRight w:val="0"/>
          <w:marTop w:val="0"/>
          <w:marBottom w:val="0"/>
          <w:divBdr>
            <w:top w:val="none" w:sz="0" w:space="0" w:color="auto"/>
            <w:left w:val="none" w:sz="0" w:space="0" w:color="auto"/>
            <w:bottom w:val="none" w:sz="0" w:space="0" w:color="auto"/>
            <w:right w:val="none" w:sz="0" w:space="0" w:color="auto"/>
          </w:divBdr>
        </w:div>
      </w:divsChild>
    </w:div>
    <w:div w:id="938564658">
      <w:marLeft w:val="0"/>
      <w:marRight w:val="0"/>
      <w:marTop w:val="0"/>
      <w:marBottom w:val="0"/>
      <w:divBdr>
        <w:top w:val="none" w:sz="0" w:space="0" w:color="auto"/>
        <w:left w:val="none" w:sz="0" w:space="0" w:color="auto"/>
        <w:bottom w:val="none" w:sz="0" w:space="0" w:color="auto"/>
        <w:right w:val="none" w:sz="0" w:space="0" w:color="auto"/>
      </w:divBdr>
    </w:div>
    <w:div w:id="939529846">
      <w:marLeft w:val="0"/>
      <w:marRight w:val="0"/>
      <w:marTop w:val="120"/>
      <w:marBottom w:val="0"/>
      <w:divBdr>
        <w:top w:val="none" w:sz="0" w:space="0" w:color="auto"/>
        <w:left w:val="none" w:sz="0" w:space="0" w:color="auto"/>
        <w:bottom w:val="none" w:sz="0" w:space="0" w:color="auto"/>
        <w:right w:val="none" w:sz="0" w:space="0" w:color="auto"/>
      </w:divBdr>
    </w:div>
    <w:div w:id="940912977">
      <w:marLeft w:val="0"/>
      <w:marRight w:val="0"/>
      <w:marTop w:val="120"/>
      <w:marBottom w:val="0"/>
      <w:divBdr>
        <w:top w:val="none" w:sz="0" w:space="0" w:color="auto"/>
        <w:left w:val="none" w:sz="0" w:space="0" w:color="auto"/>
        <w:bottom w:val="none" w:sz="0" w:space="0" w:color="auto"/>
        <w:right w:val="none" w:sz="0" w:space="0" w:color="auto"/>
      </w:divBdr>
    </w:div>
    <w:div w:id="942766878">
      <w:marLeft w:val="0"/>
      <w:marRight w:val="0"/>
      <w:marTop w:val="0"/>
      <w:marBottom w:val="0"/>
      <w:divBdr>
        <w:top w:val="none" w:sz="0" w:space="0" w:color="auto"/>
        <w:left w:val="none" w:sz="0" w:space="0" w:color="auto"/>
        <w:bottom w:val="none" w:sz="0" w:space="0" w:color="auto"/>
        <w:right w:val="none" w:sz="0" w:space="0" w:color="auto"/>
      </w:divBdr>
      <w:divsChild>
        <w:div w:id="252129752">
          <w:marLeft w:val="0"/>
          <w:marRight w:val="0"/>
          <w:marTop w:val="0"/>
          <w:marBottom w:val="0"/>
          <w:divBdr>
            <w:top w:val="none" w:sz="0" w:space="0" w:color="auto"/>
            <w:left w:val="none" w:sz="0" w:space="0" w:color="auto"/>
            <w:bottom w:val="none" w:sz="0" w:space="0" w:color="auto"/>
            <w:right w:val="none" w:sz="0" w:space="0" w:color="auto"/>
          </w:divBdr>
        </w:div>
      </w:divsChild>
    </w:div>
    <w:div w:id="943150801">
      <w:marLeft w:val="0"/>
      <w:marRight w:val="0"/>
      <w:marTop w:val="120"/>
      <w:marBottom w:val="0"/>
      <w:divBdr>
        <w:top w:val="none" w:sz="0" w:space="0" w:color="auto"/>
        <w:left w:val="none" w:sz="0" w:space="0" w:color="auto"/>
        <w:bottom w:val="none" w:sz="0" w:space="0" w:color="auto"/>
        <w:right w:val="none" w:sz="0" w:space="0" w:color="auto"/>
      </w:divBdr>
    </w:div>
    <w:div w:id="945817303">
      <w:marLeft w:val="0"/>
      <w:marRight w:val="0"/>
      <w:marTop w:val="100"/>
      <w:marBottom w:val="0"/>
      <w:divBdr>
        <w:top w:val="none" w:sz="0" w:space="0" w:color="auto"/>
        <w:left w:val="none" w:sz="0" w:space="0" w:color="auto"/>
        <w:bottom w:val="none" w:sz="0" w:space="0" w:color="auto"/>
        <w:right w:val="none" w:sz="0" w:space="0" w:color="auto"/>
      </w:divBdr>
    </w:div>
    <w:div w:id="945843196">
      <w:marLeft w:val="0"/>
      <w:marRight w:val="0"/>
      <w:marTop w:val="120"/>
      <w:marBottom w:val="0"/>
      <w:divBdr>
        <w:top w:val="none" w:sz="0" w:space="0" w:color="auto"/>
        <w:left w:val="none" w:sz="0" w:space="0" w:color="auto"/>
        <w:bottom w:val="none" w:sz="0" w:space="0" w:color="auto"/>
        <w:right w:val="none" w:sz="0" w:space="0" w:color="auto"/>
      </w:divBdr>
    </w:div>
    <w:div w:id="946699568">
      <w:marLeft w:val="0"/>
      <w:marRight w:val="0"/>
      <w:marTop w:val="120"/>
      <w:marBottom w:val="0"/>
      <w:divBdr>
        <w:top w:val="none" w:sz="0" w:space="0" w:color="auto"/>
        <w:left w:val="none" w:sz="0" w:space="0" w:color="auto"/>
        <w:bottom w:val="none" w:sz="0" w:space="0" w:color="auto"/>
        <w:right w:val="none" w:sz="0" w:space="0" w:color="auto"/>
      </w:divBdr>
    </w:div>
    <w:div w:id="947665065">
      <w:marLeft w:val="0"/>
      <w:marRight w:val="0"/>
      <w:marTop w:val="120"/>
      <w:marBottom w:val="0"/>
      <w:divBdr>
        <w:top w:val="none" w:sz="0" w:space="0" w:color="auto"/>
        <w:left w:val="none" w:sz="0" w:space="0" w:color="auto"/>
        <w:bottom w:val="none" w:sz="0" w:space="0" w:color="auto"/>
        <w:right w:val="none" w:sz="0" w:space="0" w:color="auto"/>
      </w:divBdr>
    </w:div>
    <w:div w:id="948126650">
      <w:marLeft w:val="0"/>
      <w:marRight w:val="0"/>
      <w:marTop w:val="120"/>
      <w:marBottom w:val="0"/>
      <w:divBdr>
        <w:top w:val="none" w:sz="0" w:space="0" w:color="auto"/>
        <w:left w:val="none" w:sz="0" w:space="0" w:color="auto"/>
        <w:bottom w:val="none" w:sz="0" w:space="0" w:color="auto"/>
        <w:right w:val="none" w:sz="0" w:space="0" w:color="auto"/>
      </w:divBdr>
    </w:div>
    <w:div w:id="948390219">
      <w:marLeft w:val="0"/>
      <w:marRight w:val="0"/>
      <w:marTop w:val="0"/>
      <w:marBottom w:val="0"/>
      <w:divBdr>
        <w:top w:val="none" w:sz="0" w:space="0" w:color="auto"/>
        <w:left w:val="none" w:sz="0" w:space="0" w:color="auto"/>
        <w:bottom w:val="none" w:sz="0" w:space="0" w:color="auto"/>
        <w:right w:val="none" w:sz="0" w:space="0" w:color="auto"/>
      </w:divBdr>
      <w:divsChild>
        <w:div w:id="1264336758">
          <w:marLeft w:val="0"/>
          <w:marRight w:val="0"/>
          <w:marTop w:val="0"/>
          <w:marBottom w:val="0"/>
          <w:divBdr>
            <w:top w:val="none" w:sz="0" w:space="0" w:color="auto"/>
            <w:left w:val="none" w:sz="0" w:space="0" w:color="auto"/>
            <w:bottom w:val="none" w:sz="0" w:space="0" w:color="auto"/>
            <w:right w:val="none" w:sz="0" w:space="0" w:color="auto"/>
          </w:divBdr>
        </w:div>
      </w:divsChild>
    </w:div>
    <w:div w:id="952518682">
      <w:marLeft w:val="0"/>
      <w:marRight w:val="0"/>
      <w:marTop w:val="200"/>
      <w:marBottom w:val="0"/>
      <w:divBdr>
        <w:top w:val="none" w:sz="0" w:space="0" w:color="auto"/>
        <w:left w:val="none" w:sz="0" w:space="0" w:color="auto"/>
        <w:bottom w:val="none" w:sz="0" w:space="0" w:color="auto"/>
        <w:right w:val="none" w:sz="0" w:space="0" w:color="auto"/>
      </w:divBdr>
    </w:div>
    <w:div w:id="953100746">
      <w:marLeft w:val="0"/>
      <w:marRight w:val="0"/>
      <w:marTop w:val="120"/>
      <w:marBottom w:val="0"/>
      <w:divBdr>
        <w:top w:val="none" w:sz="0" w:space="0" w:color="auto"/>
        <w:left w:val="none" w:sz="0" w:space="0" w:color="auto"/>
        <w:bottom w:val="none" w:sz="0" w:space="0" w:color="auto"/>
        <w:right w:val="none" w:sz="0" w:space="0" w:color="auto"/>
      </w:divBdr>
    </w:div>
    <w:div w:id="955256795">
      <w:marLeft w:val="0"/>
      <w:marRight w:val="0"/>
      <w:marTop w:val="120"/>
      <w:marBottom w:val="0"/>
      <w:divBdr>
        <w:top w:val="none" w:sz="0" w:space="0" w:color="auto"/>
        <w:left w:val="none" w:sz="0" w:space="0" w:color="auto"/>
        <w:bottom w:val="none" w:sz="0" w:space="0" w:color="auto"/>
        <w:right w:val="none" w:sz="0" w:space="0" w:color="auto"/>
      </w:divBdr>
    </w:div>
    <w:div w:id="958341777">
      <w:marLeft w:val="0"/>
      <w:marRight w:val="0"/>
      <w:marTop w:val="120"/>
      <w:marBottom w:val="0"/>
      <w:divBdr>
        <w:top w:val="none" w:sz="0" w:space="0" w:color="auto"/>
        <w:left w:val="none" w:sz="0" w:space="0" w:color="auto"/>
        <w:bottom w:val="none" w:sz="0" w:space="0" w:color="auto"/>
        <w:right w:val="none" w:sz="0" w:space="0" w:color="auto"/>
      </w:divBdr>
    </w:div>
    <w:div w:id="959454284">
      <w:marLeft w:val="0"/>
      <w:marRight w:val="0"/>
      <w:marTop w:val="0"/>
      <w:marBottom w:val="0"/>
      <w:divBdr>
        <w:top w:val="none" w:sz="0" w:space="0" w:color="auto"/>
        <w:left w:val="none" w:sz="0" w:space="0" w:color="auto"/>
        <w:bottom w:val="none" w:sz="0" w:space="0" w:color="auto"/>
        <w:right w:val="none" w:sz="0" w:space="0" w:color="auto"/>
      </w:divBdr>
      <w:divsChild>
        <w:div w:id="661811213">
          <w:marLeft w:val="0"/>
          <w:marRight w:val="0"/>
          <w:marTop w:val="0"/>
          <w:marBottom w:val="0"/>
          <w:divBdr>
            <w:top w:val="none" w:sz="0" w:space="0" w:color="auto"/>
            <w:left w:val="none" w:sz="0" w:space="0" w:color="auto"/>
            <w:bottom w:val="none" w:sz="0" w:space="0" w:color="auto"/>
            <w:right w:val="none" w:sz="0" w:space="0" w:color="auto"/>
          </w:divBdr>
        </w:div>
      </w:divsChild>
    </w:div>
    <w:div w:id="964968197">
      <w:marLeft w:val="0"/>
      <w:marRight w:val="0"/>
      <w:marTop w:val="0"/>
      <w:marBottom w:val="0"/>
      <w:divBdr>
        <w:top w:val="none" w:sz="0" w:space="0" w:color="auto"/>
        <w:left w:val="none" w:sz="0" w:space="0" w:color="auto"/>
        <w:bottom w:val="none" w:sz="0" w:space="0" w:color="auto"/>
        <w:right w:val="none" w:sz="0" w:space="0" w:color="auto"/>
      </w:divBdr>
      <w:divsChild>
        <w:div w:id="197159705">
          <w:marLeft w:val="0"/>
          <w:marRight w:val="0"/>
          <w:marTop w:val="0"/>
          <w:marBottom w:val="0"/>
          <w:divBdr>
            <w:top w:val="none" w:sz="0" w:space="0" w:color="auto"/>
            <w:left w:val="none" w:sz="0" w:space="0" w:color="auto"/>
            <w:bottom w:val="none" w:sz="0" w:space="0" w:color="auto"/>
            <w:right w:val="none" w:sz="0" w:space="0" w:color="auto"/>
          </w:divBdr>
        </w:div>
      </w:divsChild>
    </w:div>
    <w:div w:id="965312407">
      <w:marLeft w:val="0"/>
      <w:marRight w:val="0"/>
      <w:marTop w:val="200"/>
      <w:marBottom w:val="0"/>
      <w:divBdr>
        <w:top w:val="none" w:sz="0" w:space="0" w:color="auto"/>
        <w:left w:val="none" w:sz="0" w:space="0" w:color="auto"/>
        <w:bottom w:val="none" w:sz="0" w:space="0" w:color="auto"/>
        <w:right w:val="none" w:sz="0" w:space="0" w:color="auto"/>
      </w:divBdr>
    </w:div>
    <w:div w:id="965769252">
      <w:marLeft w:val="0"/>
      <w:marRight w:val="0"/>
      <w:marTop w:val="200"/>
      <w:marBottom w:val="0"/>
      <w:divBdr>
        <w:top w:val="none" w:sz="0" w:space="0" w:color="auto"/>
        <w:left w:val="none" w:sz="0" w:space="0" w:color="auto"/>
        <w:bottom w:val="none" w:sz="0" w:space="0" w:color="auto"/>
        <w:right w:val="none" w:sz="0" w:space="0" w:color="auto"/>
      </w:divBdr>
    </w:div>
    <w:div w:id="966087995">
      <w:marLeft w:val="0"/>
      <w:marRight w:val="0"/>
      <w:marTop w:val="200"/>
      <w:marBottom w:val="0"/>
      <w:divBdr>
        <w:top w:val="none" w:sz="0" w:space="0" w:color="auto"/>
        <w:left w:val="none" w:sz="0" w:space="0" w:color="auto"/>
        <w:bottom w:val="none" w:sz="0" w:space="0" w:color="auto"/>
        <w:right w:val="none" w:sz="0" w:space="0" w:color="auto"/>
      </w:divBdr>
    </w:div>
    <w:div w:id="967931847">
      <w:marLeft w:val="0"/>
      <w:marRight w:val="0"/>
      <w:marTop w:val="120"/>
      <w:marBottom w:val="0"/>
      <w:divBdr>
        <w:top w:val="none" w:sz="0" w:space="0" w:color="auto"/>
        <w:left w:val="none" w:sz="0" w:space="0" w:color="auto"/>
        <w:bottom w:val="none" w:sz="0" w:space="0" w:color="auto"/>
        <w:right w:val="none" w:sz="0" w:space="0" w:color="auto"/>
      </w:divBdr>
    </w:div>
    <w:div w:id="968434337">
      <w:marLeft w:val="0"/>
      <w:marRight w:val="0"/>
      <w:marTop w:val="240"/>
      <w:marBottom w:val="0"/>
      <w:divBdr>
        <w:top w:val="none" w:sz="0" w:space="0" w:color="auto"/>
        <w:left w:val="none" w:sz="0" w:space="0" w:color="auto"/>
        <w:bottom w:val="none" w:sz="0" w:space="0" w:color="auto"/>
        <w:right w:val="none" w:sz="0" w:space="0" w:color="auto"/>
      </w:divBdr>
    </w:div>
    <w:div w:id="971404158">
      <w:marLeft w:val="0"/>
      <w:marRight w:val="0"/>
      <w:marTop w:val="120"/>
      <w:marBottom w:val="0"/>
      <w:divBdr>
        <w:top w:val="none" w:sz="0" w:space="0" w:color="auto"/>
        <w:left w:val="none" w:sz="0" w:space="0" w:color="auto"/>
        <w:bottom w:val="none" w:sz="0" w:space="0" w:color="auto"/>
        <w:right w:val="none" w:sz="0" w:space="0" w:color="auto"/>
      </w:divBdr>
    </w:div>
    <w:div w:id="971522936">
      <w:marLeft w:val="0"/>
      <w:marRight w:val="0"/>
      <w:marTop w:val="120"/>
      <w:marBottom w:val="0"/>
      <w:divBdr>
        <w:top w:val="none" w:sz="0" w:space="0" w:color="auto"/>
        <w:left w:val="none" w:sz="0" w:space="0" w:color="auto"/>
        <w:bottom w:val="none" w:sz="0" w:space="0" w:color="auto"/>
        <w:right w:val="none" w:sz="0" w:space="0" w:color="auto"/>
      </w:divBdr>
    </w:div>
    <w:div w:id="972056729">
      <w:marLeft w:val="0"/>
      <w:marRight w:val="0"/>
      <w:marTop w:val="120"/>
      <w:marBottom w:val="0"/>
      <w:divBdr>
        <w:top w:val="none" w:sz="0" w:space="0" w:color="auto"/>
        <w:left w:val="none" w:sz="0" w:space="0" w:color="auto"/>
        <w:bottom w:val="none" w:sz="0" w:space="0" w:color="auto"/>
        <w:right w:val="none" w:sz="0" w:space="0" w:color="auto"/>
      </w:divBdr>
    </w:div>
    <w:div w:id="972642025">
      <w:marLeft w:val="0"/>
      <w:marRight w:val="0"/>
      <w:marTop w:val="120"/>
      <w:marBottom w:val="0"/>
      <w:divBdr>
        <w:top w:val="none" w:sz="0" w:space="0" w:color="auto"/>
        <w:left w:val="none" w:sz="0" w:space="0" w:color="auto"/>
        <w:bottom w:val="none" w:sz="0" w:space="0" w:color="auto"/>
        <w:right w:val="none" w:sz="0" w:space="0" w:color="auto"/>
      </w:divBdr>
    </w:div>
    <w:div w:id="973094879">
      <w:marLeft w:val="0"/>
      <w:marRight w:val="0"/>
      <w:marTop w:val="120"/>
      <w:marBottom w:val="0"/>
      <w:divBdr>
        <w:top w:val="none" w:sz="0" w:space="0" w:color="auto"/>
        <w:left w:val="none" w:sz="0" w:space="0" w:color="auto"/>
        <w:bottom w:val="none" w:sz="0" w:space="0" w:color="auto"/>
        <w:right w:val="none" w:sz="0" w:space="0" w:color="auto"/>
      </w:divBdr>
    </w:div>
    <w:div w:id="973758839">
      <w:marLeft w:val="0"/>
      <w:marRight w:val="0"/>
      <w:marTop w:val="120"/>
      <w:marBottom w:val="0"/>
      <w:divBdr>
        <w:top w:val="none" w:sz="0" w:space="0" w:color="auto"/>
        <w:left w:val="none" w:sz="0" w:space="0" w:color="auto"/>
        <w:bottom w:val="none" w:sz="0" w:space="0" w:color="auto"/>
        <w:right w:val="none" w:sz="0" w:space="0" w:color="auto"/>
      </w:divBdr>
    </w:div>
    <w:div w:id="973825764">
      <w:marLeft w:val="0"/>
      <w:marRight w:val="0"/>
      <w:marTop w:val="120"/>
      <w:marBottom w:val="0"/>
      <w:divBdr>
        <w:top w:val="none" w:sz="0" w:space="0" w:color="auto"/>
        <w:left w:val="none" w:sz="0" w:space="0" w:color="auto"/>
        <w:bottom w:val="none" w:sz="0" w:space="0" w:color="auto"/>
        <w:right w:val="none" w:sz="0" w:space="0" w:color="auto"/>
      </w:divBdr>
    </w:div>
    <w:div w:id="973945626">
      <w:marLeft w:val="0"/>
      <w:marRight w:val="0"/>
      <w:marTop w:val="0"/>
      <w:marBottom w:val="0"/>
      <w:divBdr>
        <w:top w:val="none" w:sz="0" w:space="0" w:color="auto"/>
        <w:left w:val="none" w:sz="0" w:space="0" w:color="auto"/>
        <w:bottom w:val="none" w:sz="0" w:space="0" w:color="auto"/>
        <w:right w:val="none" w:sz="0" w:space="0" w:color="auto"/>
      </w:divBdr>
      <w:divsChild>
        <w:div w:id="321589838">
          <w:marLeft w:val="0"/>
          <w:marRight w:val="0"/>
          <w:marTop w:val="0"/>
          <w:marBottom w:val="0"/>
          <w:divBdr>
            <w:top w:val="none" w:sz="0" w:space="0" w:color="auto"/>
            <w:left w:val="none" w:sz="0" w:space="0" w:color="auto"/>
            <w:bottom w:val="none" w:sz="0" w:space="0" w:color="auto"/>
            <w:right w:val="none" w:sz="0" w:space="0" w:color="auto"/>
          </w:divBdr>
        </w:div>
      </w:divsChild>
    </w:div>
    <w:div w:id="974064585">
      <w:marLeft w:val="0"/>
      <w:marRight w:val="0"/>
      <w:marTop w:val="120"/>
      <w:marBottom w:val="0"/>
      <w:divBdr>
        <w:top w:val="none" w:sz="0" w:space="0" w:color="auto"/>
        <w:left w:val="none" w:sz="0" w:space="0" w:color="auto"/>
        <w:bottom w:val="none" w:sz="0" w:space="0" w:color="auto"/>
        <w:right w:val="none" w:sz="0" w:space="0" w:color="auto"/>
      </w:divBdr>
    </w:div>
    <w:div w:id="974136743">
      <w:marLeft w:val="0"/>
      <w:marRight w:val="0"/>
      <w:marTop w:val="200"/>
      <w:marBottom w:val="0"/>
      <w:divBdr>
        <w:top w:val="none" w:sz="0" w:space="0" w:color="auto"/>
        <w:left w:val="none" w:sz="0" w:space="0" w:color="auto"/>
        <w:bottom w:val="none" w:sz="0" w:space="0" w:color="auto"/>
        <w:right w:val="none" w:sz="0" w:space="0" w:color="auto"/>
      </w:divBdr>
    </w:div>
    <w:div w:id="974720299">
      <w:marLeft w:val="0"/>
      <w:marRight w:val="0"/>
      <w:marTop w:val="120"/>
      <w:marBottom w:val="0"/>
      <w:divBdr>
        <w:top w:val="none" w:sz="0" w:space="0" w:color="auto"/>
        <w:left w:val="none" w:sz="0" w:space="0" w:color="auto"/>
        <w:bottom w:val="none" w:sz="0" w:space="0" w:color="auto"/>
        <w:right w:val="none" w:sz="0" w:space="0" w:color="auto"/>
      </w:divBdr>
    </w:div>
    <w:div w:id="975648559">
      <w:marLeft w:val="0"/>
      <w:marRight w:val="0"/>
      <w:marTop w:val="120"/>
      <w:marBottom w:val="0"/>
      <w:divBdr>
        <w:top w:val="none" w:sz="0" w:space="0" w:color="auto"/>
        <w:left w:val="none" w:sz="0" w:space="0" w:color="auto"/>
        <w:bottom w:val="none" w:sz="0" w:space="0" w:color="auto"/>
        <w:right w:val="none" w:sz="0" w:space="0" w:color="auto"/>
      </w:divBdr>
    </w:div>
    <w:div w:id="976228044">
      <w:marLeft w:val="0"/>
      <w:marRight w:val="0"/>
      <w:marTop w:val="200"/>
      <w:marBottom w:val="0"/>
      <w:divBdr>
        <w:top w:val="none" w:sz="0" w:space="0" w:color="auto"/>
        <w:left w:val="none" w:sz="0" w:space="0" w:color="auto"/>
        <w:bottom w:val="none" w:sz="0" w:space="0" w:color="auto"/>
        <w:right w:val="none" w:sz="0" w:space="0" w:color="auto"/>
      </w:divBdr>
    </w:div>
    <w:div w:id="977496772">
      <w:marLeft w:val="0"/>
      <w:marRight w:val="0"/>
      <w:marTop w:val="120"/>
      <w:marBottom w:val="0"/>
      <w:divBdr>
        <w:top w:val="none" w:sz="0" w:space="0" w:color="auto"/>
        <w:left w:val="none" w:sz="0" w:space="0" w:color="auto"/>
        <w:bottom w:val="none" w:sz="0" w:space="0" w:color="auto"/>
        <w:right w:val="none" w:sz="0" w:space="0" w:color="auto"/>
      </w:divBdr>
    </w:div>
    <w:div w:id="981084042">
      <w:marLeft w:val="0"/>
      <w:marRight w:val="0"/>
      <w:marTop w:val="0"/>
      <w:marBottom w:val="0"/>
      <w:divBdr>
        <w:top w:val="none" w:sz="0" w:space="0" w:color="auto"/>
        <w:left w:val="none" w:sz="0" w:space="0" w:color="auto"/>
        <w:bottom w:val="none" w:sz="0" w:space="0" w:color="auto"/>
        <w:right w:val="none" w:sz="0" w:space="0" w:color="auto"/>
      </w:divBdr>
      <w:divsChild>
        <w:div w:id="2121143339">
          <w:marLeft w:val="0"/>
          <w:marRight w:val="0"/>
          <w:marTop w:val="0"/>
          <w:marBottom w:val="0"/>
          <w:divBdr>
            <w:top w:val="none" w:sz="0" w:space="0" w:color="auto"/>
            <w:left w:val="none" w:sz="0" w:space="0" w:color="auto"/>
            <w:bottom w:val="none" w:sz="0" w:space="0" w:color="auto"/>
            <w:right w:val="none" w:sz="0" w:space="0" w:color="auto"/>
          </w:divBdr>
        </w:div>
      </w:divsChild>
    </w:div>
    <w:div w:id="982083689">
      <w:marLeft w:val="0"/>
      <w:marRight w:val="0"/>
      <w:marTop w:val="120"/>
      <w:marBottom w:val="0"/>
      <w:divBdr>
        <w:top w:val="none" w:sz="0" w:space="0" w:color="auto"/>
        <w:left w:val="none" w:sz="0" w:space="0" w:color="auto"/>
        <w:bottom w:val="none" w:sz="0" w:space="0" w:color="auto"/>
        <w:right w:val="none" w:sz="0" w:space="0" w:color="auto"/>
      </w:divBdr>
    </w:div>
    <w:div w:id="983661904">
      <w:marLeft w:val="0"/>
      <w:marRight w:val="0"/>
      <w:marTop w:val="0"/>
      <w:marBottom w:val="0"/>
      <w:divBdr>
        <w:top w:val="none" w:sz="0" w:space="0" w:color="auto"/>
        <w:left w:val="none" w:sz="0" w:space="0" w:color="auto"/>
        <w:bottom w:val="none" w:sz="0" w:space="0" w:color="auto"/>
        <w:right w:val="none" w:sz="0" w:space="0" w:color="auto"/>
      </w:divBdr>
      <w:divsChild>
        <w:div w:id="431243907">
          <w:marLeft w:val="0"/>
          <w:marRight w:val="0"/>
          <w:marTop w:val="0"/>
          <w:marBottom w:val="0"/>
          <w:divBdr>
            <w:top w:val="none" w:sz="0" w:space="0" w:color="auto"/>
            <w:left w:val="none" w:sz="0" w:space="0" w:color="auto"/>
            <w:bottom w:val="none" w:sz="0" w:space="0" w:color="auto"/>
            <w:right w:val="none" w:sz="0" w:space="0" w:color="auto"/>
          </w:divBdr>
        </w:div>
      </w:divsChild>
    </w:div>
    <w:div w:id="983662065">
      <w:marLeft w:val="0"/>
      <w:marRight w:val="0"/>
      <w:marTop w:val="200"/>
      <w:marBottom w:val="0"/>
      <w:divBdr>
        <w:top w:val="none" w:sz="0" w:space="0" w:color="auto"/>
        <w:left w:val="none" w:sz="0" w:space="0" w:color="auto"/>
        <w:bottom w:val="none" w:sz="0" w:space="0" w:color="auto"/>
        <w:right w:val="none" w:sz="0" w:space="0" w:color="auto"/>
      </w:divBdr>
    </w:div>
    <w:div w:id="984310295">
      <w:marLeft w:val="0"/>
      <w:marRight w:val="0"/>
      <w:marTop w:val="120"/>
      <w:marBottom w:val="0"/>
      <w:divBdr>
        <w:top w:val="none" w:sz="0" w:space="0" w:color="auto"/>
        <w:left w:val="none" w:sz="0" w:space="0" w:color="auto"/>
        <w:bottom w:val="none" w:sz="0" w:space="0" w:color="auto"/>
        <w:right w:val="none" w:sz="0" w:space="0" w:color="auto"/>
      </w:divBdr>
    </w:div>
    <w:div w:id="985354862">
      <w:marLeft w:val="0"/>
      <w:marRight w:val="0"/>
      <w:marTop w:val="120"/>
      <w:marBottom w:val="0"/>
      <w:divBdr>
        <w:top w:val="none" w:sz="0" w:space="0" w:color="auto"/>
        <w:left w:val="none" w:sz="0" w:space="0" w:color="auto"/>
        <w:bottom w:val="none" w:sz="0" w:space="0" w:color="auto"/>
        <w:right w:val="none" w:sz="0" w:space="0" w:color="auto"/>
      </w:divBdr>
    </w:div>
    <w:div w:id="985746533">
      <w:marLeft w:val="0"/>
      <w:marRight w:val="0"/>
      <w:marTop w:val="120"/>
      <w:marBottom w:val="0"/>
      <w:divBdr>
        <w:top w:val="none" w:sz="0" w:space="0" w:color="auto"/>
        <w:left w:val="none" w:sz="0" w:space="0" w:color="auto"/>
        <w:bottom w:val="none" w:sz="0" w:space="0" w:color="auto"/>
        <w:right w:val="none" w:sz="0" w:space="0" w:color="auto"/>
      </w:divBdr>
    </w:div>
    <w:div w:id="988755274">
      <w:marLeft w:val="0"/>
      <w:marRight w:val="0"/>
      <w:marTop w:val="200"/>
      <w:marBottom w:val="0"/>
      <w:divBdr>
        <w:top w:val="none" w:sz="0" w:space="0" w:color="auto"/>
        <w:left w:val="none" w:sz="0" w:space="0" w:color="auto"/>
        <w:bottom w:val="none" w:sz="0" w:space="0" w:color="auto"/>
        <w:right w:val="none" w:sz="0" w:space="0" w:color="auto"/>
      </w:divBdr>
    </w:div>
    <w:div w:id="988828797">
      <w:marLeft w:val="0"/>
      <w:marRight w:val="0"/>
      <w:marTop w:val="120"/>
      <w:marBottom w:val="0"/>
      <w:divBdr>
        <w:top w:val="none" w:sz="0" w:space="0" w:color="auto"/>
        <w:left w:val="none" w:sz="0" w:space="0" w:color="auto"/>
        <w:bottom w:val="none" w:sz="0" w:space="0" w:color="auto"/>
        <w:right w:val="none" w:sz="0" w:space="0" w:color="auto"/>
      </w:divBdr>
    </w:div>
    <w:div w:id="989094086">
      <w:marLeft w:val="0"/>
      <w:marRight w:val="0"/>
      <w:marTop w:val="120"/>
      <w:marBottom w:val="0"/>
      <w:divBdr>
        <w:top w:val="none" w:sz="0" w:space="0" w:color="auto"/>
        <w:left w:val="none" w:sz="0" w:space="0" w:color="auto"/>
        <w:bottom w:val="none" w:sz="0" w:space="0" w:color="auto"/>
        <w:right w:val="none" w:sz="0" w:space="0" w:color="auto"/>
      </w:divBdr>
    </w:div>
    <w:div w:id="989480168">
      <w:marLeft w:val="0"/>
      <w:marRight w:val="0"/>
      <w:marTop w:val="120"/>
      <w:marBottom w:val="0"/>
      <w:divBdr>
        <w:top w:val="none" w:sz="0" w:space="0" w:color="auto"/>
        <w:left w:val="none" w:sz="0" w:space="0" w:color="auto"/>
        <w:bottom w:val="none" w:sz="0" w:space="0" w:color="auto"/>
        <w:right w:val="none" w:sz="0" w:space="0" w:color="auto"/>
      </w:divBdr>
    </w:div>
    <w:div w:id="989559449">
      <w:marLeft w:val="0"/>
      <w:marRight w:val="0"/>
      <w:marTop w:val="120"/>
      <w:marBottom w:val="0"/>
      <w:divBdr>
        <w:top w:val="none" w:sz="0" w:space="0" w:color="auto"/>
        <w:left w:val="none" w:sz="0" w:space="0" w:color="auto"/>
        <w:bottom w:val="none" w:sz="0" w:space="0" w:color="auto"/>
        <w:right w:val="none" w:sz="0" w:space="0" w:color="auto"/>
      </w:divBdr>
    </w:div>
    <w:div w:id="991642649">
      <w:marLeft w:val="0"/>
      <w:marRight w:val="0"/>
      <w:marTop w:val="120"/>
      <w:marBottom w:val="0"/>
      <w:divBdr>
        <w:top w:val="none" w:sz="0" w:space="0" w:color="auto"/>
        <w:left w:val="none" w:sz="0" w:space="0" w:color="auto"/>
        <w:bottom w:val="none" w:sz="0" w:space="0" w:color="auto"/>
        <w:right w:val="none" w:sz="0" w:space="0" w:color="auto"/>
      </w:divBdr>
    </w:div>
    <w:div w:id="992104749">
      <w:marLeft w:val="0"/>
      <w:marRight w:val="0"/>
      <w:marTop w:val="120"/>
      <w:marBottom w:val="0"/>
      <w:divBdr>
        <w:top w:val="none" w:sz="0" w:space="0" w:color="auto"/>
        <w:left w:val="none" w:sz="0" w:space="0" w:color="auto"/>
        <w:bottom w:val="none" w:sz="0" w:space="0" w:color="auto"/>
        <w:right w:val="none" w:sz="0" w:space="0" w:color="auto"/>
      </w:divBdr>
    </w:div>
    <w:div w:id="993950391">
      <w:marLeft w:val="0"/>
      <w:marRight w:val="0"/>
      <w:marTop w:val="0"/>
      <w:marBottom w:val="0"/>
      <w:divBdr>
        <w:top w:val="none" w:sz="0" w:space="0" w:color="auto"/>
        <w:left w:val="none" w:sz="0" w:space="0" w:color="auto"/>
        <w:bottom w:val="none" w:sz="0" w:space="0" w:color="auto"/>
        <w:right w:val="none" w:sz="0" w:space="0" w:color="auto"/>
      </w:divBdr>
    </w:div>
    <w:div w:id="997224112">
      <w:marLeft w:val="0"/>
      <w:marRight w:val="0"/>
      <w:marTop w:val="120"/>
      <w:marBottom w:val="0"/>
      <w:divBdr>
        <w:top w:val="none" w:sz="0" w:space="0" w:color="auto"/>
        <w:left w:val="none" w:sz="0" w:space="0" w:color="auto"/>
        <w:bottom w:val="none" w:sz="0" w:space="0" w:color="auto"/>
        <w:right w:val="none" w:sz="0" w:space="0" w:color="auto"/>
      </w:divBdr>
    </w:div>
    <w:div w:id="997877869">
      <w:marLeft w:val="0"/>
      <w:marRight w:val="0"/>
      <w:marTop w:val="200"/>
      <w:marBottom w:val="0"/>
      <w:divBdr>
        <w:top w:val="none" w:sz="0" w:space="0" w:color="auto"/>
        <w:left w:val="none" w:sz="0" w:space="0" w:color="auto"/>
        <w:bottom w:val="none" w:sz="0" w:space="0" w:color="auto"/>
        <w:right w:val="none" w:sz="0" w:space="0" w:color="auto"/>
      </w:divBdr>
    </w:div>
    <w:div w:id="998340492">
      <w:marLeft w:val="0"/>
      <w:marRight w:val="0"/>
      <w:marTop w:val="0"/>
      <w:marBottom w:val="0"/>
      <w:divBdr>
        <w:top w:val="none" w:sz="0" w:space="0" w:color="auto"/>
        <w:left w:val="none" w:sz="0" w:space="0" w:color="auto"/>
        <w:bottom w:val="none" w:sz="0" w:space="0" w:color="auto"/>
        <w:right w:val="none" w:sz="0" w:space="0" w:color="auto"/>
      </w:divBdr>
      <w:divsChild>
        <w:div w:id="1328291427">
          <w:marLeft w:val="0"/>
          <w:marRight w:val="0"/>
          <w:marTop w:val="0"/>
          <w:marBottom w:val="0"/>
          <w:divBdr>
            <w:top w:val="none" w:sz="0" w:space="0" w:color="auto"/>
            <w:left w:val="none" w:sz="0" w:space="0" w:color="auto"/>
            <w:bottom w:val="none" w:sz="0" w:space="0" w:color="auto"/>
            <w:right w:val="none" w:sz="0" w:space="0" w:color="auto"/>
          </w:divBdr>
        </w:div>
      </w:divsChild>
    </w:div>
    <w:div w:id="999775559">
      <w:marLeft w:val="0"/>
      <w:marRight w:val="0"/>
      <w:marTop w:val="200"/>
      <w:marBottom w:val="0"/>
      <w:divBdr>
        <w:top w:val="none" w:sz="0" w:space="0" w:color="auto"/>
        <w:left w:val="none" w:sz="0" w:space="0" w:color="auto"/>
        <w:bottom w:val="none" w:sz="0" w:space="0" w:color="auto"/>
        <w:right w:val="none" w:sz="0" w:space="0" w:color="auto"/>
      </w:divBdr>
    </w:div>
    <w:div w:id="1000235320">
      <w:marLeft w:val="0"/>
      <w:marRight w:val="0"/>
      <w:marTop w:val="0"/>
      <w:marBottom w:val="0"/>
      <w:divBdr>
        <w:top w:val="none" w:sz="0" w:space="0" w:color="auto"/>
        <w:left w:val="none" w:sz="0" w:space="0" w:color="auto"/>
        <w:bottom w:val="none" w:sz="0" w:space="0" w:color="auto"/>
        <w:right w:val="none" w:sz="0" w:space="0" w:color="auto"/>
      </w:divBdr>
      <w:divsChild>
        <w:div w:id="898057823">
          <w:marLeft w:val="0"/>
          <w:marRight w:val="0"/>
          <w:marTop w:val="0"/>
          <w:marBottom w:val="0"/>
          <w:divBdr>
            <w:top w:val="none" w:sz="0" w:space="0" w:color="auto"/>
            <w:left w:val="none" w:sz="0" w:space="0" w:color="auto"/>
            <w:bottom w:val="none" w:sz="0" w:space="0" w:color="auto"/>
            <w:right w:val="none" w:sz="0" w:space="0" w:color="auto"/>
          </w:divBdr>
        </w:div>
      </w:divsChild>
    </w:div>
    <w:div w:id="1003775790">
      <w:marLeft w:val="0"/>
      <w:marRight w:val="0"/>
      <w:marTop w:val="120"/>
      <w:marBottom w:val="0"/>
      <w:divBdr>
        <w:top w:val="none" w:sz="0" w:space="0" w:color="auto"/>
        <w:left w:val="none" w:sz="0" w:space="0" w:color="auto"/>
        <w:bottom w:val="none" w:sz="0" w:space="0" w:color="auto"/>
        <w:right w:val="none" w:sz="0" w:space="0" w:color="auto"/>
      </w:divBdr>
    </w:div>
    <w:div w:id="1004087145">
      <w:marLeft w:val="0"/>
      <w:marRight w:val="0"/>
      <w:marTop w:val="120"/>
      <w:marBottom w:val="0"/>
      <w:divBdr>
        <w:top w:val="none" w:sz="0" w:space="0" w:color="auto"/>
        <w:left w:val="none" w:sz="0" w:space="0" w:color="auto"/>
        <w:bottom w:val="none" w:sz="0" w:space="0" w:color="auto"/>
        <w:right w:val="none" w:sz="0" w:space="0" w:color="auto"/>
      </w:divBdr>
    </w:div>
    <w:div w:id="1005396064">
      <w:marLeft w:val="0"/>
      <w:marRight w:val="0"/>
      <w:marTop w:val="120"/>
      <w:marBottom w:val="0"/>
      <w:divBdr>
        <w:top w:val="none" w:sz="0" w:space="0" w:color="auto"/>
        <w:left w:val="none" w:sz="0" w:space="0" w:color="auto"/>
        <w:bottom w:val="none" w:sz="0" w:space="0" w:color="auto"/>
        <w:right w:val="none" w:sz="0" w:space="0" w:color="auto"/>
      </w:divBdr>
    </w:div>
    <w:div w:id="1007827251">
      <w:marLeft w:val="0"/>
      <w:marRight w:val="0"/>
      <w:marTop w:val="100"/>
      <w:marBottom w:val="0"/>
      <w:divBdr>
        <w:top w:val="none" w:sz="0" w:space="0" w:color="auto"/>
        <w:left w:val="none" w:sz="0" w:space="0" w:color="auto"/>
        <w:bottom w:val="none" w:sz="0" w:space="0" w:color="auto"/>
        <w:right w:val="none" w:sz="0" w:space="0" w:color="auto"/>
      </w:divBdr>
    </w:div>
    <w:div w:id="1010064826">
      <w:marLeft w:val="0"/>
      <w:marRight w:val="0"/>
      <w:marTop w:val="120"/>
      <w:marBottom w:val="0"/>
      <w:divBdr>
        <w:top w:val="none" w:sz="0" w:space="0" w:color="auto"/>
        <w:left w:val="none" w:sz="0" w:space="0" w:color="auto"/>
        <w:bottom w:val="none" w:sz="0" w:space="0" w:color="auto"/>
        <w:right w:val="none" w:sz="0" w:space="0" w:color="auto"/>
      </w:divBdr>
    </w:div>
    <w:div w:id="1014649592">
      <w:marLeft w:val="0"/>
      <w:marRight w:val="0"/>
      <w:marTop w:val="60"/>
      <w:marBottom w:val="0"/>
      <w:divBdr>
        <w:top w:val="none" w:sz="0" w:space="0" w:color="auto"/>
        <w:left w:val="none" w:sz="0" w:space="0" w:color="auto"/>
        <w:bottom w:val="none" w:sz="0" w:space="0" w:color="auto"/>
        <w:right w:val="none" w:sz="0" w:space="0" w:color="auto"/>
      </w:divBdr>
    </w:div>
    <w:div w:id="1017123819">
      <w:marLeft w:val="0"/>
      <w:marRight w:val="0"/>
      <w:marTop w:val="120"/>
      <w:marBottom w:val="0"/>
      <w:divBdr>
        <w:top w:val="none" w:sz="0" w:space="0" w:color="auto"/>
        <w:left w:val="none" w:sz="0" w:space="0" w:color="auto"/>
        <w:bottom w:val="none" w:sz="0" w:space="0" w:color="auto"/>
        <w:right w:val="none" w:sz="0" w:space="0" w:color="auto"/>
      </w:divBdr>
    </w:div>
    <w:div w:id="1018773125">
      <w:marLeft w:val="0"/>
      <w:marRight w:val="0"/>
      <w:marTop w:val="120"/>
      <w:marBottom w:val="0"/>
      <w:divBdr>
        <w:top w:val="none" w:sz="0" w:space="0" w:color="auto"/>
        <w:left w:val="none" w:sz="0" w:space="0" w:color="auto"/>
        <w:bottom w:val="none" w:sz="0" w:space="0" w:color="auto"/>
        <w:right w:val="none" w:sz="0" w:space="0" w:color="auto"/>
      </w:divBdr>
    </w:div>
    <w:div w:id="1021475448">
      <w:marLeft w:val="0"/>
      <w:marRight w:val="0"/>
      <w:marTop w:val="120"/>
      <w:marBottom w:val="0"/>
      <w:divBdr>
        <w:top w:val="none" w:sz="0" w:space="0" w:color="auto"/>
        <w:left w:val="none" w:sz="0" w:space="0" w:color="auto"/>
        <w:bottom w:val="none" w:sz="0" w:space="0" w:color="auto"/>
        <w:right w:val="none" w:sz="0" w:space="0" w:color="auto"/>
      </w:divBdr>
    </w:div>
    <w:div w:id="1021707024">
      <w:marLeft w:val="0"/>
      <w:marRight w:val="0"/>
      <w:marTop w:val="120"/>
      <w:marBottom w:val="0"/>
      <w:divBdr>
        <w:top w:val="none" w:sz="0" w:space="0" w:color="auto"/>
        <w:left w:val="none" w:sz="0" w:space="0" w:color="auto"/>
        <w:bottom w:val="none" w:sz="0" w:space="0" w:color="auto"/>
        <w:right w:val="none" w:sz="0" w:space="0" w:color="auto"/>
      </w:divBdr>
    </w:div>
    <w:div w:id="1021709287">
      <w:marLeft w:val="0"/>
      <w:marRight w:val="0"/>
      <w:marTop w:val="200"/>
      <w:marBottom w:val="0"/>
      <w:divBdr>
        <w:top w:val="none" w:sz="0" w:space="0" w:color="auto"/>
        <w:left w:val="none" w:sz="0" w:space="0" w:color="auto"/>
        <w:bottom w:val="none" w:sz="0" w:space="0" w:color="auto"/>
        <w:right w:val="none" w:sz="0" w:space="0" w:color="auto"/>
      </w:divBdr>
    </w:div>
    <w:div w:id="1023824511">
      <w:marLeft w:val="0"/>
      <w:marRight w:val="0"/>
      <w:marTop w:val="0"/>
      <w:marBottom w:val="0"/>
      <w:divBdr>
        <w:top w:val="none" w:sz="0" w:space="0" w:color="auto"/>
        <w:left w:val="none" w:sz="0" w:space="0" w:color="auto"/>
        <w:bottom w:val="none" w:sz="0" w:space="0" w:color="auto"/>
        <w:right w:val="none" w:sz="0" w:space="0" w:color="auto"/>
      </w:divBdr>
      <w:divsChild>
        <w:div w:id="616179846">
          <w:marLeft w:val="0"/>
          <w:marRight w:val="0"/>
          <w:marTop w:val="0"/>
          <w:marBottom w:val="0"/>
          <w:divBdr>
            <w:top w:val="none" w:sz="0" w:space="0" w:color="auto"/>
            <w:left w:val="none" w:sz="0" w:space="0" w:color="auto"/>
            <w:bottom w:val="none" w:sz="0" w:space="0" w:color="auto"/>
            <w:right w:val="none" w:sz="0" w:space="0" w:color="auto"/>
          </w:divBdr>
        </w:div>
      </w:divsChild>
    </w:div>
    <w:div w:id="1024549956">
      <w:marLeft w:val="0"/>
      <w:marRight w:val="0"/>
      <w:marTop w:val="120"/>
      <w:marBottom w:val="0"/>
      <w:divBdr>
        <w:top w:val="none" w:sz="0" w:space="0" w:color="auto"/>
        <w:left w:val="none" w:sz="0" w:space="0" w:color="auto"/>
        <w:bottom w:val="none" w:sz="0" w:space="0" w:color="auto"/>
        <w:right w:val="none" w:sz="0" w:space="0" w:color="auto"/>
      </w:divBdr>
    </w:div>
    <w:div w:id="1024597749">
      <w:marLeft w:val="0"/>
      <w:marRight w:val="0"/>
      <w:marTop w:val="120"/>
      <w:marBottom w:val="0"/>
      <w:divBdr>
        <w:top w:val="none" w:sz="0" w:space="0" w:color="auto"/>
        <w:left w:val="none" w:sz="0" w:space="0" w:color="auto"/>
        <w:bottom w:val="none" w:sz="0" w:space="0" w:color="auto"/>
        <w:right w:val="none" w:sz="0" w:space="0" w:color="auto"/>
      </w:divBdr>
    </w:div>
    <w:div w:id="1025251532">
      <w:marLeft w:val="0"/>
      <w:marRight w:val="0"/>
      <w:marTop w:val="120"/>
      <w:marBottom w:val="0"/>
      <w:divBdr>
        <w:top w:val="none" w:sz="0" w:space="0" w:color="auto"/>
        <w:left w:val="none" w:sz="0" w:space="0" w:color="auto"/>
        <w:bottom w:val="none" w:sz="0" w:space="0" w:color="auto"/>
        <w:right w:val="none" w:sz="0" w:space="0" w:color="auto"/>
      </w:divBdr>
    </w:div>
    <w:div w:id="1025330554">
      <w:marLeft w:val="0"/>
      <w:marRight w:val="0"/>
      <w:marTop w:val="120"/>
      <w:marBottom w:val="0"/>
      <w:divBdr>
        <w:top w:val="none" w:sz="0" w:space="0" w:color="auto"/>
        <w:left w:val="none" w:sz="0" w:space="0" w:color="auto"/>
        <w:bottom w:val="none" w:sz="0" w:space="0" w:color="auto"/>
        <w:right w:val="none" w:sz="0" w:space="0" w:color="auto"/>
      </w:divBdr>
    </w:div>
    <w:div w:id="1025450193">
      <w:marLeft w:val="0"/>
      <w:marRight w:val="0"/>
      <w:marTop w:val="0"/>
      <w:marBottom w:val="0"/>
      <w:divBdr>
        <w:top w:val="none" w:sz="0" w:space="0" w:color="auto"/>
        <w:left w:val="none" w:sz="0" w:space="0" w:color="auto"/>
        <w:bottom w:val="none" w:sz="0" w:space="0" w:color="auto"/>
        <w:right w:val="none" w:sz="0" w:space="0" w:color="auto"/>
      </w:divBdr>
      <w:divsChild>
        <w:div w:id="1425571313">
          <w:marLeft w:val="0"/>
          <w:marRight w:val="0"/>
          <w:marTop w:val="0"/>
          <w:marBottom w:val="0"/>
          <w:divBdr>
            <w:top w:val="none" w:sz="0" w:space="0" w:color="auto"/>
            <w:left w:val="none" w:sz="0" w:space="0" w:color="auto"/>
            <w:bottom w:val="none" w:sz="0" w:space="0" w:color="auto"/>
            <w:right w:val="none" w:sz="0" w:space="0" w:color="auto"/>
          </w:divBdr>
        </w:div>
      </w:divsChild>
    </w:div>
    <w:div w:id="1026441761">
      <w:marLeft w:val="0"/>
      <w:marRight w:val="0"/>
      <w:marTop w:val="0"/>
      <w:marBottom w:val="0"/>
      <w:divBdr>
        <w:top w:val="none" w:sz="0" w:space="0" w:color="auto"/>
        <w:left w:val="none" w:sz="0" w:space="0" w:color="auto"/>
        <w:bottom w:val="none" w:sz="0" w:space="0" w:color="auto"/>
        <w:right w:val="none" w:sz="0" w:space="0" w:color="auto"/>
      </w:divBdr>
      <w:divsChild>
        <w:div w:id="996569234">
          <w:marLeft w:val="0"/>
          <w:marRight w:val="0"/>
          <w:marTop w:val="0"/>
          <w:marBottom w:val="0"/>
          <w:divBdr>
            <w:top w:val="none" w:sz="0" w:space="0" w:color="auto"/>
            <w:left w:val="none" w:sz="0" w:space="0" w:color="auto"/>
            <w:bottom w:val="none" w:sz="0" w:space="0" w:color="auto"/>
            <w:right w:val="none" w:sz="0" w:space="0" w:color="auto"/>
          </w:divBdr>
        </w:div>
      </w:divsChild>
    </w:div>
    <w:div w:id="1027020226">
      <w:marLeft w:val="0"/>
      <w:marRight w:val="0"/>
      <w:marTop w:val="120"/>
      <w:marBottom w:val="0"/>
      <w:divBdr>
        <w:top w:val="none" w:sz="0" w:space="0" w:color="auto"/>
        <w:left w:val="none" w:sz="0" w:space="0" w:color="auto"/>
        <w:bottom w:val="none" w:sz="0" w:space="0" w:color="auto"/>
        <w:right w:val="none" w:sz="0" w:space="0" w:color="auto"/>
      </w:divBdr>
    </w:div>
    <w:div w:id="1027096820">
      <w:marLeft w:val="0"/>
      <w:marRight w:val="0"/>
      <w:marTop w:val="200"/>
      <w:marBottom w:val="0"/>
      <w:divBdr>
        <w:top w:val="none" w:sz="0" w:space="0" w:color="auto"/>
        <w:left w:val="none" w:sz="0" w:space="0" w:color="auto"/>
        <w:bottom w:val="none" w:sz="0" w:space="0" w:color="auto"/>
        <w:right w:val="none" w:sz="0" w:space="0" w:color="auto"/>
      </w:divBdr>
    </w:div>
    <w:div w:id="1029333830">
      <w:marLeft w:val="0"/>
      <w:marRight w:val="0"/>
      <w:marTop w:val="0"/>
      <w:marBottom w:val="0"/>
      <w:divBdr>
        <w:top w:val="none" w:sz="0" w:space="0" w:color="auto"/>
        <w:left w:val="none" w:sz="0" w:space="0" w:color="auto"/>
        <w:bottom w:val="none" w:sz="0" w:space="0" w:color="auto"/>
        <w:right w:val="none" w:sz="0" w:space="0" w:color="auto"/>
      </w:divBdr>
      <w:divsChild>
        <w:div w:id="158470931">
          <w:marLeft w:val="0"/>
          <w:marRight w:val="0"/>
          <w:marTop w:val="0"/>
          <w:marBottom w:val="0"/>
          <w:divBdr>
            <w:top w:val="none" w:sz="0" w:space="0" w:color="auto"/>
            <w:left w:val="none" w:sz="0" w:space="0" w:color="auto"/>
            <w:bottom w:val="none" w:sz="0" w:space="0" w:color="auto"/>
            <w:right w:val="none" w:sz="0" w:space="0" w:color="auto"/>
          </w:divBdr>
        </w:div>
      </w:divsChild>
    </w:div>
    <w:div w:id="1030646011">
      <w:marLeft w:val="0"/>
      <w:marRight w:val="0"/>
      <w:marTop w:val="200"/>
      <w:marBottom w:val="0"/>
      <w:divBdr>
        <w:top w:val="none" w:sz="0" w:space="0" w:color="auto"/>
        <w:left w:val="none" w:sz="0" w:space="0" w:color="auto"/>
        <w:bottom w:val="none" w:sz="0" w:space="0" w:color="auto"/>
        <w:right w:val="none" w:sz="0" w:space="0" w:color="auto"/>
      </w:divBdr>
    </w:div>
    <w:div w:id="1032535159">
      <w:marLeft w:val="0"/>
      <w:marRight w:val="0"/>
      <w:marTop w:val="100"/>
      <w:marBottom w:val="0"/>
      <w:divBdr>
        <w:top w:val="none" w:sz="0" w:space="0" w:color="auto"/>
        <w:left w:val="none" w:sz="0" w:space="0" w:color="auto"/>
        <w:bottom w:val="none" w:sz="0" w:space="0" w:color="auto"/>
        <w:right w:val="none" w:sz="0" w:space="0" w:color="auto"/>
      </w:divBdr>
    </w:div>
    <w:div w:id="1033309699">
      <w:marLeft w:val="0"/>
      <w:marRight w:val="0"/>
      <w:marTop w:val="120"/>
      <w:marBottom w:val="0"/>
      <w:divBdr>
        <w:top w:val="none" w:sz="0" w:space="0" w:color="auto"/>
        <w:left w:val="none" w:sz="0" w:space="0" w:color="auto"/>
        <w:bottom w:val="none" w:sz="0" w:space="0" w:color="auto"/>
        <w:right w:val="none" w:sz="0" w:space="0" w:color="auto"/>
      </w:divBdr>
    </w:div>
    <w:div w:id="1033458397">
      <w:marLeft w:val="0"/>
      <w:marRight w:val="0"/>
      <w:marTop w:val="120"/>
      <w:marBottom w:val="0"/>
      <w:divBdr>
        <w:top w:val="none" w:sz="0" w:space="0" w:color="auto"/>
        <w:left w:val="none" w:sz="0" w:space="0" w:color="auto"/>
        <w:bottom w:val="none" w:sz="0" w:space="0" w:color="auto"/>
        <w:right w:val="none" w:sz="0" w:space="0" w:color="auto"/>
      </w:divBdr>
    </w:div>
    <w:div w:id="1034312796">
      <w:marLeft w:val="0"/>
      <w:marRight w:val="0"/>
      <w:marTop w:val="120"/>
      <w:marBottom w:val="0"/>
      <w:divBdr>
        <w:top w:val="none" w:sz="0" w:space="0" w:color="auto"/>
        <w:left w:val="none" w:sz="0" w:space="0" w:color="auto"/>
        <w:bottom w:val="none" w:sz="0" w:space="0" w:color="auto"/>
        <w:right w:val="none" w:sz="0" w:space="0" w:color="auto"/>
      </w:divBdr>
    </w:div>
    <w:div w:id="1034312923">
      <w:marLeft w:val="0"/>
      <w:marRight w:val="0"/>
      <w:marTop w:val="120"/>
      <w:marBottom w:val="0"/>
      <w:divBdr>
        <w:top w:val="none" w:sz="0" w:space="0" w:color="auto"/>
        <w:left w:val="none" w:sz="0" w:space="0" w:color="auto"/>
        <w:bottom w:val="none" w:sz="0" w:space="0" w:color="auto"/>
        <w:right w:val="none" w:sz="0" w:space="0" w:color="auto"/>
      </w:divBdr>
    </w:div>
    <w:div w:id="1034967838">
      <w:marLeft w:val="0"/>
      <w:marRight w:val="0"/>
      <w:marTop w:val="120"/>
      <w:marBottom w:val="0"/>
      <w:divBdr>
        <w:top w:val="none" w:sz="0" w:space="0" w:color="auto"/>
        <w:left w:val="none" w:sz="0" w:space="0" w:color="auto"/>
        <w:bottom w:val="none" w:sz="0" w:space="0" w:color="auto"/>
        <w:right w:val="none" w:sz="0" w:space="0" w:color="auto"/>
      </w:divBdr>
    </w:div>
    <w:div w:id="1036734899">
      <w:marLeft w:val="0"/>
      <w:marRight w:val="0"/>
      <w:marTop w:val="120"/>
      <w:marBottom w:val="0"/>
      <w:divBdr>
        <w:top w:val="none" w:sz="0" w:space="0" w:color="auto"/>
        <w:left w:val="none" w:sz="0" w:space="0" w:color="auto"/>
        <w:bottom w:val="none" w:sz="0" w:space="0" w:color="auto"/>
        <w:right w:val="none" w:sz="0" w:space="0" w:color="auto"/>
      </w:divBdr>
    </w:div>
    <w:div w:id="1037125802">
      <w:marLeft w:val="0"/>
      <w:marRight w:val="0"/>
      <w:marTop w:val="120"/>
      <w:marBottom w:val="0"/>
      <w:divBdr>
        <w:top w:val="none" w:sz="0" w:space="0" w:color="auto"/>
        <w:left w:val="none" w:sz="0" w:space="0" w:color="auto"/>
        <w:bottom w:val="none" w:sz="0" w:space="0" w:color="auto"/>
        <w:right w:val="none" w:sz="0" w:space="0" w:color="auto"/>
      </w:divBdr>
    </w:div>
    <w:div w:id="1044136614">
      <w:marLeft w:val="0"/>
      <w:marRight w:val="0"/>
      <w:marTop w:val="120"/>
      <w:marBottom w:val="0"/>
      <w:divBdr>
        <w:top w:val="none" w:sz="0" w:space="0" w:color="auto"/>
        <w:left w:val="none" w:sz="0" w:space="0" w:color="auto"/>
        <w:bottom w:val="none" w:sz="0" w:space="0" w:color="auto"/>
        <w:right w:val="none" w:sz="0" w:space="0" w:color="auto"/>
      </w:divBdr>
    </w:div>
    <w:div w:id="1045108351">
      <w:marLeft w:val="0"/>
      <w:marRight w:val="0"/>
      <w:marTop w:val="0"/>
      <w:marBottom w:val="0"/>
      <w:divBdr>
        <w:top w:val="none" w:sz="0" w:space="0" w:color="auto"/>
        <w:left w:val="none" w:sz="0" w:space="0" w:color="auto"/>
        <w:bottom w:val="none" w:sz="0" w:space="0" w:color="auto"/>
        <w:right w:val="none" w:sz="0" w:space="0" w:color="auto"/>
      </w:divBdr>
      <w:divsChild>
        <w:div w:id="527572398">
          <w:marLeft w:val="0"/>
          <w:marRight w:val="0"/>
          <w:marTop w:val="0"/>
          <w:marBottom w:val="0"/>
          <w:divBdr>
            <w:top w:val="none" w:sz="0" w:space="0" w:color="auto"/>
            <w:left w:val="none" w:sz="0" w:space="0" w:color="auto"/>
            <w:bottom w:val="none" w:sz="0" w:space="0" w:color="auto"/>
            <w:right w:val="none" w:sz="0" w:space="0" w:color="auto"/>
          </w:divBdr>
        </w:div>
      </w:divsChild>
    </w:div>
    <w:div w:id="1047685809">
      <w:marLeft w:val="0"/>
      <w:marRight w:val="0"/>
      <w:marTop w:val="120"/>
      <w:marBottom w:val="0"/>
      <w:divBdr>
        <w:top w:val="none" w:sz="0" w:space="0" w:color="auto"/>
        <w:left w:val="none" w:sz="0" w:space="0" w:color="auto"/>
        <w:bottom w:val="none" w:sz="0" w:space="0" w:color="auto"/>
        <w:right w:val="none" w:sz="0" w:space="0" w:color="auto"/>
      </w:divBdr>
    </w:div>
    <w:div w:id="1047754733">
      <w:marLeft w:val="0"/>
      <w:marRight w:val="0"/>
      <w:marTop w:val="120"/>
      <w:marBottom w:val="0"/>
      <w:divBdr>
        <w:top w:val="none" w:sz="0" w:space="0" w:color="auto"/>
        <w:left w:val="none" w:sz="0" w:space="0" w:color="auto"/>
        <w:bottom w:val="none" w:sz="0" w:space="0" w:color="auto"/>
        <w:right w:val="none" w:sz="0" w:space="0" w:color="auto"/>
      </w:divBdr>
    </w:div>
    <w:div w:id="1047801051">
      <w:marLeft w:val="0"/>
      <w:marRight w:val="0"/>
      <w:marTop w:val="120"/>
      <w:marBottom w:val="0"/>
      <w:divBdr>
        <w:top w:val="none" w:sz="0" w:space="0" w:color="auto"/>
        <w:left w:val="none" w:sz="0" w:space="0" w:color="auto"/>
        <w:bottom w:val="none" w:sz="0" w:space="0" w:color="auto"/>
        <w:right w:val="none" w:sz="0" w:space="0" w:color="auto"/>
      </w:divBdr>
    </w:div>
    <w:div w:id="1047995010">
      <w:marLeft w:val="0"/>
      <w:marRight w:val="0"/>
      <w:marTop w:val="120"/>
      <w:marBottom w:val="0"/>
      <w:divBdr>
        <w:top w:val="none" w:sz="0" w:space="0" w:color="auto"/>
        <w:left w:val="none" w:sz="0" w:space="0" w:color="auto"/>
        <w:bottom w:val="none" w:sz="0" w:space="0" w:color="auto"/>
        <w:right w:val="none" w:sz="0" w:space="0" w:color="auto"/>
      </w:divBdr>
    </w:div>
    <w:div w:id="1049301083">
      <w:marLeft w:val="0"/>
      <w:marRight w:val="0"/>
      <w:marTop w:val="0"/>
      <w:marBottom w:val="0"/>
      <w:divBdr>
        <w:top w:val="none" w:sz="0" w:space="0" w:color="auto"/>
        <w:left w:val="none" w:sz="0" w:space="0" w:color="auto"/>
        <w:bottom w:val="none" w:sz="0" w:space="0" w:color="auto"/>
        <w:right w:val="none" w:sz="0" w:space="0" w:color="auto"/>
      </w:divBdr>
      <w:divsChild>
        <w:div w:id="453062567">
          <w:marLeft w:val="0"/>
          <w:marRight w:val="0"/>
          <w:marTop w:val="0"/>
          <w:marBottom w:val="0"/>
          <w:divBdr>
            <w:top w:val="none" w:sz="0" w:space="0" w:color="auto"/>
            <w:left w:val="none" w:sz="0" w:space="0" w:color="auto"/>
            <w:bottom w:val="none" w:sz="0" w:space="0" w:color="auto"/>
            <w:right w:val="none" w:sz="0" w:space="0" w:color="auto"/>
          </w:divBdr>
        </w:div>
      </w:divsChild>
    </w:div>
    <w:div w:id="1049494474">
      <w:marLeft w:val="0"/>
      <w:marRight w:val="0"/>
      <w:marTop w:val="120"/>
      <w:marBottom w:val="0"/>
      <w:divBdr>
        <w:top w:val="none" w:sz="0" w:space="0" w:color="auto"/>
        <w:left w:val="none" w:sz="0" w:space="0" w:color="auto"/>
        <w:bottom w:val="none" w:sz="0" w:space="0" w:color="auto"/>
        <w:right w:val="none" w:sz="0" w:space="0" w:color="auto"/>
      </w:divBdr>
    </w:div>
    <w:div w:id="1050493235">
      <w:marLeft w:val="0"/>
      <w:marRight w:val="0"/>
      <w:marTop w:val="120"/>
      <w:marBottom w:val="0"/>
      <w:divBdr>
        <w:top w:val="none" w:sz="0" w:space="0" w:color="auto"/>
        <w:left w:val="none" w:sz="0" w:space="0" w:color="auto"/>
        <w:bottom w:val="none" w:sz="0" w:space="0" w:color="auto"/>
        <w:right w:val="none" w:sz="0" w:space="0" w:color="auto"/>
      </w:divBdr>
    </w:div>
    <w:div w:id="1050615862">
      <w:marLeft w:val="0"/>
      <w:marRight w:val="0"/>
      <w:marTop w:val="0"/>
      <w:marBottom w:val="0"/>
      <w:divBdr>
        <w:top w:val="none" w:sz="0" w:space="0" w:color="auto"/>
        <w:left w:val="none" w:sz="0" w:space="0" w:color="auto"/>
        <w:bottom w:val="none" w:sz="0" w:space="0" w:color="auto"/>
        <w:right w:val="none" w:sz="0" w:space="0" w:color="auto"/>
      </w:divBdr>
    </w:div>
    <w:div w:id="1051807815">
      <w:marLeft w:val="0"/>
      <w:marRight w:val="0"/>
      <w:marTop w:val="0"/>
      <w:marBottom w:val="0"/>
      <w:divBdr>
        <w:top w:val="none" w:sz="0" w:space="0" w:color="auto"/>
        <w:left w:val="none" w:sz="0" w:space="0" w:color="auto"/>
        <w:bottom w:val="none" w:sz="0" w:space="0" w:color="auto"/>
        <w:right w:val="none" w:sz="0" w:space="0" w:color="auto"/>
      </w:divBdr>
      <w:divsChild>
        <w:div w:id="134883232">
          <w:marLeft w:val="0"/>
          <w:marRight w:val="0"/>
          <w:marTop w:val="0"/>
          <w:marBottom w:val="0"/>
          <w:divBdr>
            <w:top w:val="none" w:sz="0" w:space="0" w:color="auto"/>
            <w:left w:val="none" w:sz="0" w:space="0" w:color="auto"/>
            <w:bottom w:val="none" w:sz="0" w:space="0" w:color="auto"/>
            <w:right w:val="none" w:sz="0" w:space="0" w:color="auto"/>
          </w:divBdr>
        </w:div>
      </w:divsChild>
    </w:div>
    <w:div w:id="1055201895">
      <w:marLeft w:val="0"/>
      <w:marRight w:val="0"/>
      <w:marTop w:val="120"/>
      <w:marBottom w:val="0"/>
      <w:divBdr>
        <w:top w:val="none" w:sz="0" w:space="0" w:color="auto"/>
        <w:left w:val="none" w:sz="0" w:space="0" w:color="auto"/>
        <w:bottom w:val="none" w:sz="0" w:space="0" w:color="auto"/>
        <w:right w:val="none" w:sz="0" w:space="0" w:color="auto"/>
      </w:divBdr>
    </w:div>
    <w:div w:id="1057049447">
      <w:marLeft w:val="0"/>
      <w:marRight w:val="0"/>
      <w:marTop w:val="120"/>
      <w:marBottom w:val="0"/>
      <w:divBdr>
        <w:top w:val="none" w:sz="0" w:space="0" w:color="auto"/>
        <w:left w:val="none" w:sz="0" w:space="0" w:color="auto"/>
        <w:bottom w:val="none" w:sz="0" w:space="0" w:color="auto"/>
        <w:right w:val="none" w:sz="0" w:space="0" w:color="auto"/>
      </w:divBdr>
    </w:div>
    <w:div w:id="1058552814">
      <w:marLeft w:val="0"/>
      <w:marRight w:val="0"/>
      <w:marTop w:val="120"/>
      <w:marBottom w:val="0"/>
      <w:divBdr>
        <w:top w:val="none" w:sz="0" w:space="0" w:color="auto"/>
        <w:left w:val="none" w:sz="0" w:space="0" w:color="auto"/>
        <w:bottom w:val="none" w:sz="0" w:space="0" w:color="auto"/>
        <w:right w:val="none" w:sz="0" w:space="0" w:color="auto"/>
      </w:divBdr>
    </w:div>
    <w:div w:id="1058557463">
      <w:marLeft w:val="0"/>
      <w:marRight w:val="0"/>
      <w:marTop w:val="120"/>
      <w:marBottom w:val="0"/>
      <w:divBdr>
        <w:top w:val="none" w:sz="0" w:space="0" w:color="auto"/>
        <w:left w:val="none" w:sz="0" w:space="0" w:color="auto"/>
        <w:bottom w:val="none" w:sz="0" w:space="0" w:color="auto"/>
        <w:right w:val="none" w:sz="0" w:space="0" w:color="auto"/>
      </w:divBdr>
    </w:div>
    <w:div w:id="1059784588">
      <w:marLeft w:val="0"/>
      <w:marRight w:val="0"/>
      <w:marTop w:val="120"/>
      <w:marBottom w:val="0"/>
      <w:divBdr>
        <w:top w:val="none" w:sz="0" w:space="0" w:color="auto"/>
        <w:left w:val="none" w:sz="0" w:space="0" w:color="auto"/>
        <w:bottom w:val="none" w:sz="0" w:space="0" w:color="auto"/>
        <w:right w:val="none" w:sz="0" w:space="0" w:color="auto"/>
      </w:divBdr>
    </w:div>
    <w:div w:id="1060782900">
      <w:marLeft w:val="0"/>
      <w:marRight w:val="0"/>
      <w:marTop w:val="0"/>
      <w:marBottom w:val="0"/>
      <w:divBdr>
        <w:top w:val="none" w:sz="0" w:space="0" w:color="auto"/>
        <w:left w:val="none" w:sz="0" w:space="0" w:color="auto"/>
        <w:bottom w:val="none" w:sz="0" w:space="0" w:color="auto"/>
        <w:right w:val="none" w:sz="0" w:space="0" w:color="auto"/>
      </w:divBdr>
      <w:divsChild>
        <w:div w:id="1530222106">
          <w:marLeft w:val="0"/>
          <w:marRight w:val="0"/>
          <w:marTop w:val="0"/>
          <w:marBottom w:val="0"/>
          <w:divBdr>
            <w:top w:val="none" w:sz="0" w:space="0" w:color="auto"/>
            <w:left w:val="none" w:sz="0" w:space="0" w:color="auto"/>
            <w:bottom w:val="none" w:sz="0" w:space="0" w:color="auto"/>
            <w:right w:val="none" w:sz="0" w:space="0" w:color="auto"/>
          </w:divBdr>
        </w:div>
      </w:divsChild>
    </w:div>
    <w:div w:id="1061947177">
      <w:marLeft w:val="0"/>
      <w:marRight w:val="0"/>
      <w:marTop w:val="200"/>
      <w:marBottom w:val="0"/>
      <w:divBdr>
        <w:top w:val="none" w:sz="0" w:space="0" w:color="auto"/>
        <w:left w:val="none" w:sz="0" w:space="0" w:color="auto"/>
        <w:bottom w:val="none" w:sz="0" w:space="0" w:color="auto"/>
        <w:right w:val="none" w:sz="0" w:space="0" w:color="auto"/>
      </w:divBdr>
    </w:div>
    <w:div w:id="1065494866">
      <w:marLeft w:val="0"/>
      <w:marRight w:val="0"/>
      <w:marTop w:val="120"/>
      <w:marBottom w:val="0"/>
      <w:divBdr>
        <w:top w:val="none" w:sz="0" w:space="0" w:color="auto"/>
        <w:left w:val="none" w:sz="0" w:space="0" w:color="auto"/>
        <w:bottom w:val="none" w:sz="0" w:space="0" w:color="auto"/>
        <w:right w:val="none" w:sz="0" w:space="0" w:color="auto"/>
      </w:divBdr>
    </w:div>
    <w:div w:id="1065495060">
      <w:marLeft w:val="0"/>
      <w:marRight w:val="0"/>
      <w:marTop w:val="120"/>
      <w:marBottom w:val="0"/>
      <w:divBdr>
        <w:top w:val="none" w:sz="0" w:space="0" w:color="auto"/>
        <w:left w:val="none" w:sz="0" w:space="0" w:color="auto"/>
        <w:bottom w:val="none" w:sz="0" w:space="0" w:color="auto"/>
        <w:right w:val="none" w:sz="0" w:space="0" w:color="auto"/>
      </w:divBdr>
    </w:div>
    <w:div w:id="1066224041">
      <w:marLeft w:val="0"/>
      <w:marRight w:val="0"/>
      <w:marTop w:val="0"/>
      <w:marBottom w:val="0"/>
      <w:divBdr>
        <w:top w:val="none" w:sz="0" w:space="0" w:color="auto"/>
        <w:left w:val="none" w:sz="0" w:space="0" w:color="auto"/>
        <w:bottom w:val="none" w:sz="0" w:space="0" w:color="auto"/>
        <w:right w:val="none" w:sz="0" w:space="0" w:color="auto"/>
      </w:divBdr>
      <w:divsChild>
        <w:div w:id="2106924643">
          <w:marLeft w:val="0"/>
          <w:marRight w:val="0"/>
          <w:marTop w:val="0"/>
          <w:marBottom w:val="0"/>
          <w:divBdr>
            <w:top w:val="none" w:sz="0" w:space="0" w:color="auto"/>
            <w:left w:val="none" w:sz="0" w:space="0" w:color="auto"/>
            <w:bottom w:val="none" w:sz="0" w:space="0" w:color="auto"/>
            <w:right w:val="none" w:sz="0" w:space="0" w:color="auto"/>
          </w:divBdr>
        </w:div>
      </w:divsChild>
    </w:div>
    <w:div w:id="1067611183">
      <w:marLeft w:val="0"/>
      <w:marRight w:val="0"/>
      <w:marTop w:val="0"/>
      <w:marBottom w:val="0"/>
      <w:divBdr>
        <w:top w:val="none" w:sz="0" w:space="0" w:color="auto"/>
        <w:left w:val="none" w:sz="0" w:space="0" w:color="auto"/>
        <w:bottom w:val="none" w:sz="0" w:space="0" w:color="auto"/>
        <w:right w:val="none" w:sz="0" w:space="0" w:color="auto"/>
      </w:divBdr>
      <w:divsChild>
        <w:div w:id="766972958">
          <w:marLeft w:val="0"/>
          <w:marRight w:val="0"/>
          <w:marTop w:val="0"/>
          <w:marBottom w:val="0"/>
          <w:divBdr>
            <w:top w:val="none" w:sz="0" w:space="0" w:color="auto"/>
            <w:left w:val="none" w:sz="0" w:space="0" w:color="auto"/>
            <w:bottom w:val="none" w:sz="0" w:space="0" w:color="auto"/>
            <w:right w:val="none" w:sz="0" w:space="0" w:color="auto"/>
          </w:divBdr>
        </w:div>
      </w:divsChild>
    </w:div>
    <w:div w:id="1068726145">
      <w:marLeft w:val="0"/>
      <w:marRight w:val="0"/>
      <w:marTop w:val="120"/>
      <w:marBottom w:val="0"/>
      <w:divBdr>
        <w:top w:val="none" w:sz="0" w:space="0" w:color="auto"/>
        <w:left w:val="none" w:sz="0" w:space="0" w:color="auto"/>
        <w:bottom w:val="none" w:sz="0" w:space="0" w:color="auto"/>
        <w:right w:val="none" w:sz="0" w:space="0" w:color="auto"/>
      </w:divBdr>
    </w:div>
    <w:div w:id="1070273762">
      <w:marLeft w:val="0"/>
      <w:marRight w:val="0"/>
      <w:marTop w:val="120"/>
      <w:marBottom w:val="0"/>
      <w:divBdr>
        <w:top w:val="none" w:sz="0" w:space="0" w:color="auto"/>
        <w:left w:val="none" w:sz="0" w:space="0" w:color="auto"/>
        <w:bottom w:val="none" w:sz="0" w:space="0" w:color="auto"/>
        <w:right w:val="none" w:sz="0" w:space="0" w:color="auto"/>
      </w:divBdr>
    </w:div>
    <w:div w:id="1072702494">
      <w:marLeft w:val="0"/>
      <w:marRight w:val="0"/>
      <w:marTop w:val="120"/>
      <w:marBottom w:val="0"/>
      <w:divBdr>
        <w:top w:val="none" w:sz="0" w:space="0" w:color="auto"/>
        <w:left w:val="none" w:sz="0" w:space="0" w:color="auto"/>
        <w:bottom w:val="none" w:sz="0" w:space="0" w:color="auto"/>
        <w:right w:val="none" w:sz="0" w:space="0" w:color="auto"/>
      </w:divBdr>
    </w:div>
    <w:div w:id="1075014676">
      <w:marLeft w:val="0"/>
      <w:marRight w:val="0"/>
      <w:marTop w:val="0"/>
      <w:marBottom w:val="0"/>
      <w:divBdr>
        <w:top w:val="none" w:sz="0" w:space="0" w:color="auto"/>
        <w:left w:val="none" w:sz="0" w:space="0" w:color="auto"/>
        <w:bottom w:val="none" w:sz="0" w:space="0" w:color="auto"/>
        <w:right w:val="none" w:sz="0" w:space="0" w:color="auto"/>
      </w:divBdr>
      <w:divsChild>
        <w:div w:id="81265038">
          <w:marLeft w:val="0"/>
          <w:marRight w:val="0"/>
          <w:marTop w:val="0"/>
          <w:marBottom w:val="0"/>
          <w:divBdr>
            <w:top w:val="none" w:sz="0" w:space="0" w:color="auto"/>
            <w:left w:val="none" w:sz="0" w:space="0" w:color="auto"/>
            <w:bottom w:val="none" w:sz="0" w:space="0" w:color="auto"/>
            <w:right w:val="none" w:sz="0" w:space="0" w:color="auto"/>
          </w:divBdr>
        </w:div>
      </w:divsChild>
    </w:div>
    <w:div w:id="1075053541">
      <w:marLeft w:val="0"/>
      <w:marRight w:val="0"/>
      <w:marTop w:val="200"/>
      <w:marBottom w:val="0"/>
      <w:divBdr>
        <w:top w:val="none" w:sz="0" w:space="0" w:color="auto"/>
        <w:left w:val="none" w:sz="0" w:space="0" w:color="auto"/>
        <w:bottom w:val="none" w:sz="0" w:space="0" w:color="auto"/>
        <w:right w:val="none" w:sz="0" w:space="0" w:color="auto"/>
      </w:divBdr>
    </w:div>
    <w:div w:id="1077049428">
      <w:marLeft w:val="0"/>
      <w:marRight w:val="0"/>
      <w:marTop w:val="120"/>
      <w:marBottom w:val="0"/>
      <w:divBdr>
        <w:top w:val="none" w:sz="0" w:space="0" w:color="auto"/>
        <w:left w:val="none" w:sz="0" w:space="0" w:color="auto"/>
        <w:bottom w:val="none" w:sz="0" w:space="0" w:color="auto"/>
        <w:right w:val="none" w:sz="0" w:space="0" w:color="auto"/>
      </w:divBdr>
    </w:div>
    <w:div w:id="1078478690">
      <w:marLeft w:val="0"/>
      <w:marRight w:val="0"/>
      <w:marTop w:val="120"/>
      <w:marBottom w:val="0"/>
      <w:divBdr>
        <w:top w:val="none" w:sz="0" w:space="0" w:color="auto"/>
        <w:left w:val="none" w:sz="0" w:space="0" w:color="auto"/>
        <w:bottom w:val="none" w:sz="0" w:space="0" w:color="auto"/>
        <w:right w:val="none" w:sz="0" w:space="0" w:color="auto"/>
      </w:divBdr>
    </w:div>
    <w:div w:id="1079402678">
      <w:marLeft w:val="0"/>
      <w:marRight w:val="0"/>
      <w:marTop w:val="0"/>
      <w:marBottom w:val="0"/>
      <w:divBdr>
        <w:top w:val="none" w:sz="0" w:space="0" w:color="auto"/>
        <w:left w:val="none" w:sz="0" w:space="0" w:color="auto"/>
        <w:bottom w:val="none" w:sz="0" w:space="0" w:color="auto"/>
        <w:right w:val="none" w:sz="0" w:space="0" w:color="auto"/>
      </w:divBdr>
      <w:divsChild>
        <w:div w:id="1146163129">
          <w:marLeft w:val="0"/>
          <w:marRight w:val="0"/>
          <w:marTop w:val="0"/>
          <w:marBottom w:val="0"/>
          <w:divBdr>
            <w:top w:val="none" w:sz="0" w:space="0" w:color="auto"/>
            <w:left w:val="none" w:sz="0" w:space="0" w:color="auto"/>
            <w:bottom w:val="none" w:sz="0" w:space="0" w:color="auto"/>
            <w:right w:val="none" w:sz="0" w:space="0" w:color="auto"/>
          </w:divBdr>
        </w:div>
      </w:divsChild>
    </w:div>
    <w:div w:id="1080829313">
      <w:marLeft w:val="0"/>
      <w:marRight w:val="0"/>
      <w:marTop w:val="0"/>
      <w:marBottom w:val="0"/>
      <w:divBdr>
        <w:top w:val="none" w:sz="0" w:space="0" w:color="auto"/>
        <w:left w:val="none" w:sz="0" w:space="0" w:color="auto"/>
        <w:bottom w:val="none" w:sz="0" w:space="0" w:color="auto"/>
        <w:right w:val="none" w:sz="0" w:space="0" w:color="auto"/>
      </w:divBdr>
      <w:divsChild>
        <w:div w:id="629286646">
          <w:marLeft w:val="0"/>
          <w:marRight w:val="0"/>
          <w:marTop w:val="0"/>
          <w:marBottom w:val="0"/>
          <w:divBdr>
            <w:top w:val="none" w:sz="0" w:space="0" w:color="auto"/>
            <w:left w:val="none" w:sz="0" w:space="0" w:color="auto"/>
            <w:bottom w:val="none" w:sz="0" w:space="0" w:color="auto"/>
            <w:right w:val="none" w:sz="0" w:space="0" w:color="auto"/>
          </w:divBdr>
        </w:div>
      </w:divsChild>
    </w:div>
    <w:div w:id="1082874068">
      <w:marLeft w:val="0"/>
      <w:marRight w:val="0"/>
      <w:marTop w:val="200"/>
      <w:marBottom w:val="0"/>
      <w:divBdr>
        <w:top w:val="none" w:sz="0" w:space="0" w:color="auto"/>
        <w:left w:val="none" w:sz="0" w:space="0" w:color="auto"/>
        <w:bottom w:val="none" w:sz="0" w:space="0" w:color="auto"/>
        <w:right w:val="none" w:sz="0" w:space="0" w:color="auto"/>
      </w:divBdr>
    </w:div>
    <w:div w:id="1083795628">
      <w:marLeft w:val="0"/>
      <w:marRight w:val="0"/>
      <w:marTop w:val="200"/>
      <w:marBottom w:val="0"/>
      <w:divBdr>
        <w:top w:val="none" w:sz="0" w:space="0" w:color="auto"/>
        <w:left w:val="none" w:sz="0" w:space="0" w:color="auto"/>
        <w:bottom w:val="none" w:sz="0" w:space="0" w:color="auto"/>
        <w:right w:val="none" w:sz="0" w:space="0" w:color="auto"/>
      </w:divBdr>
    </w:div>
    <w:div w:id="1086657429">
      <w:marLeft w:val="0"/>
      <w:marRight w:val="0"/>
      <w:marTop w:val="120"/>
      <w:marBottom w:val="0"/>
      <w:divBdr>
        <w:top w:val="none" w:sz="0" w:space="0" w:color="auto"/>
        <w:left w:val="none" w:sz="0" w:space="0" w:color="auto"/>
        <w:bottom w:val="none" w:sz="0" w:space="0" w:color="auto"/>
        <w:right w:val="none" w:sz="0" w:space="0" w:color="auto"/>
      </w:divBdr>
    </w:div>
    <w:div w:id="1088505644">
      <w:marLeft w:val="0"/>
      <w:marRight w:val="0"/>
      <w:marTop w:val="0"/>
      <w:marBottom w:val="0"/>
      <w:divBdr>
        <w:top w:val="none" w:sz="0" w:space="0" w:color="auto"/>
        <w:left w:val="none" w:sz="0" w:space="0" w:color="auto"/>
        <w:bottom w:val="none" w:sz="0" w:space="0" w:color="auto"/>
        <w:right w:val="none" w:sz="0" w:space="0" w:color="auto"/>
      </w:divBdr>
      <w:divsChild>
        <w:div w:id="1027950085">
          <w:marLeft w:val="0"/>
          <w:marRight w:val="0"/>
          <w:marTop w:val="0"/>
          <w:marBottom w:val="0"/>
          <w:divBdr>
            <w:top w:val="none" w:sz="0" w:space="0" w:color="auto"/>
            <w:left w:val="none" w:sz="0" w:space="0" w:color="auto"/>
            <w:bottom w:val="none" w:sz="0" w:space="0" w:color="auto"/>
            <w:right w:val="none" w:sz="0" w:space="0" w:color="auto"/>
          </w:divBdr>
        </w:div>
      </w:divsChild>
    </w:div>
    <w:div w:id="1091704421">
      <w:marLeft w:val="0"/>
      <w:marRight w:val="0"/>
      <w:marTop w:val="120"/>
      <w:marBottom w:val="0"/>
      <w:divBdr>
        <w:top w:val="none" w:sz="0" w:space="0" w:color="auto"/>
        <w:left w:val="none" w:sz="0" w:space="0" w:color="auto"/>
        <w:bottom w:val="none" w:sz="0" w:space="0" w:color="auto"/>
        <w:right w:val="none" w:sz="0" w:space="0" w:color="auto"/>
      </w:divBdr>
    </w:div>
    <w:div w:id="1092168250">
      <w:marLeft w:val="0"/>
      <w:marRight w:val="0"/>
      <w:marTop w:val="120"/>
      <w:marBottom w:val="0"/>
      <w:divBdr>
        <w:top w:val="none" w:sz="0" w:space="0" w:color="auto"/>
        <w:left w:val="none" w:sz="0" w:space="0" w:color="auto"/>
        <w:bottom w:val="none" w:sz="0" w:space="0" w:color="auto"/>
        <w:right w:val="none" w:sz="0" w:space="0" w:color="auto"/>
      </w:divBdr>
    </w:div>
    <w:div w:id="1100106912">
      <w:marLeft w:val="0"/>
      <w:marRight w:val="0"/>
      <w:marTop w:val="120"/>
      <w:marBottom w:val="0"/>
      <w:divBdr>
        <w:top w:val="none" w:sz="0" w:space="0" w:color="auto"/>
        <w:left w:val="none" w:sz="0" w:space="0" w:color="auto"/>
        <w:bottom w:val="none" w:sz="0" w:space="0" w:color="auto"/>
        <w:right w:val="none" w:sz="0" w:space="0" w:color="auto"/>
      </w:divBdr>
    </w:div>
    <w:div w:id="1101027619">
      <w:marLeft w:val="0"/>
      <w:marRight w:val="0"/>
      <w:marTop w:val="120"/>
      <w:marBottom w:val="0"/>
      <w:divBdr>
        <w:top w:val="none" w:sz="0" w:space="0" w:color="auto"/>
        <w:left w:val="none" w:sz="0" w:space="0" w:color="auto"/>
        <w:bottom w:val="none" w:sz="0" w:space="0" w:color="auto"/>
        <w:right w:val="none" w:sz="0" w:space="0" w:color="auto"/>
      </w:divBdr>
    </w:div>
    <w:div w:id="1101293695">
      <w:marLeft w:val="0"/>
      <w:marRight w:val="0"/>
      <w:marTop w:val="120"/>
      <w:marBottom w:val="0"/>
      <w:divBdr>
        <w:top w:val="none" w:sz="0" w:space="0" w:color="auto"/>
        <w:left w:val="none" w:sz="0" w:space="0" w:color="auto"/>
        <w:bottom w:val="none" w:sz="0" w:space="0" w:color="auto"/>
        <w:right w:val="none" w:sz="0" w:space="0" w:color="auto"/>
      </w:divBdr>
    </w:div>
    <w:div w:id="1102068096">
      <w:marLeft w:val="0"/>
      <w:marRight w:val="0"/>
      <w:marTop w:val="200"/>
      <w:marBottom w:val="0"/>
      <w:divBdr>
        <w:top w:val="none" w:sz="0" w:space="0" w:color="auto"/>
        <w:left w:val="none" w:sz="0" w:space="0" w:color="auto"/>
        <w:bottom w:val="none" w:sz="0" w:space="0" w:color="auto"/>
        <w:right w:val="none" w:sz="0" w:space="0" w:color="auto"/>
      </w:divBdr>
    </w:div>
    <w:div w:id="1102917868">
      <w:marLeft w:val="0"/>
      <w:marRight w:val="0"/>
      <w:marTop w:val="120"/>
      <w:marBottom w:val="0"/>
      <w:divBdr>
        <w:top w:val="none" w:sz="0" w:space="0" w:color="auto"/>
        <w:left w:val="none" w:sz="0" w:space="0" w:color="auto"/>
        <w:bottom w:val="none" w:sz="0" w:space="0" w:color="auto"/>
        <w:right w:val="none" w:sz="0" w:space="0" w:color="auto"/>
      </w:divBdr>
    </w:div>
    <w:div w:id="1103574799">
      <w:marLeft w:val="0"/>
      <w:marRight w:val="0"/>
      <w:marTop w:val="120"/>
      <w:marBottom w:val="0"/>
      <w:divBdr>
        <w:top w:val="none" w:sz="0" w:space="0" w:color="auto"/>
        <w:left w:val="none" w:sz="0" w:space="0" w:color="auto"/>
        <w:bottom w:val="none" w:sz="0" w:space="0" w:color="auto"/>
        <w:right w:val="none" w:sz="0" w:space="0" w:color="auto"/>
      </w:divBdr>
    </w:div>
    <w:div w:id="1104230064">
      <w:marLeft w:val="0"/>
      <w:marRight w:val="0"/>
      <w:marTop w:val="200"/>
      <w:marBottom w:val="0"/>
      <w:divBdr>
        <w:top w:val="none" w:sz="0" w:space="0" w:color="auto"/>
        <w:left w:val="none" w:sz="0" w:space="0" w:color="auto"/>
        <w:bottom w:val="none" w:sz="0" w:space="0" w:color="auto"/>
        <w:right w:val="none" w:sz="0" w:space="0" w:color="auto"/>
      </w:divBdr>
    </w:div>
    <w:div w:id="1105613686">
      <w:marLeft w:val="0"/>
      <w:marRight w:val="0"/>
      <w:marTop w:val="0"/>
      <w:marBottom w:val="0"/>
      <w:divBdr>
        <w:top w:val="none" w:sz="0" w:space="0" w:color="auto"/>
        <w:left w:val="none" w:sz="0" w:space="0" w:color="auto"/>
        <w:bottom w:val="none" w:sz="0" w:space="0" w:color="auto"/>
        <w:right w:val="none" w:sz="0" w:space="0" w:color="auto"/>
      </w:divBdr>
      <w:divsChild>
        <w:div w:id="1748959877">
          <w:marLeft w:val="0"/>
          <w:marRight w:val="0"/>
          <w:marTop w:val="0"/>
          <w:marBottom w:val="0"/>
          <w:divBdr>
            <w:top w:val="none" w:sz="0" w:space="0" w:color="auto"/>
            <w:left w:val="none" w:sz="0" w:space="0" w:color="auto"/>
            <w:bottom w:val="none" w:sz="0" w:space="0" w:color="auto"/>
            <w:right w:val="none" w:sz="0" w:space="0" w:color="auto"/>
          </w:divBdr>
        </w:div>
      </w:divsChild>
    </w:div>
    <w:div w:id="1105686612">
      <w:marLeft w:val="0"/>
      <w:marRight w:val="0"/>
      <w:marTop w:val="200"/>
      <w:marBottom w:val="0"/>
      <w:divBdr>
        <w:top w:val="none" w:sz="0" w:space="0" w:color="auto"/>
        <w:left w:val="none" w:sz="0" w:space="0" w:color="auto"/>
        <w:bottom w:val="none" w:sz="0" w:space="0" w:color="auto"/>
        <w:right w:val="none" w:sz="0" w:space="0" w:color="auto"/>
      </w:divBdr>
    </w:div>
    <w:div w:id="1107233167">
      <w:marLeft w:val="0"/>
      <w:marRight w:val="0"/>
      <w:marTop w:val="0"/>
      <w:marBottom w:val="0"/>
      <w:divBdr>
        <w:top w:val="none" w:sz="0" w:space="0" w:color="auto"/>
        <w:left w:val="none" w:sz="0" w:space="0" w:color="auto"/>
        <w:bottom w:val="none" w:sz="0" w:space="0" w:color="auto"/>
        <w:right w:val="none" w:sz="0" w:space="0" w:color="auto"/>
      </w:divBdr>
      <w:divsChild>
        <w:div w:id="917863134">
          <w:marLeft w:val="0"/>
          <w:marRight w:val="0"/>
          <w:marTop w:val="0"/>
          <w:marBottom w:val="0"/>
          <w:divBdr>
            <w:top w:val="none" w:sz="0" w:space="0" w:color="auto"/>
            <w:left w:val="none" w:sz="0" w:space="0" w:color="auto"/>
            <w:bottom w:val="none" w:sz="0" w:space="0" w:color="auto"/>
            <w:right w:val="none" w:sz="0" w:space="0" w:color="auto"/>
          </w:divBdr>
        </w:div>
      </w:divsChild>
    </w:div>
    <w:div w:id="1108232435">
      <w:marLeft w:val="0"/>
      <w:marRight w:val="0"/>
      <w:marTop w:val="120"/>
      <w:marBottom w:val="0"/>
      <w:divBdr>
        <w:top w:val="none" w:sz="0" w:space="0" w:color="auto"/>
        <w:left w:val="none" w:sz="0" w:space="0" w:color="auto"/>
        <w:bottom w:val="none" w:sz="0" w:space="0" w:color="auto"/>
        <w:right w:val="none" w:sz="0" w:space="0" w:color="auto"/>
      </w:divBdr>
    </w:div>
    <w:div w:id="1109202076">
      <w:marLeft w:val="0"/>
      <w:marRight w:val="0"/>
      <w:marTop w:val="120"/>
      <w:marBottom w:val="0"/>
      <w:divBdr>
        <w:top w:val="none" w:sz="0" w:space="0" w:color="auto"/>
        <w:left w:val="none" w:sz="0" w:space="0" w:color="auto"/>
        <w:bottom w:val="none" w:sz="0" w:space="0" w:color="auto"/>
        <w:right w:val="none" w:sz="0" w:space="0" w:color="auto"/>
      </w:divBdr>
    </w:div>
    <w:div w:id="1109355850">
      <w:marLeft w:val="0"/>
      <w:marRight w:val="0"/>
      <w:marTop w:val="0"/>
      <w:marBottom w:val="0"/>
      <w:divBdr>
        <w:top w:val="none" w:sz="0" w:space="0" w:color="auto"/>
        <w:left w:val="none" w:sz="0" w:space="0" w:color="auto"/>
        <w:bottom w:val="none" w:sz="0" w:space="0" w:color="auto"/>
        <w:right w:val="none" w:sz="0" w:space="0" w:color="auto"/>
      </w:divBdr>
      <w:divsChild>
        <w:div w:id="1856454515">
          <w:marLeft w:val="0"/>
          <w:marRight w:val="0"/>
          <w:marTop w:val="0"/>
          <w:marBottom w:val="0"/>
          <w:divBdr>
            <w:top w:val="none" w:sz="0" w:space="0" w:color="auto"/>
            <w:left w:val="none" w:sz="0" w:space="0" w:color="auto"/>
            <w:bottom w:val="none" w:sz="0" w:space="0" w:color="auto"/>
            <w:right w:val="none" w:sz="0" w:space="0" w:color="auto"/>
          </w:divBdr>
        </w:div>
      </w:divsChild>
    </w:div>
    <w:div w:id="1110667704">
      <w:marLeft w:val="0"/>
      <w:marRight w:val="0"/>
      <w:marTop w:val="200"/>
      <w:marBottom w:val="0"/>
      <w:divBdr>
        <w:top w:val="none" w:sz="0" w:space="0" w:color="auto"/>
        <w:left w:val="none" w:sz="0" w:space="0" w:color="auto"/>
        <w:bottom w:val="none" w:sz="0" w:space="0" w:color="auto"/>
        <w:right w:val="none" w:sz="0" w:space="0" w:color="auto"/>
      </w:divBdr>
    </w:div>
    <w:div w:id="1110902975">
      <w:marLeft w:val="0"/>
      <w:marRight w:val="0"/>
      <w:marTop w:val="0"/>
      <w:marBottom w:val="0"/>
      <w:divBdr>
        <w:top w:val="none" w:sz="0" w:space="0" w:color="auto"/>
        <w:left w:val="none" w:sz="0" w:space="0" w:color="auto"/>
        <w:bottom w:val="none" w:sz="0" w:space="0" w:color="auto"/>
        <w:right w:val="none" w:sz="0" w:space="0" w:color="auto"/>
      </w:divBdr>
    </w:div>
    <w:div w:id="1115253064">
      <w:marLeft w:val="0"/>
      <w:marRight w:val="0"/>
      <w:marTop w:val="0"/>
      <w:marBottom w:val="0"/>
      <w:divBdr>
        <w:top w:val="none" w:sz="0" w:space="0" w:color="auto"/>
        <w:left w:val="none" w:sz="0" w:space="0" w:color="auto"/>
        <w:bottom w:val="none" w:sz="0" w:space="0" w:color="auto"/>
        <w:right w:val="none" w:sz="0" w:space="0" w:color="auto"/>
      </w:divBdr>
      <w:divsChild>
        <w:div w:id="61149430">
          <w:marLeft w:val="0"/>
          <w:marRight w:val="0"/>
          <w:marTop w:val="0"/>
          <w:marBottom w:val="0"/>
          <w:divBdr>
            <w:top w:val="none" w:sz="0" w:space="0" w:color="auto"/>
            <w:left w:val="none" w:sz="0" w:space="0" w:color="auto"/>
            <w:bottom w:val="none" w:sz="0" w:space="0" w:color="auto"/>
            <w:right w:val="none" w:sz="0" w:space="0" w:color="auto"/>
          </w:divBdr>
        </w:div>
      </w:divsChild>
    </w:div>
    <w:div w:id="1115370363">
      <w:marLeft w:val="0"/>
      <w:marRight w:val="0"/>
      <w:marTop w:val="0"/>
      <w:marBottom w:val="0"/>
      <w:divBdr>
        <w:top w:val="none" w:sz="0" w:space="0" w:color="auto"/>
        <w:left w:val="none" w:sz="0" w:space="0" w:color="auto"/>
        <w:bottom w:val="none" w:sz="0" w:space="0" w:color="auto"/>
        <w:right w:val="none" w:sz="0" w:space="0" w:color="auto"/>
      </w:divBdr>
      <w:divsChild>
        <w:div w:id="1601570378">
          <w:marLeft w:val="0"/>
          <w:marRight w:val="0"/>
          <w:marTop w:val="0"/>
          <w:marBottom w:val="0"/>
          <w:divBdr>
            <w:top w:val="none" w:sz="0" w:space="0" w:color="auto"/>
            <w:left w:val="none" w:sz="0" w:space="0" w:color="auto"/>
            <w:bottom w:val="none" w:sz="0" w:space="0" w:color="auto"/>
            <w:right w:val="none" w:sz="0" w:space="0" w:color="auto"/>
          </w:divBdr>
        </w:div>
      </w:divsChild>
    </w:div>
    <w:div w:id="1115371433">
      <w:marLeft w:val="0"/>
      <w:marRight w:val="0"/>
      <w:marTop w:val="120"/>
      <w:marBottom w:val="0"/>
      <w:divBdr>
        <w:top w:val="none" w:sz="0" w:space="0" w:color="auto"/>
        <w:left w:val="none" w:sz="0" w:space="0" w:color="auto"/>
        <w:bottom w:val="none" w:sz="0" w:space="0" w:color="auto"/>
        <w:right w:val="none" w:sz="0" w:space="0" w:color="auto"/>
      </w:divBdr>
    </w:div>
    <w:div w:id="1117023996">
      <w:marLeft w:val="0"/>
      <w:marRight w:val="0"/>
      <w:marTop w:val="120"/>
      <w:marBottom w:val="0"/>
      <w:divBdr>
        <w:top w:val="none" w:sz="0" w:space="0" w:color="auto"/>
        <w:left w:val="none" w:sz="0" w:space="0" w:color="auto"/>
        <w:bottom w:val="none" w:sz="0" w:space="0" w:color="auto"/>
        <w:right w:val="none" w:sz="0" w:space="0" w:color="auto"/>
      </w:divBdr>
    </w:div>
    <w:div w:id="1117455653">
      <w:marLeft w:val="0"/>
      <w:marRight w:val="0"/>
      <w:marTop w:val="120"/>
      <w:marBottom w:val="0"/>
      <w:divBdr>
        <w:top w:val="none" w:sz="0" w:space="0" w:color="auto"/>
        <w:left w:val="none" w:sz="0" w:space="0" w:color="auto"/>
        <w:bottom w:val="none" w:sz="0" w:space="0" w:color="auto"/>
        <w:right w:val="none" w:sz="0" w:space="0" w:color="auto"/>
      </w:divBdr>
    </w:div>
    <w:div w:id="1117602239">
      <w:marLeft w:val="0"/>
      <w:marRight w:val="0"/>
      <w:marTop w:val="0"/>
      <w:marBottom w:val="0"/>
      <w:divBdr>
        <w:top w:val="none" w:sz="0" w:space="0" w:color="auto"/>
        <w:left w:val="none" w:sz="0" w:space="0" w:color="auto"/>
        <w:bottom w:val="none" w:sz="0" w:space="0" w:color="auto"/>
        <w:right w:val="none" w:sz="0" w:space="0" w:color="auto"/>
      </w:divBdr>
    </w:div>
    <w:div w:id="1120876706">
      <w:marLeft w:val="0"/>
      <w:marRight w:val="0"/>
      <w:marTop w:val="120"/>
      <w:marBottom w:val="0"/>
      <w:divBdr>
        <w:top w:val="none" w:sz="0" w:space="0" w:color="auto"/>
        <w:left w:val="none" w:sz="0" w:space="0" w:color="auto"/>
        <w:bottom w:val="none" w:sz="0" w:space="0" w:color="auto"/>
        <w:right w:val="none" w:sz="0" w:space="0" w:color="auto"/>
      </w:divBdr>
    </w:div>
    <w:div w:id="1121149734">
      <w:marLeft w:val="0"/>
      <w:marRight w:val="0"/>
      <w:marTop w:val="0"/>
      <w:marBottom w:val="0"/>
      <w:divBdr>
        <w:top w:val="none" w:sz="0" w:space="0" w:color="auto"/>
        <w:left w:val="none" w:sz="0" w:space="0" w:color="auto"/>
        <w:bottom w:val="none" w:sz="0" w:space="0" w:color="auto"/>
        <w:right w:val="none" w:sz="0" w:space="0" w:color="auto"/>
      </w:divBdr>
    </w:div>
    <w:div w:id="1123814639">
      <w:marLeft w:val="0"/>
      <w:marRight w:val="0"/>
      <w:marTop w:val="120"/>
      <w:marBottom w:val="0"/>
      <w:divBdr>
        <w:top w:val="none" w:sz="0" w:space="0" w:color="auto"/>
        <w:left w:val="none" w:sz="0" w:space="0" w:color="auto"/>
        <w:bottom w:val="none" w:sz="0" w:space="0" w:color="auto"/>
        <w:right w:val="none" w:sz="0" w:space="0" w:color="auto"/>
      </w:divBdr>
    </w:div>
    <w:div w:id="1127316657">
      <w:marLeft w:val="0"/>
      <w:marRight w:val="0"/>
      <w:marTop w:val="200"/>
      <w:marBottom w:val="0"/>
      <w:divBdr>
        <w:top w:val="none" w:sz="0" w:space="0" w:color="auto"/>
        <w:left w:val="none" w:sz="0" w:space="0" w:color="auto"/>
        <w:bottom w:val="none" w:sz="0" w:space="0" w:color="auto"/>
        <w:right w:val="none" w:sz="0" w:space="0" w:color="auto"/>
      </w:divBdr>
    </w:div>
    <w:div w:id="1128161249">
      <w:marLeft w:val="0"/>
      <w:marRight w:val="0"/>
      <w:marTop w:val="200"/>
      <w:marBottom w:val="0"/>
      <w:divBdr>
        <w:top w:val="none" w:sz="0" w:space="0" w:color="auto"/>
        <w:left w:val="none" w:sz="0" w:space="0" w:color="auto"/>
        <w:bottom w:val="none" w:sz="0" w:space="0" w:color="auto"/>
        <w:right w:val="none" w:sz="0" w:space="0" w:color="auto"/>
      </w:divBdr>
    </w:div>
    <w:div w:id="1128354793">
      <w:marLeft w:val="0"/>
      <w:marRight w:val="0"/>
      <w:marTop w:val="0"/>
      <w:marBottom w:val="0"/>
      <w:divBdr>
        <w:top w:val="none" w:sz="0" w:space="0" w:color="auto"/>
        <w:left w:val="none" w:sz="0" w:space="0" w:color="auto"/>
        <w:bottom w:val="none" w:sz="0" w:space="0" w:color="auto"/>
        <w:right w:val="none" w:sz="0" w:space="0" w:color="auto"/>
      </w:divBdr>
      <w:divsChild>
        <w:div w:id="995261607">
          <w:marLeft w:val="0"/>
          <w:marRight w:val="0"/>
          <w:marTop w:val="0"/>
          <w:marBottom w:val="0"/>
          <w:divBdr>
            <w:top w:val="none" w:sz="0" w:space="0" w:color="auto"/>
            <w:left w:val="none" w:sz="0" w:space="0" w:color="auto"/>
            <w:bottom w:val="none" w:sz="0" w:space="0" w:color="auto"/>
            <w:right w:val="none" w:sz="0" w:space="0" w:color="auto"/>
          </w:divBdr>
        </w:div>
      </w:divsChild>
    </w:div>
    <w:div w:id="1129279053">
      <w:marLeft w:val="0"/>
      <w:marRight w:val="0"/>
      <w:marTop w:val="120"/>
      <w:marBottom w:val="0"/>
      <w:divBdr>
        <w:top w:val="none" w:sz="0" w:space="0" w:color="auto"/>
        <w:left w:val="none" w:sz="0" w:space="0" w:color="auto"/>
        <w:bottom w:val="none" w:sz="0" w:space="0" w:color="auto"/>
        <w:right w:val="none" w:sz="0" w:space="0" w:color="auto"/>
      </w:divBdr>
    </w:div>
    <w:div w:id="1129400679">
      <w:marLeft w:val="0"/>
      <w:marRight w:val="0"/>
      <w:marTop w:val="120"/>
      <w:marBottom w:val="0"/>
      <w:divBdr>
        <w:top w:val="none" w:sz="0" w:space="0" w:color="auto"/>
        <w:left w:val="none" w:sz="0" w:space="0" w:color="auto"/>
        <w:bottom w:val="none" w:sz="0" w:space="0" w:color="auto"/>
        <w:right w:val="none" w:sz="0" w:space="0" w:color="auto"/>
      </w:divBdr>
    </w:div>
    <w:div w:id="1130975852">
      <w:marLeft w:val="0"/>
      <w:marRight w:val="0"/>
      <w:marTop w:val="100"/>
      <w:marBottom w:val="0"/>
      <w:divBdr>
        <w:top w:val="none" w:sz="0" w:space="0" w:color="auto"/>
        <w:left w:val="none" w:sz="0" w:space="0" w:color="auto"/>
        <w:bottom w:val="none" w:sz="0" w:space="0" w:color="auto"/>
        <w:right w:val="none" w:sz="0" w:space="0" w:color="auto"/>
      </w:divBdr>
    </w:div>
    <w:div w:id="1133908790">
      <w:marLeft w:val="0"/>
      <w:marRight w:val="0"/>
      <w:marTop w:val="120"/>
      <w:marBottom w:val="0"/>
      <w:divBdr>
        <w:top w:val="none" w:sz="0" w:space="0" w:color="auto"/>
        <w:left w:val="none" w:sz="0" w:space="0" w:color="auto"/>
        <w:bottom w:val="none" w:sz="0" w:space="0" w:color="auto"/>
        <w:right w:val="none" w:sz="0" w:space="0" w:color="auto"/>
      </w:divBdr>
    </w:div>
    <w:div w:id="1134979370">
      <w:marLeft w:val="0"/>
      <w:marRight w:val="0"/>
      <w:marTop w:val="200"/>
      <w:marBottom w:val="0"/>
      <w:divBdr>
        <w:top w:val="none" w:sz="0" w:space="0" w:color="auto"/>
        <w:left w:val="none" w:sz="0" w:space="0" w:color="auto"/>
        <w:bottom w:val="none" w:sz="0" w:space="0" w:color="auto"/>
        <w:right w:val="none" w:sz="0" w:space="0" w:color="auto"/>
      </w:divBdr>
    </w:div>
    <w:div w:id="1135759220">
      <w:marLeft w:val="0"/>
      <w:marRight w:val="0"/>
      <w:marTop w:val="0"/>
      <w:marBottom w:val="0"/>
      <w:divBdr>
        <w:top w:val="none" w:sz="0" w:space="0" w:color="auto"/>
        <w:left w:val="none" w:sz="0" w:space="0" w:color="auto"/>
        <w:bottom w:val="none" w:sz="0" w:space="0" w:color="auto"/>
        <w:right w:val="none" w:sz="0" w:space="0" w:color="auto"/>
      </w:divBdr>
      <w:divsChild>
        <w:div w:id="1551190226">
          <w:marLeft w:val="0"/>
          <w:marRight w:val="0"/>
          <w:marTop w:val="0"/>
          <w:marBottom w:val="0"/>
          <w:divBdr>
            <w:top w:val="none" w:sz="0" w:space="0" w:color="auto"/>
            <w:left w:val="none" w:sz="0" w:space="0" w:color="auto"/>
            <w:bottom w:val="none" w:sz="0" w:space="0" w:color="auto"/>
            <w:right w:val="none" w:sz="0" w:space="0" w:color="auto"/>
          </w:divBdr>
        </w:div>
      </w:divsChild>
    </w:div>
    <w:div w:id="1138230996">
      <w:marLeft w:val="0"/>
      <w:marRight w:val="0"/>
      <w:marTop w:val="120"/>
      <w:marBottom w:val="0"/>
      <w:divBdr>
        <w:top w:val="none" w:sz="0" w:space="0" w:color="auto"/>
        <w:left w:val="none" w:sz="0" w:space="0" w:color="auto"/>
        <w:bottom w:val="none" w:sz="0" w:space="0" w:color="auto"/>
        <w:right w:val="none" w:sz="0" w:space="0" w:color="auto"/>
      </w:divBdr>
    </w:div>
    <w:div w:id="1138914983">
      <w:marLeft w:val="0"/>
      <w:marRight w:val="0"/>
      <w:marTop w:val="120"/>
      <w:marBottom w:val="0"/>
      <w:divBdr>
        <w:top w:val="none" w:sz="0" w:space="0" w:color="auto"/>
        <w:left w:val="none" w:sz="0" w:space="0" w:color="auto"/>
        <w:bottom w:val="none" w:sz="0" w:space="0" w:color="auto"/>
        <w:right w:val="none" w:sz="0" w:space="0" w:color="auto"/>
      </w:divBdr>
    </w:div>
    <w:div w:id="1140222259">
      <w:marLeft w:val="0"/>
      <w:marRight w:val="0"/>
      <w:marTop w:val="120"/>
      <w:marBottom w:val="0"/>
      <w:divBdr>
        <w:top w:val="none" w:sz="0" w:space="0" w:color="auto"/>
        <w:left w:val="none" w:sz="0" w:space="0" w:color="auto"/>
        <w:bottom w:val="none" w:sz="0" w:space="0" w:color="auto"/>
        <w:right w:val="none" w:sz="0" w:space="0" w:color="auto"/>
      </w:divBdr>
    </w:div>
    <w:div w:id="1140533755">
      <w:marLeft w:val="0"/>
      <w:marRight w:val="0"/>
      <w:marTop w:val="120"/>
      <w:marBottom w:val="0"/>
      <w:divBdr>
        <w:top w:val="none" w:sz="0" w:space="0" w:color="auto"/>
        <w:left w:val="none" w:sz="0" w:space="0" w:color="auto"/>
        <w:bottom w:val="none" w:sz="0" w:space="0" w:color="auto"/>
        <w:right w:val="none" w:sz="0" w:space="0" w:color="auto"/>
      </w:divBdr>
    </w:div>
    <w:div w:id="1140613403">
      <w:marLeft w:val="0"/>
      <w:marRight w:val="0"/>
      <w:marTop w:val="0"/>
      <w:marBottom w:val="0"/>
      <w:divBdr>
        <w:top w:val="none" w:sz="0" w:space="0" w:color="auto"/>
        <w:left w:val="none" w:sz="0" w:space="0" w:color="auto"/>
        <w:bottom w:val="none" w:sz="0" w:space="0" w:color="auto"/>
        <w:right w:val="none" w:sz="0" w:space="0" w:color="auto"/>
      </w:divBdr>
      <w:divsChild>
        <w:div w:id="1350791815">
          <w:marLeft w:val="0"/>
          <w:marRight w:val="0"/>
          <w:marTop w:val="0"/>
          <w:marBottom w:val="0"/>
          <w:divBdr>
            <w:top w:val="none" w:sz="0" w:space="0" w:color="auto"/>
            <w:left w:val="none" w:sz="0" w:space="0" w:color="auto"/>
            <w:bottom w:val="none" w:sz="0" w:space="0" w:color="auto"/>
            <w:right w:val="none" w:sz="0" w:space="0" w:color="auto"/>
          </w:divBdr>
        </w:div>
      </w:divsChild>
    </w:div>
    <w:div w:id="1141653093">
      <w:marLeft w:val="0"/>
      <w:marRight w:val="0"/>
      <w:marTop w:val="120"/>
      <w:marBottom w:val="0"/>
      <w:divBdr>
        <w:top w:val="none" w:sz="0" w:space="0" w:color="auto"/>
        <w:left w:val="none" w:sz="0" w:space="0" w:color="auto"/>
        <w:bottom w:val="none" w:sz="0" w:space="0" w:color="auto"/>
        <w:right w:val="none" w:sz="0" w:space="0" w:color="auto"/>
      </w:divBdr>
    </w:div>
    <w:div w:id="1143738631">
      <w:marLeft w:val="0"/>
      <w:marRight w:val="0"/>
      <w:marTop w:val="0"/>
      <w:marBottom w:val="0"/>
      <w:divBdr>
        <w:top w:val="none" w:sz="0" w:space="0" w:color="auto"/>
        <w:left w:val="none" w:sz="0" w:space="0" w:color="auto"/>
        <w:bottom w:val="none" w:sz="0" w:space="0" w:color="auto"/>
        <w:right w:val="none" w:sz="0" w:space="0" w:color="auto"/>
      </w:divBdr>
      <w:divsChild>
        <w:div w:id="1287810221">
          <w:marLeft w:val="0"/>
          <w:marRight w:val="0"/>
          <w:marTop w:val="0"/>
          <w:marBottom w:val="0"/>
          <w:divBdr>
            <w:top w:val="none" w:sz="0" w:space="0" w:color="auto"/>
            <w:left w:val="none" w:sz="0" w:space="0" w:color="auto"/>
            <w:bottom w:val="none" w:sz="0" w:space="0" w:color="auto"/>
            <w:right w:val="none" w:sz="0" w:space="0" w:color="auto"/>
          </w:divBdr>
        </w:div>
      </w:divsChild>
    </w:div>
    <w:div w:id="1144935235">
      <w:marLeft w:val="0"/>
      <w:marRight w:val="0"/>
      <w:marTop w:val="120"/>
      <w:marBottom w:val="0"/>
      <w:divBdr>
        <w:top w:val="none" w:sz="0" w:space="0" w:color="auto"/>
        <w:left w:val="none" w:sz="0" w:space="0" w:color="auto"/>
        <w:bottom w:val="none" w:sz="0" w:space="0" w:color="auto"/>
        <w:right w:val="none" w:sz="0" w:space="0" w:color="auto"/>
      </w:divBdr>
    </w:div>
    <w:div w:id="1145388083">
      <w:marLeft w:val="0"/>
      <w:marRight w:val="0"/>
      <w:marTop w:val="120"/>
      <w:marBottom w:val="0"/>
      <w:divBdr>
        <w:top w:val="none" w:sz="0" w:space="0" w:color="auto"/>
        <w:left w:val="none" w:sz="0" w:space="0" w:color="auto"/>
        <w:bottom w:val="none" w:sz="0" w:space="0" w:color="auto"/>
        <w:right w:val="none" w:sz="0" w:space="0" w:color="auto"/>
      </w:divBdr>
    </w:div>
    <w:div w:id="1148594905">
      <w:marLeft w:val="0"/>
      <w:marRight w:val="0"/>
      <w:marTop w:val="120"/>
      <w:marBottom w:val="0"/>
      <w:divBdr>
        <w:top w:val="none" w:sz="0" w:space="0" w:color="auto"/>
        <w:left w:val="none" w:sz="0" w:space="0" w:color="auto"/>
        <w:bottom w:val="none" w:sz="0" w:space="0" w:color="auto"/>
        <w:right w:val="none" w:sz="0" w:space="0" w:color="auto"/>
      </w:divBdr>
    </w:div>
    <w:div w:id="1148667714">
      <w:marLeft w:val="0"/>
      <w:marRight w:val="0"/>
      <w:marTop w:val="120"/>
      <w:marBottom w:val="0"/>
      <w:divBdr>
        <w:top w:val="none" w:sz="0" w:space="0" w:color="auto"/>
        <w:left w:val="none" w:sz="0" w:space="0" w:color="auto"/>
        <w:bottom w:val="none" w:sz="0" w:space="0" w:color="auto"/>
        <w:right w:val="none" w:sz="0" w:space="0" w:color="auto"/>
      </w:divBdr>
    </w:div>
    <w:div w:id="1150560890">
      <w:marLeft w:val="0"/>
      <w:marRight w:val="0"/>
      <w:marTop w:val="120"/>
      <w:marBottom w:val="0"/>
      <w:divBdr>
        <w:top w:val="none" w:sz="0" w:space="0" w:color="auto"/>
        <w:left w:val="none" w:sz="0" w:space="0" w:color="auto"/>
        <w:bottom w:val="none" w:sz="0" w:space="0" w:color="auto"/>
        <w:right w:val="none" w:sz="0" w:space="0" w:color="auto"/>
      </w:divBdr>
    </w:div>
    <w:div w:id="1152450906">
      <w:marLeft w:val="0"/>
      <w:marRight w:val="0"/>
      <w:marTop w:val="0"/>
      <w:marBottom w:val="0"/>
      <w:divBdr>
        <w:top w:val="none" w:sz="0" w:space="0" w:color="auto"/>
        <w:left w:val="none" w:sz="0" w:space="0" w:color="auto"/>
        <w:bottom w:val="none" w:sz="0" w:space="0" w:color="auto"/>
        <w:right w:val="none" w:sz="0" w:space="0" w:color="auto"/>
      </w:divBdr>
      <w:divsChild>
        <w:div w:id="2101095973">
          <w:marLeft w:val="0"/>
          <w:marRight w:val="0"/>
          <w:marTop w:val="0"/>
          <w:marBottom w:val="0"/>
          <w:divBdr>
            <w:top w:val="none" w:sz="0" w:space="0" w:color="auto"/>
            <w:left w:val="none" w:sz="0" w:space="0" w:color="auto"/>
            <w:bottom w:val="none" w:sz="0" w:space="0" w:color="auto"/>
            <w:right w:val="none" w:sz="0" w:space="0" w:color="auto"/>
          </w:divBdr>
        </w:div>
      </w:divsChild>
    </w:div>
    <w:div w:id="1152521629">
      <w:marLeft w:val="0"/>
      <w:marRight w:val="0"/>
      <w:marTop w:val="120"/>
      <w:marBottom w:val="0"/>
      <w:divBdr>
        <w:top w:val="none" w:sz="0" w:space="0" w:color="auto"/>
        <w:left w:val="none" w:sz="0" w:space="0" w:color="auto"/>
        <w:bottom w:val="none" w:sz="0" w:space="0" w:color="auto"/>
        <w:right w:val="none" w:sz="0" w:space="0" w:color="auto"/>
      </w:divBdr>
    </w:div>
    <w:div w:id="1153790272">
      <w:marLeft w:val="0"/>
      <w:marRight w:val="0"/>
      <w:marTop w:val="120"/>
      <w:marBottom w:val="0"/>
      <w:divBdr>
        <w:top w:val="none" w:sz="0" w:space="0" w:color="auto"/>
        <w:left w:val="none" w:sz="0" w:space="0" w:color="auto"/>
        <w:bottom w:val="none" w:sz="0" w:space="0" w:color="auto"/>
        <w:right w:val="none" w:sz="0" w:space="0" w:color="auto"/>
      </w:divBdr>
    </w:div>
    <w:div w:id="1155802908">
      <w:marLeft w:val="0"/>
      <w:marRight w:val="0"/>
      <w:marTop w:val="120"/>
      <w:marBottom w:val="0"/>
      <w:divBdr>
        <w:top w:val="none" w:sz="0" w:space="0" w:color="auto"/>
        <w:left w:val="none" w:sz="0" w:space="0" w:color="auto"/>
        <w:bottom w:val="none" w:sz="0" w:space="0" w:color="auto"/>
        <w:right w:val="none" w:sz="0" w:space="0" w:color="auto"/>
      </w:divBdr>
    </w:div>
    <w:div w:id="1156216619">
      <w:marLeft w:val="0"/>
      <w:marRight w:val="0"/>
      <w:marTop w:val="200"/>
      <w:marBottom w:val="0"/>
      <w:divBdr>
        <w:top w:val="none" w:sz="0" w:space="0" w:color="auto"/>
        <w:left w:val="none" w:sz="0" w:space="0" w:color="auto"/>
        <w:bottom w:val="none" w:sz="0" w:space="0" w:color="auto"/>
        <w:right w:val="none" w:sz="0" w:space="0" w:color="auto"/>
      </w:divBdr>
    </w:div>
    <w:div w:id="1156992656">
      <w:marLeft w:val="0"/>
      <w:marRight w:val="0"/>
      <w:marTop w:val="60"/>
      <w:marBottom w:val="0"/>
      <w:divBdr>
        <w:top w:val="none" w:sz="0" w:space="0" w:color="auto"/>
        <w:left w:val="none" w:sz="0" w:space="0" w:color="auto"/>
        <w:bottom w:val="none" w:sz="0" w:space="0" w:color="auto"/>
        <w:right w:val="none" w:sz="0" w:space="0" w:color="auto"/>
      </w:divBdr>
    </w:div>
    <w:div w:id="1161580291">
      <w:marLeft w:val="0"/>
      <w:marRight w:val="0"/>
      <w:marTop w:val="120"/>
      <w:marBottom w:val="0"/>
      <w:divBdr>
        <w:top w:val="none" w:sz="0" w:space="0" w:color="auto"/>
        <w:left w:val="none" w:sz="0" w:space="0" w:color="auto"/>
        <w:bottom w:val="none" w:sz="0" w:space="0" w:color="auto"/>
        <w:right w:val="none" w:sz="0" w:space="0" w:color="auto"/>
      </w:divBdr>
    </w:div>
    <w:div w:id="1162429880">
      <w:marLeft w:val="0"/>
      <w:marRight w:val="0"/>
      <w:marTop w:val="120"/>
      <w:marBottom w:val="0"/>
      <w:divBdr>
        <w:top w:val="none" w:sz="0" w:space="0" w:color="auto"/>
        <w:left w:val="none" w:sz="0" w:space="0" w:color="auto"/>
        <w:bottom w:val="none" w:sz="0" w:space="0" w:color="auto"/>
        <w:right w:val="none" w:sz="0" w:space="0" w:color="auto"/>
      </w:divBdr>
    </w:div>
    <w:div w:id="1164204628">
      <w:marLeft w:val="0"/>
      <w:marRight w:val="0"/>
      <w:marTop w:val="120"/>
      <w:marBottom w:val="0"/>
      <w:divBdr>
        <w:top w:val="none" w:sz="0" w:space="0" w:color="auto"/>
        <w:left w:val="none" w:sz="0" w:space="0" w:color="auto"/>
        <w:bottom w:val="none" w:sz="0" w:space="0" w:color="auto"/>
        <w:right w:val="none" w:sz="0" w:space="0" w:color="auto"/>
      </w:divBdr>
    </w:div>
    <w:div w:id="1165050621">
      <w:marLeft w:val="0"/>
      <w:marRight w:val="0"/>
      <w:marTop w:val="120"/>
      <w:marBottom w:val="0"/>
      <w:divBdr>
        <w:top w:val="none" w:sz="0" w:space="0" w:color="auto"/>
        <w:left w:val="none" w:sz="0" w:space="0" w:color="auto"/>
        <w:bottom w:val="none" w:sz="0" w:space="0" w:color="auto"/>
        <w:right w:val="none" w:sz="0" w:space="0" w:color="auto"/>
      </w:divBdr>
    </w:div>
    <w:div w:id="1165512335">
      <w:marLeft w:val="0"/>
      <w:marRight w:val="0"/>
      <w:marTop w:val="0"/>
      <w:marBottom w:val="0"/>
      <w:divBdr>
        <w:top w:val="none" w:sz="0" w:space="0" w:color="auto"/>
        <w:left w:val="none" w:sz="0" w:space="0" w:color="auto"/>
        <w:bottom w:val="none" w:sz="0" w:space="0" w:color="auto"/>
        <w:right w:val="none" w:sz="0" w:space="0" w:color="auto"/>
      </w:divBdr>
      <w:divsChild>
        <w:div w:id="467010735">
          <w:marLeft w:val="0"/>
          <w:marRight w:val="0"/>
          <w:marTop w:val="0"/>
          <w:marBottom w:val="0"/>
          <w:divBdr>
            <w:top w:val="none" w:sz="0" w:space="0" w:color="auto"/>
            <w:left w:val="none" w:sz="0" w:space="0" w:color="auto"/>
            <w:bottom w:val="none" w:sz="0" w:space="0" w:color="auto"/>
            <w:right w:val="none" w:sz="0" w:space="0" w:color="auto"/>
          </w:divBdr>
        </w:div>
      </w:divsChild>
    </w:div>
    <w:div w:id="1165514027">
      <w:marLeft w:val="0"/>
      <w:marRight w:val="0"/>
      <w:marTop w:val="0"/>
      <w:marBottom w:val="0"/>
      <w:divBdr>
        <w:top w:val="none" w:sz="0" w:space="0" w:color="auto"/>
        <w:left w:val="none" w:sz="0" w:space="0" w:color="auto"/>
        <w:bottom w:val="none" w:sz="0" w:space="0" w:color="auto"/>
        <w:right w:val="none" w:sz="0" w:space="0" w:color="auto"/>
      </w:divBdr>
      <w:divsChild>
        <w:div w:id="62412447">
          <w:marLeft w:val="0"/>
          <w:marRight w:val="0"/>
          <w:marTop w:val="0"/>
          <w:marBottom w:val="0"/>
          <w:divBdr>
            <w:top w:val="none" w:sz="0" w:space="0" w:color="auto"/>
            <w:left w:val="none" w:sz="0" w:space="0" w:color="auto"/>
            <w:bottom w:val="none" w:sz="0" w:space="0" w:color="auto"/>
            <w:right w:val="none" w:sz="0" w:space="0" w:color="auto"/>
          </w:divBdr>
        </w:div>
      </w:divsChild>
    </w:div>
    <w:div w:id="1168669070">
      <w:marLeft w:val="0"/>
      <w:marRight w:val="0"/>
      <w:marTop w:val="120"/>
      <w:marBottom w:val="0"/>
      <w:divBdr>
        <w:top w:val="none" w:sz="0" w:space="0" w:color="auto"/>
        <w:left w:val="none" w:sz="0" w:space="0" w:color="auto"/>
        <w:bottom w:val="none" w:sz="0" w:space="0" w:color="auto"/>
        <w:right w:val="none" w:sz="0" w:space="0" w:color="auto"/>
      </w:divBdr>
    </w:div>
    <w:div w:id="1172143671">
      <w:marLeft w:val="0"/>
      <w:marRight w:val="0"/>
      <w:marTop w:val="0"/>
      <w:marBottom w:val="0"/>
      <w:divBdr>
        <w:top w:val="none" w:sz="0" w:space="0" w:color="auto"/>
        <w:left w:val="none" w:sz="0" w:space="0" w:color="auto"/>
        <w:bottom w:val="none" w:sz="0" w:space="0" w:color="auto"/>
        <w:right w:val="none" w:sz="0" w:space="0" w:color="auto"/>
      </w:divBdr>
    </w:div>
    <w:div w:id="1172178871">
      <w:marLeft w:val="0"/>
      <w:marRight w:val="0"/>
      <w:marTop w:val="100"/>
      <w:marBottom w:val="0"/>
      <w:divBdr>
        <w:top w:val="none" w:sz="0" w:space="0" w:color="auto"/>
        <w:left w:val="none" w:sz="0" w:space="0" w:color="auto"/>
        <w:bottom w:val="none" w:sz="0" w:space="0" w:color="auto"/>
        <w:right w:val="none" w:sz="0" w:space="0" w:color="auto"/>
      </w:divBdr>
    </w:div>
    <w:div w:id="1173909350">
      <w:marLeft w:val="0"/>
      <w:marRight w:val="0"/>
      <w:marTop w:val="0"/>
      <w:marBottom w:val="0"/>
      <w:divBdr>
        <w:top w:val="none" w:sz="0" w:space="0" w:color="auto"/>
        <w:left w:val="none" w:sz="0" w:space="0" w:color="auto"/>
        <w:bottom w:val="none" w:sz="0" w:space="0" w:color="auto"/>
        <w:right w:val="none" w:sz="0" w:space="0" w:color="auto"/>
      </w:divBdr>
    </w:div>
    <w:div w:id="1175532149">
      <w:marLeft w:val="0"/>
      <w:marRight w:val="0"/>
      <w:marTop w:val="120"/>
      <w:marBottom w:val="0"/>
      <w:divBdr>
        <w:top w:val="none" w:sz="0" w:space="0" w:color="auto"/>
        <w:left w:val="none" w:sz="0" w:space="0" w:color="auto"/>
        <w:bottom w:val="none" w:sz="0" w:space="0" w:color="auto"/>
        <w:right w:val="none" w:sz="0" w:space="0" w:color="auto"/>
      </w:divBdr>
    </w:div>
    <w:div w:id="1178732984">
      <w:marLeft w:val="0"/>
      <w:marRight w:val="0"/>
      <w:marTop w:val="120"/>
      <w:marBottom w:val="0"/>
      <w:divBdr>
        <w:top w:val="none" w:sz="0" w:space="0" w:color="auto"/>
        <w:left w:val="none" w:sz="0" w:space="0" w:color="auto"/>
        <w:bottom w:val="none" w:sz="0" w:space="0" w:color="auto"/>
        <w:right w:val="none" w:sz="0" w:space="0" w:color="auto"/>
      </w:divBdr>
    </w:div>
    <w:div w:id="1180703310">
      <w:marLeft w:val="0"/>
      <w:marRight w:val="0"/>
      <w:marTop w:val="0"/>
      <w:marBottom w:val="0"/>
      <w:divBdr>
        <w:top w:val="none" w:sz="0" w:space="0" w:color="auto"/>
        <w:left w:val="none" w:sz="0" w:space="0" w:color="auto"/>
        <w:bottom w:val="none" w:sz="0" w:space="0" w:color="auto"/>
        <w:right w:val="none" w:sz="0" w:space="0" w:color="auto"/>
      </w:divBdr>
    </w:div>
    <w:div w:id="1180855225">
      <w:marLeft w:val="0"/>
      <w:marRight w:val="0"/>
      <w:marTop w:val="0"/>
      <w:marBottom w:val="0"/>
      <w:divBdr>
        <w:top w:val="none" w:sz="0" w:space="0" w:color="auto"/>
        <w:left w:val="none" w:sz="0" w:space="0" w:color="auto"/>
        <w:bottom w:val="none" w:sz="0" w:space="0" w:color="auto"/>
        <w:right w:val="none" w:sz="0" w:space="0" w:color="auto"/>
      </w:divBdr>
    </w:div>
    <w:div w:id="1180924226">
      <w:marLeft w:val="0"/>
      <w:marRight w:val="0"/>
      <w:marTop w:val="0"/>
      <w:marBottom w:val="0"/>
      <w:divBdr>
        <w:top w:val="none" w:sz="0" w:space="0" w:color="auto"/>
        <w:left w:val="none" w:sz="0" w:space="0" w:color="auto"/>
        <w:bottom w:val="none" w:sz="0" w:space="0" w:color="auto"/>
        <w:right w:val="none" w:sz="0" w:space="0" w:color="auto"/>
      </w:divBdr>
    </w:div>
    <w:div w:id="1181047882">
      <w:marLeft w:val="0"/>
      <w:marRight w:val="0"/>
      <w:marTop w:val="0"/>
      <w:marBottom w:val="0"/>
      <w:divBdr>
        <w:top w:val="none" w:sz="0" w:space="0" w:color="auto"/>
        <w:left w:val="none" w:sz="0" w:space="0" w:color="auto"/>
        <w:bottom w:val="none" w:sz="0" w:space="0" w:color="auto"/>
        <w:right w:val="none" w:sz="0" w:space="0" w:color="auto"/>
      </w:divBdr>
    </w:div>
    <w:div w:id="1181318350">
      <w:marLeft w:val="0"/>
      <w:marRight w:val="0"/>
      <w:marTop w:val="0"/>
      <w:marBottom w:val="0"/>
      <w:divBdr>
        <w:top w:val="none" w:sz="0" w:space="0" w:color="auto"/>
        <w:left w:val="none" w:sz="0" w:space="0" w:color="auto"/>
        <w:bottom w:val="none" w:sz="0" w:space="0" w:color="auto"/>
        <w:right w:val="none" w:sz="0" w:space="0" w:color="auto"/>
      </w:divBdr>
      <w:divsChild>
        <w:div w:id="336932612">
          <w:marLeft w:val="0"/>
          <w:marRight w:val="0"/>
          <w:marTop w:val="0"/>
          <w:marBottom w:val="0"/>
          <w:divBdr>
            <w:top w:val="none" w:sz="0" w:space="0" w:color="auto"/>
            <w:left w:val="none" w:sz="0" w:space="0" w:color="auto"/>
            <w:bottom w:val="none" w:sz="0" w:space="0" w:color="auto"/>
            <w:right w:val="none" w:sz="0" w:space="0" w:color="auto"/>
          </w:divBdr>
        </w:div>
      </w:divsChild>
    </w:div>
    <w:div w:id="1184439410">
      <w:marLeft w:val="0"/>
      <w:marRight w:val="0"/>
      <w:marTop w:val="200"/>
      <w:marBottom w:val="0"/>
      <w:divBdr>
        <w:top w:val="none" w:sz="0" w:space="0" w:color="auto"/>
        <w:left w:val="none" w:sz="0" w:space="0" w:color="auto"/>
        <w:bottom w:val="none" w:sz="0" w:space="0" w:color="auto"/>
        <w:right w:val="none" w:sz="0" w:space="0" w:color="auto"/>
      </w:divBdr>
    </w:div>
    <w:div w:id="1185022193">
      <w:marLeft w:val="0"/>
      <w:marRight w:val="0"/>
      <w:marTop w:val="120"/>
      <w:marBottom w:val="0"/>
      <w:divBdr>
        <w:top w:val="none" w:sz="0" w:space="0" w:color="auto"/>
        <w:left w:val="none" w:sz="0" w:space="0" w:color="auto"/>
        <w:bottom w:val="none" w:sz="0" w:space="0" w:color="auto"/>
        <w:right w:val="none" w:sz="0" w:space="0" w:color="auto"/>
      </w:divBdr>
    </w:div>
    <w:div w:id="1186289241">
      <w:marLeft w:val="0"/>
      <w:marRight w:val="0"/>
      <w:marTop w:val="120"/>
      <w:marBottom w:val="0"/>
      <w:divBdr>
        <w:top w:val="none" w:sz="0" w:space="0" w:color="auto"/>
        <w:left w:val="none" w:sz="0" w:space="0" w:color="auto"/>
        <w:bottom w:val="none" w:sz="0" w:space="0" w:color="auto"/>
        <w:right w:val="none" w:sz="0" w:space="0" w:color="auto"/>
      </w:divBdr>
    </w:div>
    <w:div w:id="1186750588">
      <w:marLeft w:val="0"/>
      <w:marRight w:val="0"/>
      <w:marTop w:val="0"/>
      <w:marBottom w:val="0"/>
      <w:divBdr>
        <w:top w:val="none" w:sz="0" w:space="0" w:color="auto"/>
        <w:left w:val="none" w:sz="0" w:space="0" w:color="auto"/>
        <w:bottom w:val="none" w:sz="0" w:space="0" w:color="auto"/>
        <w:right w:val="none" w:sz="0" w:space="0" w:color="auto"/>
      </w:divBdr>
      <w:divsChild>
        <w:div w:id="1003705825">
          <w:marLeft w:val="0"/>
          <w:marRight w:val="0"/>
          <w:marTop w:val="0"/>
          <w:marBottom w:val="0"/>
          <w:divBdr>
            <w:top w:val="none" w:sz="0" w:space="0" w:color="auto"/>
            <w:left w:val="none" w:sz="0" w:space="0" w:color="auto"/>
            <w:bottom w:val="none" w:sz="0" w:space="0" w:color="auto"/>
            <w:right w:val="none" w:sz="0" w:space="0" w:color="auto"/>
          </w:divBdr>
        </w:div>
      </w:divsChild>
    </w:div>
    <w:div w:id="1187522901">
      <w:marLeft w:val="0"/>
      <w:marRight w:val="0"/>
      <w:marTop w:val="120"/>
      <w:marBottom w:val="0"/>
      <w:divBdr>
        <w:top w:val="none" w:sz="0" w:space="0" w:color="auto"/>
        <w:left w:val="none" w:sz="0" w:space="0" w:color="auto"/>
        <w:bottom w:val="none" w:sz="0" w:space="0" w:color="auto"/>
        <w:right w:val="none" w:sz="0" w:space="0" w:color="auto"/>
      </w:divBdr>
    </w:div>
    <w:div w:id="1189176808">
      <w:marLeft w:val="0"/>
      <w:marRight w:val="0"/>
      <w:marTop w:val="120"/>
      <w:marBottom w:val="0"/>
      <w:divBdr>
        <w:top w:val="none" w:sz="0" w:space="0" w:color="auto"/>
        <w:left w:val="none" w:sz="0" w:space="0" w:color="auto"/>
        <w:bottom w:val="none" w:sz="0" w:space="0" w:color="auto"/>
        <w:right w:val="none" w:sz="0" w:space="0" w:color="auto"/>
      </w:divBdr>
    </w:div>
    <w:div w:id="1191335920">
      <w:marLeft w:val="0"/>
      <w:marRight w:val="0"/>
      <w:marTop w:val="200"/>
      <w:marBottom w:val="0"/>
      <w:divBdr>
        <w:top w:val="none" w:sz="0" w:space="0" w:color="auto"/>
        <w:left w:val="none" w:sz="0" w:space="0" w:color="auto"/>
        <w:bottom w:val="none" w:sz="0" w:space="0" w:color="auto"/>
        <w:right w:val="none" w:sz="0" w:space="0" w:color="auto"/>
      </w:divBdr>
    </w:div>
    <w:div w:id="1191648371">
      <w:marLeft w:val="0"/>
      <w:marRight w:val="0"/>
      <w:marTop w:val="0"/>
      <w:marBottom w:val="0"/>
      <w:divBdr>
        <w:top w:val="none" w:sz="0" w:space="0" w:color="auto"/>
        <w:left w:val="none" w:sz="0" w:space="0" w:color="auto"/>
        <w:bottom w:val="none" w:sz="0" w:space="0" w:color="auto"/>
        <w:right w:val="none" w:sz="0" w:space="0" w:color="auto"/>
      </w:divBdr>
      <w:divsChild>
        <w:div w:id="1726249657">
          <w:marLeft w:val="0"/>
          <w:marRight w:val="0"/>
          <w:marTop w:val="0"/>
          <w:marBottom w:val="0"/>
          <w:divBdr>
            <w:top w:val="none" w:sz="0" w:space="0" w:color="auto"/>
            <w:left w:val="none" w:sz="0" w:space="0" w:color="auto"/>
            <w:bottom w:val="none" w:sz="0" w:space="0" w:color="auto"/>
            <w:right w:val="none" w:sz="0" w:space="0" w:color="auto"/>
          </w:divBdr>
        </w:div>
      </w:divsChild>
    </w:div>
    <w:div w:id="1191993150">
      <w:marLeft w:val="0"/>
      <w:marRight w:val="0"/>
      <w:marTop w:val="0"/>
      <w:marBottom w:val="0"/>
      <w:divBdr>
        <w:top w:val="none" w:sz="0" w:space="0" w:color="auto"/>
        <w:left w:val="none" w:sz="0" w:space="0" w:color="auto"/>
        <w:bottom w:val="none" w:sz="0" w:space="0" w:color="auto"/>
        <w:right w:val="none" w:sz="0" w:space="0" w:color="auto"/>
      </w:divBdr>
      <w:divsChild>
        <w:div w:id="751581133">
          <w:marLeft w:val="0"/>
          <w:marRight w:val="0"/>
          <w:marTop w:val="0"/>
          <w:marBottom w:val="0"/>
          <w:divBdr>
            <w:top w:val="none" w:sz="0" w:space="0" w:color="auto"/>
            <w:left w:val="none" w:sz="0" w:space="0" w:color="auto"/>
            <w:bottom w:val="none" w:sz="0" w:space="0" w:color="auto"/>
            <w:right w:val="none" w:sz="0" w:space="0" w:color="auto"/>
          </w:divBdr>
        </w:div>
      </w:divsChild>
    </w:div>
    <w:div w:id="1192568575">
      <w:marLeft w:val="0"/>
      <w:marRight w:val="0"/>
      <w:marTop w:val="120"/>
      <w:marBottom w:val="0"/>
      <w:divBdr>
        <w:top w:val="none" w:sz="0" w:space="0" w:color="auto"/>
        <w:left w:val="none" w:sz="0" w:space="0" w:color="auto"/>
        <w:bottom w:val="none" w:sz="0" w:space="0" w:color="auto"/>
        <w:right w:val="none" w:sz="0" w:space="0" w:color="auto"/>
      </w:divBdr>
    </w:div>
    <w:div w:id="1193155800">
      <w:marLeft w:val="0"/>
      <w:marRight w:val="0"/>
      <w:marTop w:val="120"/>
      <w:marBottom w:val="0"/>
      <w:divBdr>
        <w:top w:val="none" w:sz="0" w:space="0" w:color="auto"/>
        <w:left w:val="none" w:sz="0" w:space="0" w:color="auto"/>
        <w:bottom w:val="none" w:sz="0" w:space="0" w:color="auto"/>
        <w:right w:val="none" w:sz="0" w:space="0" w:color="auto"/>
      </w:divBdr>
    </w:div>
    <w:div w:id="1193298792">
      <w:marLeft w:val="0"/>
      <w:marRight w:val="0"/>
      <w:marTop w:val="0"/>
      <w:marBottom w:val="0"/>
      <w:divBdr>
        <w:top w:val="none" w:sz="0" w:space="0" w:color="auto"/>
        <w:left w:val="none" w:sz="0" w:space="0" w:color="auto"/>
        <w:bottom w:val="none" w:sz="0" w:space="0" w:color="auto"/>
        <w:right w:val="none" w:sz="0" w:space="0" w:color="auto"/>
      </w:divBdr>
      <w:divsChild>
        <w:div w:id="1398363184">
          <w:marLeft w:val="0"/>
          <w:marRight w:val="0"/>
          <w:marTop w:val="0"/>
          <w:marBottom w:val="0"/>
          <w:divBdr>
            <w:top w:val="none" w:sz="0" w:space="0" w:color="auto"/>
            <w:left w:val="none" w:sz="0" w:space="0" w:color="auto"/>
            <w:bottom w:val="none" w:sz="0" w:space="0" w:color="auto"/>
            <w:right w:val="none" w:sz="0" w:space="0" w:color="auto"/>
          </w:divBdr>
        </w:div>
      </w:divsChild>
    </w:div>
    <w:div w:id="1195314117">
      <w:marLeft w:val="0"/>
      <w:marRight w:val="0"/>
      <w:marTop w:val="120"/>
      <w:marBottom w:val="0"/>
      <w:divBdr>
        <w:top w:val="none" w:sz="0" w:space="0" w:color="auto"/>
        <w:left w:val="none" w:sz="0" w:space="0" w:color="auto"/>
        <w:bottom w:val="none" w:sz="0" w:space="0" w:color="auto"/>
        <w:right w:val="none" w:sz="0" w:space="0" w:color="auto"/>
      </w:divBdr>
    </w:div>
    <w:div w:id="1197082996">
      <w:marLeft w:val="0"/>
      <w:marRight w:val="0"/>
      <w:marTop w:val="120"/>
      <w:marBottom w:val="0"/>
      <w:divBdr>
        <w:top w:val="none" w:sz="0" w:space="0" w:color="auto"/>
        <w:left w:val="none" w:sz="0" w:space="0" w:color="auto"/>
        <w:bottom w:val="none" w:sz="0" w:space="0" w:color="auto"/>
        <w:right w:val="none" w:sz="0" w:space="0" w:color="auto"/>
      </w:divBdr>
    </w:div>
    <w:div w:id="1197237081">
      <w:marLeft w:val="0"/>
      <w:marRight w:val="0"/>
      <w:marTop w:val="120"/>
      <w:marBottom w:val="0"/>
      <w:divBdr>
        <w:top w:val="none" w:sz="0" w:space="0" w:color="auto"/>
        <w:left w:val="none" w:sz="0" w:space="0" w:color="auto"/>
        <w:bottom w:val="none" w:sz="0" w:space="0" w:color="auto"/>
        <w:right w:val="none" w:sz="0" w:space="0" w:color="auto"/>
      </w:divBdr>
    </w:div>
    <w:div w:id="1197891213">
      <w:marLeft w:val="0"/>
      <w:marRight w:val="0"/>
      <w:marTop w:val="200"/>
      <w:marBottom w:val="0"/>
      <w:divBdr>
        <w:top w:val="none" w:sz="0" w:space="0" w:color="auto"/>
        <w:left w:val="none" w:sz="0" w:space="0" w:color="auto"/>
        <w:bottom w:val="none" w:sz="0" w:space="0" w:color="auto"/>
        <w:right w:val="none" w:sz="0" w:space="0" w:color="auto"/>
      </w:divBdr>
    </w:div>
    <w:div w:id="1199661274">
      <w:marLeft w:val="0"/>
      <w:marRight w:val="0"/>
      <w:marTop w:val="120"/>
      <w:marBottom w:val="0"/>
      <w:divBdr>
        <w:top w:val="none" w:sz="0" w:space="0" w:color="auto"/>
        <w:left w:val="none" w:sz="0" w:space="0" w:color="auto"/>
        <w:bottom w:val="none" w:sz="0" w:space="0" w:color="auto"/>
        <w:right w:val="none" w:sz="0" w:space="0" w:color="auto"/>
      </w:divBdr>
    </w:div>
    <w:div w:id="1199708334">
      <w:marLeft w:val="0"/>
      <w:marRight w:val="0"/>
      <w:marTop w:val="120"/>
      <w:marBottom w:val="0"/>
      <w:divBdr>
        <w:top w:val="none" w:sz="0" w:space="0" w:color="auto"/>
        <w:left w:val="none" w:sz="0" w:space="0" w:color="auto"/>
        <w:bottom w:val="none" w:sz="0" w:space="0" w:color="auto"/>
        <w:right w:val="none" w:sz="0" w:space="0" w:color="auto"/>
      </w:divBdr>
    </w:div>
    <w:div w:id="1201939910">
      <w:marLeft w:val="0"/>
      <w:marRight w:val="0"/>
      <w:marTop w:val="0"/>
      <w:marBottom w:val="0"/>
      <w:divBdr>
        <w:top w:val="none" w:sz="0" w:space="0" w:color="auto"/>
        <w:left w:val="none" w:sz="0" w:space="0" w:color="auto"/>
        <w:bottom w:val="none" w:sz="0" w:space="0" w:color="auto"/>
        <w:right w:val="none" w:sz="0" w:space="0" w:color="auto"/>
      </w:divBdr>
      <w:divsChild>
        <w:div w:id="562108226">
          <w:marLeft w:val="0"/>
          <w:marRight w:val="0"/>
          <w:marTop w:val="0"/>
          <w:marBottom w:val="0"/>
          <w:divBdr>
            <w:top w:val="none" w:sz="0" w:space="0" w:color="auto"/>
            <w:left w:val="none" w:sz="0" w:space="0" w:color="auto"/>
            <w:bottom w:val="none" w:sz="0" w:space="0" w:color="auto"/>
            <w:right w:val="none" w:sz="0" w:space="0" w:color="auto"/>
          </w:divBdr>
        </w:div>
      </w:divsChild>
    </w:div>
    <w:div w:id="1202061472">
      <w:marLeft w:val="0"/>
      <w:marRight w:val="0"/>
      <w:marTop w:val="0"/>
      <w:marBottom w:val="0"/>
      <w:divBdr>
        <w:top w:val="none" w:sz="0" w:space="0" w:color="auto"/>
        <w:left w:val="none" w:sz="0" w:space="0" w:color="auto"/>
        <w:bottom w:val="none" w:sz="0" w:space="0" w:color="auto"/>
        <w:right w:val="none" w:sz="0" w:space="0" w:color="auto"/>
      </w:divBdr>
      <w:divsChild>
        <w:div w:id="1236547143">
          <w:marLeft w:val="0"/>
          <w:marRight w:val="0"/>
          <w:marTop w:val="0"/>
          <w:marBottom w:val="0"/>
          <w:divBdr>
            <w:top w:val="none" w:sz="0" w:space="0" w:color="auto"/>
            <w:left w:val="none" w:sz="0" w:space="0" w:color="auto"/>
            <w:bottom w:val="none" w:sz="0" w:space="0" w:color="auto"/>
            <w:right w:val="none" w:sz="0" w:space="0" w:color="auto"/>
          </w:divBdr>
        </w:div>
      </w:divsChild>
    </w:div>
    <w:div w:id="1202283947">
      <w:marLeft w:val="0"/>
      <w:marRight w:val="0"/>
      <w:marTop w:val="200"/>
      <w:marBottom w:val="0"/>
      <w:divBdr>
        <w:top w:val="none" w:sz="0" w:space="0" w:color="auto"/>
        <w:left w:val="none" w:sz="0" w:space="0" w:color="auto"/>
        <w:bottom w:val="none" w:sz="0" w:space="0" w:color="auto"/>
        <w:right w:val="none" w:sz="0" w:space="0" w:color="auto"/>
      </w:divBdr>
    </w:div>
    <w:div w:id="1203397435">
      <w:marLeft w:val="0"/>
      <w:marRight w:val="0"/>
      <w:marTop w:val="60"/>
      <w:marBottom w:val="0"/>
      <w:divBdr>
        <w:top w:val="none" w:sz="0" w:space="0" w:color="auto"/>
        <w:left w:val="none" w:sz="0" w:space="0" w:color="auto"/>
        <w:bottom w:val="none" w:sz="0" w:space="0" w:color="auto"/>
        <w:right w:val="none" w:sz="0" w:space="0" w:color="auto"/>
      </w:divBdr>
    </w:div>
    <w:div w:id="1203635039">
      <w:marLeft w:val="0"/>
      <w:marRight w:val="0"/>
      <w:marTop w:val="200"/>
      <w:marBottom w:val="0"/>
      <w:divBdr>
        <w:top w:val="none" w:sz="0" w:space="0" w:color="auto"/>
        <w:left w:val="none" w:sz="0" w:space="0" w:color="auto"/>
        <w:bottom w:val="none" w:sz="0" w:space="0" w:color="auto"/>
        <w:right w:val="none" w:sz="0" w:space="0" w:color="auto"/>
      </w:divBdr>
    </w:div>
    <w:div w:id="1203783725">
      <w:marLeft w:val="0"/>
      <w:marRight w:val="0"/>
      <w:marTop w:val="120"/>
      <w:marBottom w:val="0"/>
      <w:divBdr>
        <w:top w:val="none" w:sz="0" w:space="0" w:color="auto"/>
        <w:left w:val="none" w:sz="0" w:space="0" w:color="auto"/>
        <w:bottom w:val="none" w:sz="0" w:space="0" w:color="auto"/>
        <w:right w:val="none" w:sz="0" w:space="0" w:color="auto"/>
      </w:divBdr>
    </w:div>
    <w:div w:id="1205099204">
      <w:marLeft w:val="0"/>
      <w:marRight w:val="0"/>
      <w:marTop w:val="120"/>
      <w:marBottom w:val="0"/>
      <w:divBdr>
        <w:top w:val="none" w:sz="0" w:space="0" w:color="auto"/>
        <w:left w:val="none" w:sz="0" w:space="0" w:color="auto"/>
        <w:bottom w:val="none" w:sz="0" w:space="0" w:color="auto"/>
        <w:right w:val="none" w:sz="0" w:space="0" w:color="auto"/>
      </w:divBdr>
    </w:div>
    <w:div w:id="1205215986">
      <w:marLeft w:val="0"/>
      <w:marRight w:val="0"/>
      <w:marTop w:val="0"/>
      <w:marBottom w:val="0"/>
      <w:divBdr>
        <w:top w:val="none" w:sz="0" w:space="0" w:color="auto"/>
        <w:left w:val="none" w:sz="0" w:space="0" w:color="auto"/>
        <w:bottom w:val="none" w:sz="0" w:space="0" w:color="auto"/>
        <w:right w:val="none" w:sz="0" w:space="0" w:color="auto"/>
      </w:divBdr>
      <w:divsChild>
        <w:div w:id="2002079738">
          <w:marLeft w:val="0"/>
          <w:marRight w:val="0"/>
          <w:marTop w:val="0"/>
          <w:marBottom w:val="0"/>
          <w:divBdr>
            <w:top w:val="none" w:sz="0" w:space="0" w:color="auto"/>
            <w:left w:val="none" w:sz="0" w:space="0" w:color="auto"/>
            <w:bottom w:val="none" w:sz="0" w:space="0" w:color="auto"/>
            <w:right w:val="none" w:sz="0" w:space="0" w:color="auto"/>
          </w:divBdr>
        </w:div>
      </w:divsChild>
    </w:div>
    <w:div w:id="1206671855">
      <w:marLeft w:val="0"/>
      <w:marRight w:val="0"/>
      <w:marTop w:val="200"/>
      <w:marBottom w:val="0"/>
      <w:divBdr>
        <w:top w:val="none" w:sz="0" w:space="0" w:color="auto"/>
        <w:left w:val="none" w:sz="0" w:space="0" w:color="auto"/>
        <w:bottom w:val="none" w:sz="0" w:space="0" w:color="auto"/>
        <w:right w:val="none" w:sz="0" w:space="0" w:color="auto"/>
      </w:divBdr>
    </w:div>
    <w:div w:id="1209151051">
      <w:marLeft w:val="0"/>
      <w:marRight w:val="0"/>
      <w:marTop w:val="120"/>
      <w:marBottom w:val="0"/>
      <w:divBdr>
        <w:top w:val="none" w:sz="0" w:space="0" w:color="auto"/>
        <w:left w:val="none" w:sz="0" w:space="0" w:color="auto"/>
        <w:bottom w:val="none" w:sz="0" w:space="0" w:color="auto"/>
        <w:right w:val="none" w:sz="0" w:space="0" w:color="auto"/>
      </w:divBdr>
    </w:div>
    <w:div w:id="1209562874">
      <w:marLeft w:val="0"/>
      <w:marRight w:val="0"/>
      <w:marTop w:val="0"/>
      <w:marBottom w:val="0"/>
      <w:divBdr>
        <w:top w:val="none" w:sz="0" w:space="0" w:color="auto"/>
        <w:left w:val="none" w:sz="0" w:space="0" w:color="auto"/>
        <w:bottom w:val="none" w:sz="0" w:space="0" w:color="auto"/>
        <w:right w:val="none" w:sz="0" w:space="0" w:color="auto"/>
      </w:divBdr>
      <w:divsChild>
        <w:div w:id="232811132">
          <w:marLeft w:val="0"/>
          <w:marRight w:val="0"/>
          <w:marTop w:val="0"/>
          <w:marBottom w:val="0"/>
          <w:divBdr>
            <w:top w:val="none" w:sz="0" w:space="0" w:color="auto"/>
            <w:left w:val="none" w:sz="0" w:space="0" w:color="auto"/>
            <w:bottom w:val="none" w:sz="0" w:space="0" w:color="auto"/>
            <w:right w:val="none" w:sz="0" w:space="0" w:color="auto"/>
          </w:divBdr>
        </w:div>
      </w:divsChild>
    </w:div>
    <w:div w:id="1210796998">
      <w:marLeft w:val="0"/>
      <w:marRight w:val="0"/>
      <w:marTop w:val="120"/>
      <w:marBottom w:val="0"/>
      <w:divBdr>
        <w:top w:val="none" w:sz="0" w:space="0" w:color="auto"/>
        <w:left w:val="none" w:sz="0" w:space="0" w:color="auto"/>
        <w:bottom w:val="none" w:sz="0" w:space="0" w:color="auto"/>
        <w:right w:val="none" w:sz="0" w:space="0" w:color="auto"/>
      </w:divBdr>
    </w:div>
    <w:div w:id="1212380957">
      <w:marLeft w:val="0"/>
      <w:marRight w:val="0"/>
      <w:marTop w:val="0"/>
      <w:marBottom w:val="0"/>
      <w:divBdr>
        <w:top w:val="none" w:sz="0" w:space="0" w:color="auto"/>
        <w:left w:val="none" w:sz="0" w:space="0" w:color="auto"/>
        <w:bottom w:val="none" w:sz="0" w:space="0" w:color="auto"/>
        <w:right w:val="none" w:sz="0" w:space="0" w:color="auto"/>
      </w:divBdr>
      <w:divsChild>
        <w:div w:id="890382290">
          <w:marLeft w:val="0"/>
          <w:marRight w:val="0"/>
          <w:marTop w:val="0"/>
          <w:marBottom w:val="0"/>
          <w:divBdr>
            <w:top w:val="none" w:sz="0" w:space="0" w:color="auto"/>
            <w:left w:val="none" w:sz="0" w:space="0" w:color="auto"/>
            <w:bottom w:val="none" w:sz="0" w:space="0" w:color="auto"/>
            <w:right w:val="none" w:sz="0" w:space="0" w:color="auto"/>
          </w:divBdr>
        </w:div>
      </w:divsChild>
    </w:div>
    <w:div w:id="1212689650">
      <w:marLeft w:val="0"/>
      <w:marRight w:val="0"/>
      <w:marTop w:val="120"/>
      <w:marBottom w:val="0"/>
      <w:divBdr>
        <w:top w:val="none" w:sz="0" w:space="0" w:color="auto"/>
        <w:left w:val="none" w:sz="0" w:space="0" w:color="auto"/>
        <w:bottom w:val="none" w:sz="0" w:space="0" w:color="auto"/>
        <w:right w:val="none" w:sz="0" w:space="0" w:color="auto"/>
      </w:divBdr>
    </w:div>
    <w:div w:id="1213419142">
      <w:marLeft w:val="0"/>
      <w:marRight w:val="0"/>
      <w:marTop w:val="200"/>
      <w:marBottom w:val="0"/>
      <w:divBdr>
        <w:top w:val="none" w:sz="0" w:space="0" w:color="auto"/>
        <w:left w:val="none" w:sz="0" w:space="0" w:color="auto"/>
        <w:bottom w:val="none" w:sz="0" w:space="0" w:color="auto"/>
        <w:right w:val="none" w:sz="0" w:space="0" w:color="auto"/>
      </w:divBdr>
    </w:div>
    <w:div w:id="1213536103">
      <w:marLeft w:val="0"/>
      <w:marRight w:val="0"/>
      <w:marTop w:val="120"/>
      <w:marBottom w:val="0"/>
      <w:divBdr>
        <w:top w:val="none" w:sz="0" w:space="0" w:color="auto"/>
        <w:left w:val="none" w:sz="0" w:space="0" w:color="auto"/>
        <w:bottom w:val="none" w:sz="0" w:space="0" w:color="auto"/>
        <w:right w:val="none" w:sz="0" w:space="0" w:color="auto"/>
      </w:divBdr>
    </w:div>
    <w:div w:id="1215628436">
      <w:marLeft w:val="0"/>
      <w:marRight w:val="0"/>
      <w:marTop w:val="120"/>
      <w:marBottom w:val="0"/>
      <w:divBdr>
        <w:top w:val="none" w:sz="0" w:space="0" w:color="auto"/>
        <w:left w:val="none" w:sz="0" w:space="0" w:color="auto"/>
        <w:bottom w:val="none" w:sz="0" w:space="0" w:color="auto"/>
        <w:right w:val="none" w:sz="0" w:space="0" w:color="auto"/>
      </w:divBdr>
    </w:div>
    <w:div w:id="1216311921">
      <w:marLeft w:val="0"/>
      <w:marRight w:val="0"/>
      <w:marTop w:val="0"/>
      <w:marBottom w:val="0"/>
      <w:divBdr>
        <w:top w:val="none" w:sz="0" w:space="0" w:color="auto"/>
        <w:left w:val="none" w:sz="0" w:space="0" w:color="auto"/>
        <w:bottom w:val="none" w:sz="0" w:space="0" w:color="auto"/>
        <w:right w:val="none" w:sz="0" w:space="0" w:color="auto"/>
      </w:divBdr>
      <w:divsChild>
        <w:div w:id="1943031468">
          <w:marLeft w:val="0"/>
          <w:marRight w:val="0"/>
          <w:marTop w:val="0"/>
          <w:marBottom w:val="0"/>
          <w:divBdr>
            <w:top w:val="none" w:sz="0" w:space="0" w:color="auto"/>
            <w:left w:val="none" w:sz="0" w:space="0" w:color="auto"/>
            <w:bottom w:val="none" w:sz="0" w:space="0" w:color="auto"/>
            <w:right w:val="none" w:sz="0" w:space="0" w:color="auto"/>
          </w:divBdr>
        </w:div>
      </w:divsChild>
    </w:div>
    <w:div w:id="1216315235">
      <w:marLeft w:val="0"/>
      <w:marRight w:val="0"/>
      <w:marTop w:val="120"/>
      <w:marBottom w:val="0"/>
      <w:divBdr>
        <w:top w:val="none" w:sz="0" w:space="0" w:color="auto"/>
        <w:left w:val="none" w:sz="0" w:space="0" w:color="auto"/>
        <w:bottom w:val="none" w:sz="0" w:space="0" w:color="auto"/>
        <w:right w:val="none" w:sz="0" w:space="0" w:color="auto"/>
      </w:divBdr>
    </w:div>
    <w:div w:id="1216510410">
      <w:marLeft w:val="0"/>
      <w:marRight w:val="0"/>
      <w:marTop w:val="200"/>
      <w:marBottom w:val="0"/>
      <w:divBdr>
        <w:top w:val="none" w:sz="0" w:space="0" w:color="auto"/>
        <w:left w:val="none" w:sz="0" w:space="0" w:color="auto"/>
        <w:bottom w:val="none" w:sz="0" w:space="0" w:color="auto"/>
        <w:right w:val="none" w:sz="0" w:space="0" w:color="auto"/>
      </w:divBdr>
    </w:div>
    <w:div w:id="1216888162">
      <w:marLeft w:val="0"/>
      <w:marRight w:val="0"/>
      <w:marTop w:val="0"/>
      <w:marBottom w:val="0"/>
      <w:divBdr>
        <w:top w:val="none" w:sz="0" w:space="0" w:color="auto"/>
        <w:left w:val="none" w:sz="0" w:space="0" w:color="auto"/>
        <w:bottom w:val="none" w:sz="0" w:space="0" w:color="auto"/>
        <w:right w:val="none" w:sz="0" w:space="0" w:color="auto"/>
      </w:divBdr>
      <w:divsChild>
        <w:div w:id="1989243293">
          <w:marLeft w:val="0"/>
          <w:marRight w:val="0"/>
          <w:marTop w:val="0"/>
          <w:marBottom w:val="0"/>
          <w:divBdr>
            <w:top w:val="none" w:sz="0" w:space="0" w:color="auto"/>
            <w:left w:val="none" w:sz="0" w:space="0" w:color="auto"/>
            <w:bottom w:val="none" w:sz="0" w:space="0" w:color="auto"/>
            <w:right w:val="none" w:sz="0" w:space="0" w:color="auto"/>
          </w:divBdr>
        </w:div>
      </w:divsChild>
    </w:div>
    <w:div w:id="1218664767">
      <w:marLeft w:val="0"/>
      <w:marRight w:val="0"/>
      <w:marTop w:val="120"/>
      <w:marBottom w:val="0"/>
      <w:divBdr>
        <w:top w:val="none" w:sz="0" w:space="0" w:color="auto"/>
        <w:left w:val="none" w:sz="0" w:space="0" w:color="auto"/>
        <w:bottom w:val="none" w:sz="0" w:space="0" w:color="auto"/>
        <w:right w:val="none" w:sz="0" w:space="0" w:color="auto"/>
      </w:divBdr>
    </w:div>
    <w:div w:id="1218782280">
      <w:marLeft w:val="0"/>
      <w:marRight w:val="0"/>
      <w:marTop w:val="200"/>
      <w:marBottom w:val="0"/>
      <w:divBdr>
        <w:top w:val="none" w:sz="0" w:space="0" w:color="auto"/>
        <w:left w:val="none" w:sz="0" w:space="0" w:color="auto"/>
        <w:bottom w:val="none" w:sz="0" w:space="0" w:color="auto"/>
        <w:right w:val="none" w:sz="0" w:space="0" w:color="auto"/>
      </w:divBdr>
    </w:div>
    <w:div w:id="1219127415">
      <w:marLeft w:val="0"/>
      <w:marRight w:val="0"/>
      <w:marTop w:val="120"/>
      <w:marBottom w:val="0"/>
      <w:divBdr>
        <w:top w:val="none" w:sz="0" w:space="0" w:color="auto"/>
        <w:left w:val="none" w:sz="0" w:space="0" w:color="auto"/>
        <w:bottom w:val="none" w:sz="0" w:space="0" w:color="auto"/>
        <w:right w:val="none" w:sz="0" w:space="0" w:color="auto"/>
      </w:divBdr>
    </w:div>
    <w:div w:id="1220095777">
      <w:marLeft w:val="0"/>
      <w:marRight w:val="0"/>
      <w:marTop w:val="120"/>
      <w:marBottom w:val="0"/>
      <w:divBdr>
        <w:top w:val="none" w:sz="0" w:space="0" w:color="auto"/>
        <w:left w:val="none" w:sz="0" w:space="0" w:color="auto"/>
        <w:bottom w:val="none" w:sz="0" w:space="0" w:color="auto"/>
        <w:right w:val="none" w:sz="0" w:space="0" w:color="auto"/>
      </w:divBdr>
    </w:div>
    <w:div w:id="1221091191">
      <w:marLeft w:val="0"/>
      <w:marRight w:val="0"/>
      <w:marTop w:val="120"/>
      <w:marBottom w:val="0"/>
      <w:divBdr>
        <w:top w:val="none" w:sz="0" w:space="0" w:color="auto"/>
        <w:left w:val="none" w:sz="0" w:space="0" w:color="auto"/>
        <w:bottom w:val="none" w:sz="0" w:space="0" w:color="auto"/>
        <w:right w:val="none" w:sz="0" w:space="0" w:color="auto"/>
      </w:divBdr>
    </w:div>
    <w:div w:id="1223440654">
      <w:marLeft w:val="0"/>
      <w:marRight w:val="0"/>
      <w:marTop w:val="120"/>
      <w:marBottom w:val="0"/>
      <w:divBdr>
        <w:top w:val="none" w:sz="0" w:space="0" w:color="auto"/>
        <w:left w:val="none" w:sz="0" w:space="0" w:color="auto"/>
        <w:bottom w:val="none" w:sz="0" w:space="0" w:color="auto"/>
        <w:right w:val="none" w:sz="0" w:space="0" w:color="auto"/>
      </w:divBdr>
    </w:div>
    <w:div w:id="1225800285">
      <w:marLeft w:val="0"/>
      <w:marRight w:val="0"/>
      <w:marTop w:val="0"/>
      <w:marBottom w:val="0"/>
      <w:divBdr>
        <w:top w:val="none" w:sz="0" w:space="0" w:color="auto"/>
        <w:left w:val="none" w:sz="0" w:space="0" w:color="auto"/>
        <w:bottom w:val="none" w:sz="0" w:space="0" w:color="auto"/>
        <w:right w:val="none" w:sz="0" w:space="0" w:color="auto"/>
      </w:divBdr>
      <w:divsChild>
        <w:div w:id="691296281">
          <w:marLeft w:val="0"/>
          <w:marRight w:val="0"/>
          <w:marTop w:val="0"/>
          <w:marBottom w:val="0"/>
          <w:divBdr>
            <w:top w:val="none" w:sz="0" w:space="0" w:color="auto"/>
            <w:left w:val="none" w:sz="0" w:space="0" w:color="auto"/>
            <w:bottom w:val="none" w:sz="0" w:space="0" w:color="auto"/>
            <w:right w:val="none" w:sz="0" w:space="0" w:color="auto"/>
          </w:divBdr>
        </w:div>
      </w:divsChild>
    </w:div>
    <w:div w:id="1228421411">
      <w:marLeft w:val="0"/>
      <w:marRight w:val="0"/>
      <w:marTop w:val="200"/>
      <w:marBottom w:val="0"/>
      <w:divBdr>
        <w:top w:val="none" w:sz="0" w:space="0" w:color="auto"/>
        <w:left w:val="none" w:sz="0" w:space="0" w:color="auto"/>
        <w:bottom w:val="none" w:sz="0" w:space="0" w:color="auto"/>
        <w:right w:val="none" w:sz="0" w:space="0" w:color="auto"/>
      </w:divBdr>
    </w:div>
    <w:div w:id="1231579340">
      <w:marLeft w:val="0"/>
      <w:marRight w:val="0"/>
      <w:marTop w:val="120"/>
      <w:marBottom w:val="0"/>
      <w:divBdr>
        <w:top w:val="none" w:sz="0" w:space="0" w:color="auto"/>
        <w:left w:val="none" w:sz="0" w:space="0" w:color="auto"/>
        <w:bottom w:val="none" w:sz="0" w:space="0" w:color="auto"/>
        <w:right w:val="none" w:sz="0" w:space="0" w:color="auto"/>
      </w:divBdr>
    </w:div>
    <w:div w:id="1232305608">
      <w:marLeft w:val="0"/>
      <w:marRight w:val="0"/>
      <w:marTop w:val="0"/>
      <w:marBottom w:val="0"/>
      <w:divBdr>
        <w:top w:val="none" w:sz="0" w:space="0" w:color="auto"/>
        <w:left w:val="none" w:sz="0" w:space="0" w:color="auto"/>
        <w:bottom w:val="none" w:sz="0" w:space="0" w:color="auto"/>
        <w:right w:val="none" w:sz="0" w:space="0" w:color="auto"/>
      </w:divBdr>
      <w:divsChild>
        <w:div w:id="510342320">
          <w:marLeft w:val="0"/>
          <w:marRight w:val="0"/>
          <w:marTop w:val="0"/>
          <w:marBottom w:val="0"/>
          <w:divBdr>
            <w:top w:val="none" w:sz="0" w:space="0" w:color="auto"/>
            <w:left w:val="none" w:sz="0" w:space="0" w:color="auto"/>
            <w:bottom w:val="none" w:sz="0" w:space="0" w:color="auto"/>
            <w:right w:val="none" w:sz="0" w:space="0" w:color="auto"/>
          </w:divBdr>
        </w:div>
      </w:divsChild>
    </w:div>
    <w:div w:id="1232502178">
      <w:marLeft w:val="0"/>
      <w:marRight w:val="0"/>
      <w:marTop w:val="200"/>
      <w:marBottom w:val="0"/>
      <w:divBdr>
        <w:top w:val="none" w:sz="0" w:space="0" w:color="auto"/>
        <w:left w:val="none" w:sz="0" w:space="0" w:color="auto"/>
        <w:bottom w:val="none" w:sz="0" w:space="0" w:color="auto"/>
        <w:right w:val="none" w:sz="0" w:space="0" w:color="auto"/>
      </w:divBdr>
    </w:div>
    <w:div w:id="1233738641">
      <w:marLeft w:val="0"/>
      <w:marRight w:val="0"/>
      <w:marTop w:val="0"/>
      <w:marBottom w:val="0"/>
      <w:divBdr>
        <w:top w:val="none" w:sz="0" w:space="0" w:color="auto"/>
        <w:left w:val="none" w:sz="0" w:space="0" w:color="auto"/>
        <w:bottom w:val="none" w:sz="0" w:space="0" w:color="auto"/>
        <w:right w:val="none" w:sz="0" w:space="0" w:color="auto"/>
      </w:divBdr>
      <w:divsChild>
        <w:div w:id="1637100409">
          <w:marLeft w:val="0"/>
          <w:marRight w:val="0"/>
          <w:marTop w:val="0"/>
          <w:marBottom w:val="0"/>
          <w:divBdr>
            <w:top w:val="none" w:sz="0" w:space="0" w:color="auto"/>
            <w:left w:val="none" w:sz="0" w:space="0" w:color="auto"/>
            <w:bottom w:val="none" w:sz="0" w:space="0" w:color="auto"/>
            <w:right w:val="none" w:sz="0" w:space="0" w:color="auto"/>
          </w:divBdr>
        </w:div>
      </w:divsChild>
    </w:div>
    <w:div w:id="1234389966">
      <w:marLeft w:val="0"/>
      <w:marRight w:val="0"/>
      <w:marTop w:val="0"/>
      <w:marBottom w:val="0"/>
      <w:divBdr>
        <w:top w:val="none" w:sz="0" w:space="0" w:color="auto"/>
        <w:left w:val="none" w:sz="0" w:space="0" w:color="auto"/>
        <w:bottom w:val="none" w:sz="0" w:space="0" w:color="auto"/>
        <w:right w:val="none" w:sz="0" w:space="0" w:color="auto"/>
      </w:divBdr>
      <w:divsChild>
        <w:div w:id="2031836192">
          <w:marLeft w:val="0"/>
          <w:marRight w:val="0"/>
          <w:marTop w:val="0"/>
          <w:marBottom w:val="0"/>
          <w:divBdr>
            <w:top w:val="none" w:sz="0" w:space="0" w:color="auto"/>
            <w:left w:val="none" w:sz="0" w:space="0" w:color="auto"/>
            <w:bottom w:val="none" w:sz="0" w:space="0" w:color="auto"/>
            <w:right w:val="none" w:sz="0" w:space="0" w:color="auto"/>
          </w:divBdr>
        </w:div>
      </w:divsChild>
    </w:div>
    <w:div w:id="1234392880">
      <w:marLeft w:val="0"/>
      <w:marRight w:val="0"/>
      <w:marTop w:val="200"/>
      <w:marBottom w:val="0"/>
      <w:divBdr>
        <w:top w:val="none" w:sz="0" w:space="0" w:color="auto"/>
        <w:left w:val="none" w:sz="0" w:space="0" w:color="auto"/>
        <w:bottom w:val="none" w:sz="0" w:space="0" w:color="auto"/>
        <w:right w:val="none" w:sz="0" w:space="0" w:color="auto"/>
      </w:divBdr>
    </w:div>
    <w:div w:id="1235898903">
      <w:marLeft w:val="0"/>
      <w:marRight w:val="0"/>
      <w:marTop w:val="200"/>
      <w:marBottom w:val="0"/>
      <w:divBdr>
        <w:top w:val="none" w:sz="0" w:space="0" w:color="auto"/>
        <w:left w:val="none" w:sz="0" w:space="0" w:color="auto"/>
        <w:bottom w:val="none" w:sz="0" w:space="0" w:color="auto"/>
        <w:right w:val="none" w:sz="0" w:space="0" w:color="auto"/>
      </w:divBdr>
    </w:div>
    <w:div w:id="1236355598">
      <w:marLeft w:val="0"/>
      <w:marRight w:val="0"/>
      <w:marTop w:val="200"/>
      <w:marBottom w:val="0"/>
      <w:divBdr>
        <w:top w:val="none" w:sz="0" w:space="0" w:color="auto"/>
        <w:left w:val="none" w:sz="0" w:space="0" w:color="auto"/>
        <w:bottom w:val="none" w:sz="0" w:space="0" w:color="auto"/>
        <w:right w:val="none" w:sz="0" w:space="0" w:color="auto"/>
      </w:divBdr>
    </w:div>
    <w:div w:id="1237937940">
      <w:marLeft w:val="0"/>
      <w:marRight w:val="0"/>
      <w:marTop w:val="200"/>
      <w:marBottom w:val="0"/>
      <w:divBdr>
        <w:top w:val="none" w:sz="0" w:space="0" w:color="auto"/>
        <w:left w:val="none" w:sz="0" w:space="0" w:color="auto"/>
        <w:bottom w:val="none" w:sz="0" w:space="0" w:color="auto"/>
        <w:right w:val="none" w:sz="0" w:space="0" w:color="auto"/>
      </w:divBdr>
    </w:div>
    <w:div w:id="1238827416">
      <w:marLeft w:val="0"/>
      <w:marRight w:val="0"/>
      <w:marTop w:val="120"/>
      <w:marBottom w:val="0"/>
      <w:divBdr>
        <w:top w:val="none" w:sz="0" w:space="0" w:color="auto"/>
        <w:left w:val="none" w:sz="0" w:space="0" w:color="auto"/>
        <w:bottom w:val="none" w:sz="0" w:space="0" w:color="auto"/>
        <w:right w:val="none" w:sz="0" w:space="0" w:color="auto"/>
      </w:divBdr>
    </w:div>
    <w:div w:id="1239248857">
      <w:marLeft w:val="0"/>
      <w:marRight w:val="0"/>
      <w:marTop w:val="0"/>
      <w:marBottom w:val="0"/>
      <w:divBdr>
        <w:top w:val="none" w:sz="0" w:space="0" w:color="auto"/>
        <w:left w:val="none" w:sz="0" w:space="0" w:color="auto"/>
        <w:bottom w:val="none" w:sz="0" w:space="0" w:color="auto"/>
        <w:right w:val="none" w:sz="0" w:space="0" w:color="auto"/>
      </w:divBdr>
      <w:divsChild>
        <w:div w:id="864562438">
          <w:marLeft w:val="0"/>
          <w:marRight w:val="0"/>
          <w:marTop w:val="0"/>
          <w:marBottom w:val="0"/>
          <w:divBdr>
            <w:top w:val="none" w:sz="0" w:space="0" w:color="auto"/>
            <w:left w:val="none" w:sz="0" w:space="0" w:color="auto"/>
            <w:bottom w:val="none" w:sz="0" w:space="0" w:color="auto"/>
            <w:right w:val="none" w:sz="0" w:space="0" w:color="auto"/>
          </w:divBdr>
        </w:div>
      </w:divsChild>
    </w:div>
    <w:div w:id="1239826999">
      <w:marLeft w:val="0"/>
      <w:marRight w:val="0"/>
      <w:marTop w:val="120"/>
      <w:marBottom w:val="0"/>
      <w:divBdr>
        <w:top w:val="none" w:sz="0" w:space="0" w:color="auto"/>
        <w:left w:val="none" w:sz="0" w:space="0" w:color="auto"/>
        <w:bottom w:val="none" w:sz="0" w:space="0" w:color="auto"/>
        <w:right w:val="none" w:sz="0" w:space="0" w:color="auto"/>
      </w:divBdr>
    </w:div>
    <w:div w:id="1240212519">
      <w:marLeft w:val="0"/>
      <w:marRight w:val="0"/>
      <w:marTop w:val="200"/>
      <w:marBottom w:val="0"/>
      <w:divBdr>
        <w:top w:val="none" w:sz="0" w:space="0" w:color="auto"/>
        <w:left w:val="none" w:sz="0" w:space="0" w:color="auto"/>
        <w:bottom w:val="none" w:sz="0" w:space="0" w:color="auto"/>
        <w:right w:val="none" w:sz="0" w:space="0" w:color="auto"/>
      </w:divBdr>
    </w:div>
    <w:div w:id="1240600362">
      <w:marLeft w:val="0"/>
      <w:marRight w:val="0"/>
      <w:marTop w:val="120"/>
      <w:marBottom w:val="0"/>
      <w:divBdr>
        <w:top w:val="none" w:sz="0" w:space="0" w:color="auto"/>
        <w:left w:val="none" w:sz="0" w:space="0" w:color="auto"/>
        <w:bottom w:val="none" w:sz="0" w:space="0" w:color="auto"/>
        <w:right w:val="none" w:sz="0" w:space="0" w:color="auto"/>
      </w:divBdr>
    </w:div>
    <w:div w:id="1242065111">
      <w:marLeft w:val="0"/>
      <w:marRight w:val="0"/>
      <w:marTop w:val="200"/>
      <w:marBottom w:val="0"/>
      <w:divBdr>
        <w:top w:val="none" w:sz="0" w:space="0" w:color="auto"/>
        <w:left w:val="none" w:sz="0" w:space="0" w:color="auto"/>
        <w:bottom w:val="none" w:sz="0" w:space="0" w:color="auto"/>
        <w:right w:val="none" w:sz="0" w:space="0" w:color="auto"/>
      </w:divBdr>
    </w:div>
    <w:div w:id="1242640450">
      <w:marLeft w:val="0"/>
      <w:marRight w:val="0"/>
      <w:marTop w:val="120"/>
      <w:marBottom w:val="0"/>
      <w:divBdr>
        <w:top w:val="none" w:sz="0" w:space="0" w:color="auto"/>
        <w:left w:val="none" w:sz="0" w:space="0" w:color="auto"/>
        <w:bottom w:val="none" w:sz="0" w:space="0" w:color="auto"/>
        <w:right w:val="none" w:sz="0" w:space="0" w:color="auto"/>
      </w:divBdr>
    </w:div>
    <w:div w:id="1242836263">
      <w:marLeft w:val="0"/>
      <w:marRight w:val="0"/>
      <w:marTop w:val="0"/>
      <w:marBottom w:val="0"/>
      <w:divBdr>
        <w:top w:val="none" w:sz="0" w:space="0" w:color="auto"/>
        <w:left w:val="none" w:sz="0" w:space="0" w:color="auto"/>
        <w:bottom w:val="none" w:sz="0" w:space="0" w:color="auto"/>
        <w:right w:val="none" w:sz="0" w:space="0" w:color="auto"/>
      </w:divBdr>
      <w:divsChild>
        <w:div w:id="315888630">
          <w:marLeft w:val="0"/>
          <w:marRight w:val="0"/>
          <w:marTop w:val="0"/>
          <w:marBottom w:val="0"/>
          <w:divBdr>
            <w:top w:val="none" w:sz="0" w:space="0" w:color="auto"/>
            <w:left w:val="none" w:sz="0" w:space="0" w:color="auto"/>
            <w:bottom w:val="none" w:sz="0" w:space="0" w:color="auto"/>
            <w:right w:val="none" w:sz="0" w:space="0" w:color="auto"/>
          </w:divBdr>
        </w:div>
      </w:divsChild>
    </w:div>
    <w:div w:id="1243024388">
      <w:marLeft w:val="0"/>
      <w:marRight w:val="0"/>
      <w:marTop w:val="120"/>
      <w:marBottom w:val="0"/>
      <w:divBdr>
        <w:top w:val="none" w:sz="0" w:space="0" w:color="auto"/>
        <w:left w:val="none" w:sz="0" w:space="0" w:color="auto"/>
        <w:bottom w:val="none" w:sz="0" w:space="0" w:color="auto"/>
        <w:right w:val="none" w:sz="0" w:space="0" w:color="auto"/>
      </w:divBdr>
    </w:div>
    <w:div w:id="1243026108">
      <w:marLeft w:val="0"/>
      <w:marRight w:val="0"/>
      <w:marTop w:val="0"/>
      <w:marBottom w:val="0"/>
      <w:divBdr>
        <w:top w:val="none" w:sz="0" w:space="0" w:color="auto"/>
        <w:left w:val="none" w:sz="0" w:space="0" w:color="auto"/>
        <w:bottom w:val="none" w:sz="0" w:space="0" w:color="auto"/>
        <w:right w:val="none" w:sz="0" w:space="0" w:color="auto"/>
      </w:divBdr>
      <w:divsChild>
        <w:div w:id="1261524339">
          <w:marLeft w:val="0"/>
          <w:marRight w:val="0"/>
          <w:marTop w:val="0"/>
          <w:marBottom w:val="0"/>
          <w:divBdr>
            <w:top w:val="none" w:sz="0" w:space="0" w:color="auto"/>
            <w:left w:val="none" w:sz="0" w:space="0" w:color="auto"/>
            <w:bottom w:val="none" w:sz="0" w:space="0" w:color="auto"/>
            <w:right w:val="none" w:sz="0" w:space="0" w:color="auto"/>
          </w:divBdr>
        </w:div>
      </w:divsChild>
    </w:div>
    <w:div w:id="1243755525">
      <w:marLeft w:val="0"/>
      <w:marRight w:val="0"/>
      <w:marTop w:val="120"/>
      <w:marBottom w:val="0"/>
      <w:divBdr>
        <w:top w:val="none" w:sz="0" w:space="0" w:color="auto"/>
        <w:left w:val="none" w:sz="0" w:space="0" w:color="auto"/>
        <w:bottom w:val="none" w:sz="0" w:space="0" w:color="auto"/>
        <w:right w:val="none" w:sz="0" w:space="0" w:color="auto"/>
      </w:divBdr>
    </w:div>
    <w:div w:id="1244146741">
      <w:marLeft w:val="0"/>
      <w:marRight w:val="0"/>
      <w:marTop w:val="120"/>
      <w:marBottom w:val="0"/>
      <w:divBdr>
        <w:top w:val="none" w:sz="0" w:space="0" w:color="auto"/>
        <w:left w:val="none" w:sz="0" w:space="0" w:color="auto"/>
        <w:bottom w:val="none" w:sz="0" w:space="0" w:color="auto"/>
        <w:right w:val="none" w:sz="0" w:space="0" w:color="auto"/>
      </w:divBdr>
    </w:div>
    <w:div w:id="1246456113">
      <w:marLeft w:val="0"/>
      <w:marRight w:val="0"/>
      <w:marTop w:val="120"/>
      <w:marBottom w:val="0"/>
      <w:divBdr>
        <w:top w:val="none" w:sz="0" w:space="0" w:color="auto"/>
        <w:left w:val="none" w:sz="0" w:space="0" w:color="auto"/>
        <w:bottom w:val="none" w:sz="0" w:space="0" w:color="auto"/>
        <w:right w:val="none" w:sz="0" w:space="0" w:color="auto"/>
      </w:divBdr>
    </w:div>
    <w:div w:id="1248416812">
      <w:marLeft w:val="0"/>
      <w:marRight w:val="0"/>
      <w:marTop w:val="120"/>
      <w:marBottom w:val="0"/>
      <w:divBdr>
        <w:top w:val="none" w:sz="0" w:space="0" w:color="auto"/>
        <w:left w:val="none" w:sz="0" w:space="0" w:color="auto"/>
        <w:bottom w:val="none" w:sz="0" w:space="0" w:color="auto"/>
        <w:right w:val="none" w:sz="0" w:space="0" w:color="auto"/>
      </w:divBdr>
    </w:div>
    <w:div w:id="1248615063">
      <w:marLeft w:val="0"/>
      <w:marRight w:val="0"/>
      <w:marTop w:val="0"/>
      <w:marBottom w:val="0"/>
      <w:divBdr>
        <w:top w:val="none" w:sz="0" w:space="0" w:color="auto"/>
        <w:left w:val="none" w:sz="0" w:space="0" w:color="auto"/>
        <w:bottom w:val="none" w:sz="0" w:space="0" w:color="auto"/>
        <w:right w:val="none" w:sz="0" w:space="0" w:color="auto"/>
      </w:divBdr>
    </w:div>
    <w:div w:id="1249075234">
      <w:marLeft w:val="0"/>
      <w:marRight w:val="0"/>
      <w:marTop w:val="120"/>
      <w:marBottom w:val="0"/>
      <w:divBdr>
        <w:top w:val="none" w:sz="0" w:space="0" w:color="auto"/>
        <w:left w:val="none" w:sz="0" w:space="0" w:color="auto"/>
        <w:bottom w:val="none" w:sz="0" w:space="0" w:color="auto"/>
        <w:right w:val="none" w:sz="0" w:space="0" w:color="auto"/>
      </w:divBdr>
    </w:div>
    <w:div w:id="1251423735">
      <w:marLeft w:val="0"/>
      <w:marRight w:val="0"/>
      <w:marTop w:val="200"/>
      <w:marBottom w:val="0"/>
      <w:divBdr>
        <w:top w:val="none" w:sz="0" w:space="0" w:color="auto"/>
        <w:left w:val="none" w:sz="0" w:space="0" w:color="auto"/>
        <w:bottom w:val="none" w:sz="0" w:space="0" w:color="auto"/>
        <w:right w:val="none" w:sz="0" w:space="0" w:color="auto"/>
      </w:divBdr>
    </w:div>
    <w:div w:id="1253590250">
      <w:marLeft w:val="0"/>
      <w:marRight w:val="0"/>
      <w:marTop w:val="200"/>
      <w:marBottom w:val="0"/>
      <w:divBdr>
        <w:top w:val="none" w:sz="0" w:space="0" w:color="auto"/>
        <w:left w:val="none" w:sz="0" w:space="0" w:color="auto"/>
        <w:bottom w:val="none" w:sz="0" w:space="0" w:color="auto"/>
        <w:right w:val="none" w:sz="0" w:space="0" w:color="auto"/>
      </w:divBdr>
    </w:div>
    <w:div w:id="1253858031">
      <w:marLeft w:val="0"/>
      <w:marRight w:val="0"/>
      <w:marTop w:val="120"/>
      <w:marBottom w:val="0"/>
      <w:divBdr>
        <w:top w:val="none" w:sz="0" w:space="0" w:color="auto"/>
        <w:left w:val="none" w:sz="0" w:space="0" w:color="auto"/>
        <w:bottom w:val="none" w:sz="0" w:space="0" w:color="auto"/>
        <w:right w:val="none" w:sz="0" w:space="0" w:color="auto"/>
      </w:divBdr>
    </w:div>
    <w:div w:id="1256547621">
      <w:marLeft w:val="0"/>
      <w:marRight w:val="0"/>
      <w:marTop w:val="200"/>
      <w:marBottom w:val="0"/>
      <w:divBdr>
        <w:top w:val="none" w:sz="0" w:space="0" w:color="auto"/>
        <w:left w:val="none" w:sz="0" w:space="0" w:color="auto"/>
        <w:bottom w:val="none" w:sz="0" w:space="0" w:color="auto"/>
        <w:right w:val="none" w:sz="0" w:space="0" w:color="auto"/>
      </w:divBdr>
    </w:div>
    <w:div w:id="1258252722">
      <w:marLeft w:val="0"/>
      <w:marRight w:val="0"/>
      <w:marTop w:val="200"/>
      <w:marBottom w:val="0"/>
      <w:divBdr>
        <w:top w:val="none" w:sz="0" w:space="0" w:color="auto"/>
        <w:left w:val="none" w:sz="0" w:space="0" w:color="auto"/>
        <w:bottom w:val="none" w:sz="0" w:space="0" w:color="auto"/>
        <w:right w:val="none" w:sz="0" w:space="0" w:color="auto"/>
      </w:divBdr>
    </w:div>
    <w:div w:id="1261371808">
      <w:marLeft w:val="0"/>
      <w:marRight w:val="0"/>
      <w:marTop w:val="120"/>
      <w:marBottom w:val="0"/>
      <w:divBdr>
        <w:top w:val="none" w:sz="0" w:space="0" w:color="auto"/>
        <w:left w:val="none" w:sz="0" w:space="0" w:color="auto"/>
        <w:bottom w:val="none" w:sz="0" w:space="0" w:color="auto"/>
        <w:right w:val="none" w:sz="0" w:space="0" w:color="auto"/>
      </w:divBdr>
    </w:div>
    <w:div w:id="1261454127">
      <w:marLeft w:val="0"/>
      <w:marRight w:val="0"/>
      <w:marTop w:val="120"/>
      <w:marBottom w:val="0"/>
      <w:divBdr>
        <w:top w:val="none" w:sz="0" w:space="0" w:color="auto"/>
        <w:left w:val="none" w:sz="0" w:space="0" w:color="auto"/>
        <w:bottom w:val="none" w:sz="0" w:space="0" w:color="auto"/>
        <w:right w:val="none" w:sz="0" w:space="0" w:color="auto"/>
      </w:divBdr>
    </w:div>
    <w:div w:id="1261985393">
      <w:marLeft w:val="0"/>
      <w:marRight w:val="0"/>
      <w:marTop w:val="0"/>
      <w:marBottom w:val="0"/>
      <w:divBdr>
        <w:top w:val="none" w:sz="0" w:space="0" w:color="auto"/>
        <w:left w:val="none" w:sz="0" w:space="0" w:color="auto"/>
        <w:bottom w:val="none" w:sz="0" w:space="0" w:color="auto"/>
        <w:right w:val="none" w:sz="0" w:space="0" w:color="auto"/>
      </w:divBdr>
      <w:divsChild>
        <w:div w:id="153839969">
          <w:marLeft w:val="0"/>
          <w:marRight w:val="0"/>
          <w:marTop w:val="0"/>
          <w:marBottom w:val="0"/>
          <w:divBdr>
            <w:top w:val="none" w:sz="0" w:space="0" w:color="auto"/>
            <w:left w:val="none" w:sz="0" w:space="0" w:color="auto"/>
            <w:bottom w:val="none" w:sz="0" w:space="0" w:color="auto"/>
            <w:right w:val="none" w:sz="0" w:space="0" w:color="auto"/>
          </w:divBdr>
        </w:div>
      </w:divsChild>
    </w:div>
    <w:div w:id="1262572402">
      <w:marLeft w:val="0"/>
      <w:marRight w:val="0"/>
      <w:marTop w:val="120"/>
      <w:marBottom w:val="0"/>
      <w:divBdr>
        <w:top w:val="none" w:sz="0" w:space="0" w:color="auto"/>
        <w:left w:val="none" w:sz="0" w:space="0" w:color="auto"/>
        <w:bottom w:val="none" w:sz="0" w:space="0" w:color="auto"/>
        <w:right w:val="none" w:sz="0" w:space="0" w:color="auto"/>
      </w:divBdr>
    </w:div>
    <w:div w:id="1262644559">
      <w:marLeft w:val="0"/>
      <w:marRight w:val="0"/>
      <w:marTop w:val="120"/>
      <w:marBottom w:val="0"/>
      <w:divBdr>
        <w:top w:val="none" w:sz="0" w:space="0" w:color="auto"/>
        <w:left w:val="none" w:sz="0" w:space="0" w:color="auto"/>
        <w:bottom w:val="none" w:sz="0" w:space="0" w:color="auto"/>
        <w:right w:val="none" w:sz="0" w:space="0" w:color="auto"/>
      </w:divBdr>
    </w:div>
    <w:div w:id="1265308841">
      <w:marLeft w:val="0"/>
      <w:marRight w:val="0"/>
      <w:marTop w:val="200"/>
      <w:marBottom w:val="0"/>
      <w:divBdr>
        <w:top w:val="none" w:sz="0" w:space="0" w:color="auto"/>
        <w:left w:val="none" w:sz="0" w:space="0" w:color="auto"/>
        <w:bottom w:val="none" w:sz="0" w:space="0" w:color="auto"/>
        <w:right w:val="none" w:sz="0" w:space="0" w:color="auto"/>
      </w:divBdr>
    </w:div>
    <w:div w:id="1268073809">
      <w:marLeft w:val="0"/>
      <w:marRight w:val="0"/>
      <w:marTop w:val="120"/>
      <w:marBottom w:val="0"/>
      <w:divBdr>
        <w:top w:val="none" w:sz="0" w:space="0" w:color="auto"/>
        <w:left w:val="none" w:sz="0" w:space="0" w:color="auto"/>
        <w:bottom w:val="none" w:sz="0" w:space="0" w:color="auto"/>
        <w:right w:val="none" w:sz="0" w:space="0" w:color="auto"/>
      </w:divBdr>
    </w:div>
    <w:div w:id="1268077363">
      <w:marLeft w:val="0"/>
      <w:marRight w:val="0"/>
      <w:marTop w:val="120"/>
      <w:marBottom w:val="0"/>
      <w:divBdr>
        <w:top w:val="none" w:sz="0" w:space="0" w:color="auto"/>
        <w:left w:val="none" w:sz="0" w:space="0" w:color="auto"/>
        <w:bottom w:val="none" w:sz="0" w:space="0" w:color="auto"/>
        <w:right w:val="none" w:sz="0" w:space="0" w:color="auto"/>
      </w:divBdr>
    </w:div>
    <w:div w:id="1268390168">
      <w:marLeft w:val="0"/>
      <w:marRight w:val="0"/>
      <w:marTop w:val="120"/>
      <w:marBottom w:val="0"/>
      <w:divBdr>
        <w:top w:val="none" w:sz="0" w:space="0" w:color="auto"/>
        <w:left w:val="none" w:sz="0" w:space="0" w:color="auto"/>
        <w:bottom w:val="none" w:sz="0" w:space="0" w:color="auto"/>
        <w:right w:val="none" w:sz="0" w:space="0" w:color="auto"/>
      </w:divBdr>
    </w:div>
    <w:div w:id="1268462991">
      <w:marLeft w:val="0"/>
      <w:marRight w:val="0"/>
      <w:marTop w:val="200"/>
      <w:marBottom w:val="0"/>
      <w:divBdr>
        <w:top w:val="none" w:sz="0" w:space="0" w:color="auto"/>
        <w:left w:val="none" w:sz="0" w:space="0" w:color="auto"/>
        <w:bottom w:val="none" w:sz="0" w:space="0" w:color="auto"/>
        <w:right w:val="none" w:sz="0" w:space="0" w:color="auto"/>
      </w:divBdr>
    </w:div>
    <w:div w:id="1269385428">
      <w:marLeft w:val="0"/>
      <w:marRight w:val="0"/>
      <w:marTop w:val="120"/>
      <w:marBottom w:val="0"/>
      <w:divBdr>
        <w:top w:val="none" w:sz="0" w:space="0" w:color="auto"/>
        <w:left w:val="none" w:sz="0" w:space="0" w:color="auto"/>
        <w:bottom w:val="none" w:sz="0" w:space="0" w:color="auto"/>
        <w:right w:val="none" w:sz="0" w:space="0" w:color="auto"/>
      </w:divBdr>
    </w:div>
    <w:div w:id="1269580424">
      <w:marLeft w:val="0"/>
      <w:marRight w:val="0"/>
      <w:marTop w:val="200"/>
      <w:marBottom w:val="0"/>
      <w:divBdr>
        <w:top w:val="none" w:sz="0" w:space="0" w:color="auto"/>
        <w:left w:val="none" w:sz="0" w:space="0" w:color="auto"/>
        <w:bottom w:val="none" w:sz="0" w:space="0" w:color="auto"/>
        <w:right w:val="none" w:sz="0" w:space="0" w:color="auto"/>
      </w:divBdr>
    </w:div>
    <w:div w:id="1274631433">
      <w:marLeft w:val="0"/>
      <w:marRight w:val="0"/>
      <w:marTop w:val="200"/>
      <w:marBottom w:val="0"/>
      <w:divBdr>
        <w:top w:val="none" w:sz="0" w:space="0" w:color="auto"/>
        <w:left w:val="none" w:sz="0" w:space="0" w:color="auto"/>
        <w:bottom w:val="none" w:sz="0" w:space="0" w:color="auto"/>
        <w:right w:val="none" w:sz="0" w:space="0" w:color="auto"/>
      </w:divBdr>
    </w:div>
    <w:div w:id="1277761713">
      <w:marLeft w:val="0"/>
      <w:marRight w:val="0"/>
      <w:marTop w:val="120"/>
      <w:marBottom w:val="0"/>
      <w:divBdr>
        <w:top w:val="none" w:sz="0" w:space="0" w:color="auto"/>
        <w:left w:val="none" w:sz="0" w:space="0" w:color="auto"/>
        <w:bottom w:val="none" w:sz="0" w:space="0" w:color="auto"/>
        <w:right w:val="none" w:sz="0" w:space="0" w:color="auto"/>
      </w:divBdr>
    </w:div>
    <w:div w:id="1278175053">
      <w:marLeft w:val="0"/>
      <w:marRight w:val="0"/>
      <w:marTop w:val="0"/>
      <w:marBottom w:val="0"/>
      <w:divBdr>
        <w:top w:val="none" w:sz="0" w:space="0" w:color="auto"/>
        <w:left w:val="none" w:sz="0" w:space="0" w:color="auto"/>
        <w:bottom w:val="none" w:sz="0" w:space="0" w:color="auto"/>
        <w:right w:val="none" w:sz="0" w:space="0" w:color="auto"/>
      </w:divBdr>
      <w:divsChild>
        <w:div w:id="1981835357">
          <w:marLeft w:val="0"/>
          <w:marRight w:val="0"/>
          <w:marTop w:val="0"/>
          <w:marBottom w:val="0"/>
          <w:divBdr>
            <w:top w:val="none" w:sz="0" w:space="0" w:color="auto"/>
            <w:left w:val="none" w:sz="0" w:space="0" w:color="auto"/>
            <w:bottom w:val="none" w:sz="0" w:space="0" w:color="auto"/>
            <w:right w:val="none" w:sz="0" w:space="0" w:color="auto"/>
          </w:divBdr>
        </w:div>
      </w:divsChild>
    </w:div>
    <w:div w:id="1279676272">
      <w:marLeft w:val="0"/>
      <w:marRight w:val="0"/>
      <w:marTop w:val="120"/>
      <w:marBottom w:val="0"/>
      <w:divBdr>
        <w:top w:val="none" w:sz="0" w:space="0" w:color="auto"/>
        <w:left w:val="none" w:sz="0" w:space="0" w:color="auto"/>
        <w:bottom w:val="none" w:sz="0" w:space="0" w:color="auto"/>
        <w:right w:val="none" w:sz="0" w:space="0" w:color="auto"/>
      </w:divBdr>
    </w:div>
    <w:div w:id="1279871486">
      <w:marLeft w:val="0"/>
      <w:marRight w:val="0"/>
      <w:marTop w:val="120"/>
      <w:marBottom w:val="0"/>
      <w:divBdr>
        <w:top w:val="none" w:sz="0" w:space="0" w:color="auto"/>
        <w:left w:val="none" w:sz="0" w:space="0" w:color="auto"/>
        <w:bottom w:val="none" w:sz="0" w:space="0" w:color="auto"/>
        <w:right w:val="none" w:sz="0" w:space="0" w:color="auto"/>
      </w:divBdr>
    </w:div>
    <w:div w:id="1281112494">
      <w:marLeft w:val="0"/>
      <w:marRight w:val="0"/>
      <w:marTop w:val="200"/>
      <w:marBottom w:val="0"/>
      <w:divBdr>
        <w:top w:val="none" w:sz="0" w:space="0" w:color="auto"/>
        <w:left w:val="none" w:sz="0" w:space="0" w:color="auto"/>
        <w:bottom w:val="none" w:sz="0" w:space="0" w:color="auto"/>
        <w:right w:val="none" w:sz="0" w:space="0" w:color="auto"/>
      </w:divBdr>
    </w:div>
    <w:div w:id="1281380817">
      <w:marLeft w:val="0"/>
      <w:marRight w:val="0"/>
      <w:marTop w:val="0"/>
      <w:marBottom w:val="0"/>
      <w:divBdr>
        <w:top w:val="none" w:sz="0" w:space="0" w:color="auto"/>
        <w:left w:val="none" w:sz="0" w:space="0" w:color="auto"/>
        <w:bottom w:val="none" w:sz="0" w:space="0" w:color="auto"/>
        <w:right w:val="none" w:sz="0" w:space="0" w:color="auto"/>
      </w:divBdr>
      <w:divsChild>
        <w:div w:id="1477144309">
          <w:marLeft w:val="0"/>
          <w:marRight w:val="0"/>
          <w:marTop w:val="0"/>
          <w:marBottom w:val="0"/>
          <w:divBdr>
            <w:top w:val="none" w:sz="0" w:space="0" w:color="auto"/>
            <w:left w:val="none" w:sz="0" w:space="0" w:color="auto"/>
            <w:bottom w:val="none" w:sz="0" w:space="0" w:color="auto"/>
            <w:right w:val="none" w:sz="0" w:space="0" w:color="auto"/>
          </w:divBdr>
        </w:div>
      </w:divsChild>
    </w:div>
    <w:div w:id="1282108609">
      <w:marLeft w:val="0"/>
      <w:marRight w:val="0"/>
      <w:marTop w:val="120"/>
      <w:marBottom w:val="0"/>
      <w:divBdr>
        <w:top w:val="none" w:sz="0" w:space="0" w:color="auto"/>
        <w:left w:val="none" w:sz="0" w:space="0" w:color="auto"/>
        <w:bottom w:val="none" w:sz="0" w:space="0" w:color="auto"/>
        <w:right w:val="none" w:sz="0" w:space="0" w:color="auto"/>
      </w:divBdr>
    </w:div>
    <w:div w:id="1283489039">
      <w:marLeft w:val="0"/>
      <w:marRight w:val="0"/>
      <w:marTop w:val="120"/>
      <w:marBottom w:val="0"/>
      <w:divBdr>
        <w:top w:val="none" w:sz="0" w:space="0" w:color="auto"/>
        <w:left w:val="none" w:sz="0" w:space="0" w:color="auto"/>
        <w:bottom w:val="none" w:sz="0" w:space="0" w:color="auto"/>
        <w:right w:val="none" w:sz="0" w:space="0" w:color="auto"/>
      </w:divBdr>
    </w:div>
    <w:div w:id="1285581739">
      <w:marLeft w:val="0"/>
      <w:marRight w:val="0"/>
      <w:marTop w:val="120"/>
      <w:marBottom w:val="0"/>
      <w:divBdr>
        <w:top w:val="none" w:sz="0" w:space="0" w:color="auto"/>
        <w:left w:val="none" w:sz="0" w:space="0" w:color="auto"/>
        <w:bottom w:val="none" w:sz="0" w:space="0" w:color="auto"/>
        <w:right w:val="none" w:sz="0" w:space="0" w:color="auto"/>
      </w:divBdr>
    </w:div>
    <w:div w:id="1286619051">
      <w:marLeft w:val="0"/>
      <w:marRight w:val="0"/>
      <w:marTop w:val="0"/>
      <w:marBottom w:val="0"/>
      <w:divBdr>
        <w:top w:val="none" w:sz="0" w:space="0" w:color="auto"/>
        <w:left w:val="none" w:sz="0" w:space="0" w:color="auto"/>
        <w:bottom w:val="none" w:sz="0" w:space="0" w:color="auto"/>
        <w:right w:val="none" w:sz="0" w:space="0" w:color="auto"/>
      </w:divBdr>
      <w:divsChild>
        <w:div w:id="2062709480">
          <w:marLeft w:val="0"/>
          <w:marRight w:val="0"/>
          <w:marTop w:val="0"/>
          <w:marBottom w:val="0"/>
          <w:divBdr>
            <w:top w:val="none" w:sz="0" w:space="0" w:color="auto"/>
            <w:left w:val="none" w:sz="0" w:space="0" w:color="auto"/>
            <w:bottom w:val="none" w:sz="0" w:space="0" w:color="auto"/>
            <w:right w:val="none" w:sz="0" w:space="0" w:color="auto"/>
          </w:divBdr>
        </w:div>
      </w:divsChild>
    </w:div>
    <w:div w:id="1287084529">
      <w:marLeft w:val="0"/>
      <w:marRight w:val="0"/>
      <w:marTop w:val="120"/>
      <w:marBottom w:val="0"/>
      <w:divBdr>
        <w:top w:val="none" w:sz="0" w:space="0" w:color="auto"/>
        <w:left w:val="none" w:sz="0" w:space="0" w:color="auto"/>
        <w:bottom w:val="none" w:sz="0" w:space="0" w:color="auto"/>
        <w:right w:val="none" w:sz="0" w:space="0" w:color="auto"/>
      </w:divBdr>
    </w:div>
    <w:div w:id="1288462490">
      <w:marLeft w:val="0"/>
      <w:marRight w:val="0"/>
      <w:marTop w:val="120"/>
      <w:marBottom w:val="0"/>
      <w:divBdr>
        <w:top w:val="none" w:sz="0" w:space="0" w:color="auto"/>
        <w:left w:val="none" w:sz="0" w:space="0" w:color="auto"/>
        <w:bottom w:val="none" w:sz="0" w:space="0" w:color="auto"/>
        <w:right w:val="none" w:sz="0" w:space="0" w:color="auto"/>
      </w:divBdr>
    </w:div>
    <w:div w:id="1290084913">
      <w:marLeft w:val="0"/>
      <w:marRight w:val="0"/>
      <w:marTop w:val="0"/>
      <w:marBottom w:val="0"/>
      <w:divBdr>
        <w:top w:val="none" w:sz="0" w:space="0" w:color="auto"/>
        <w:left w:val="none" w:sz="0" w:space="0" w:color="auto"/>
        <w:bottom w:val="none" w:sz="0" w:space="0" w:color="auto"/>
        <w:right w:val="none" w:sz="0" w:space="0" w:color="auto"/>
      </w:divBdr>
      <w:divsChild>
        <w:div w:id="1897625227">
          <w:marLeft w:val="0"/>
          <w:marRight w:val="0"/>
          <w:marTop w:val="0"/>
          <w:marBottom w:val="0"/>
          <w:divBdr>
            <w:top w:val="none" w:sz="0" w:space="0" w:color="auto"/>
            <w:left w:val="none" w:sz="0" w:space="0" w:color="auto"/>
            <w:bottom w:val="none" w:sz="0" w:space="0" w:color="auto"/>
            <w:right w:val="none" w:sz="0" w:space="0" w:color="auto"/>
          </w:divBdr>
        </w:div>
      </w:divsChild>
    </w:div>
    <w:div w:id="1290360948">
      <w:marLeft w:val="0"/>
      <w:marRight w:val="0"/>
      <w:marTop w:val="200"/>
      <w:marBottom w:val="0"/>
      <w:divBdr>
        <w:top w:val="none" w:sz="0" w:space="0" w:color="auto"/>
        <w:left w:val="none" w:sz="0" w:space="0" w:color="auto"/>
        <w:bottom w:val="none" w:sz="0" w:space="0" w:color="auto"/>
        <w:right w:val="none" w:sz="0" w:space="0" w:color="auto"/>
      </w:divBdr>
    </w:div>
    <w:div w:id="1291592898">
      <w:marLeft w:val="0"/>
      <w:marRight w:val="0"/>
      <w:marTop w:val="120"/>
      <w:marBottom w:val="0"/>
      <w:divBdr>
        <w:top w:val="none" w:sz="0" w:space="0" w:color="auto"/>
        <w:left w:val="none" w:sz="0" w:space="0" w:color="auto"/>
        <w:bottom w:val="none" w:sz="0" w:space="0" w:color="auto"/>
        <w:right w:val="none" w:sz="0" w:space="0" w:color="auto"/>
      </w:divBdr>
    </w:div>
    <w:div w:id="1292250982">
      <w:marLeft w:val="0"/>
      <w:marRight w:val="0"/>
      <w:marTop w:val="120"/>
      <w:marBottom w:val="0"/>
      <w:divBdr>
        <w:top w:val="none" w:sz="0" w:space="0" w:color="auto"/>
        <w:left w:val="none" w:sz="0" w:space="0" w:color="auto"/>
        <w:bottom w:val="none" w:sz="0" w:space="0" w:color="auto"/>
        <w:right w:val="none" w:sz="0" w:space="0" w:color="auto"/>
      </w:divBdr>
    </w:div>
    <w:div w:id="1294824438">
      <w:marLeft w:val="0"/>
      <w:marRight w:val="0"/>
      <w:marTop w:val="200"/>
      <w:marBottom w:val="0"/>
      <w:divBdr>
        <w:top w:val="none" w:sz="0" w:space="0" w:color="auto"/>
        <w:left w:val="none" w:sz="0" w:space="0" w:color="auto"/>
        <w:bottom w:val="none" w:sz="0" w:space="0" w:color="auto"/>
        <w:right w:val="none" w:sz="0" w:space="0" w:color="auto"/>
      </w:divBdr>
    </w:div>
    <w:div w:id="1295797610">
      <w:marLeft w:val="0"/>
      <w:marRight w:val="0"/>
      <w:marTop w:val="120"/>
      <w:marBottom w:val="0"/>
      <w:divBdr>
        <w:top w:val="none" w:sz="0" w:space="0" w:color="auto"/>
        <w:left w:val="none" w:sz="0" w:space="0" w:color="auto"/>
        <w:bottom w:val="none" w:sz="0" w:space="0" w:color="auto"/>
        <w:right w:val="none" w:sz="0" w:space="0" w:color="auto"/>
      </w:divBdr>
    </w:div>
    <w:div w:id="1300070006">
      <w:marLeft w:val="0"/>
      <w:marRight w:val="0"/>
      <w:marTop w:val="120"/>
      <w:marBottom w:val="0"/>
      <w:divBdr>
        <w:top w:val="none" w:sz="0" w:space="0" w:color="auto"/>
        <w:left w:val="none" w:sz="0" w:space="0" w:color="auto"/>
        <w:bottom w:val="none" w:sz="0" w:space="0" w:color="auto"/>
        <w:right w:val="none" w:sz="0" w:space="0" w:color="auto"/>
      </w:divBdr>
    </w:div>
    <w:div w:id="1301181980">
      <w:marLeft w:val="0"/>
      <w:marRight w:val="0"/>
      <w:marTop w:val="200"/>
      <w:marBottom w:val="0"/>
      <w:divBdr>
        <w:top w:val="none" w:sz="0" w:space="0" w:color="auto"/>
        <w:left w:val="none" w:sz="0" w:space="0" w:color="auto"/>
        <w:bottom w:val="none" w:sz="0" w:space="0" w:color="auto"/>
        <w:right w:val="none" w:sz="0" w:space="0" w:color="auto"/>
      </w:divBdr>
    </w:div>
    <w:div w:id="1301807117">
      <w:marLeft w:val="0"/>
      <w:marRight w:val="0"/>
      <w:marTop w:val="200"/>
      <w:marBottom w:val="0"/>
      <w:divBdr>
        <w:top w:val="none" w:sz="0" w:space="0" w:color="auto"/>
        <w:left w:val="none" w:sz="0" w:space="0" w:color="auto"/>
        <w:bottom w:val="none" w:sz="0" w:space="0" w:color="auto"/>
        <w:right w:val="none" w:sz="0" w:space="0" w:color="auto"/>
      </w:divBdr>
    </w:div>
    <w:div w:id="1303458293">
      <w:marLeft w:val="0"/>
      <w:marRight w:val="0"/>
      <w:marTop w:val="200"/>
      <w:marBottom w:val="0"/>
      <w:divBdr>
        <w:top w:val="none" w:sz="0" w:space="0" w:color="auto"/>
        <w:left w:val="none" w:sz="0" w:space="0" w:color="auto"/>
        <w:bottom w:val="none" w:sz="0" w:space="0" w:color="auto"/>
        <w:right w:val="none" w:sz="0" w:space="0" w:color="auto"/>
      </w:divBdr>
    </w:div>
    <w:div w:id="1303462103">
      <w:marLeft w:val="0"/>
      <w:marRight w:val="0"/>
      <w:marTop w:val="120"/>
      <w:marBottom w:val="0"/>
      <w:divBdr>
        <w:top w:val="none" w:sz="0" w:space="0" w:color="auto"/>
        <w:left w:val="none" w:sz="0" w:space="0" w:color="auto"/>
        <w:bottom w:val="none" w:sz="0" w:space="0" w:color="auto"/>
        <w:right w:val="none" w:sz="0" w:space="0" w:color="auto"/>
      </w:divBdr>
    </w:div>
    <w:div w:id="1303654132">
      <w:marLeft w:val="0"/>
      <w:marRight w:val="0"/>
      <w:marTop w:val="120"/>
      <w:marBottom w:val="0"/>
      <w:divBdr>
        <w:top w:val="none" w:sz="0" w:space="0" w:color="auto"/>
        <w:left w:val="none" w:sz="0" w:space="0" w:color="auto"/>
        <w:bottom w:val="none" w:sz="0" w:space="0" w:color="auto"/>
        <w:right w:val="none" w:sz="0" w:space="0" w:color="auto"/>
      </w:divBdr>
    </w:div>
    <w:div w:id="1305619866">
      <w:marLeft w:val="0"/>
      <w:marRight w:val="0"/>
      <w:marTop w:val="120"/>
      <w:marBottom w:val="0"/>
      <w:divBdr>
        <w:top w:val="none" w:sz="0" w:space="0" w:color="auto"/>
        <w:left w:val="none" w:sz="0" w:space="0" w:color="auto"/>
        <w:bottom w:val="none" w:sz="0" w:space="0" w:color="auto"/>
        <w:right w:val="none" w:sz="0" w:space="0" w:color="auto"/>
      </w:divBdr>
    </w:div>
    <w:div w:id="1310666845">
      <w:marLeft w:val="0"/>
      <w:marRight w:val="0"/>
      <w:marTop w:val="100"/>
      <w:marBottom w:val="0"/>
      <w:divBdr>
        <w:top w:val="none" w:sz="0" w:space="0" w:color="auto"/>
        <w:left w:val="none" w:sz="0" w:space="0" w:color="auto"/>
        <w:bottom w:val="none" w:sz="0" w:space="0" w:color="auto"/>
        <w:right w:val="none" w:sz="0" w:space="0" w:color="auto"/>
      </w:divBdr>
      <w:divsChild>
        <w:div w:id="964576558">
          <w:marLeft w:val="0"/>
          <w:marRight w:val="0"/>
          <w:marTop w:val="20"/>
          <w:marBottom w:val="0"/>
          <w:divBdr>
            <w:top w:val="none" w:sz="0" w:space="0" w:color="auto"/>
            <w:left w:val="none" w:sz="0" w:space="0" w:color="auto"/>
            <w:bottom w:val="none" w:sz="0" w:space="0" w:color="auto"/>
            <w:right w:val="none" w:sz="0" w:space="0" w:color="auto"/>
          </w:divBdr>
        </w:div>
        <w:div w:id="575019402">
          <w:marLeft w:val="0"/>
          <w:marRight w:val="0"/>
          <w:marTop w:val="20"/>
          <w:marBottom w:val="0"/>
          <w:divBdr>
            <w:top w:val="none" w:sz="0" w:space="0" w:color="auto"/>
            <w:left w:val="none" w:sz="0" w:space="0" w:color="auto"/>
            <w:bottom w:val="none" w:sz="0" w:space="0" w:color="auto"/>
            <w:right w:val="none" w:sz="0" w:space="0" w:color="auto"/>
          </w:divBdr>
        </w:div>
        <w:div w:id="1157722085">
          <w:marLeft w:val="0"/>
          <w:marRight w:val="0"/>
          <w:marTop w:val="20"/>
          <w:marBottom w:val="0"/>
          <w:divBdr>
            <w:top w:val="none" w:sz="0" w:space="0" w:color="auto"/>
            <w:left w:val="none" w:sz="0" w:space="0" w:color="auto"/>
            <w:bottom w:val="none" w:sz="0" w:space="0" w:color="auto"/>
            <w:right w:val="none" w:sz="0" w:space="0" w:color="auto"/>
          </w:divBdr>
        </w:div>
        <w:div w:id="1014260272">
          <w:marLeft w:val="0"/>
          <w:marRight w:val="0"/>
          <w:marTop w:val="20"/>
          <w:marBottom w:val="0"/>
          <w:divBdr>
            <w:top w:val="none" w:sz="0" w:space="0" w:color="auto"/>
            <w:left w:val="none" w:sz="0" w:space="0" w:color="auto"/>
            <w:bottom w:val="none" w:sz="0" w:space="0" w:color="auto"/>
            <w:right w:val="none" w:sz="0" w:space="0" w:color="auto"/>
          </w:divBdr>
        </w:div>
        <w:div w:id="2024745964">
          <w:marLeft w:val="0"/>
          <w:marRight w:val="0"/>
          <w:marTop w:val="20"/>
          <w:marBottom w:val="0"/>
          <w:divBdr>
            <w:top w:val="none" w:sz="0" w:space="0" w:color="auto"/>
            <w:left w:val="none" w:sz="0" w:space="0" w:color="auto"/>
            <w:bottom w:val="none" w:sz="0" w:space="0" w:color="auto"/>
            <w:right w:val="none" w:sz="0" w:space="0" w:color="auto"/>
          </w:divBdr>
        </w:div>
      </w:divsChild>
    </w:div>
    <w:div w:id="1311860986">
      <w:marLeft w:val="0"/>
      <w:marRight w:val="0"/>
      <w:marTop w:val="200"/>
      <w:marBottom w:val="0"/>
      <w:divBdr>
        <w:top w:val="none" w:sz="0" w:space="0" w:color="auto"/>
        <w:left w:val="none" w:sz="0" w:space="0" w:color="auto"/>
        <w:bottom w:val="none" w:sz="0" w:space="0" w:color="auto"/>
        <w:right w:val="none" w:sz="0" w:space="0" w:color="auto"/>
      </w:divBdr>
    </w:div>
    <w:div w:id="1312713360">
      <w:marLeft w:val="0"/>
      <w:marRight w:val="0"/>
      <w:marTop w:val="200"/>
      <w:marBottom w:val="0"/>
      <w:divBdr>
        <w:top w:val="none" w:sz="0" w:space="0" w:color="auto"/>
        <w:left w:val="none" w:sz="0" w:space="0" w:color="auto"/>
        <w:bottom w:val="none" w:sz="0" w:space="0" w:color="auto"/>
        <w:right w:val="none" w:sz="0" w:space="0" w:color="auto"/>
      </w:divBdr>
    </w:div>
    <w:div w:id="1312978527">
      <w:marLeft w:val="0"/>
      <w:marRight w:val="0"/>
      <w:marTop w:val="200"/>
      <w:marBottom w:val="0"/>
      <w:divBdr>
        <w:top w:val="none" w:sz="0" w:space="0" w:color="auto"/>
        <w:left w:val="none" w:sz="0" w:space="0" w:color="auto"/>
        <w:bottom w:val="none" w:sz="0" w:space="0" w:color="auto"/>
        <w:right w:val="none" w:sz="0" w:space="0" w:color="auto"/>
      </w:divBdr>
    </w:div>
    <w:div w:id="1313490288">
      <w:marLeft w:val="0"/>
      <w:marRight w:val="0"/>
      <w:marTop w:val="120"/>
      <w:marBottom w:val="0"/>
      <w:divBdr>
        <w:top w:val="none" w:sz="0" w:space="0" w:color="auto"/>
        <w:left w:val="none" w:sz="0" w:space="0" w:color="auto"/>
        <w:bottom w:val="none" w:sz="0" w:space="0" w:color="auto"/>
        <w:right w:val="none" w:sz="0" w:space="0" w:color="auto"/>
      </w:divBdr>
    </w:div>
    <w:div w:id="1313752583">
      <w:marLeft w:val="0"/>
      <w:marRight w:val="0"/>
      <w:marTop w:val="200"/>
      <w:marBottom w:val="0"/>
      <w:divBdr>
        <w:top w:val="none" w:sz="0" w:space="0" w:color="auto"/>
        <w:left w:val="none" w:sz="0" w:space="0" w:color="auto"/>
        <w:bottom w:val="none" w:sz="0" w:space="0" w:color="auto"/>
        <w:right w:val="none" w:sz="0" w:space="0" w:color="auto"/>
      </w:divBdr>
    </w:div>
    <w:div w:id="1314287556">
      <w:marLeft w:val="0"/>
      <w:marRight w:val="0"/>
      <w:marTop w:val="120"/>
      <w:marBottom w:val="0"/>
      <w:divBdr>
        <w:top w:val="none" w:sz="0" w:space="0" w:color="auto"/>
        <w:left w:val="none" w:sz="0" w:space="0" w:color="auto"/>
        <w:bottom w:val="none" w:sz="0" w:space="0" w:color="auto"/>
        <w:right w:val="none" w:sz="0" w:space="0" w:color="auto"/>
      </w:divBdr>
    </w:div>
    <w:div w:id="1314873050">
      <w:marLeft w:val="0"/>
      <w:marRight w:val="0"/>
      <w:marTop w:val="120"/>
      <w:marBottom w:val="0"/>
      <w:divBdr>
        <w:top w:val="none" w:sz="0" w:space="0" w:color="auto"/>
        <w:left w:val="none" w:sz="0" w:space="0" w:color="auto"/>
        <w:bottom w:val="none" w:sz="0" w:space="0" w:color="auto"/>
        <w:right w:val="none" w:sz="0" w:space="0" w:color="auto"/>
      </w:divBdr>
    </w:div>
    <w:div w:id="1317148907">
      <w:marLeft w:val="0"/>
      <w:marRight w:val="0"/>
      <w:marTop w:val="120"/>
      <w:marBottom w:val="0"/>
      <w:divBdr>
        <w:top w:val="none" w:sz="0" w:space="0" w:color="auto"/>
        <w:left w:val="none" w:sz="0" w:space="0" w:color="auto"/>
        <w:bottom w:val="none" w:sz="0" w:space="0" w:color="auto"/>
        <w:right w:val="none" w:sz="0" w:space="0" w:color="auto"/>
      </w:divBdr>
    </w:div>
    <w:div w:id="1317341044">
      <w:marLeft w:val="0"/>
      <w:marRight w:val="0"/>
      <w:marTop w:val="120"/>
      <w:marBottom w:val="0"/>
      <w:divBdr>
        <w:top w:val="none" w:sz="0" w:space="0" w:color="auto"/>
        <w:left w:val="none" w:sz="0" w:space="0" w:color="auto"/>
        <w:bottom w:val="none" w:sz="0" w:space="0" w:color="auto"/>
        <w:right w:val="none" w:sz="0" w:space="0" w:color="auto"/>
      </w:divBdr>
    </w:div>
    <w:div w:id="1317732630">
      <w:marLeft w:val="0"/>
      <w:marRight w:val="0"/>
      <w:marTop w:val="120"/>
      <w:marBottom w:val="0"/>
      <w:divBdr>
        <w:top w:val="none" w:sz="0" w:space="0" w:color="auto"/>
        <w:left w:val="none" w:sz="0" w:space="0" w:color="auto"/>
        <w:bottom w:val="none" w:sz="0" w:space="0" w:color="auto"/>
        <w:right w:val="none" w:sz="0" w:space="0" w:color="auto"/>
      </w:divBdr>
    </w:div>
    <w:div w:id="1321956635">
      <w:marLeft w:val="0"/>
      <w:marRight w:val="0"/>
      <w:marTop w:val="120"/>
      <w:marBottom w:val="0"/>
      <w:divBdr>
        <w:top w:val="none" w:sz="0" w:space="0" w:color="auto"/>
        <w:left w:val="none" w:sz="0" w:space="0" w:color="auto"/>
        <w:bottom w:val="none" w:sz="0" w:space="0" w:color="auto"/>
        <w:right w:val="none" w:sz="0" w:space="0" w:color="auto"/>
      </w:divBdr>
    </w:div>
    <w:div w:id="1322273949">
      <w:marLeft w:val="0"/>
      <w:marRight w:val="0"/>
      <w:marTop w:val="120"/>
      <w:marBottom w:val="0"/>
      <w:divBdr>
        <w:top w:val="none" w:sz="0" w:space="0" w:color="auto"/>
        <w:left w:val="none" w:sz="0" w:space="0" w:color="auto"/>
        <w:bottom w:val="none" w:sz="0" w:space="0" w:color="auto"/>
        <w:right w:val="none" w:sz="0" w:space="0" w:color="auto"/>
      </w:divBdr>
    </w:div>
    <w:div w:id="1323267441">
      <w:marLeft w:val="0"/>
      <w:marRight w:val="0"/>
      <w:marTop w:val="0"/>
      <w:marBottom w:val="0"/>
      <w:divBdr>
        <w:top w:val="none" w:sz="0" w:space="0" w:color="auto"/>
        <w:left w:val="none" w:sz="0" w:space="0" w:color="auto"/>
        <w:bottom w:val="none" w:sz="0" w:space="0" w:color="auto"/>
        <w:right w:val="none" w:sz="0" w:space="0" w:color="auto"/>
      </w:divBdr>
      <w:divsChild>
        <w:div w:id="1315916697">
          <w:marLeft w:val="0"/>
          <w:marRight w:val="0"/>
          <w:marTop w:val="0"/>
          <w:marBottom w:val="0"/>
          <w:divBdr>
            <w:top w:val="none" w:sz="0" w:space="0" w:color="auto"/>
            <w:left w:val="none" w:sz="0" w:space="0" w:color="auto"/>
            <w:bottom w:val="none" w:sz="0" w:space="0" w:color="auto"/>
            <w:right w:val="none" w:sz="0" w:space="0" w:color="auto"/>
          </w:divBdr>
        </w:div>
      </w:divsChild>
    </w:div>
    <w:div w:id="1324548643">
      <w:marLeft w:val="0"/>
      <w:marRight w:val="0"/>
      <w:marTop w:val="120"/>
      <w:marBottom w:val="0"/>
      <w:divBdr>
        <w:top w:val="none" w:sz="0" w:space="0" w:color="auto"/>
        <w:left w:val="none" w:sz="0" w:space="0" w:color="auto"/>
        <w:bottom w:val="none" w:sz="0" w:space="0" w:color="auto"/>
        <w:right w:val="none" w:sz="0" w:space="0" w:color="auto"/>
      </w:divBdr>
    </w:div>
    <w:div w:id="1324701201">
      <w:marLeft w:val="0"/>
      <w:marRight w:val="0"/>
      <w:marTop w:val="120"/>
      <w:marBottom w:val="0"/>
      <w:divBdr>
        <w:top w:val="none" w:sz="0" w:space="0" w:color="auto"/>
        <w:left w:val="none" w:sz="0" w:space="0" w:color="auto"/>
        <w:bottom w:val="none" w:sz="0" w:space="0" w:color="auto"/>
        <w:right w:val="none" w:sz="0" w:space="0" w:color="auto"/>
      </w:divBdr>
    </w:div>
    <w:div w:id="1325205184">
      <w:marLeft w:val="0"/>
      <w:marRight w:val="0"/>
      <w:marTop w:val="120"/>
      <w:marBottom w:val="0"/>
      <w:divBdr>
        <w:top w:val="none" w:sz="0" w:space="0" w:color="auto"/>
        <w:left w:val="none" w:sz="0" w:space="0" w:color="auto"/>
        <w:bottom w:val="none" w:sz="0" w:space="0" w:color="auto"/>
        <w:right w:val="none" w:sz="0" w:space="0" w:color="auto"/>
      </w:divBdr>
    </w:div>
    <w:div w:id="1325475834">
      <w:marLeft w:val="0"/>
      <w:marRight w:val="0"/>
      <w:marTop w:val="200"/>
      <w:marBottom w:val="0"/>
      <w:divBdr>
        <w:top w:val="none" w:sz="0" w:space="0" w:color="auto"/>
        <w:left w:val="none" w:sz="0" w:space="0" w:color="auto"/>
        <w:bottom w:val="none" w:sz="0" w:space="0" w:color="auto"/>
        <w:right w:val="none" w:sz="0" w:space="0" w:color="auto"/>
      </w:divBdr>
    </w:div>
    <w:div w:id="1325820977">
      <w:marLeft w:val="0"/>
      <w:marRight w:val="0"/>
      <w:marTop w:val="120"/>
      <w:marBottom w:val="0"/>
      <w:divBdr>
        <w:top w:val="none" w:sz="0" w:space="0" w:color="auto"/>
        <w:left w:val="none" w:sz="0" w:space="0" w:color="auto"/>
        <w:bottom w:val="none" w:sz="0" w:space="0" w:color="auto"/>
        <w:right w:val="none" w:sz="0" w:space="0" w:color="auto"/>
      </w:divBdr>
    </w:div>
    <w:div w:id="1326471318">
      <w:marLeft w:val="0"/>
      <w:marRight w:val="0"/>
      <w:marTop w:val="120"/>
      <w:marBottom w:val="0"/>
      <w:divBdr>
        <w:top w:val="none" w:sz="0" w:space="0" w:color="auto"/>
        <w:left w:val="none" w:sz="0" w:space="0" w:color="auto"/>
        <w:bottom w:val="none" w:sz="0" w:space="0" w:color="auto"/>
        <w:right w:val="none" w:sz="0" w:space="0" w:color="auto"/>
      </w:divBdr>
    </w:div>
    <w:div w:id="1326475389">
      <w:marLeft w:val="0"/>
      <w:marRight w:val="0"/>
      <w:marTop w:val="0"/>
      <w:marBottom w:val="0"/>
      <w:divBdr>
        <w:top w:val="none" w:sz="0" w:space="0" w:color="auto"/>
        <w:left w:val="none" w:sz="0" w:space="0" w:color="auto"/>
        <w:bottom w:val="none" w:sz="0" w:space="0" w:color="auto"/>
        <w:right w:val="none" w:sz="0" w:space="0" w:color="auto"/>
      </w:divBdr>
      <w:divsChild>
        <w:div w:id="1995335212">
          <w:marLeft w:val="0"/>
          <w:marRight w:val="0"/>
          <w:marTop w:val="0"/>
          <w:marBottom w:val="0"/>
          <w:divBdr>
            <w:top w:val="none" w:sz="0" w:space="0" w:color="auto"/>
            <w:left w:val="none" w:sz="0" w:space="0" w:color="auto"/>
            <w:bottom w:val="none" w:sz="0" w:space="0" w:color="auto"/>
            <w:right w:val="none" w:sz="0" w:space="0" w:color="auto"/>
          </w:divBdr>
        </w:div>
      </w:divsChild>
    </w:div>
    <w:div w:id="1326590082">
      <w:marLeft w:val="0"/>
      <w:marRight w:val="0"/>
      <w:marTop w:val="200"/>
      <w:marBottom w:val="0"/>
      <w:divBdr>
        <w:top w:val="none" w:sz="0" w:space="0" w:color="auto"/>
        <w:left w:val="none" w:sz="0" w:space="0" w:color="auto"/>
        <w:bottom w:val="none" w:sz="0" w:space="0" w:color="auto"/>
        <w:right w:val="none" w:sz="0" w:space="0" w:color="auto"/>
      </w:divBdr>
    </w:div>
    <w:div w:id="1326859930">
      <w:marLeft w:val="0"/>
      <w:marRight w:val="0"/>
      <w:marTop w:val="120"/>
      <w:marBottom w:val="0"/>
      <w:divBdr>
        <w:top w:val="none" w:sz="0" w:space="0" w:color="auto"/>
        <w:left w:val="none" w:sz="0" w:space="0" w:color="auto"/>
        <w:bottom w:val="none" w:sz="0" w:space="0" w:color="auto"/>
        <w:right w:val="none" w:sz="0" w:space="0" w:color="auto"/>
      </w:divBdr>
    </w:div>
    <w:div w:id="1331174164">
      <w:marLeft w:val="0"/>
      <w:marRight w:val="0"/>
      <w:marTop w:val="120"/>
      <w:marBottom w:val="0"/>
      <w:divBdr>
        <w:top w:val="none" w:sz="0" w:space="0" w:color="auto"/>
        <w:left w:val="none" w:sz="0" w:space="0" w:color="auto"/>
        <w:bottom w:val="none" w:sz="0" w:space="0" w:color="auto"/>
        <w:right w:val="none" w:sz="0" w:space="0" w:color="auto"/>
      </w:divBdr>
    </w:div>
    <w:div w:id="1333609741">
      <w:marLeft w:val="0"/>
      <w:marRight w:val="0"/>
      <w:marTop w:val="200"/>
      <w:marBottom w:val="0"/>
      <w:divBdr>
        <w:top w:val="none" w:sz="0" w:space="0" w:color="auto"/>
        <w:left w:val="none" w:sz="0" w:space="0" w:color="auto"/>
        <w:bottom w:val="none" w:sz="0" w:space="0" w:color="auto"/>
        <w:right w:val="none" w:sz="0" w:space="0" w:color="auto"/>
      </w:divBdr>
    </w:div>
    <w:div w:id="1335066004">
      <w:marLeft w:val="0"/>
      <w:marRight w:val="0"/>
      <w:marTop w:val="0"/>
      <w:marBottom w:val="0"/>
      <w:divBdr>
        <w:top w:val="none" w:sz="0" w:space="0" w:color="auto"/>
        <w:left w:val="none" w:sz="0" w:space="0" w:color="auto"/>
        <w:bottom w:val="none" w:sz="0" w:space="0" w:color="auto"/>
        <w:right w:val="none" w:sz="0" w:space="0" w:color="auto"/>
      </w:divBdr>
      <w:divsChild>
        <w:div w:id="1246267">
          <w:marLeft w:val="0"/>
          <w:marRight w:val="0"/>
          <w:marTop w:val="0"/>
          <w:marBottom w:val="0"/>
          <w:divBdr>
            <w:top w:val="none" w:sz="0" w:space="0" w:color="auto"/>
            <w:left w:val="none" w:sz="0" w:space="0" w:color="auto"/>
            <w:bottom w:val="none" w:sz="0" w:space="0" w:color="auto"/>
            <w:right w:val="none" w:sz="0" w:space="0" w:color="auto"/>
          </w:divBdr>
        </w:div>
      </w:divsChild>
    </w:div>
    <w:div w:id="1335110494">
      <w:marLeft w:val="0"/>
      <w:marRight w:val="0"/>
      <w:marTop w:val="200"/>
      <w:marBottom w:val="0"/>
      <w:divBdr>
        <w:top w:val="none" w:sz="0" w:space="0" w:color="auto"/>
        <w:left w:val="none" w:sz="0" w:space="0" w:color="auto"/>
        <w:bottom w:val="none" w:sz="0" w:space="0" w:color="auto"/>
        <w:right w:val="none" w:sz="0" w:space="0" w:color="auto"/>
      </w:divBdr>
    </w:div>
    <w:div w:id="1335379920">
      <w:marLeft w:val="0"/>
      <w:marRight w:val="0"/>
      <w:marTop w:val="200"/>
      <w:marBottom w:val="0"/>
      <w:divBdr>
        <w:top w:val="none" w:sz="0" w:space="0" w:color="auto"/>
        <w:left w:val="none" w:sz="0" w:space="0" w:color="auto"/>
        <w:bottom w:val="none" w:sz="0" w:space="0" w:color="auto"/>
        <w:right w:val="none" w:sz="0" w:space="0" w:color="auto"/>
      </w:divBdr>
    </w:div>
    <w:div w:id="1338338858">
      <w:marLeft w:val="0"/>
      <w:marRight w:val="0"/>
      <w:marTop w:val="120"/>
      <w:marBottom w:val="0"/>
      <w:divBdr>
        <w:top w:val="none" w:sz="0" w:space="0" w:color="auto"/>
        <w:left w:val="none" w:sz="0" w:space="0" w:color="auto"/>
        <w:bottom w:val="none" w:sz="0" w:space="0" w:color="auto"/>
        <w:right w:val="none" w:sz="0" w:space="0" w:color="auto"/>
      </w:divBdr>
    </w:div>
    <w:div w:id="1339192825">
      <w:marLeft w:val="0"/>
      <w:marRight w:val="0"/>
      <w:marTop w:val="120"/>
      <w:marBottom w:val="0"/>
      <w:divBdr>
        <w:top w:val="none" w:sz="0" w:space="0" w:color="auto"/>
        <w:left w:val="none" w:sz="0" w:space="0" w:color="auto"/>
        <w:bottom w:val="none" w:sz="0" w:space="0" w:color="auto"/>
        <w:right w:val="none" w:sz="0" w:space="0" w:color="auto"/>
      </w:divBdr>
    </w:div>
    <w:div w:id="1339649637">
      <w:marLeft w:val="0"/>
      <w:marRight w:val="0"/>
      <w:marTop w:val="120"/>
      <w:marBottom w:val="0"/>
      <w:divBdr>
        <w:top w:val="none" w:sz="0" w:space="0" w:color="auto"/>
        <w:left w:val="none" w:sz="0" w:space="0" w:color="auto"/>
        <w:bottom w:val="none" w:sz="0" w:space="0" w:color="auto"/>
        <w:right w:val="none" w:sz="0" w:space="0" w:color="auto"/>
      </w:divBdr>
    </w:div>
    <w:div w:id="1341011578">
      <w:marLeft w:val="0"/>
      <w:marRight w:val="0"/>
      <w:marTop w:val="120"/>
      <w:marBottom w:val="0"/>
      <w:divBdr>
        <w:top w:val="none" w:sz="0" w:space="0" w:color="auto"/>
        <w:left w:val="none" w:sz="0" w:space="0" w:color="auto"/>
        <w:bottom w:val="none" w:sz="0" w:space="0" w:color="auto"/>
        <w:right w:val="none" w:sz="0" w:space="0" w:color="auto"/>
      </w:divBdr>
    </w:div>
    <w:div w:id="1341160488">
      <w:marLeft w:val="0"/>
      <w:marRight w:val="0"/>
      <w:marTop w:val="120"/>
      <w:marBottom w:val="0"/>
      <w:divBdr>
        <w:top w:val="none" w:sz="0" w:space="0" w:color="auto"/>
        <w:left w:val="none" w:sz="0" w:space="0" w:color="auto"/>
        <w:bottom w:val="none" w:sz="0" w:space="0" w:color="auto"/>
        <w:right w:val="none" w:sz="0" w:space="0" w:color="auto"/>
      </w:divBdr>
    </w:div>
    <w:div w:id="1342049477">
      <w:marLeft w:val="0"/>
      <w:marRight w:val="0"/>
      <w:marTop w:val="120"/>
      <w:marBottom w:val="0"/>
      <w:divBdr>
        <w:top w:val="none" w:sz="0" w:space="0" w:color="auto"/>
        <w:left w:val="none" w:sz="0" w:space="0" w:color="auto"/>
        <w:bottom w:val="none" w:sz="0" w:space="0" w:color="auto"/>
        <w:right w:val="none" w:sz="0" w:space="0" w:color="auto"/>
      </w:divBdr>
    </w:div>
    <w:div w:id="1342391263">
      <w:marLeft w:val="0"/>
      <w:marRight w:val="0"/>
      <w:marTop w:val="120"/>
      <w:marBottom w:val="0"/>
      <w:divBdr>
        <w:top w:val="none" w:sz="0" w:space="0" w:color="auto"/>
        <w:left w:val="none" w:sz="0" w:space="0" w:color="auto"/>
        <w:bottom w:val="none" w:sz="0" w:space="0" w:color="auto"/>
        <w:right w:val="none" w:sz="0" w:space="0" w:color="auto"/>
      </w:divBdr>
    </w:div>
    <w:div w:id="1342974651">
      <w:marLeft w:val="0"/>
      <w:marRight w:val="0"/>
      <w:marTop w:val="120"/>
      <w:marBottom w:val="0"/>
      <w:divBdr>
        <w:top w:val="none" w:sz="0" w:space="0" w:color="auto"/>
        <w:left w:val="none" w:sz="0" w:space="0" w:color="auto"/>
        <w:bottom w:val="none" w:sz="0" w:space="0" w:color="auto"/>
        <w:right w:val="none" w:sz="0" w:space="0" w:color="auto"/>
      </w:divBdr>
    </w:div>
    <w:div w:id="1343124361">
      <w:marLeft w:val="0"/>
      <w:marRight w:val="0"/>
      <w:marTop w:val="120"/>
      <w:marBottom w:val="0"/>
      <w:divBdr>
        <w:top w:val="none" w:sz="0" w:space="0" w:color="auto"/>
        <w:left w:val="none" w:sz="0" w:space="0" w:color="auto"/>
        <w:bottom w:val="none" w:sz="0" w:space="0" w:color="auto"/>
        <w:right w:val="none" w:sz="0" w:space="0" w:color="auto"/>
      </w:divBdr>
    </w:div>
    <w:div w:id="1345285686">
      <w:marLeft w:val="0"/>
      <w:marRight w:val="0"/>
      <w:marTop w:val="200"/>
      <w:marBottom w:val="0"/>
      <w:divBdr>
        <w:top w:val="none" w:sz="0" w:space="0" w:color="auto"/>
        <w:left w:val="none" w:sz="0" w:space="0" w:color="auto"/>
        <w:bottom w:val="none" w:sz="0" w:space="0" w:color="auto"/>
        <w:right w:val="none" w:sz="0" w:space="0" w:color="auto"/>
      </w:divBdr>
    </w:div>
    <w:div w:id="1347246664">
      <w:marLeft w:val="0"/>
      <w:marRight w:val="0"/>
      <w:marTop w:val="120"/>
      <w:marBottom w:val="0"/>
      <w:divBdr>
        <w:top w:val="none" w:sz="0" w:space="0" w:color="auto"/>
        <w:left w:val="none" w:sz="0" w:space="0" w:color="auto"/>
        <w:bottom w:val="none" w:sz="0" w:space="0" w:color="auto"/>
        <w:right w:val="none" w:sz="0" w:space="0" w:color="auto"/>
      </w:divBdr>
    </w:div>
    <w:div w:id="1347441472">
      <w:marLeft w:val="0"/>
      <w:marRight w:val="0"/>
      <w:marTop w:val="120"/>
      <w:marBottom w:val="0"/>
      <w:divBdr>
        <w:top w:val="none" w:sz="0" w:space="0" w:color="auto"/>
        <w:left w:val="none" w:sz="0" w:space="0" w:color="auto"/>
        <w:bottom w:val="none" w:sz="0" w:space="0" w:color="auto"/>
        <w:right w:val="none" w:sz="0" w:space="0" w:color="auto"/>
      </w:divBdr>
    </w:div>
    <w:div w:id="1347751615">
      <w:marLeft w:val="0"/>
      <w:marRight w:val="0"/>
      <w:marTop w:val="200"/>
      <w:marBottom w:val="0"/>
      <w:divBdr>
        <w:top w:val="none" w:sz="0" w:space="0" w:color="auto"/>
        <w:left w:val="none" w:sz="0" w:space="0" w:color="auto"/>
        <w:bottom w:val="none" w:sz="0" w:space="0" w:color="auto"/>
        <w:right w:val="none" w:sz="0" w:space="0" w:color="auto"/>
      </w:divBdr>
    </w:div>
    <w:div w:id="1348097812">
      <w:marLeft w:val="0"/>
      <w:marRight w:val="0"/>
      <w:marTop w:val="200"/>
      <w:marBottom w:val="0"/>
      <w:divBdr>
        <w:top w:val="none" w:sz="0" w:space="0" w:color="auto"/>
        <w:left w:val="none" w:sz="0" w:space="0" w:color="auto"/>
        <w:bottom w:val="none" w:sz="0" w:space="0" w:color="auto"/>
        <w:right w:val="none" w:sz="0" w:space="0" w:color="auto"/>
      </w:divBdr>
    </w:div>
    <w:div w:id="1350446161">
      <w:marLeft w:val="0"/>
      <w:marRight w:val="0"/>
      <w:marTop w:val="200"/>
      <w:marBottom w:val="0"/>
      <w:divBdr>
        <w:top w:val="none" w:sz="0" w:space="0" w:color="auto"/>
        <w:left w:val="none" w:sz="0" w:space="0" w:color="auto"/>
        <w:bottom w:val="none" w:sz="0" w:space="0" w:color="auto"/>
        <w:right w:val="none" w:sz="0" w:space="0" w:color="auto"/>
      </w:divBdr>
    </w:div>
    <w:div w:id="1350911290">
      <w:marLeft w:val="0"/>
      <w:marRight w:val="0"/>
      <w:marTop w:val="0"/>
      <w:marBottom w:val="0"/>
      <w:divBdr>
        <w:top w:val="none" w:sz="0" w:space="0" w:color="auto"/>
        <w:left w:val="none" w:sz="0" w:space="0" w:color="auto"/>
        <w:bottom w:val="none" w:sz="0" w:space="0" w:color="auto"/>
        <w:right w:val="none" w:sz="0" w:space="0" w:color="auto"/>
      </w:divBdr>
      <w:divsChild>
        <w:div w:id="411463853">
          <w:marLeft w:val="0"/>
          <w:marRight w:val="0"/>
          <w:marTop w:val="0"/>
          <w:marBottom w:val="0"/>
          <w:divBdr>
            <w:top w:val="none" w:sz="0" w:space="0" w:color="auto"/>
            <w:left w:val="none" w:sz="0" w:space="0" w:color="auto"/>
            <w:bottom w:val="none" w:sz="0" w:space="0" w:color="auto"/>
            <w:right w:val="none" w:sz="0" w:space="0" w:color="auto"/>
          </w:divBdr>
        </w:div>
        <w:div w:id="1403986020">
          <w:marLeft w:val="0"/>
          <w:marRight w:val="0"/>
          <w:marTop w:val="0"/>
          <w:marBottom w:val="0"/>
          <w:divBdr>
            <w:top w:val="none" w:sz="0" w:space="0" w:color="auto"/>
            <w:left w:val="none" w:sz="0" w:space="0" w:color="auto"/>
            <w:bottom w:val="none" w:sz="0" w:space="0" w:color="auto"/>
            <w:right w:val="none" w:sz="0" w:space="0" w:color="auto"/>
          </w:divBdr>
        </w:div>
      </w:divsChild>
    </w:div>
    <w:div w:id="1353069893">
      <w:marLeft w:val="0"/>
      <w:marRight w:val="0"/>
      <w:marTop w:val="200"/>
      <w:marBottom w:val="0"/>
      <w:divBdr>
        <w:top w:val="none" w:sz="0" w:space="0" w:color="auto"/>
        <w:left w:val="none" w:sz="0" w:space="0" w:color="auto"/>
        <w:bottom w:val="none" w:sz="0" w:space="0" w:color="auto"/>
        <w:right w:val="none" w:sz="0" w:space="0" w:color="auto"/>
      </w:divBdr>
    </w:div>
    <w:div w:id="1354839289">
      <w:marLeft w:val="0"/>
      <w:marRight w:val="0"/>
      <w:marTop w:val="120"/>
      <w:marBottom w:val="0"/>
      <w:divBdr>
        <w:top w:val="none" w:sz="0" w:space="0" w:color="auto"/>
        <w:left w:val="none" w:sz="0" w:space="0" w:color="auto"/>
        <w:bottom w:val="none" w:sz="0" w:space="0" w:color="auto"/>
        <w:right w:val="none" w:sz="0" w:space="0" w:color="auto"/>
      </w:divBdr>
    </w:div>
    <w:div w:id="1356733673">
      <w:marLeft w:val="0"/>
      <w:marRight w:val="0"/>
      <w:marTop w:val="120"/>
      <w:marBottom w:val="0"/>
      <w:divBdr>
        <w:top w:val="none" w:sz="0" w:space="0" w:color="auto"/>
        <w:left w:val="none" w:sz="0" w:space="0" w:color="auto"/>
        <w:bottom w:val="none" w:sz="0" w:space="0" w:color="auto"/>
        <w:right w:val="none" w:sz="0" w:space="0" w:color="auto"/>
      </w:divBdr>
    </w:div>
    <w:div w:id="1361736826">
      <w:marLeft w:val="0"/>
      <w:marRight w:val="0"/>
      <w:marTop w:val="120"/>
      <w:marBottom w:val="0"/>
      <w:divBdr>
        <w:top w:val="none" w:sz="0" w:space="0" w:color="auto"/>
        <w:left w:val="none" w:sz="0" w:space="0" w:color="auto"/>
        <w:bottom w:val="none" w:sz="0" w:space="0" w:color="auto"/>
        <w:right w:val="none" w:sz="0" w:space="0" w:color="auto"/>
      </w:divBdr>
    </w:div>
    <w:div w:id="1367679870">
      <w:marLeft w:val="0"/>
      <w:marRight w:val="0"/>
      <w:marTop w:val="120"/>
      <w:marBottom w:val="0"/>
      <w:divBdr>
        <w:top w:val="none" w:sz="0" w:space="0" w:color="auto"/>
        <w:left w:val="none" w:sz="0" w:space="0" w:color="auto"/>
        <w:bottom w:val="none" w:sz="0" w:space="0" w:color="auto"/>
        <w:right w:val="none" w:sz="0" w:space="0" w:color="auto"/>
      </w:divBdr>
    </w:div>
    <w:div w:id="1368992949">
      <w:marLeft w:val="0"/>
      <w:marRight w:val="0"/>
      <w:marTop w:val="120"/>
      <w:marBottom w:val="0"/>
      <w:divBdr>
        <w:top w:val="none" w:sz="0" w:space="0" w:color="auto"/>
        <w:left w:val="none" w:sz="0" w:space="0" w:color="auto"/>
        <w:bottom w:val="none" w:sz="0" w:space="0" w:color="auto"/>
        <w:right w:val="none" w:sz="0" w:space="0" w:color="auto"/>
      </w:divBdr>
    </w:div>
    <w:div w:id="1369256165">
      <w:marLeft w:val="0"/>
      <w:marRight w:val="0"/>
      <w:marTop w:val="120"/>
      <w:marBottom w:val="0"/>
      <w:divBdr>
        <w:top w:val="none" w:sz="0" w:space="0" w:color="auto"/>
        <w:left w:val="none" w:sz="0" w:space="0" w:color="auto"/>
        <w:bottom w:val="none" w:sz="0" w:space="0" w:color="auto"/>
        <w:right w:val="none" w:sz="0" w:space="0" w:color="auto"/>
      </w:divBdr>
    </w:div>
    <w:div w:id="1370182229">
      <w:marLeft w:val="0"/>
      <w:marRight w:val="0"/>
      <w:marTop w:val="120"/>
      <w:marBottom w:val="0"/>
      <w:divBdr>
        <w:top w:val="none" w:sz="0" w:space="0" w:color="auto"/>
        <w:left w:val="none" w:sz="0" w:space="0" w:color="auto"/>
        <w:bottom w:val="none" w:sz="0" w:space="0" w:color="auto"/>
        <w:right w:val="none" w:sz="0" w:space="0" w:color="auto"/>
      </w:divBdr>
    </w:div>
    <w:div w:id="1370490695">
      <w:marLeft w:val="0"/>
      <w:marRight w:val="0"/>
      <w:marTop w:val="120"/>
      <w:marBottom w:val="0"/>
      <w:divBdr>
        <w:top w:val="none" w:sz="0" w:space="0" w:color="auto"/>
        <w:left w:val="none" w:sz="0" w:space="0" w:color="auto"/>
        <w:bottom w:val="none" w:sz="0" w:space="0" w:color="auto"/>
        <w:right w:val="none" w:sz="0" w:space="0" w:color="auto"/>
      </w:divBdr>
    </w:div>
    <w:div w:id="1371682655">
      <w:marLeft w:val="0"/>
      <w:marRight w:val="0"/>
      <w:marTop w:val="120"/>
      <w:marBottom w:val="0"/>
      <w:divBdr>
        <w:top w:val="none" w:sz="0" w:space="0" w:color="auto"/>
        <w:left w:val="none" w:sz="0" w:space="0" w:color="auto"/>
        <w:bottom w:val="none" w:sz="0" w:space="0" w:color="auto"/>
        <w:right w:val="none" w:sz="0" w:space="0" w:color="auto"/>
      </w:divBdr>
    </w:div>
    <w:div w:id="1375153414">
      <w:marLeft w:val="0"/>
      <w:marRight w:val="0"/>
      <w:marTop w:val="120"/>
      <w:marBottom w:val="0"/>
      <w:divBdr>
        <w:top w:val="none" w:sz="0" w:space="0" w:color="auto"/>
        <w:left w:val="none" w:sz="0" w:space="0" w:color="auto"/>
        <w:bottom w:val="none" w:sz="0" w:space="0" w:color="auto"/>
        <w:right w:val="none" w:sz="0" w:space="0" w:color="auto"/>
      </w:divBdr>
    </w:div>
    <w:div w:id="1377268341">
      <w:marLeft w:val="0"/>
      <w:marRight w:val="0"/>
      <w:marTop w:val="200"/>
      <w:marBottom w:val="0"/>
      <w:divBdr>
        <w:top w:val="none" w:sz="0" w:space="0" w:color="auto"/>
        <w:left w:val="none" w:sz="0" w:space="0" w:color="auto"/>
        <w:bottom w:val="none" w:sz="0" w:space="0" w:color="auto"/>
        <w:right w:val="none" w:sz="0" w:space="0" w:color="auto"/>
      </w:divBdr>
    </w:div>
    <w:div w:id="1380979860">
      <w:marLeft w:val="0"/>
      <w:marRight w:val="0"/>
      <w:marTop w:val="0"/>
      <w:marBottom w:val="0"/>
      <w:divBdr>
        <w:top w:val="none" w:sz="0" w:space="0" w:color="auto"/>
        <w:left w:val="none" w:sz="0" w:space="0" w:color="auto"/>
        <w:bottom w:val="none" w:sz="0" w:space="0" w:color="auto"/>
        <w:right w:val="none" w:sz="0" w:space="0" w:color="auto"/>
      </w:divBdr>
      <w:divsChild>
        <w:div w:id="239561230">
          <w:marLeft w:val="0"/>
          <w:marRight w:val="0"/>
          <w:marTop w:val="0"/>
          <w:marBottom w:val="0"/>
          <w:divBdr>
            <w:top w:val="none" w:sz="0" w:space="0" w:color="auto"/>
            <w:left w:val="none" w:sz="0" w:space="0" w:color="auto"/>
            <w:bottom w:val="none" w:sz="0" w:space="0" w:color="auto"/>
            <w:right w:val="none" w:sz="0" w:space="0" w:color="auto"/>
          </w:divBdr>
        </w:div>
      </w:divsChild>
    </w:div>
    <w:div w:id="1381519505">
      <w:marLeft w:val="0"/>
      <w:marRight w:val="0"/>
      <w:marTop w:val="100"/>
      <w:marBottom w:val="0"/>
      <w:divBdr>
        <w:top w:val="none" w:sz="0" w:space="0" w:color="auto"/>
        <w:left w:val="none" w:sz="0" w:space="0" w:color="auto"/>
        <w:bottom w:val="none" w:sz="0" w:space="0" w:color="auto"/>
        <w:right w:val="none" w:sz="0" w:space="0" w:color="auto"/>
      </w:divBdr>
    </w:div>
    <w:div w:id="1382902587">
      <w:marLeft w:val="0"/>
      <w:marRight w:val="0"/>
      <w:marTop w:val="120"/>
      <w:marBottom w:val="0"/>
      <w:divBdr>
        <w:top w:val="none" w:sz="0" w:space="0" w:color="auto"/>
        <w:left w:val="none" w:sz="0" w:space="0" w:color="auto"/>
        <w:bottom w:val="none" w:sz="0" w:space="0" w:color="auto"/>
        <w:right w:val="none" w:sz="0" w:space="0" w:color="auto"/>
      </w:divBdr>
    </w:div>
    <w:div w:id="1383561227">
      <w:marLeft w:val="0"/>
      <w:marRight w:val="0"/>
      <w:marTop w:val="0"/>
      <w:marBottom w:val="0"/>
      <w:divBdr>
        <w:top w:val="none" w:sz="0" w:space="0" w:color="auto"/>
        <w:left w:val="none" w:sz="0" w:space="0" w:color="auto"/>
        <w:bottom w:val="none" w:sz="0" w:space="0" w:color="auto"/>
        <w:right w:val="none" w:sz="0" w:space="0" w:color="auto"/>
      </w:divBdr>
      <w:divsChild>
        <w:div w:id="135418197">
          <w:marLeft w:val="0"/>
          <w:marRight w:val="0"/>
          <w:marTop w:val="0"/>
          <w:marBottom w:val="0"/>
          <w:divBdr>
            <w:top w:val="none" w:sz="0" w:space="0" w:color="auto"/>
            <w:left w:val="none" w:sz="0" w:space="0" w:color="auto"/>
            <w:bottom w:val="none" w:sz="0" w:space="0" w:color="auto"/>
            <w:right w:val="none" w:sz="0" w:space="0" w:color="auto"/>
          </w:divBdr>
        </w:div>
      </w:divsChild>
    </w:div>
    <w:div w:id="1384596886">
      <w:marLeft w:val="0"/>
      <w:marRight w:val="0"/>
      <w:marTop w:val="120"/>
      <w:marBottom w:val="0"/>
      <w:divBdr>
        <w:top w:val="none" w:sz="0" w:space="0" w:color="auto"/>
        <w:left w:val="none" w:sz="0" w:space="0" w:color="auto"/>
        <w:bottom w:val="none" w:sz="0" w:space="0" w:color="auto"/>
        <w:right w:val="none" w:sz="0" w:space="0" w:color="auto"/>
      </w:divBdr>
    </w:div>
    <w:div w:id="1385523821">
      <w:marLeft w:val="0"/>
      <w:marRight w:val="0"/>
      <w:marTop w:val="0"/>
      <w:marBottom w:val="0"/>
      <w:divBdr>
        <w:top w:val="none" w:sz="0" w:space="0" w:color="auto"/>
        <w:left w:val="none" w:sz="0" w:space="0" w:color="auto"/>
        <w:bottom w:val="none" w:sz="0" w:space="0" w:color="auto"/>
        <w:right w:val="none" w:sz="0" w:space="0" w:color="auto"/>
      </w:divBdr>
      <w:divsChild>
        <w:div w:id="282932226">
          <w:marLeft w:val="0"/>
          <w:marRight w:val="0"/>
          <w:marTop w:val="0"/>
          <w:marBottom w:val="0"/>
          <w:divBdr>
            <w:top w:val="none" w:sz="0" w:space="0" w:color="auto"/>
            <w:left w:val="none" w:sz="0" w:space="0" w:color="auto"/>
            <w:bottom w:val="none" w:sz="0" w:space="0" w:color="auto"/>
            <w:right w:val="none" w:sz="0" w:space="0" w:color="auto"/>
          </w:divBdr>
        </w:div>
      </w:divsChild>
    </w:div>
    <w:div w:id="1386566414">
      <w:marLeft w:val="0"/>
      <w:marRight w:val="0"/>
      <w:marTop w:val="120"/>
      <w:marBottom w:val="0"/>
      <w:divBdr>
        <w:top w:val="none" w:sz="0" w:space="0" w:color="auto"/>
        <w:left w:val="none" w:sz="0" w:space="0" w:color="auto"/>
        <w:bottom w:val="none" w:sz="0" w:space="0" w:color="auto"/>
        <w:right w:val="none" w:sz="0" w:space="0" w:color="auto"/>
      </w:divBdr>
    </w:div>
    <w:div w:id="1387408291">
      <w:marLeft w:val="0"/>
      <w:marRight w:val="0"/>
      <w:marTop w:val="0"/>
      <w:marBottom w:val="0"/>
      <w:divBdr>
        <w:top w:val="none" w:sz="0" w:space="0" w:color="auto"/>
        <w:left w:val="none" w:sz="0" w:space="0" w:color="auto"/>
        <w:bottom w:val="none" w:sz="0" w:space="0" w:color="auto"/>
        <w:right w:val="none" w:sz="0" w:space="0" w:color="auto"/>
      </w:divBdr>
      <w:divsChild>
        <w:div w:id="286011397">
          <w:marLeft w:val="0"/>
          <w:marRight w:val="0"/>
          <w:marTop w:val="0"/>
          <w:marBottom w:val="0"/>
          <w:divBdr>
            <w:top w:val="none" w:sz="0" w:space="0" w:color="auto"/>
            <w:left w:val="none" w:sz="0" w:space="0" w:color="auto"/>
            <w:bottom w:val="none" w:sz="0" w:space="0" w:color="auto"/>
            <w:right w:val="none" w:sz="0" w:space="0" w:color="auto"/>
          </w:divBdr>
        </w:div>
      </w:divsChild>
    </w:div>
    <w:div w:id="1390038262">
      <w:marLeft w:val="0"/>
      <w:marRight w:val="0"/>
      <w:marTop w:val="120"/>
      <w:marBottom w:val="0"/>
      <w:divBdr>
        <w:top w:val="none" w:sz="0" w:space="0" w:color="auto"/>
        <w:left w:val="none" w:sz="0" w:space="0" w:color="auto"/>
        <w:bottom w:val="none" w:sz="0" w:space="0" w:color="auto"/>
        <w:right w:val="none" w:sz="0" w:space="0" w:color="auto"/>
      </w:divBdr>
    </w:div>
    <w:div w:id="1390347919">
      <w:marLeft w:val="0"/>
      <w:marRight w:val="0"/>
      <w:marTop w:val="200"/>
      <w:marBottom w:val="0"/>
      <w:divBdr>
        <w:top w:val="none" w:sz="0" w:space="0" w:color="auto"/>
        <w:left w:val="none" w:sz="0" w:space="0" w:color="auto"/>
        <w:bottom w:val="none" w:sz="0" w:space="0" w:color="auto"/>
        <w:right w:val="none" w:sz="0" w:space="0" w:color="auto"/>
      </w:divBdr>
    </w:div>
    <w:div w:id="1391029563">
      <w:marLeft w:val="0"/>
      <w:marRight w:val="0"/>
      <w:marTop w:val="120"/>
      <w:marBottom w:val="0"/>
      <w:divBdr>
        <w:top w:val="none" w:sz="0" w:space="0" w:color="auto"/>
        <w:left w:val="none" w:sz="0" w:space="0" w:color="auto"/>
        <w:bottom w:val="none" w:sz="0" w:space="0" w:color="auto"/>
        <w:right w:val="none" w:sz="0" w:space="0" w:color="auto"/>
      </w:divBdr>
    </w:div>
    <w:div w:id="1391925400">
      <w:marLeft w:val="0"/>
      <w:marRight w:val="0"/>
      <w:marTop w:val="120"/>
      <w:marBottom w:val="0"/>
      <w:divBdr>
        <w:top w:val="none" w:sz="0" w:space="0" w:color="auto"/>
        <w:left w:val="none" w:sz="0" w:space="0" w:color="auto"/>
        <w:bottom w:val="none" w:sz="0" w:space="0" w:color="auto"/>
        <w:right w:val="none" w:sz="0" w:space="0" w:color="auto"/>
      </w:divBdr>
    </w:div>
    <w:div w:id="1393381157">
      <w:marLeft w:val="0"/>
      <w:marRight w:val="0"/>
      <w:marTop w:val="120"/>
      <w:marBottom w:val="0"/>
      <w:divBdr>
        <w:top w:val="none" w:sz="0" w:space="0" w:color="auto"/>
        <w:left w:val="none" w:sz="0" w:space="0" w:color="auto"/>
        <w:bottom w:val="none" w:sz="0" w:space="0" w:color="auto"/>
        <w:right w:val="none" w:sz="0" w:space="0" w:color="auto"/>
      </w:divBdr>
    </w:div>
    <w:div w:id="1393575768">
      <w:marLeft w:val="0"/>
      <w:marRight w:val="0"/>
      <w:marTop w:val="120"/>
      <w:marBottom w:val="0"/>
      <w:divBdr>
        <w:top w:val="none" w:sz="0" w:space="0" w:color="auto"/>
        <w:left w:val="none" w:sz="0" w:space="0" w:color="auto"/>
        <w:bottom w:val="none" w:sz="0" w:space="0" w:color="auto"/>
        <w:right w:val="none" w:sz="0" w:space="0" w:color="auto"/>
      </w:divBdr>
    </w:div>
    <w:div w:id="1394354476">
      <w:marLeft w:val="0"/>
      <w:marRight w:val="0"/>
      <w:marTop w:val="0"/>
      <w:marBottom w:val="0"/>
      <w:divBdr>
        <w:top w:val="none" w:sz="0" w:space="0" w:color="auto"/>
        <w:left w:val="none" w:sz="0" w:space="0" w:color="auto"/>
        <w:bottom w:val="none" w:sz="0" w:space="0" w:color="auto"/>
        <w:right w:val="none" w:sz="0" w:space="0" w:color="auto"/>
      </w:divBdr>
    </w:div>
    <w:div w:id="1395539918">
      <w:marLeft w:val="0"/>
      <w:marRight w:val="0"/>
      <w:marTop w:val="120"/>
      <w:marBottom w:val="0"/>
      <w:divBdr>
        <w:top w:val="none" w:sz="0" w:space="0" w:color="auto"/>
        <w:left w:val="none" w:sz="0" w:space="0" w:color="auto"/>
        <w:bottom w:val="none" w:sz="0" w:space="0" w:color="auto"/>
        <w:right w:val="none" w:sz="0" w:space="0" w:color="auto"/>
      </w:divBdr>
    </w:div>
    <w:div w:id="1399090919">
      <w:marLeft w:val="0"/>
      <w:marRight w:val="0"/>
      <w:marTop w:val="0"/>
      <w:marBottom w:val="0"/>
      <w:divBdr>
        <w:top w:val="none" w:sz="0" w:space="0" w:color="auto"/>
        <w:left w:val="none" w:sz="0" w:space="0" w:color="auto"/>
        <w:bottom w:val="none" w:sz="0" w:space="0" w:color="auto"/>
        <w:right w:val="none" w:sz="0" w:space="0" w:color="auto"/>
      </w:divBdr>
    </w:div>
    <w:div w:id="1403092962">
      <w:marLeft w:val="0"/>
      <w:marRight w:val="0"/>
      <w:marTop w:val="0"/>
      <w:marBottom w:val="0"/>
      <w:divBdr>
        <w:top w:val="none" w:sz="0" w:space="0" w:color="auto"/>
        <w:left w:val="none" w:sz="0" w:space="0" w:color="auto"/>
        <w:bottom w:val="none" w:sz="0" w:space="0" w:color="auto"/>
        <w:right w:val="none" w:sz="0" w:space="0" w:color="auto"/>
      </w:divBdr>
      <w:divsChild>
        <w:div w:id="387726386">
          <w:marLeft w:val="0"/>
          <w:marRight w:val="0"/>
          <w:marTop w:val="0"/>
          <w:marBottom w:val="0"/>
          <w:divBdr>
            <w:top w:val="none" w:sz="0" w:space="0" w:color="auto"/>
            <w:left w:val="none" w:sz="0" w:space="0" w:color="auto"/>
            <w:bottom w:val="none" w:sz="0" w:space="0" w:color="auto"/>
            <w:right w:val="none" w:sz="0" w:space="0" w:color="auto"/>
          </w:divBdr>
        </w:div>
      </w:divsChild>
    </w:div>
    <w:div w:id="1407269136">
      <w:marLeft w:val="0"/>
      <w:marRight w:val="0"/>
      <w:marTop w:val="100"/>
      <w:marBottom w:val="0"/>
      <w:divBdr>
        <w:top w:val="none" w:sz="0" w:space="0" w:color="auto"/>
        <w:left w:val="none" w:sz="0" w:space="0" w:color="auto"/>
        <w:bottom w:val="none" w:sz="0" w:space="0" w:color="auto"/>
        <w:right w:val="none" w:sz="0" w:space="0" w:color="auto"/>
      </w:divBdr>
    </w:div>
    <w:div w:id="1410274744">
      <w:marLeft w:val="0"/>
      <w:marRight w:val="0"/>
      <w:marTop w:val="120"/>
      <w:marBottom w:val="0"/>
      <w:divBdr>
        <w:top w:val="none" w:sz="0" w:space="0" w:color="auto"/>
        <w:left w:val="none" w:sz="0" w:space="0" w:color="auto"/>
        <w:bottom w:val="none" w:sz="0" w:space="0" w:color="auto"/>
        <w:right w:val="none" w:sz="0" w:space="0" w:color="auto"/>
      </w:divBdr>
    </w:div>
    <w:div w:id="1411732957">
      <w:marLeft w:val="0"/>
      <w:marRight w:val="0"/>
      <w:marTop w:val="120"/>
      <w:marBottom w:val="0"/>
      <w:divBdr>
        <w:top w:val="none" w:sz="0" w:space="0" w:color="auto"/>
        <w:left w:val="none" w:sz="0" w:space="0" w:color="auto"/>
        <w:bottom w:val="none" w:sz="0" w:space="0" w:color="auto"/>
        <w:right w:val="none" w:sz="0" w:space="0" w:color="auto"/>
      </w:divBdr>
    </w:div>
    <w:div w:id="1412195500">
      <w:marLeft w:val="0"/>
      <w:marRight w:val="0"/>
      <w:marTop w:val="200"/>
      <w:marBottom w:val="0"/>
      <w:divBdr>
        <w:top w:val="none" w:sz="0" w:space="0" w:color="auto"/>
        <w:left w:val="none" w:sz="0" w:space="0" w:color="auto"/>
        <w:bottom w:val="none" w:sz="0" w:space="0" w:color="auto"/>
        <w:right w:val="none" w:sz="0" w:space="0" w:color="auto"/>
      </w:divBdr>
    </w:div>
    <w:div w:id="1412892737">
      <w:marLeft w:val="0"/>
      <w:marRight w:val="0"/>
      <w:marTop w:val="120"/>
      <w:marBottom w:val="0"/>
      <w:divBdr>
        <w:top w:val="none" w:sz="0" w:space="0" w:color="auto"/>
        <w:left w:val="none" w:sz="0" w:space="0" w:color="auto"/>
        <w:bottom w:val="none" w:sz="0" w:space="0" w:color="auto"/>
        <w:right w:val="none" w:sz="0" w:space="0" w:color="auto"/>
      </w:divBdr>
    </w:div>
    <w:div w:id="1413621711">
      <w:marLeft w:val="0"/>
      <w:marRight w:val="0"/>
      <w:marTop w:val="120"/>
      <w:marBottom w:val="0"/>
      <w:divBdr>
        <w:top w:val="none" w:sz="0" w:space="0" w:color="auto"/>
        <w:left w:val="none" w:sz="0" w:space="0" w:color="auto"/>
        <w:bottom w:val="none" w:sz="0" w:space="0" w:color="auto"/>
        <w:right w:val="none" w:sz="0" w:space="0" w:color="auto"/>
      </w:divBdr>
    </w:div>
    <w:div w:id="1414667632">
      <w:marLeft w:val="0"/>
      <w:marRight w:val="0"/>
      <w:marTop w:val="0"/>
      <w:marBottom w:val="0"/>
      <w:divBdr>
        <w:top w:val="none" w:sz="0" w:space="0" w:color="auto"/>
        <w:left w:val="none" w:sz="0" w:space="0" w:color="auto"/>
        <w:bottom w:val="none" w:sz="0" w:space="0" w:color="auto"/>
        <w:right w:val="none" w:sz="0" w:space="0" w:color="auto"/>
      </w:divBdr>
      <w:divsChild>
        <w:div w:id="828179608">
          <w:marLeft w:val="0"/>
          <w:marRight w:val="0"/>
          <w:marTop w:val="0"/>
          <w:marBottom w:val="0"/>
          <w:divBdr>
            <w:top w:val="none" w:sz="0" w:space="0" w:color="auto"/>
            <w:left w:val="none" w:sz="0" w:space="0" w:color="auto"/>
            <w:bottom w:val="none" w:sz="0" w:space="0" w:color="auto"/>
            <w:right w:val="none" w:sz="0" w:space="0" w:color="auto"/>
          </w:divBdr>
        </w:div>
      </w:divsChild>
    </w:div>
    <w:div w:id="1419521496">
      <w:marLeft w:val="0"/>
      <w:marRight w:val="0"/>
      <w:marTop w:val="120"/>
      <w:marBottom w:val="0"/>
      <w:divBdr>
        <w:top w:val="none" w:sz="0" w:space="0" w:color="auto"/>
        <w:left w:val="none" w:sz="0" w:space="0" w:color="auto"/>
        <w:bottom w:val="none" w:sz="0" w:space="0" w:color="auto"/>
        <w:right w:val="none" w:sz="0" w:space="0" w:color="auto"/>
      </w:divBdr>
    </w:div>
    <w:div w:id="1421215967">
      <w:marLeft w:val="0"/>
      <w:marRight w:val="0"/>
      <w:marTop w:val="200"/>
      <w:marBottom w:val="0"/>
      <w:divBdr>
        <w:top w:val="none" w:sz="0" w:space="0" w:color="auto"/>
        <w:left w:val="none" w:sz="0" w:space="0" w:color="auto"/>
        <w:bottom w:val="none" w:sz="0" w:space="0" w:color="auto"/>
        <w:right w:val="none" w:sz="0" w:space="0" w:color="auto"/>
      </w:divBdr>
    </w:div>
    <w:div w:id="1429541115">
      <w:marLeft w:val="0"/>
      <w:marRight w:val="0"/>
      <w:marTop w:val="100"/>
      <w:marBottom w:val="0"/>
      <w:divBdr>
        <w:top w:val="none" w:sz="0" w:space="0" w:color="auto"/>
        <w:left w:val="none" w:sz="0" w:space="0" w:color="auto"/>
        <w:bottom w:val="none" w:sz="0" w:space="0" w:color="auto"/>
        <w:right w:val="none" w:sz="0" w:space="0" w:color="auto"/>
      </w:divBdr>
      <w:divsChild>
        <w:div w:id="1363432869">
          <w:marLeft w:val="0"/>
          <w:marRight w:val="0"/>
          <w:marTop w:val="0"/>
          <w:marBottom w:val="0"/>
          <w:divBdr>
            <w:top w:val="none" w:sz="0" w:space="0" w:color="auto"/>
            <w:left w:val="none" w:sz="0" w:space="0" w:color="auto"/>
            <w:bottom w:val="none" w:sz="0" w:space="0" w:color="auto"/>
            <w:right w:val="none" w:sz="0" w:space="0" w:color="auto"/>
          </w:divBdr>
        </w:div>
        <w:div w:id="1078282177">
          <w:marLeft w:val="0"/>
          <w:marRight w:val="0"/>
          <w:marTop w:val="0"/>
          <w:marBottom w:val="0"/>
          <w:divBdr>
            <w:top w:val="none" w:sz="0" w:space="0" w:color="auto"/>
            <w:left w:val="none" w:sz="0" w:space="0" w:color="auto"/>
            <w:bottom w:val="none" w:sz="0" w:space="0" w:color="auto"/>
            <w:right w:val="none" w:sz="0" w:space="0" w:color="auto"/>
          </w:divBdr>
        </w:div>
      </w:divsChild>
    </w:div>
    <w:div w:id="1431852608">
      <w:marLeft w:val="0"/>
      <w:marRight w:val="0"/>
      <w:marTop w:val="200"/>
      <w:marBottom w:val="0"/>
      <w:divBdr>
        <w:top w:val="none" w:sz="0" w:space="0" w:color="auto"/>
        <w:left w:val="none" w:sz="0" w:space="0" w:color="auto"/>
        <w:bottom w:val="none" w:sz="0" w:space="0" w:color="auto"/>
        <w:right w:val="none" w:sz="0" w:space="0" w:color="auto"/>
      </w:divBdr>
    </w:div>
    <w:div w:id="1432317250">
      <w:marLeft w:val="0"/>
      <w:marRight w:val="0"/>
      <w:marTop w:val="200"/>
      <w:marBottom w:val="0"/>
      <w:divBdr>
        <w:top w:val="none" w:sz="0" w:space="0" w:color="auto"/>
        <w:left w:val="none" w:sz="0" w:space="0" w:color="auto"/>
        <w:bottom w:val="none" w:sz="0" w:space="0" w:color="auto"/>
        <w:right w:val="none" w:sz="0" w:space="0" w:color="auto"/>
      </w:divBdr>
    </w:div>
    <w:div w:id="1432773550">
      <w:marLeft w:val="0"/>
      <w:marRight w:val="0"/>
      <w:marTop w:val="200"/>
      <w:marBottom w:val="0"/>
      <w:divBdr>
        <w:top w:val="none" w:sz="0" w:space="0" w:color="auto"/>
        <w:left w:val="none" w:sz="0" w:space="0" w:color="auto"/>
        <w:bottom w:val="none" w:sz="0" w:space="0" w:color="auto"/>
        <w:right w:val="none" w:sz="0" w:space="0" w:color="auto"/>
      </w:divBdr>
    </w:div>
    <w:div w:id="1433278512">
      <w:marLeft w:val="0"/>
      <w:marRight w:val="0"/>
      <w:marTop w:val="120"/>
      <w:marBottom w:val="0"/>
      <w:divBdr>
        <w:top w:val="none" w:sz="0" w:space="0" w:color="auto"/>
        <w:left w:val="none" w:sz="0" w:space="0" w:color="auto"/>
        <w:bottom w:val="none" w:sz="0" w:space="0" w:color="auto"/>
        <w:right w:val="none" w:sz="0" w:space="0" w:color="auto"/>
      </w:divBdr>
    </w:div>
    <w:div w:id="1433553628">
      <w:marLeft w:val="0"/>
      <w:marRight w:val="0"/>
      <w:marTop w:val="120"/>
      <w:marBottom w:val="0"/>
      <w:divBdr>
        <w:top w:val="none" w:sz="0" w:space="0" w:color="auto"/>
        <w:left w:val="none" w:sz="0" w:space="0" w:color="auto"/>
        <w:bottom w:val="none" w:sz="0" w:space="0" w:color="auto"/>
        <w:right w:val="none" w:sz="0" w:space="0" w:color="auto"/>
      </w:divBdr>
    </w:div>
    <w:div w:id="1437023772">
      <w:marLeft w:val="0"/>
      <w:marRight w:val="0"/>
      <w:marTop w:val="120"/>
      <w:marBottom w:val="0"/>
      <w:divBdr>
        <w:top w:val="none" w:sz="0" w:space="0" w:color="auto"/>
        <w:left w:val="none" w:sz="0" w:space="0" w:color="auto"/>
        <w:bottom w:val="none" w:sz="0" w:space="0" w:color="auto"/>
        <w:right w:val="none" w:sz="0" w:space="0" w:color="auto"/>
      </w:divBdr>
    </w:div>
    <w:div w:id="1438020445">
      <w:marLeft w:val="0"/>
      <w:marRight w:val="0"/>
      <w:marTop w:val="0"/>
      <w:marBottom w:val="0"/>
      <w:divBdr>
        <w:top w:val="none" w:sz="0" w:space="0" w:color="auto"/>
        <w:left w:val="none" w:sz="0" w:space="0" w:color="auto"/>
        <w:bottom w:val="none" w:sz="0" w:space="0" w:color="auto"/>
        <w:right w:val="none" w:sz="0" w:space="0" w:color="auto"/>
      </w:divBdr>
      <w:divsChild>
        <w:div w:id="1844314344">
          <w:marLeft w:val="0"/>
          <w:marRight w:val="0"/>
          <w:marTop w:val="0"/>
          <w:marBottom w:val="0"/>
          <w:divBdr>
            <w:top w:val="none" w:sz="0" w:space="0" w:color="auto"/>
            <w:left w:val="none" w:sz="0" w:space="0" w:color="auto"/>
            <w:bottom w:val="none" w:sz="0" w:space="0" w:color="auto"/>
            <w:right w:val="none" w:sz="0" w:space="0" w:color="auto"/>
          </w:divBdr>
        </w:div>
      </w:divsChild>
    </w:div>
    <w:div w:id="1438215592">
      <w:marLeft w:val="0"/>
      <w:marRight w:val="0"/>
      <w:marTop w:val="0"/>
      <w:marBottom w:val="0"/>
      <w:divBdr>
        <w:top w:val="none" w:sz="0" w:space="0" w:color="auto"/>
        <w:left w:val="none" w:sz="0" w:space="0" w:color="auto"/>
        <w:bottom w:val="none" w:sz="0" w:space="0" w:color="auto"/>
        <w:right w:val="none" w:sz="0" w:space="0" w:color="auto"/>
      </w:divBdr>
    </w:div>
    <w:div w:id="1438257841">
      <w:marLeft w:val="0"/>
      <w:marRight w:val="0"/>
      <w:marTop w:val="200"/>
      <w:marBottom w:val="0"/>
      <w:divBdr>
        <w:top w:val="none" w:sz="0" w:space="0" w:color="auto"/>
        <w:left w:val="none" w:sz="0" w:space="0" w:color="auto"/>
        <w:bottom w:val="none" w:sz="0" w:space="0" w:color="auto"/>
        <w:right w:val="none" w:sz="0" w:space="0" w:color="auto"/>
      </w:divBdr>
    </w:div>
    <w:div w:id="1439108149">
      <w:marLeft w:val="0"/>
      <w:marRight w:val="0"/>
      <w:marTop w:val="120"/>
      <w:marBottom w:val="0"/>
      <w:divBdr>
        <w:top w:val="none" w:sz="0" w:space="0" w:color="auto"/>
        <w:left w:val="none" w:sz="0" w:space="0" w:color="auto"/>
        <w:bottom w:val="none" w:sz="0" w:space="0" w:color="auto"/>
        <w:right w:val="none" w:sz="0" w:space="0" w:color="auto"/>
      </w:divBdr>
    </w:div>
    <w:div w:id="1439569635">
      <w:marLeft w:val="0"/>
      <w:marRight w:val="0"/>
      <w:marTop w:val="200"/>
      <w:marBottom w:val="0"/>
      <w:divBdr>
        <w:top w:val="none" w:sz="0" w:space="0" w:color="auto"/>
        <w:left w:val="none" w:sz="0" w:space="0" w:color="auto"/>
        <w:bottom w:val="none" w:sz="0" w:space="0" w:color="auto"/>
        <w:right w:val="none" w:sz="0" w:space="0" w:color="auto"/>
      </w:divBdr>
    </w:div>
    <w:div w:id="1439790844">
      <w:marLeft w:val="0"/>
      <w:marRight w:val="0"/>
      <w:marTop w:val="200"/>
      <w:marBottom w:val="0"/>
      <w:divBdr>
        <w:top w:val="none" w:sz="0" w:space="0" w:color="auto"/>
        <w:left w:val="none" w:sz="0" w:space="0" w:color="auto"/>
        <w:bottom w:val="none" w:sz="0" w:space="0" w:color="auto"/>
        <w:right w:val="none" w:sz="0" w:space="0" w:color="auto"/>
      </w:divBdr>
    </w:div>
    <w:div w:id="1440638463">
      <w:marLeft w:val="0"/>
      <w:marRight w:val="0"/>
      <w:marTop w:val="120"/>
      <w:marBottom w:val="0"/>
      <w:divBdr>
        <w:top w:val="none" w:sz="0" w:space="0" w:color="auto"/>
        <w:left w:val="none" w:sz="0" w:space="0" w:color="auto"/>
        <w:bottom w:val="none" w:sz="0" w:space="0" w:color="auto"/>
        <w:right w:val="none" w:sz="0" w:space="0" w:color="auto"/>
      </w:divBdr>
    </w:div>
    <w:div w:id="1441334055">
      <w:marLeft w:val="0"/>
      <w:marRight w:val="0"/>
      <w:marTop w:val="120"/>
      <w:marBottom w:val="0"/>
      <w:divBdr>
        <w:top w:val="none" w:sz="0" w:space="0" w:color="auto"/>
        <w:left w:val="none" w:sz="0" w:space="0" w:color="auto"/>
        <w:bottom w:val="none" w:sz="0" w:space="0" w:color="auto"/>
        <w:right w:val="none" w:sz="0" w:space="0" w:color="auto"/>
      </w:divBdr>
    </w:div>
    <w:div w:id="1442410958">
      <w:marLeft w:val="0"/>
      <w:marRight w:val="0"/>
      <w:marTop w:val="120"/>
      <w:marBottom w:val="0"/>
      <w:divBdr>
        <w:top w:val="none" w:sz="0" w:space="0" w:color="auto"/>
        <w:left w:val="none" w:sz="0" w:space="0" w:color="auto"/>
        <w:bottom w:val="none" w:sz="0" w:space="0" w:color="auto"/>
        <w:right w:val="none" w:sz="0" w:space="0" w:color="auto"/>
      </w:divBdr>
    </w:div>
    <w:div w:id="1444378891">
      <w:marLeft w:val="0"/>
      <w:marRight w:val="0"/>
      <w:marTop w:val="0"/>
      <w:marBottom w:val="0"/>
      <w:divBdr>
        <w:top w:val="none" w:sz="0" w:space="0" w:color="auto"/>
        <w:left w:val="none" w:sz="0" w:space="0" w:color="auto"/>
        <w:bottom w:val="none" w:sz="0" w:space="0" w:color="auto"/>
        <w:right w:val="none" w:sz="0" w:space="0" w:color="auto"/>
      </w:divBdr>
      <w:divsChild>
        <w:div w:id="321012162">
          <w:marLeft w:val="0"/>
          <w:marRight w:val="0"/>
          <w:marTop w:val="0"/>
          <w:marBottom w:val="0"/>
          <w:divBdr>
            <w:top w:val="none" w:sz="0" w:space="0" w:color="auto"/>
            <w:left w:val="none" w:sz="0" w:space="0" w:color="auto"/>
            <w:bottom w:val="none" w:sz="0" w:space="0" w:color="auto"/>
            <w:right w:val="none" w:sz="0" w:space="0" w:color="auto"/>
          </w:divBdr>
        </w:div>
      </w:divsChild>
    </w:div>
    <w:div w:id="1444419769">
      <w:marLeft w:val="0"/>
      <w:marRight w:val="0"/>
      <w:marTop w:val="120"/>
      <w:marBottom w:val="0"/>
      <w:divBdr>
        <w:top w:val="none" w:sz="0" w:space="0" w:color="auto"/>
        <w:left w:val="none" w:sz="0" w:space="0" w:color="auto"/>
        <w:bottom w:val="none" w:sz="0" w:space="0" w:color="auto"/>
        <w:right w:val="none" w:sz="0" w:space="0" w:color="auto"/>
      </w:divBdr>
    </w:div>
    <w:div w:id="1445031506">
      <w:marLeft w:val="0"/>
      <w:marRight w:val="0"/>
      <w:marTop w:val="200"/>
      <w:marBottom w:val="0"/>
      <w:divBdr>
        <w:top w:val="none" w:sz="0" w:space="0" w:color="auto"/>
        <w:left w:val="none" w:sz="0" w:space="0" w:color="auto"/>
        <w:bottom w:val="none" w:sz="0" w:space="0" w:color="auto"/>
        <w:right w:val="none" w:sz="0" w:space="0" w:color="auto"/>
      </w:divBdr>
      <w:divsChild>
        <w:div w:id="1154293508">
          <w:marLeft w:val="0"/>
          <w:marRight w:val="0"/>
          <w:marTop w:val="0"/>
          <w:marBottom w:val="0"/>
          <w:divBdr>
            <w:top w:val="none" w:sz="0" w:space="0" w:color="auto"/>
            <w:left w:val="none" w:sz="0" w:space="0" w:color="auto"/>
            <w:bottom w:val="none" w:sz="0" w:space="0" w:color="auto"/>
            <w:right w:val="none" w:sz="0" w:space="0" w:color="auto"/>
          </w:divBdr>
        </w:div>
      </w:divsChild>
    </w:div>
    <w:div w:id="1445658879">
      <w:marLeft w:val="0"/>
      <w:marRight w:val="0"/>
      <w:marTop w:val="200"/>
      <w:marBottom w:val="0"/>
      <w:divBdr>
        <w:top w:val="none" w:sz="0" w:space="0" w:color="auto"/>
        <w:left w:val="none" w:sz="0" w:space="0" w:color="auto"/>
        <w:bottom w:val="none" w:sz="0" w:space="0" w:color="auto"/>
        <w:right w:val="none" w:sz="0" w:space="0" w:color="auto"/>
      </w:divBdr>
    </w:div>
    <w:div w:id="1446579808">
      <w:marLeft w:val="0"/>
      <w:marRight w:val="0"/>
      <w:marTop w:val="120"/>
      <w:marBottom w:val="0"/>
      <w:divBdr>
        <w:top w:val="none" w:sz="0" w:space="0" w:color="auto"/>
        <w:left w:val="none" w:sz="0" w:space="0" w:color="auto"/>
        <w:bottom w:val="none" w:sz="0" w:space="0" w:color="auto"/>
        <w:right w:val="none" w:sz="0" w:space="0" w:color="auto"/>
      </w:divBdr>
    </w:div>
    <w:div w:id="1447388706">
      <w:marLeft w:val="0"/>
      <w:marRight w:val="0"/>
      <w:marTop w:val="120"/>
      <w:marBottom w:val="0"/>
      <w:divBdr>
        <w:top w:val="none" w:sz="0" w:space="0" w:color="auto"/>
        <w:left w:val="none" w:sz="0" w:space="0" w:color="auto"/>
        <w:bottom w:val="none" w:sz="0" w:space="0" w:color="auto"/>
        <w:right w:val="none" w:sz="0" w:space="0" w:color="auto"/>
      </w:divBdr>
    </w:div>
    <w:div w:id="1447582909">
      <w:marLeft w:val="0"/>
      <w:marRight w:val="0"/>
      <w:marTop w:val="120"/>
      <w:marBottom w:val="0"/>
      <w:divBdr>
        <w:top w:val="none" w:sz="0" w:space="0" w:color="auto"/>
        <w:left w:val="none" w:sz="0" w:space="0" w:color="auto"/>
        <w:bottom w:val="none" w:sz="0" w:space="0" w:color="auto"/>
        <w:right w:val="none" w:sz="0" w:space="0" w:color="auto"/>
      </w:divBdr>
    </w:div>
    <w:div w:id="1448113010">
      <w:marLeft w:val="0"/>
      <w:marRight w:val="0"/>
      <w:marTop w:val="120"/>
      <w:marBottom w:val="0"/>
      <w:divBdr>
        <w:top w:val="none" w:sz="0" w:space="0" w:color="auto"/>
        <w:left w:val="none" w:sz="0" w:space="0" w:color="auto"/>
        <w:bottom w:val="none" w:sz="0" w:space="0" w:color="auto"/>
        <w:right w:val="none" w:sz="0" w:space="0" w:color="auto"/>
      </w:divBdr>
    </w:div>
    <w:div w:id="1448113444">
      <w:marLeft w:val="0"/>
      <w:marRight w:val="0"/>
      <w:marTop w:val="0"/>
      <w:marBottom w:val="0"/>
      <w:divBdr>
        <w:top w:val="none" w:sz="0" w:space="0" w:color="auto"/>
        <w:left w:val="none" w:sz="0" w:space="0" w:color="auto"/>
        <w:bottom w:val="none" w:sz="0" w:space="0" w:color="auto"/>
        <w:right w:val="none" w:sz="0" w:space="0" w:color="auto"/>
      </w:divBdr>
      <w:divsChild>
        <w:div w:id="81492756">
          <w:marLeft w:val="0"/>
          <w:marRight w:val="0"/>
          <w:marTop w:val="0"/>
          <w:marBottom w:val="0"/>
          <w:divBdr>
            <w:top w:val="none" w:sz="0" w:space="0" w:color="auto"/>
            <w:left w:val="none" w:sz="0" w:space="0" w:color="auto"/>
            <w:bottom w:val="none" w:sz="0" w:space="0" w:color="auto"/>
            <w:right w:val="none" w:sz="0" w:space="0" w:color="auto"/>
          </w:divBdr>
        </w:div>
      </w:divsChild>
    </w:div>
    <w:div w:id="1448619444">
      <w:marLeft w:val="0"/>
      <w:marRight w:val="0"/>
      <w:marTop w:val="200"/>
      <w:marBottom w:val="0"/>
      <w:divBdr>
        <w:top w:val="none" w:sz="0" w:space="0" w:color="auto"/>
        <w:left w:val="none" w:sz="0" w:space="0" w:color="auto"/>
        <w:bottom w:val="none" w:sz="0" w:space="0" w:color="auto"/>
        <w:right w:val="none" w:sz="0" w:space="0" w:color="auto"/>
      </w:divBdr>
    </w:div>
    <w:div w:id="1449080277">
      <w:marLeft w:val="0"/>
      <w:marRight w:val="0"/>
      <w:marTop w:val="120"/>
      <w:marBottom w:val="0"/>
      <w:divBdr>
        <w:top w:val="none" w:sz="0" w:space="0" w:color="auto"/>
        <w:left w:val="none" w:sz="0" w:space="0" w:color="auto"/>
        <w:bottom w:val="none" w:sz="0" w:space="0" w:color="auto"/>
        <w:right w:val="none" w:sz="0" w:space="0" w:color="auto"/>
      </w:divBdr>
    </w:div>
    <w:div w:id="1449398681">
      <w:marLeft w:val="0"/>
      <w:marRight w:val="0"/>
      <w:marTop w:val="120"/>
      <w:marBottom w:val="0"/>
      <w:divBdr>
        <w:top w:val="none" w:sz="0" w:space="0" w:color="auto"/>
        <w:left w:val="none" w:sz="0" w:space="0" w:color="auto"/>
        <w:bottom w:val="none" w:sz="0" w:space="0" w:color="auto"/>
        <w:right w:val="none" w:sz="0" w:space="0" w:color="auto"/>
      </w:divBdr>
    </w:div>
    <w:div w:id="1449545905">
      <w:marLeft w:val="0"/>
      <w:marRight w:val="0"/>
      <w:marTop w:val="120"/>
      <w:marBottom w:val="0"/>
      <w:divBdr>
        <w:top w:val="none" w:sz="0" w:space="0" w:color="auto"/>
        <w:left w:val="none" w:sz="0" w:space="0" w:color="auto"/>
        <w:bottom w:val="none" w:sz="0" w:space="0" w:color="auto"/>
        <w:right w:val="none" w:sz="0" w:space="0" w:color="auto"/>
      </w:divBdr>
    </w:div>
    <w:div w:id="1450008039">
      <w:marLeft w:val="0"/>
      <w:marRight w:val="0"/>
      <w:marTop w:val="200"/>
      <w:marBottom w:val="0"/>
      <w:divBdr>
        <w:top w:val="none" w:sz="0" w:space="0" w:color="auto"/>
        <w:left w:val="none" w:sz="0" w:space="0" w:color="auto"/>
        <w:bottom w:val="none" w:sz="0" w:space="0" w:color="auto"/>
        <w:right w:val="none" w:sz="0" w:space="0" w:color="auto"/>
      </w:divBdr>
    </w:div>
    <w:div w:id="1450779546">
      <w:marLeft w:val="0"/>
      <w:marRight w:val="0"/>
      <w:marTop w:val="0"/>
      <w:marBottom w:val="0"/>
      <w:divBdr>
        <w:top w:val="none" w:sz="0" w:space="0" w:color="auto"/>
        <w:left w:val="none" w:sz="0" w:space="0" w:color="auto"/>
        <w:bottom w:val="none" w:sz="0" w:space="0" w:color="auto"/>
        <w:right w:val="none" w:sz="0" w:space="0" w:color="auto"/>
      </w:divBdr>
      <w:divsChild>
        <w:div w:id="2052338220">
          <w:marLeft w:val="0"/>
          <w:marRight w:val="0"/>
          <w:marTop w:val="0"/>
          <w:marBottom w:val="0"/>
          <w:divBdr>
            <w:top w:val="none" w:sz="0" w:space="0" w:color="auto"/>
            <w:left w:val="none" w:sz="0" w:space="0" w:color="auto"/>
            <w:bottom w:val="none" w:sz="0" w:space="0" w:color="auto"/>
            <w:right w:val="none" w:sz="0" w:space="0" w:color="auto"/>
          </w:divBdr>
        </w:div>
      </w:divsChild>
    </w:div>
    <w:div w:id="1451390252">
      <w:marLeft w:val="0"/>
      <w:marRight w:val="0"/>
      <w:marTop w:val="120"/>
      <w:marBottom w:val="0"/>
      <w:divBdr>
        <w:top w:val="none" w:sz="0" w:space="0" w:color="auto"/>
        <w:left w:val="none" w:sz="0" w:space="0" w:color="auto"/>
        <w:bottom w:val="none" w:sz="0" w:space="0" w:color="auto"/>
        <w:right w:val="none" w:sz="0" w:space="0" w:color="auto"/>
      </w:divBdr>
    </w:div>
    <w:div w:id="1451391515">
      <w:marLeft w:val="0"/>
      <w:marRight w:val="0"/>
      <w:marTop w:val="200"/>
      <w:marBottom w:val="0"/>
      <w:divBdr>
        <w:top w:val="none" w:sz="0" w:space="0" w:color="auto"/>
        <w:left w:val="none" w:sz="0" w:space="0" w:color="auto"/>
        <w:bottom w:val="none" w:sz="0" w:space="0" w:color="auto"/>
        <w:right w:val="none" w:sz="0" w:space="0" w:color="auto"/>
      </w:divBdr>
    </w:div>
    <w:div w:id="1451584733">
      <w:marLeft w:val="0"/>
      <w:marRight w:val="0"/>
      <w:marTop w:val="120"/>
      <w:marBottom w:val="0"/>
      <w:divBdr>
        <w:top w:val="none" w:sz="0" w:space="0" w:color="auto"/>
        <w:left w:val="none" w:sz="0" w:space="0" w:color="auto"/>
        <w:bottom w:val="none" w:sz="0" w:space="0" w:color="auto"/>
        <w:right w:val="none" w:sz="0" w:space="0" w:color="auto"/>
      </w:divBdr>
    </w:div>
    <w:div w:id="1453091271">
      <w:marLeft w:val="0"/>
      <w:marRight w:val="0"/>
      <w:marTop w:val="0"/>
      <w:marBottom w:val="0"/>
      <w:divBdr>
        <w:top w:val="none" w:sz="0" w:space="0" w:color="auto"/>
        <w:left w:val="none" w:sz="0" w:space="0" w:color="auto"/>
        <w:bottom w:val="none" w:sz="0" w:space="0" w:color="auto"/>
        <w:right w:val="none" w:sz="0" w:space="0" w:color="auto"/>
      </w:divBdr>
      <w:divsChild>
        <w:div w:id="774398288">
          <w:marLeft w:val="0"/>
          <w:marRight w:val="0"/>
          <w:marTop w:val="0"/>
          <w:marBottom w:val="0"/>
          <w:divBdr>
            <w:top w:val="none" w:sz="0" w:space="0" w:color="auto"/>
            <w:left w:val="none" w:sz="0" w:space="0" w:color="auto"/>
            <w:bottom w:val="none" w:sz="0" w:space="0" w:color="auto"/>
            <w:right w:val="none" w:sz="0" w:space="0" w:color="auto"/>
          </w:divBdr>
        </w:div>
      </w:divsChild>
    </w:div>
    <w:div w:id="1455321053">
      <w:marLeft w:val="0"/>
      <w:marRight w:val="0"/>
      <w:marTop w:val="200"/>
      <w:marBottom w:val="0"/>
      <w:divBdr>
        <w:top w:val="none" w:sz="0" w:space="0" w:color="auto"/>
        <w:left w:val="none" w:sz="0" w:space="0" w:color="auto"/>
        <w:bottom w:val="none" w:sz="0" w:space="0" w:color="auto"/>
        <w:right w:val="none" w:sz="0" w:space="0" w:color="auto"/>
      </w:divBdr>
    </w:div>
    <w:div w:id="1457019810">
      <w:marLeft w:val="0"/>
      <w:marRight w:val="0"/>
      <w:marTop w:val="120"/>
      <w:marBottom w:val="0"/>
      <w:divBdr>
        <w:top w:val="none" w:sz="0" w:space="0" w:color="auto"/>
        <w:left w:val="none" w:sz="0" w:space="0" w:color="auto"/>
        <w:bottom w:val="none" w:sz="0" w:space="0" w:color="auto"/>
        <w:right w:val="none" w:sz="0" w:space="0" w:color="auto"/>
      </w:divBdr>
    </w:div>
    <w:div w:id="1457211669">
      <w:marLeft w:val="0"/>
      <w:marRight w:val="0"/>
      <w:marTop w:val="100"/>
      <w:marBottom w:val="0"/>
      <w:divBdr>
        <w:top w:val="none" w:sz="0" w:space="0" w:color="auto"/>
        <w:left w:val="none" w:sz="0" w:space="0" w:color="auto"/>
        <w:bottom w:val="none" w:sz="0" w:space="0" w:color="auto"/>
        <w:right w:val="none" w:sz="0" w:space="0" w:color="auto"/>
      </w:divBdr>
      <w:divsChild>
        <w:div w:id="2083411051">
          <w:marLeft w:val="0"/>
          <w:marRight w:val="0"/>
          <w:marTop w:val="0"/>
          <w:marBottom w:val="0"/>
          <w:divBdr>
            <w:top w:val="none" w:sz="0" w:space="0" w:color="auto"/>
            <w:left w:val="none" w:sz="0" w:space="0" w:color="auto"/>
            <w:bottom w:val="none" w:sz="0" w:space="0" w:color="auto"/>
            <w:right w:val="none" w:sz="0" w:space="0" w:color="auto"/>
          </w:divBdr>
        </w:div>
        <w:div w:id="506797799">
          <w:marLeft w:val="0"/>
          <w:marRight w:val="0"/>
          <w:marTop w:val="0"/>
          <w:marBottom w:val="0"/>
          <w:divBdr>
            <w:top w:val="none" w:sz="0" w:space="0" w:color="auto"/>
            <w:left w:val="none" w:sz="0" w:space="0" w:color="auto"/>
            <w:bottom w:val="none" w:sz="0" w:space="0" w:color="auto"/>
            <w:right w:val="none" w:sz="0" w:space="0" w:color="auto"/>
          </w:divBdr>
        </w:div>
        <w:div w:id="298653988">
          <w:marLeft w:val="0"/>
          <w:marRight w:val="0"/>
          <w:marTop w:val="0"/>
          <w:marBottom w:val="0"/>
          <w:divBdr>
            <w:top w:val="none" w:sz="0" w:space="0" w:color="auto"/>
            <w:left w:val="none" w:sz="0" w:space="0" w:color="auto"/>
            <w:bottom w:val="none" w:sz="0" w:space="0" w:color="auto"/>
            <w:right w:val="none" w:sz="0" w:space="0" w:color="auto"/>
          </w:divBdr>
        </w:div>
        <w:div w:id="409473975">
          <w:marLeft w:val="0"/>
          <w:marRight w:val="0"/>
          <w:marTop w:val="0"/>
          <w:marBottom w:val="0"/>
          <w:divBdr>
            <w:top w:val="none" w:sz="0" w:space="0" w:color="auto"/>
            <w:left w:val="none" w:sz="0" w:space="0" w:color="auto"/>
            <w:bottom w:val="none" w:sz="0" w:space="0" w:color="auto"/>
            <w:right w:val="none" w:sz="0" w:space="0" w:color="auto"/>
          </w:divBdr>
        </w:div>
      </w:divsChild>
    </w:div>
    <w:div w:id="1458180394">
      <w:marLeft w:val="0"/>
      <w:marRight w:val="0"/>
      <w:marTop w:val="200"/>
      <w:marBottom w:val="0"/>
      <w:divBdr>
        <w:top w:val="none" w:sz="0" w:space="0" w:color="auto"/>
        <w:left w:val="none" w:sz="0" w:space="0" w:color="auto"/>
        <w:bottom w:val="none" w:sz="0" w:space="0" w:color="auto"/>
        <w:right w:val="none" w:sz="0" w:space="0" w:color="auto"/>
      </w:divBdr>
    </w:div>
    <w:div w:id="1459378551">
      <w:marLeft w:val="0"/>
      <w:marRight w:val="0"/>
      <w:marTop w:val="120"/>
      <w:marBottom w:val="0"/>
      <w:divBdr>
        <w:top w:val="none" w:sz="0" w:space="0" w:color="auto"/>
        <w:left w:val="none" w:sz="0" w:space="0" w:color="auto"/>
        <w:bottom w:val="none" w:sz="0" w:space="0" w:color="auto"/>
        <w:right w:val="none" w:sz="0" w:space="0" w:color="auto"/>
      </w:divBdr>
    </w:div>
    <w:div w:id="1460106757">
      <w:marLeft w:val="0"/>
      <w:marRight w:val="0"/>
      <w:marTop w:val="120"/>
      <w:marBottom w:val="0"/>
      <w:divBdr>
        <w:top w:val="none" w:sz="0" w:space="0" w:color="auto"/>
        <w:left w:val="none" w:sz="0" w:space="0" w:color="auto"/>
        <w:bottom w:val="none" w:sz="0" w:space="0" w:color="auto"/>
        <w:right w:val="none" w:sz="0" w:space="0" w:color="auto"/>
      </w:divBdr>
    </w:div>
    <w:div w:id="1461991872">
      <w:marLeft w:val="0"/>
      <w:marRight w:val="0"/>
      <w:marTop w:val="120"/>
      <w:marBottom w:val="0"/>
      <w:divBdr>
        <w:top w:val="none" w:sz="0" w:space="0" w:color="auto"/>
        <w:left w:val="none" w:sz="0" w:space="0" w:color="auto"/>
        <w:bottom w:val="none" w:sz="0" w:space="0" w:color="auto"/>
        <w:right w:val="none" w:sz="0" w:space="0" w:color="auto"/>
      </w:divBdr>
    </w:div>
    <w:div w:id="1463228417">
      <w:marLeft w:val="0"/>
      <w:marRight w:val="0"/>
      <w:marTop w:val="120"/>
      <w:marBottom w:val="0"/>
      <w:divBdr>
        <w:top w:val="none" w:sz="0" w:space="0" w:color="auto"/>
        <w:left w:val="none" w:sz="0" w:space="0" w:color="auto"/>
        <w:bottom w:val="none" w:sz="0" w:space="0" w:color="auto"/>
        <w:right w:val="none" w:sz="0" w:space="0" w:color="auto"/>
      </w:divBdr>
    </w:div>
    <w:div w:id="1465195283">
      <w:marLeft w:val="0"/>
      <w:marRight w:val="0"/>
      <w:marTop w:val="200"/>
      <w:marBottom w:val="0"/>
      <w:divBdr>
        <w:top w:val="none" w:sz="0" w:space="0" w:color="auto"/>
        <w:left w:val="none" w:sz="0" w:space="0" w:color="auto"/>
        <w:bottom w:val="none" w:sz="0" w:space="0" w:color="auto"/>
        <w:right w:val="none" w:sz="0" w:space="0" w:color="auto"/>
      </w:divBdr>
    </w:div>
    <w:div w:id="1466583085">
      <w:marLeft w:val="0"/>
      <w:marRight w:val="0"/>
      <w:marTop w:val="200"/>
      <w:marBottom w:val="0"/>
      <w:divBdr>
        <w:top w:val="none" w:sz="0" w:space="0" w:color="auto"/>
        <w:left w:val="none" w:sz="0" w:space="0" w:color="auto"/>
        <w:bottom w:val="none" w:sz="0" w:space="0" w:color="auto"/>
        <w:right w:val="none" w:sz="0" w:space="0" w:color="auto"/>
      </w:divBdr>
    </w:div>
    <w:div w:id="1467118973">
      <w:marLeft w:val="0"/>
      <w:marRight w:val="0"/>
      <w:marTop w:val="200"/>
      <w:marBottom w:val="0"/>
      <w:divBdr>
        <w:top w:val="none" w:sz="0" w:space="0" w:color="auto"/>
        <w:left w:val="none" w:sz="0" w:space="0" w:color="auto"/>
        <w:bottom w:val="none" w:sz="0" w:space="0" w:color="auto"/>
        <w:right w:val="none" w:sz="0" w:space="0" w:color="auto"/>
      </w:divBdr>
    </w:div>
    <w:div w:id="1467699081">
      <w:marLeft w:val="0"/>
      <w:marRight w:val="0"/>
      <w:marTop w:val="200"/>
      <w:marBottom w:val="0"/>
      <w:divBdr>
        <w:top w:val="none" w:sz="0" w:space="0" w:color="auto"/>
        <w:left w:val="none" w:sz="0" w:space="0" w:color="auto"/>
        <w:bottom w:val="none" w:sz="0" w:space="0" w:color="auto"/>
        <w:right w:val="none" w:sz="0" w:space="0" w:color="auto"/>
      </w:divBdr>
    </w:div>
    <w:div w:id="1470243684">
      <w:marLeft w:val="0"/>
      <w:marRight w:val="0"/>
      <w:marTop w:val="120"/>
      <w:marBottom w:val="0"/>
      <w:divBdr>
        <w:top w:val="none" w:sz="0" w:space="0" w:color="auto"/>
        <w:left w:val="none" w:sz="0" w:space="0" w:color="auto"/>
        <w:bottom w:val="none" w:sz="0" w:space="0" w:color="auto"/>
        <w:right w:val="none" w:sz="0" w:space="0" w:color="auto"/>
      </w:divBdr>
    </w:div>
    <w:div w:id="1472868133">
      <w:marLeft w:val="0"/>
      <w:marRight w:val="0"/>
      <w:marTop w:val="200"/>
      <w:marBottom w:val="0"/>
      <w:divBdr>
        <w:top w:val="none" w:sz="0" w:space="0" w:color="auto"/>
        <w:left w:val="none" w:sz="0" w:space="0" w:color="auto"/>
        <w:bottom w:val="none" w:sz="0" w:space="0" w:color="auto"/>
        <w:right w:val="none" w:sz="0" w:space="0" w:color="auto"/>
      </w:divBdr>
    </w:div>
    <w:div w:id="1475222845">
      <w:marLeft w:val="0"/>
      <w:marRight w:val="0"/>
      <w:marTop w:val="200"/>
      <w:marBottom w:val="0"/>
      <w:divBdr>
        <w:top w:val="none" w:sz="0" w:space="0" w:color="auto"/>
        <w:left w:val="none" w:sz="0" w:space="0" w:color="auto"/>
        <w:bottom w:val="none" w:sz="0" w:space="0" w:color="auto"/>
        <w:right w:val="none" w:sz="0" w:space="0" w:color="auto"/>
      </w:divBdr>
    </w:div>
    <w:div w:id="1475444336">
      <w:marLeft w:val="0"/>
      <w:marRight w:val="0"/>
      <w:marTop w:val="120"/>
      <w:marBottom w:val="0"/>
      <w:divBdr>
        <w:top w:val="none" w:sz="0" w:space="0" w:color="auto"/>
        <w:left w:val="none" w:sz="0" w:space="0" w:color="auto"/>
        <w:bottom w:val="none" w:sz="0" w:space="0" w:color="auto"/>
        <w:right w:val="none" w:sz="0" w:space="0" w:color="auto"/>
      </w:divBdr>
    </w:div>
    <w:div w:id="1475682647">
      <w:marLeft w:val="0"/>
      <w:marRight w:val="0"/>
      <w:marTop w:val="120"/>
      <w:marBottom w:val="0"/>
      <w:divBdr>
        <w:top w:val="none" w:sz="0" w:space="0" w:color="auto"/>
        <w:left w:val="none" w:sz="0" w:space="0" w:color="auto"/>
        <w:bottom w:val="none" w:sz="0" w:space="0" w:color="auto"/>
        <w:right w:val="none" w:sz="0" w:space="0" w:color="auto"/>
      </w:divBdr>
    </w:div>
    <w:div w:id="1477645957">
      <w:marLeft w:val="0"/>
      <w:marRight w:val="0"/>
      <w:marTop w:val="120"/>
      <w:marBottom w:val="0"/>
      <w:divBdr>
        <w:top w:val="none" w:sz="0" w:space="0" w:color="auto"/>
        <w:left w:val="none" w:sz="0" w:space="0" w:color="auto"/>
        <w:bottom w:val="none" w:sz="0" w:space="0" w:color="auto"/>
        <w:right w:val="none" w:sz="0" w:space="0" w:color="auto"/>
      </w:divBdr>
    </w:div>
    <w:div w:id="1477918030">
      <w:marLeft w:val="0"/>
      <w:marRight w:val="0"/>
      <w:marTop w:val="0"/>
      <w:marBottom w:val="0"/>
      <w:divBdr>
        <w:top w:val="none" w:sz="0" w:space="0" w:color="auto"/>
        <w:left w:val="none" w:sz="0" w:space="0" w:color="auto"/>
        <w:bottom w:val="none" w:sz="0" w:space="0" w:color="auto"/>
        <w:right w:val="none" w:sz="0" w:space="0" w:color="auto"/>
      </w:divBdr>
      <w:divsChild>
        <w:div w:id="155189767">
          <w:marLeft w:val="0"/>
          <w:marRight w:val="0"/>
          <w:marTop w:val="0"/>
          <w:marBottom w:val="0"/>
          <w:divBdr>
            <w:top w:val="none" w:sz="0" w:space="0" w:color="auto"/>
            <w:left w:val="none" w:sz="0" w:space="0" w:color="auto"/>
            <w:bottom w:val="none" w:sz="0" w:space="0" w:color="auto"/>
            <w:right w:val="none" w:sz="0" w:space="0" w:color="auto"/>
          </w:divBdr>
        </w:div>
      </w:divsChild>
    </w:div>
    <w:div w:id="1478566469">
      <w:marLeft w:val="0"/>
      <w:marRight w:val="0"/>
      <w:marTop w:val="120"/>
      <w:marBottom w:val="0"/>
      <w:divBdr>
        <w:top w:val="none" w:sz="0" w:space="0" w:color="auto"/>
        <w:left w:val="none" w:sz="0" w:space="0" w:color="auto"/>
        <w:bottom w:val="none" w:sz="0" w:space="0" w:color="auto"/>
        <w:right w:val="none" w:sz="0" w:space="0" w:color="auto"/>
      </w:divBdr>
    </w:div>
    <w:div w:id="1479105835">
      <w:marLeft w:val="0"/>
      <w:marRight w:val="0"/>
      <w:marTop w:val="200"/>
      <w:marBottom w:val="0"/>
      <w:divBdr>
        <w:top w:val="none" w:sz="0" w:space="0" w:color="auto"/>
        <w:left w:val="none" w:sz="0" w:space="0" w:color="auto"/>
        <w:bottom w:val="none" w:sz="0" w:space="0" w:color="auto"/>
        <w:right w:val="none" w:sz="0" w:space="0" w:color="auto"/>
      </w:divBdr>
    </w:div>
    <w:div w:id="1479345994">
      <w:marLeft w:val="0"/>
      <w:marRight w:val="0"/>
      <w:marTop w:val="200"/>
      <w:marBottom w:val="0"/>
      <w:divBdr>
        <w:top w:val="none" w:sz="0" w:space="0" w:color="auto"/>
        <w:left w:val="none" w:sz="0" w:space="0" w:color="auto"/>
        <w:bottom w:val="none" w:sz="0" w:space="0" w:color="auto"/>
        <w:right w:val="none" w:sz="0" w:space="0" w:color="auto"/>
      </w:divBdr>
    </w:div>
    <w:div w:id="1480001151">
      <w:marLeft w:val="0"/>
      <w:marRight w:val="0"/>
      <w:marTop w:val="0"/>
      <w:marBottom w:val="0"/>
      <w:divBdr>
        <w:top w:val="none" w:sz="0" w:space="0" w:color="auto"/>
        <w:left w:val="none" w:sz="0" w:space="0" w:color="auto"/>
        <w:bottom w:val="none" w:sz="0" w:space="0" w:color="auto"/>
        <w:right w:val="none" w:sz="0" w:space="0" w:color="auto"/>
      </w:divBdr>
      <w:divsChild>
        <w:div w:id="443187108">
          <w:marLeft w:val="0"/>
          <w:marRight w:val="0"/>
          <w:marTop w:val="0"/>
          <w:marBottom w:val="0"/>
          <w:divBdr>
            <w:top w:val="none" w:sz="0" w:space="0" w:color="auto"/>
            <w:left w:val="none" w:sz="0" w:space="0" w:color="auto"/>
            <w:bottom w:val="none" w:sz="0" w:space="0" w:color="auto"/>
            <w:right w:val="none" w:sz="0" w:space="0" w:color="auto"/>
          </w:divBdr>
        </w:div>
      </w:divsChild>
    </w:div>
    <w:div w:id="1481382885">
      <w:marLeft w:val="0"/>
      <w:marRight w:val="0"/>
      <w:marTop w:val="0"/>
      <w:marBottom w:val="0"/>
      <w:divBdr>
        <w:top w:val="none" w:sz="0" w:space="0" w:color="auto"/>
        <w:left w:val="none" w:sz="0" w:space="0" w:color="auto"/>
        <w:bottom w:val="none" w:sz="0" w:space="0" w:color="auto"/>
        <w:right w:val="none" w:sz="0" w:space="0" w:color="auto"/>
      </w:divBdr>
      <w:divsChild>
        <w:div w:id="1077937858">
          <w:marLeft w:val="0"/>
          <w:marRight w:val="0"/>
          <w:marTop w:val="0"/>
          <w:marBottom w:val="0"/>
          <w:divBdr>
            <w:top w:val="none" w:sz="0" w:space="0" w:color="auto"/>
            <w:left w:val="none" w:sz="0" w:space="0" w:color="auto"/>
            <w:bottom w:val="none" w:sz="0" w:space="0" w:color="auto"/>
            <w:right w:val="none" w:sz="0" w:space="0" w:color="auto"/>
          </w:divBdr>
        </w:div>
      </w:divsChild>
    </w:div>
    <w:div w:id="1484392386">
      <w:marLeft w:val="0"/>
      <w:marRight w:val="0"/>
      <w:marTop w:val="0"/>
      <w:marBottom w:val="0"/>
      <w:divBdr>
        <w:top w:val="none" w:sz="0" w:space="0" w:color="auto"/>
        <w:left w:val="none" w:sz="0" w:space="0" w:color="auto"/>
        <w:bottom w:val="none" w:sz="0" w:space="0" w:color="auto"/>
        <w:right w:val="none" w:sz="0" w:space="0" w:color="auto"/>
      </w:divBdr>
    </w:div>
    <w:div w:id="1484851886">
      <w:marLeft w:val="0"/>
      <w:marRight w:val="0"/>
      <w:marTop w:val="120"/>
      <w:marBottom w:val="0"/>
      <w:divBdr>
        <w:top w:val="none" w:sz="0" w:space="0" w:color="auto"/>
        <w:left w:val="none" w:sz="0" w:space="0" w:color="auto"/>
        <w:bottom w:val="none" w:sz="0" w:space="0" w:color="auto"/>
        <w:right w:val="none" w:sz="0" w:space="0" w:color="auto"/>
      </w:divBdr>
    </w:div>
    <w:div w:id="1487359145">
      <w:marLeft w:val="0"/>
      <w:marRight w:val="0"/>
      <w:marTop w:val="120"/>
      <w:marBottom w:val="0"/>
      <w:divBdr>
        <w:top w:val="none" w:sz="0" w:space="0" w:color="auto"/>
        <w:left w:val="none" w:sz="0" w:space="0" w:color="auto"/>
        <w:bottom w:val="none" w:sz="0" w:space="0" w:color="auto"/>
        <w:right w:val="none" w:sz="0" w:space="0" w:color="auto"/>
      </w:divBdr>
    </w:div>
    <w:div w:id="1488748431">
      <w:marLeft w:val="0"/>
      <w:marRight w:val="0"/>
      <w:marTop w:val="0"/>
      <w:marBottom w:val="0"/>
      <w:divBdr>
        <w:top w:val="none" w:sz="0" w:space="0" w:color="auto"/>
        <w:left w:val="none" w:sz="0" w:space="0" w:color="auto"/>
        <w:bottom w:val="none" w:sz="0" w:space="0" w:color="auto"/>
        <w:right w:val="none" w:sz="0" w:space="0" w:color="auto"/>
      </w:divBdr>
    </w:div>
    <w:div w:id="1490053159">
      <w:marLeft w:val="0"/>
      <w:marRight w:val="0"/>
      <w:marTop w:val="100"/>
      <w:marBottom w:val="0"/>
      <w:divBdr>
        <w:top w:val="none" w:sz="0" w:space="0" w:color="auto"/>
        <w:left w:val="none" w:sz="0" w:space="0" w:color="auto"/>
        <w:bottom w:val="none" w:sz="0" w:space="0" w:color="auto"/>
        <w:right w:val="none" w:sz="0" w:space="0" w:color="auto"/>
      </w:divBdr>
    </w:div>
    <w:div w:id="1492062428">
      <w:marLeft w:val="0"/>
      <w:marRight w:val="0"/>
      <w:marTop w:val="120"/>
      <w:marBottom w:val="0"/>
      <w:divBdr>
        <w:top w:val="none" w:sz="0" w:space="0" w:color="auto"/>
        <w:left w:val="none" w:sz="0" w:space="0" w:color="auto"/>
        <w:bottom w:val="none" w:sz="0" w:space="0" w:color="auto"/>
        <w:right w:val="none" w:sz="0" w:space="0" w:color="auto"/>
      </w:divBdr>
    </w:div>
    <w:div w:id="1492065000">
      <w:marLeft w:val="0"/>
      <w:marRight w:val="0"/>
      <w:marTop w:val="120"/>
      <w:marBottom w:val="0"/>
      <w:divBdr>
        <w:top w:val="none" w:sz="0" w:space="0" w:color="auto"/>
        <w:left w:val="none" w:sz="0" w:space="0" w:color="auto"/>
        <w:bottom w:val="none" w:sz="0" w:space="0" w:color="auto"/>
        <w:right w:val="none" w:sz="0" w:space="0" w:color="auto"/>
      </w:divBdr>
    </w:div>
    <w:div w:id="1492519963">
      <w:marLeft w:val="0"/>
      <w:marRight w:val="0"/>
      <w:marTop w:val="200"/>
      <w:marBottom w:val="0"/>
      <w:divBdr>
        <w:top w:val="none" w:sz="0" w:space="0" w:color="auto"/>
        <w:left w:val="none" w:sz="0" w:space="0" w:color="auto"/>
        <w:bottom w:val="none" w:sz="0" w:space="0" w:color="auto"/>
        <w:right w:val="none" w:sz="0" w:space="0" w:color="auto"/>
      </w:divBdr>
    </w:div>
    <w:div w:id="1493839596">
      <w:marLeft w:val="0"/>
      <w:marRight w:val="0"/>
      <w:marTop w:val="200"/>
      <w:marBottom w:val="0"/>
      <w:divBdr>
        <w:top w:val="none" w:sz="0" w:space="0" w:color="auto"/>
        <w:left w:val="none" w:sz="0" w:space="0" w:color="auto"/>
        <w:bottom w:val="none" w:sz="0" w:space="0" w:color="auto"/>
        <w:right w:val="none" w:sz="0" w:space="0" w:color="auto"/>
      </w:divBdr>
    </w:div>
    <w:div w:id="1494754355">
      <w:marLeft w:val="0"/>
      <w:marRight w:val="0"/>
      <w:marTop w:val="120"/>
      <w:marBottom w:val="0"/>
      <w:divBdr>
        <w:top w:val="none" w:sz="0" w:space="0" w:color="auto"/>
        <w:left w:val="none" w:sz="0" w:space="0" w:color="auto"/>
        <w:bottom w:val="none" w:sz="0" w:space="0" w:color="auto"/>
        <w:right w:val="none" w:sz="0" w:space="0" w:color="auto"/>
      </w:divBdr>
    </w:div>
    <w:div w:id="1495802876">
      <w:marLeft w:val="0"/>
      <w:marRight w:val="0"/>
      <w:marTop w:val="120"/>
      <w:marBottom w:val="0"/>
      <w:divBdr>
        <w:top w:val="none" w:sz="0" w:space="0" w:color="auto"/>
        <w:left w:val="none" w:sz="0" w:space="0" w:color="auto"/>
        <w:bottom w:val="none" w:sz="0" w:space="0" w:color="auto"/>
        <w:right w:val="none" w:sz="0" w:space="0" w:color="auto"/>
      </w:divBdr>
    </w:div>
    <w:div w:id="1496069103">
      <w:marLeft w:val="0"/>
      <w:marRight w:val="0"/>
      <w:marTop w:val="0"/>
      <w:marBottom w:val="0"/>
      <w:divBdr>
        <w:top w:val="none" w:sz="0" w:space="0" w:color="auto"/>
        <w:left w:val="none" w:sz="0" w:space="0" w:color="auto"/>
        <w:bottom w:val="none" w:sz="0" w:space="0" w:color="auto"/>
        <w:right w:val="none" w:sz="0" w:space="0" w:color="auto"/>
      </w:divBdr>
      <w:divsChild>
        <w:div w:id="1471052757">
          <w:marLeft w:val="0"/>
          <w:marRight w:val="0"/>
          <w:marTop w:val="0"/>
          <w:marBottom w:val="0"/>
          <w:divBdr>
            <w:top w:val="none" w:sz="0" w:space="0" w:color="auto"/>
            <w:left w:val="none" w:sz="0" w:space="0" w:color="auto"/>
            <w:bottom w:val="none" w:sz="0" w:space="0" w:color="auto"/>
            <w:right w:val="none" w:sz="0" w:space="0" w:color="auto"/>
          </w:divBdr>
        </w:div>
      </w:divsChild>
    </w:div>
    <w:div w:id="1497110130">
      <w:marLeft w:val="0"/>
      <w:marRight w:val="0"/>
      <w:marTop w:val="200"/>
      <w:marBottom w:val="0"/>
      <w:divBdr>
        <w:top w:val="none" w:sz="0" w:space="0" w:color="auto"/>
        <w:left w:val="none" w:sz="0" w:space="0" w:color="auto"/>
        <w:bottom w:val="none" w:sz="0" w:space="0" w:color="auto"/>
        <w:right w:val="none" w:sz="0" w:space="0" w:color="auto"/>
      </w:divBdr>
    </w:div>
    <w:div w:id="1498810797">
      <w:marLeft w:val="0"/>
      <w:marRight w:val="0"/>
      <w:marTop w:val="120"/>
      <w:marBottom w:val="0"/>
      <w:divBdr>
        <w:top w:val="none" w:sz="0" w:space="0" w:color="auto"/>
        <w:left w:val="none" w:sz="0" w:space="0" w:color="auto"/>
        <w:bottom w:val="none" w:sz="0" w:space="0" w:color="auto"/>
        <w:right w:val="none" w:sz="0" w:space="0" w:color="auto"/>
      </w:divBdr>
    </w:div>
    <w:div w:id="1499887879">
      <w:marLeft w:val="0"/>
      <w:marRight w:val="0"/>
      <w:marTop w:val="120"/>
      <w:marBottom w:val="0"/>
      <w:divBdr>
        <w:top w:val="none" w:sz="0" w:space="0" w:color="auto"/>
        <w:left w:val="none" w:sz="0" w:space="0" w:color="auto"/>
        <w:bottom w:val="none" w:sz="0" w:space="0" w:color="auto"/>
        <w:right w:val="none" w:sz="0" w:space="0" w:color="auto"/>
      </w:divBdr>
    </w:div>
    <w:div w:id="1500581725">
      <w:marLeft w:val="0"/>
      <w:marRight w:val="0"/>
      <w:marTop w:val="120"/>
      <w:marBottom w:val="0"/>
      <w:divBdr>
        <w:top w:val="none" w:sz="0" w:space="0" w:color="auto"/>
        <w:left w:val="none" w:sz="0" w:space="0" w:color="auto"/>
        <w:bottom w:val="none" w:sz="0" w:space="0" w:color="auto"/>
        <w:right w:val="none" w:sz="0" w:space="0" w:color="auto"/>
      </w:divBdr>
    </w:div>
    <w:div w:id="1501117325">
      <w:marLeft w:val="0"/>
      <w:marRight w:val="0"/>
      <w:marTop w:val="0"/>
      <w:marBottom w:val="0"/>
      <w:divBdr>
        <w:top w:val="none" w:sz="0" w:space="0" w:color="auto"/>
        <w:left w:val="none" w:sz="0" w:space="0" w:color="auto"/>
        <w:bottom w:val="none" w:sz="0" w:space="0" w:color="auto"/>
        <w:right w:val="none" w:sz="0" w:space="0" w:color="auto"/>
      </w:divBdr>
      <w:divsChild>
        <w:div w:id="1876697910">
          <w:marLeft w:val="0"/>
          <w:marRight w:val="0"/>
          <w:marTop w:val="0"/>
          <w:marBottom w:val="0"/>
          <w:divBdr>
            <w:top w:val="none" w:sz="0" w:space="0" w:color="auto"/>
            <w:left w:val="none" w:sz="0" w:space="0" w:color="auto"/>
            <w:bottom w:val="none" w:sz="0" w:space="0" w:color="auto"/>
            <w:right w:val="none" w:sz="0" w:space="0" w:color="auto"/>
          </w:divBdr>
        </w:div>
      </w:divsChild>
    </w:div>
    <w:div w:id="1503006873">
      <w:marLeft w:val="0"/>
      <w:marRight w:val="0"/>
      <w:marTop w:val="120"/>
      <w:marBottom w:val="0"/>
      <w:divBdr>
        <w:top w:val="none" w:sz="0" w:space="0" w:color="auto"/>
        <w:left w:val="none" w:sz="0" w:space="0" w:color="auto"/>
        <w:bottom w:val="none" w:sz="0" w:space="0" w:color="auto"/>
        <w:right w:val="none" w:sz="0" w:space="0" w:color="auto"/>
      </w:divBdr>
    </w:div>
    <w:div w:id="1503426831">
      <w:marLeft w:val="0"/>
      <w:marRight w:val="0"/>
      <w:marTop w:val="120"/>
      <w:marBottom w:val="0"/>
      <w:divBdr>
        <w:top w:val="none" w:sz="0" w:space="0" w:color="auto"/>
        <w:left w:val="none" w:sz="0" w:space="0" w:color="auto"/>
        <w:bottom w:val="none" w:sz="0" w:space="0" w:color="auto"/>
        <w:right w:val="none" w:sz="0" w:space="0" w:color="auto"/>
      </w:divBdr>
    </w:div>
    <w:div w:id="1505516919">
      <w:marLeft w:val="0"/>
      <w:marRight w:val="0"/>
      <w:marTop w:val="120"/>
      <w:marBottom w:val="0"/>
      <w:divBdr>
        <w:top w:val="none" w:sz="0" w:space="0" w:color="auto"/>
        <w:left w:val="none" w:sz="0" w:space="0" w:color="auto"/>
        <w:bottom w:val="none" w:sz="0" w:space="0" w:color="auto"/>
        <w:right w:val="none" w:sz="0" w:space="0" w:color="auto"/>
      </w:divBdr>
    </w:div>
    <w:div w:id="1505586153">
      <w:marLeft w:val="0"/>
      <w:marRight w:val="0"/>
      <w:marTop w:val="200"/>
      <w:marBottom w:val="0"/>
      <w:divBdr>
        <w:top w:val="none" w:sz="0" w:space="0" w:color="auto"/>
        <w:left w:val="none" w:sz="0" w:space="0" w:color="auto"/>
        <w:bottom w:val="none" w:sz="0" w:space="0" w:color="auto"/>
        <w:right w:val="none" w:sz="0" w:space="0" w:color="auto"/>
      </w:divBdr>
    </w:div>
    <w:div w:id="1505901569">
      <w:marLeft w:val="0"/>
      <w:marRight w:val="0"/>
      <w:marTop w:val="200"/>
      <w:marBottom w:val="0"/>
      <w:divBdr>
        <w:top w:val="none" w:sz="0" w:space="0" w:color="auto"/>
        <w:left w:val="none" w:sz="0" w:space="0" w:color="auto"/>
        <w:bottom w:val="none" w:sz="0" w:space="0" w:color="auto"/>
        <w:right w:val="none" w:sz="0" w:space="0" w:color="auto"/>
      </w:divBdr>
    </w:div>
    <w:div w:id="1507792704">
      <w:marLeft w:val="0"/>
      <w:marRight w:val="0"/>
      <w:marTop w:val="120"/>
      <w:marBottom w:val="0"/>
      <w:divBdr>
        <w:top w:val="none" w:sz="0" w:space="0" w:color="auto"/>
        <w:left w:val="none" w:sz="0" w:space="0" w:color="auto"/>
        <w:bottom w:val="none" w:sz="0" w:space="0" w:color="auto"/>
        <w:right w:val="none" w:sz="0" w:space="0" w:color="auto"/>
      </w:divBdr>
    </w:div>
    <w:div w:id="1508328736">
      <w:marLeft w:val="0"/>
      <w:marRight w:val="0"/>
      <w:marTop w:val="200"/>
      <w:marBottom w:val="0"/>
      <w:divBdr>
        <w:top w:val="none" w:sz="0" w:space="0" w:color="auto"/>
        <w:left w:val="none" w:sz="0" w:space="0" w:color="auto"/>
        <w:bottom w:val="none" w:sz="0" w:space="0" w:color="auto"/>
        <w:right w:val="none" w:sz="0" w:space="0" w:color="auto"/>
      </w:divBdr>
    </w:div>
    <w:div w:id="1508984819">
      <w:marLeft w:val="0"/>
      <w:marRight w:val="0"/>
      <w:marTop w:val="200"/>
      <w:marBottom w:val="0"/>
      <w:divBdr>
        <w:top w:val="none" w:sz="0" w:space="0" w:color="auto"/>
        <w:left w:val="none" w:sz="0" w:space="0" w:color="auto"/>
        <w:bottom w:val="none" w:sz="0" w:space="0" w:color="auto"/>
        <w:right w:val="none" w:sz="0" w:space="0" w:color="auto"/>
      </w:divBdr>
    </w:div>
    <w:div w:id="1510564125">
      <w:marLeft w:val="0"/>
      <w:marRight w:val="0"/>
      <w:marTop w:val="120"/>
      <w:marBottom w:val="0"/>
      <w:divBdr>
        <w:top w:val="none" w:sz="0" w:space="0" w:color="auto"/>
        <w:left w:val="none" w:sz="0" w:space="0" w:color="auto"/>
        <w:bottom w:val="none" w:sz="0" w:space="0" w:color="auto"/>
        <w:right w:val="none" w:sz="0" w:space="0" w:color="auto"/>
      </w:divBdr>
    </w:div>
    <w:div w:id="1510680080">
      <w:marLeft w:val="0"/>
      <w:marRight w:val="0"/>
      <w:marTop w:val="0"/>
      <w:marBottom w:val="0"/>
      <w:divBdr>
        <w:top w:val="none" w:sz="0" w:space="0" w:color="auto"/>
        <w:left w:val="none" w:sz="0" w:space="0" w:color="auto"/>
        <w:bottom w:val="none" w:sz="0" w:space="0" w:color="auto"/>
        <w:right w:val="none" w:sz="0" w:space="0" w:color="auto"/>
      </w:divBdr>
    </w:div>
    <w:div w:id="1511139804">
      <w:marLeft w:val="0"/>
      <w:marRight w:val="0"/>
      <w:marTop w:val="200"/>
      <w:marBottom w:val="0"/>
      <w:divBdr>
        <w:top w:val="none" w:sz="0" w:space="0" w:color="auto"/>
        <w:left w:val="none" w:sz="0" w:space="0" w:color="auto"/>
        <w:bottom w:val="none" w:sz="0" w:space="0" w:color="auto"/>
        <w:right w:val="none" w:sz="0" w:space="0" w:color="auto"/>
      </w:divBdr>
    </w:div>
    <w:div w:id="1511482794">
      <w:marLeft w:val="0"/>
      <w:marRight w:val="0"/>
      <w:marTop w:val="0"/>
      <w:marBottom w:val="0"/>
      <w:divBdr>
        <w:top w:val="none" w:sz="0" w:space="0" w:color="auto"/>
        <w:left w:val="none" w:sz="0" w:space="0" w:color="auto"/>
        <w:bottom w:val="none" w:sz="0" w:space="0" w:color="auto"/>
        <w:right w:val="none" w:sz="0" w:space="0" w:color="auto"/>
      </w:divBdr>
      <w:divsChild>
        <w:div w:id="503935416">
          <w:marLeft w:val="0"/>
          <w:marRight w:val="0"/>
          <w:marTop w:val="0"/>
          <w:marBottom w:val="0"/>
          <w:divBdr>
            <w:top w:val="none" w:sz="0" w:space="0" w:color="auto"/>
            <w:left w:val="none" w:sz="0" w:space="0" w:color="auto"/>
            <w:bottom w:val="none" w:sz="0" w:space="0" w:color="auto"/>
            <w:right w:val="none" w:sz="0" w:space="0" w:color="auto"/>
          </w:divBdr>
        </w:div>
      </w:divsChild>
    </w:div>
    <w:div w:id="1512448669">
      <w:marLeft w:val="0"/>
      <w:marRight w:val="0"/>
      <w:marTop w:val="120"/>
      <w:marBottom w:val="0"/>
      <w:divBdr>
        <w:top w:val="none" w:sz="0" w:space="0" w:color="auto"/>
        <w:left w:val="none" w:sz="0" w:space="0" w:color="auto"/>
        <w:bottom w:val="none" w:sz="0" w:space="0" w:color="auto"/>
        <w:right w:val="none" w:sz="0" w:space="0" w:color="auto"/>
      </w:divBdr>
    </w:div>
    <w:div w:id="1512721383">
      <w:marLeft w:val="0"/>
      <w:marRight w:val="0"/>
      <w:marTop w:val="120"/>
      <w:marBottom w:val="0"/>
      <w:divBdr>
        <w:top w:val="none" w:sz="0" w:space="0" w:color="auto"/>
        <w:left w:val="none" w:sz="0" w:space="0" w:color="auto"/>
        <w:bottom w:val="none" w:sz="0" w:space="0" w:color="auto"/>
        <w:right w:val="none" w:sz="0" w:space="0" w:color="auto"/>
      </w:divBdr>
    </w:div>
    <w:div w:id="1512987932">
      <w:marLeft w:val="0"/>
      <w:marRight w:val="0"/>
      <w:marTop w:val="0"/>
      <w:marBottom w:val="0"/>
      <w:divBdr>
        <w:top w:val="none" w:sz="0" w:space="0" w:color="auto"/>
        <w:left w:val="none" w:sz="0" w:space="0" w:color="auto"/>
        <w:bottom w:val="none" w:sz="0" w:space="0" w:color="auto"/>
        <w:right w:val="none" w:sz="0" w:space="0" w:color="auto"/>
      </w:divBdr>
      <w:divsChild>
        <w:div w:id="210532549">
          <w:marLeft w:val="0"/>
          <w:marRight w:val="0"/>
          <w:marTop w:val="0"/>
          <w:marBottom w:val="0"/>
          <w:divBdr>
            <w:top w:val="none" w:sz="0" w:space="0" w:color="auto"/>
            <w:left w:val="none" w:sz="0" w:space="0" w:color="auto"/>
            <w:bottom w:val="none" w:sz="0" w:space="0" w:color="auto"/>
            <w:right w:val="none" w:sz="0" w:space="0" w:color="auto"/>
          </w:divBdr>
        </w:div>
      </w:divsChild>
    </w:div>
    <w:div w:id="1513110183">
      <w:marLeft w:val="0"/>
      <w:marRight w:val="0"/>
      <w:marTop w:val="120"/>
      <w:marBottom w:val="0"/>
      <w:divBdr>
        <w:top w:val="none" w:sz="0" w:space="0" w:color="auto"/>
        <w:left w:val="none" w:sz="0" w:space="0" w:color="auto"/>
        <w:bottom w:val="none" w:sz="0" w:space="0" w:color="auto"/>
        <w:right w:val="none" w:sz="0" w:space="0" w:color="auto"/>
      </w:divBdr>
    </w:div>
    <w:div w:id="1513183200">
      <w:marLeft w:val="0"/>
      <w:marRight w:val="0"/>
      <w:marTop w:val="120"/>
      <w:marBottom w:val="0"/>
      <w:divBdr>
        <w:top w:val="none" w:sz="0" w:space="0" w:color="auto"/>
        <w:left w:val="none" w:sz="0" w:space="0" w:color="auto"/>
        <w:bottom w:val="none" w:sz="0" w:space="0" w:color="auto"/>
        <w:right w:val="none" w:sz="0" w:space="0" w:color="auto"/>
      </w:divBdr>
    </w:div>
    <w:div w:id="1516730048">
      <w:marLeft w:val="0"/>
      <w:marRight w:val="0"/>
      <w:marTop w:val="120"/>
      <w:marBottom w:val="0"/>
      <w:divBdr>
        <w:top w:val="none" w:sz="0" w:space="0" w:color="auto"/>
        <w:left w:val="none" w:sz="0" w:space="0" w:color="auto"/>
        <w:bottom w:val="none" w:sz="0" w:space="0" w:color="auto"/>
        <w:right w:val="none" w:sz="0" w:space="0" w:color="auto"/>
      </w:divBdr>
    </w:div>
    <w:div w:id="1517115726">
      <w:marLeft w:val="0"/>
      <w:marRight w:val="0"/>
      <w:marTop w:val="120"/>
      <w:marBottom w:val="0"/>
      <w:divBdr>
        <w:top w:val="none" w:sz="0" w:space="0" w:color="auto"/>
        <w:left w:val="none" w:sz="0" w:space="0" w:color="auto"/>
        <w:bottom w:val="none" w:sz="0" w:space="0" w:color="auto"/>
        <w:right w:val="none" w:sz="0" w:space="0" w:color="auto"/>
      </w:divBdr>
    </w:div>
    <w:div w:id="1518959331">
      <w:marLeft w:val="0"/>
      <w:marRight w:val="0"/>
      <w:marTop w:val="200"/>
      <w:marBottom w:val="0"/>
      <w:divBdr>
        <w:top w:val="none" w:sz="0" w:space="0" w:color="auto"/>
        <w:left w:val="none" w:sz="0" w:space="0" w:color="auto"/>
        <w:bottom w:val="none" w:sz="0" w:space="0" w:color="auto"/>
        <w:right w:val="none" w:sz="0" w:space="0" w:color="auto"/>
      </w:divBdr>
    </w:div>
    <w:div w:id="1521969207">
      <w:marLeft w:val="0"/>
      <w:marRight w:val="0"/>
      <w:marTop w:val="0"/>
      <w:marBottom w:val="0"/>
      <w:divBdr>
        <w:top w:val="none" w:sz="0" w:space="0" w:color="auto"/>
        <w:left w:val="none" w:sz="0" w:space="0" w:color="auto"/>
        <w:bottom w:val="none" w:sz="0" w:space="0" w:color="auto"/>
        <w:right w:val="none" w:sz="0" w:space="0" w:color="auto"/>
      </w:divBdr>
    </w:div>
    <w:div w:id="1522547282">
      <w:marLeft w:val="0"/>
      <w:marRight w:val="0"/>
      <w:marTop w:val="120"/>
      <w:marBottom w:val="0"/>
      <w:divBdr>
        <w:top w:val="none" w:sz="0" w:space="0" w:color="auto"/>
        <w:left w:val="none" w:sz="0" w:space="0" w:color="auto"/>
        <w:bottom w:val="none" w:sz="0" w:space="0" w:color="auto"/>
        <w:right w:val="none" w:sz="0" w:space="0" w:color="auto"/>
      </w:divBdr>
    </w:div>
    <w:div w:id="1522551748">
      <w:marLeft w:val="0"/>
      <w:marRight w:val="0"/>
      <w:marTop w:val="120"/>
      <w:marBottom w:val="0"/>
      <w:divBdr>
        <w:top w:val="none" w:sz="0" w:space="0" w:color="auto"/>
        <w:left w:val="none" w:sz="0" w:space="0" w:color="auto"/>
        <w:bottom w:val="none" w:sz="0" w:space="0" w:color="auto"/>
        <w:right w:val="none" w:sz="0" w:space="0" w:color="auto"/>
      </w:divBdr>
    </w:div>
    <w:div w:id="1522738535">
      <w:marLeft w:val="0"/>
      <w:marRight w:val="0"/>
      <w:marTop w:val="120"/>
      <w:marBottom w:val="0"/>
      <w:divBdr>
        <w:top w:val="none" w:sz="0" w:space="0" w:color="auto"/>
        <w:left w:val="none" w:sz="0" w:space="0" w:color="auto"/>
        <w:bottom w:val="none" w:sz="0" w:space="0" w:color="auto"/>
        <w:right w:val="none" w:sz="0" w:space="0" w:color="auto"/>
      </w:divBdr>
    </w:div>
    <w:div w:id="1523399784">
      <w:marLeft w:val="0"/>
      <w:marRight w:val="0"/>
      <w:marTop w:val="120"/>
      <w:marBottom w:val="0"/>
      <w:divBdr>
        <w:top w:val="none" w:sz="0" w:space="0" w:color="auto"/>
        <w:left w:val="none" w:sz="0" w:space="0" w:color="auto"/>
        <w:bottom w:val="none" w:sz="0" w:space="0" w:color="auto"/>
        <w:right w:val="none" w:sz="0" w:space="0" w:color="auto"/>
      </w:divBdr>
    </w:div>
    <w:div w:id="1524779387">
      <w:marLeft w:val="0"/>
      <w:marRight w:val="0"/>
      <w:marTop w:val="120"/>
      <w:marBottom w:val="0"/>
      <w:divBdr>
        <w:top w:val="none" w:sz="0" w:space="0" w:color="auto"/>
        <w:left w:val="none" w:sz="0" w:space="0" w:color="auto"/>
        <w:bottom w:val="none" w:sz="0" w:space="0" w:color="auto"/>
        <w:right w:val="none" w:sz="0" w:space="0" w:color="auto"/>
      </w:divBdr>
    </w:div>
    <w:div w:id="1526019894">
      <w:marLeft w:val="0"/>
      <w:marRight w:val="0"/>
      <w:marTop w:val="120"/>
      <w:marBottom w:val="0"/>
      <w:divBdr>
        <w:top w:val="none" w:sz="0" w:space="0" w:color="auto"/>
        <w:left w:val="none" w:sz="0" w:space="0" w:color="auto"/>
        <w:bottom w:val="none" w:sz="0" w:space="0" w:color="auto"/>
        <w:right w:val="none" w:sz="0" w:space="0" w:color="auto"/>
      </w:divBdr>
    </w:div>
    <w:div w:id="1527325362">
      <w:marLeft w:val="0"/>
      <w:marRight w:val="0"/>
      <w:marTop w:val="200"/>
      <w:marBottom w:val="0"/>
      <w:divBdr>
        <w:top w:val="none" w:sz="0" w:space="0" w:color="auto"/>
        <w:left w:val="none" w:sz="0" w:space="0" w:color="auto"/>
        <w:bottom w:val="none" w:sz="0" w:space="0" w:color="auto"/>
        <w:right w:val="none" w:sz="0" w:space="0" w:color="auto"/>
      </w:divBdr>
    </w:div>
    <w:div w:id="1528104053">
      <w:marLeft w:val="0"/>
      <w:marRight w:val="0"/>
      <w:marTop w:val="120"/>
      <w:marBottom w:val="0"/>
      <w:divBdr>
        <w:top w:val="none" w:sz="0" w:space="0" w:color="auto"/>
        <w:left w:val="none" w:sz="0" w:space="0" w:color="auto"/>
        <w:bottom w:val="none" w:sz="0" w:space="0" w:color="auto"/>
        <w:right w:val="none" w:sz="0" w:space="0" w:color="auto"/>
      </w:divBdr>
    </w:div>
    <w:div w:id="1528174849">
      <w:marLeft w:val="0"/>
      <w:marRight w:val="0"/>
      <w:marTop w:val="120"/>
      <w:marBottom w:val="0"/>
      <w:divBdr>
        <w:top w:val="none" w:sz="0" w:space="0" w:color="auto"/>
        <w:left w:val="none" w:sz="0" w:space="0" w:color="auto"/>
        <w:bottom w:val="none" w:sz="0" w:space="0" w:color="auto"/>
        <w:right w:val="none" w:sz="0" w:space="0" w:color="auto"/>
      </w:divBdr>
    </w:div>
    <w:div w:id="1530949347">
      <w:marLeft w:val="0"/>
      <w:marRight w:val="0"/>
      <w:marTop w:val="60"/>
      <w:marBottom w:val="0"/>
      <w:divBdr>
        <w:top w:val="none" w:sz="0" w:space="0" w:color="auto"/>
        <w:left w:val="none" w:sz="0" w:space="0" w:color="auto"/>
        <w:bottom w:val="none" w:sz="0" w:space="0" w:color="auto"/>
        <w:right w:val="none" w:sz="0" w:space="0" w:color="auto"/>
      </w:divBdr>
    </w:div>
    <w:div w:id="1531992196">
      <w:marLeft w:val="0"/>
      <w:marRight w:val="0"/>
      <w:marTop w:val="120"/>
      <w:marBottom w:val="0"/>
      <w:divBdr>
        <w:top w:val="none" w:sz="0" w:space="0" w:color="auto"/>
        <w:left w:val="none" w:sz="0" w:space="0" w:color="auto"/>
        <w:bottom w:val="none" w:sz="0" w:space="0" w:color="auto"/>
        <w:right w:val="none" w:sz="0" w:space="0" w:color="auto"/>
      </w:divBdr>
    </w:div>
    <w:div w:id="1532717786">
      <w:marLeft w:val="0"/>
      <w:marRight w:val="0"/>
      <w:marTop w:val="0"/>
      <w:marBottom w:val="0"/>
      <w:divBdr>
        <w:top w:val="none" w:sz="0" w:space="0" w:color="auto"/>
        <w:left w:val="none" w:sz="0" w:space="0" w:color="auto"/>
        <w:bottom w:val="none" w:sz="0" w:space="0" w:color="auto"/>
        <w:right w:val="none" w:sz="0" w:space="0" w:color="auto"/>
      </w:divBdr>
      <w:divsChild>
        <w:div w:id="1376853617">
          <w:marLeft w:val="0"/>
          <w:marRight w:val="0"/>
          <w:marTop w:val="0"/>
          <w:marBottom w:val="0"/>
          <w:divBdr>
            <w:top w:val="none" w:sz="0" w:space="0" w:color="auto"/>
            <w:left w:val="none" w:sz="0" w:space="0" w:color="auto"/>
            <w:bottom w:val="none" w:sz="0" w:space="0" w:color="auto"/>
            <w:right w:val="none" w:sz="0" w:space="0" w:color="auto"/>
          </w:divBdr>
        </w:div>
      </w:divsChild>
    </w:div>
    <w:div w:id="1533494251">
      <w:marLeft w:val="0"/>
      <w:marRight w:val="0"/>
      <w:marTop w:val="0"/>
      <w:marBottom w:val="0"/>
      <w:divBdr>
        <w:top w:val="none" w:sz="0" w:space="0" w:color="auto"/>
        <w:left w:val="none" w:sz="0" w:space="0" w:color="auto"/>
        <w:bottom w:val="none" w:sz="0" w:space="0" w:color="auto"/>
        <w:right w:val="none" w:sz="0" w:space="0" w:color="auto"/>
      </w:divBdr>
      <w:divsChild>
        <w:div w:id="480659747">
          <w:marLeft w:val="0"/>
          <w:marRight w:val="0"/>
          <w:marTop w:val="0"/>
          <w:marBottom w:val="0"/>
          <w:divBdr>
            <w:top w:val="none" w:sz="0" w:space="0" w:color="auto"/>
            <w:left w:val="none" w:sz="0" w:space="0" w:color="auto"/>
            <w:bottom w:val="none" w:sz="0" w:space="0" w:color="auto"/>
            <w:right w:val="none" w:sz="0" w:space="0" w:color="auto"/>
          </w:divBdr>
        </w:div>
      </w:divsChild>
    </w:div>
    <w:div w:id="1533836522">
      <w:marLeft w:val="0"/>
      <w:marRight w:val="0"/>
      <w:marTop w:val="120"/>
      <w:marBottom w:val="0"/>
      <w:divBdr>
        <w:top w:val="none" w:sz="0" w:space="0" w:color="auto"/>
        <w:left w:val="none" w:sz="0" w:space="0" w:color="auto"/>
        <w:bottom w:val="none" w:sz="0" w:space="0" w:color="auto"/>
        <w:right w:val="none" w:sz="0" w:space="0" w:color="auto"/>
      </w:divBdr>
    </w:div>
    <w:div w:id="1534876513">
      <w:marLeft w:val="0"/>
      <w:marRight w:val="0"/>
      <w:marTop w:val="120"/>
      <w:marBottom w:val="0"/>
      <w:divBdr>
        <w:top w:val="none" w:sz="0" w:space="0" w:color="auto"/>
        <w:left w:val="none" w:sz="0" w:space="0" w:color="auto"/>
        <w:bottom w:val="none" w:sz="0" w:space="0" w:color="auto"/>
        <w:right w:val="none" w:sz="0" w:space="0" w:color="auto"/>
      </w:divBdr>
    </w:div>
    <w:div w:id="1535655002">
      <w:marLeft w:val="0"/>
      <w:marRight w:val="0"/>
      <w:marTop w:val="200"/>
      <w:marBottom w:val="0"/>
      <w:divBdr>
        <w:top w:val="none" w:sz="0" w:space="0" w:color="auto"/>
        <w:left w:val="none" w:sz="0" w:space="0" w:color="auto"/>
        <w:bottom w:val="none" w:sz="0" w:space="0" w:color="auto"/>
        <w:right w:val="none" w:sz="0" w:space="0" w:color="auto"/>
      </w:divBdr>
    </w:div>
    <w:div w:id="1536847012">
      <w:marLeft w:val="0"/>
      <w:marRight w:val="0"/>
      <w:marTop w:val="120"/>
      <w:marBottom w:val="0"/>
      <w:divBdr>
        <w:top w:val="none" w:sz="0" w:space="0" w:color="auto"/>
        <w:left w:val="none" w:sz="0" w:space="0" w:color="auto"/>
        <w:bottom w:val="none" w:sz="0" w:space="0" w:color="auto"/>
        <w:right w:val="none" w:sz="0" w:space="0" w:color="auto"/>
      </w:divBdr>
    </w:div>
    <w:div w:id="1536891683">
      <w:marLeft w:val="0"/>
      <w:marRight w:val="0"/>
      <w:marTop w:val="100"/>
      <w:marBottom w:val="0"/>
      <w:divBdr>
        <w:top w:val="none" w:sz="0" w:space="0" w:color="auto"/>
        <w:left w:val="none" w:sz="0" w:space="0" w:color="auto"/>
        <w:bottom w:val="none" w:sz="0" w:space="0" w:color="auto"/>
        <w:right w:val="none" w:sz="0" w:space="0" w:color="auto"/>
      </w:divBdr>
      <w:divsChild>
        <w:div w:id="1751347450">
          <w:marLeft w:val="0"/>
          <w:marRight w:val="0"/>
          <w:marTop w:val="0"/>
          <w:marBottom w:val="0"/>
          <w:divBdr>
            <w:top w:val="none" w:sz="0" w:space="0" w:color="auto"/>
            <w:left w:val="none" w:sz="0" w:space="0" w:color="auto"/>
            <w:bottom w:val="none" w:sz="0" w:space="0" w:color="auto"/>
            <w:right w:val="none" w:sz="0" w:space="0" w:color="auto"/>
          </w:divBdr>
        </w:div>
        <w:div w:id="1595629835">
          <w:marLeft w:val="0"/>
          <w:marRight w:val="0"/>
          <w:marTop w:val="0"/>
          <w:marBottom w:val="0"/>
          <w:divBdr>
            <w:top w:val="none" w:sz="0" w:space="0" w:color="auto"/>
            <w:left w:val="none" w:sz="0" w:space="0" w:color="auto"/>
            <w:bottom w:val="none" w:sz="0" w:space="0" w:color="auto"/>
            <w:right w:val="none" w:sz="0" w:space="0" w:color="auto"/>
          </w:divBdr>
        </w:div>
      </w:divsChild>
    </w:div>
    <w:div w:id="1538354949">
      <w:marLeft w:val="0"/>
      <w:marRight w:val="0"/>
      <w:marTop w:val="0"/>
      <w:marBottom w:val="0"/>
      <w:divBdr>
        <w:top w:val="none" w:sz="0" w:space="0" w:color="auto"/>
        <w:left w:val="none" w:sz="0" w:space="0" w:color="auto"/>
        <w:bottom w:val="none" w:sz="0" w:space="0" w:color="auto"/>
        <w:right w:val="none" w:sz="0" w:space="0" w:color="auto"/>
      </w:divBdr>
      <w:divsChild>
        <w:div w:id="860360704">
          <w:marLeft w:val="0"/>
          <w:marRight w:val="0"/>
          <w:marTop w:val="0"/>
          <w:marBottom w:val="0"/>
          <w:divBdr>
            <w:top w:val="none" w:sz="0" w:space="0" w:color="auto"/>
            <w:left w:val="none" w:sz="0" w:space="0" w:color="auto"/>
            <w:bottom w:val="none" w:sz="0" w:space="0" w:color="auto"/>
            <w:right w:val="none" w:sz="0" w:space="0" w:color="auto"/>
          </w:divBdr>
        </w:div>
      </w:divsChild>
    </w:div>
    <w:div w:id="1539471709">
      <w:marLeft w:val="0"/>
      <w:marRight w:val="0"/>
      <w:marTop w:val="200"/>
      <w:marBottom w:val="0"/>
      <w:divBdr>
        <w:top w:val="none" w:sz="0" w:space="0" w:color="auto"/>
        <w:left w:val="none" w:sz="0" w:space="0" w:color="auto"/>
        <w:bottom w:val="none" w:sz="0" w:space="0" w:color="auto"/>
        <w:right w:val="none" w:sz="0" w:space="0" w:color="auto"/>
      </w:divBdr>
    </w:div>
    <w:div w:id="1540780235">
      <w:marLeft w:val="0"/>
      <w:marRight w:val="0"/>
      <w:marTop w:val="120"/>
      <w:marBottom w:val="0"/>
      <w:divBdr>
        <w:top w:val="none" w:sz="0" w:space="0" w:color="auto"/>
        <w:left w:val="none" w:sz="0" w:space="0" w:color="auto"/>
        <w:bottom w:val="none" w:sz="0" w:space="0" w:color="auto"/>
        <w:right w:val="none" w:sz="0" w:space="0" w:color="auto"/>
      </w:divBdr>
    </w:div>
    <w:div w:id="1544516303">
      <w:marLeft w:val="0"/>
      <w:marRight w:val="0"/>
      <w:marTop w:val="120"/>
      <w:marBottom w:val="0"/>
      <w:divBdr>
        <w:top w:val="none" w:sz="0" w:space="0" w:color="auto"/>
        <w:left w:val="none" w:sz="0" w:space="0" w:color="auto"/>
        <w:bottom w:val="none" w:sz="0" w:space="0" w:color="auto"/>
        <w:right w:val="none" w:sz="0" w:space="0" w:color="auto"/>
      </w:divBdr>
    </w:div>
    <w:div w:id="1545681124">
      <w:marLeft w:val="0"/>
      <w:marRight w:val="0"/>
      <w:marTop w:val="120"/>
      <w:marBottom w:val="0"/>
      <w:divBdr>
        <w:top w:val="none" w:sz="0" w:space="0" w:color="auto"/>
        <w:left w:val="none" w:sz="0" w:space="0" w:color="auto"/>
        <w:bottom w:val="none" w:sz="0" w:space="0" w:color="auto"/>
        <w:right w:val="none" w:sz="0" w:space="0" w:color="auto"/>
      </w:divBdr>
    </w:div>
    <w:div w:id="1546335617">
      <w:marLeft w:val="0"/>
      <w:marRight w:val="0"/>
      <w:marTop w:val="0"/>
      <w:marBottom w:val="0"/>
      <w:divBdr>
        <w:top w:val="none" w:sz="0" w:space="0" w:color="auto"/>
        <w:left w:val="none" w:sz="0" w:space="0" w:color="auto"/>
        <w:bottom w:val="none" w:sz="0" w:space="0" w:color="auto"/>
        <w:right w:val="none" w:sz="0" w:space="0" w:color="auto"/>
      </w:divBdr>
      <w:divsChild>
        <w:div w:id="1299922884">
          <w:marLeft w:val="0"/>
          <w:marRight w:val="0"/>
          <w:marTop w:val="0"/>
          <w:marBottom w:val="0"/>
          <w:divBdr>
            <w:top w:val="none" w:sz="0" w:space="0" w:color="auto"/>
            <w:left w:val="none" w:sz="0" w:space="0" w:color="auto"/>
            <w:bottom w:val="none" w:sz="0" w:space="0" w:color="auto"/>
            <w:right w:val="none" w:sz="0" w:space="0" w:color="auto"/>
          </w:divBdr>
        </w:div>
      </w:divsChild>
    </w:div>
    <w:div w:id="1546483234">
      <w:marLeft w:val="0"/>
      <w:marRight w:val="0"/>
      <w:marTop w:val="0"/>
      <w:marBottom w:val="0"/>
      <w:divBdr>
        <w:top w:val="none" w:sz="0" w:space="0" w:color="auto"/>
        <w:left w:val="none" w:sz="0" w:space="0" w:color="auto"/>
        <w:bottom w:val="none" w:sz="0" w:space="0" w:color="auto"/>
        <w:right w:val="none" w:sz="0" w:space="0" w:color="auto"/>
      </w:divBdr>
    </w:div>
    <w:div w:id="1548447026">
      <w:marLeft w:val="0"/>
      <w:marRight w:val="0"/>
      <w:marTop w:val="0"/>
      <w:marBottom w:val="0"/>
      <w:divBdr>
        <w:top w:val="none" w:sz="0" w:space="0" w:color="auto"/>
        <w:left w:val="none" w:sz="0" w:space="0" w:color="auto"/>
        <w:bottom w:val="none" w:sz="0" w:space="0" w:color="auto"/>
        <w:right w:val="none" w:sz="0" w:space="0" w:color="auto"/>
      </w:divBdr>
      <w:divsChild>
        <w:div w:id="1836603013">
          <w:marLeft w:val="0"/>
          <w:marRight w:val="0"/>
          <w:marTop w:val="0"/>
          <w:marBottom w:val="0"/>
          <w:divBdr>
            <w:top w:val="none" w:sz="0" w:space="0" w:color="auto"/>
            <w:left w:val="none" w:sz="0" w:space="0" w:color="auto"/>
            <w:bottom w:val="none" w:sz="0" w:space="0" w:color="auto"/>
            <w:right w:val="none" w:sz="0" w:space="0" w:color="auto"/>
          </w:divBdr>
        </w:div>
      </w:divsChild>
    </w:div>
    <w:div w:id="1554271771">
      <w:marLeft w:val="0"/>
      <w:marRight w:val="0"/>
      <w:marTop w:val="120"/>
      <w:marBottom w:val="0"/>
      <w:divBdr>
        <w:top w:val="none" w:sz="0" w:space="0" w:color="auto"/>
        <w:left w:val="none" w:sz="0" w:space="0" w:color="auto"/>
        <w:bottom w:val="none" w:sz="0" w:space="0" w:color="auto"/>
        <w:right w:val="none" w:sz="0" w:space="0" w:color="auto"/>
      </w:divBdr>
    </w:div>
    <w:div w:id="1554389899">
      <w:marLeft w:val="0"/>
      <w:marRight w:val="0"/>
      <w:marTop w:val="120"/>
      <w:marBottom w:val="0"/>
      <w:divBdr>
        <w:top w:val="none" w:sz="0" w:space="0" w:color="auto"/>
        <w:left w:val="none" w:sz="0" w:space="0" w:color="auto"/>
        <w:bottom w:val="none" w:sz="0" w:space="0" w:color="auto"/>
        <w:right w:val="none" w:sz="0" w:space="0" w:color="auto"/>
      </w:divBdr>
    </w:div>
    <w:div w:id="1555657054">
      <w:marLeft w:val="0"/>
      <w:marRight w:val="0"/>
      <w:marTop w:val="200"/>
      <w:marBottom w:val="0"/>
      <w:divBdr>
        <w:top w:val="none" w:sz="0" w:space="0" w:color="auto"/>
        <w:left w:val="none" w:sz="0" w:space="0" w:color="auto"/>
        <w:bottom w:val="none" w:sz="0" w:space="0" w:color="auto"/>
        <w:right w:val="none" w:sz="0" w:space="0" w:color="auto"/>
      </w:divBdr>
    </w:div>
    <w:div w:id="1555852981">
      <w:marLeft w:val="0"/>
      <w:marRight w:val="0"/>
      <w:marTop w:val="120"/>
      <w:marBottom w:val="0"/>
      <w:divBdr>
        <w:top w:val="none" w:sz="0" w:space="0" w:color="auto"/>
        <w:left w:val="none" w:sz="0" w:space="0" w:color="auto"/>
        <w:bottom w:val="none" w:sz="0" w:space="0" w:color="auto"/>
        <w:right w:val="none" w:sz="0" w:space="0" w:color="auto"/>
      </w:divBdr>
    </w:div>
    <w:div w:id="1556430746">
      <w:marLeft w:val="0"/>
      <w:marRight w:val="0"/>
      <w:marTop w:val="120"/>
      <w:marBottom w:val="0"/>
      <w:divBdr>
        <w:top w:val="none" w:sz="0" w:space="0" w:color="auto"/>
        <w:left w:val="none" w:sz="0" w:space="0" w:color="auto"/>
        <w:bottom w:val="none" w:sz="0" w:space="0" w:color="auto"/>
        <w:right w:val="none" w:sz="0" w:space="0" w:color="auto"/>
      </w:divBdr>
    </w:div>
    <w:div w:id="1557203312">
      <w:marLeft w:val="0"/>
      <w:marRight w:val="0"/>
      <w:marTop w:val="120"/>
      <w:marBottom w:val="0"/>
      <w:divBdr>
        <w:top w:val="none" w:sz="0" w:space="0" w:color="auto"/>
        <w:left w:val="none" w:sz="0" w:space="0" w:color="auto"/>
        <w:bottom w:val="none" w:sz="0" w:space="0" w:color="auto"/>
        <w:right w:val="none" w:sz="0" w:space="0" w:color="auto"/>
      </w:divBdr>
    </w:div>
    <w:div w:id="1561288785">
      <w:marLeft w:val="0"/>
      <w:marRight w:val="0"/>
      <w:marTop w:val="100"/>
      <w:marBottom w:val="0"/>
      <w:divBdr>
        <w:top w:val="none" w:sz="0" w:space="0" w:color="auto"/>
        <w:left w:val="none" w:sz="0" w:space="0" w:color="auto"/>
        <w:bottom w:val="none" w:sz="0" w:space="0" w:color="auto"/>
        <w:right w:val="none" w:sz="0" w:space="0" w:color="auto"/>
      </w:divBdr>
      <w:divsChild>
        <w:div w:id="1498963565">
          <w:marLeft w:val="0"/>
          <w:marRight w:val="0"/>
          <w:marTop w:val="0"/>
          <w:marBottom w:val="0"/>
          <w:divBdr>
            <w:top w:val="none" w:sz="0" w:space="0" w:color="auto"/>
            <w:left w:val="none" w:sz="0" w:space="0" w:color="auto"/>
            <w:bottom w:val="none" w:sz="0" w:space="0" w:color="auto"/>
            <w:right w:val="none" w:sz="0" w:space="0" w:color="auto"/>
          </w:divBdr>
        </w:div>
        <w:div w:id="381944098">
          <w:marLeft w:val="0"/>
          <w:marRight w:val="0"/>
          <w:marTop w:val="0"/>
          <w:marBottom w:val="0"/>
          <w:divBdr>
            <w:top w:val="none" w:sz="0" w:space="0" w:color="auto"/>
            <w:left w:val="none" w:sz="0" w:space="0" w:color="auto"/>
            <w:bottom w:val="none" w:sz="0" w:space="0" w:color="auto"/>
            <w:right w:val="none" w:sz="0" w:space="0" w:color="auto"/>
          </w:divBdr>
        </w:div>
        <w:div w:id="71514591">
          <w:marLeft w:val="0"/>
          <w:marRight w:val="0"/>
          <w:marTop w:val="0"/>
          <w:marBottom w:val="0"/>
          <w:divBdr>
            <w:top w:val="none" w:sz="0" w:space="0" w:color="auto"/>
            <w:left w:val="none" w:sz="0" w:space="0" w:color="auto"/>
            <w:bottom w:val="none" w:sz="0" w:space="0" w:color="auto"/>
            <w:right w:val="none" w:sz="0" w:space="0" w:color="auto"/>
          </w:divBdr>
        </w:div>
        <w:div w:id="698118327">
          <w:marLeft w:val="0"/>
          <w:marRight w:val="0"/>
          <w:marTop w:val="0"/>
          <w:marBottom w:val="0"/>
          <w:divBdr>
            <w:top w:val="none" w:sz="0" w:space="0" w:color="auto"/>
            <w:left w:val="none" w:sz="0" w:space="0" w:color="auto"/>
            <w:bottom w:val="none" w:sz="0" w:space="0" w:color="auto"/>
            <w:right w:val="none" w:sz="0" w:space="0" w:color="auto"/>
          </w:divBdr>
        </w:div>
        <w:div w:id="1268390036">
          <w:marLeft w:val="0"/>
          <w:marRight w:val="0"/>
          <w:marTop w:val="0"/>
          <w:marBottom w:val="0"/>
          <w:divBdr>
            <w:top w:val="none" w:sz="0" w:space="0" w:color="auto"/>
            <w:left w:val="none" w:sz="0" w:space="0" w:color="auto"/>
            <w:bottom w:val="none" w:sz="0" w:space="0" w:color="auto"/>
            <w:right w:val="none" w:sz="0" w:space="0" w:color="auto"/>
          </w:divBdr>
        </w:div>
        <w:div w:id="1700006367">
          <w:marLeft w:val="0"/>
          <w:marRight w:val="0"/>
          <w:marTop w:val="0"/>
          <w:marBottom w:val="0"/>
          <w:divBdr>
            <w:top w:val="none" w:sz="0" w:space="0" w:color="auto"/>
            <w:left w:val="none" w:sz="0" w:space="0" w:color="auto"/>
            <w:bottom w:val="none" w:sz="0" w:space="0" w:color="auto"/>
            <w:right w:val="none" w:sz="0" w:space="0" w:color="auto"/>
          </w:divBdr>
        </w:div>
      </w:divsChild>
    </w:div>
    <w:div w:id="1561751202">
      <w:marLeft w:val="0"/>
      <w:marRight w:val="0"/>
      <w:marTop w:val="120"/>
      <w:marBottom w:val="0"/>
      <w:divBdr>
        <w:top w:val="none" w:sz="0" w:space="0" w:color="auto"/>
        <w:left w:val="none" w:sz="0" w:space="0" w:color="auto"/>
        <w:bottom w:val="none" w:sz="0" w:space="0" w:color="auto"/>
        <w:right w:val="none" w:sz="0" w:space="0" w:color="auto"/>
      </w:divBdr>
    </w:div>
    <w:div w:id="1561938030">
      <w:marLeft w:val="0"/>
      <w:marRight w:val="0"/>
      <w:marTop w:val="200"/>
      <w:marBottom w:val="0"/>
      <w:divBdr>
        <w:top w:val="none" w:sz="0" w:space="0" w:color="auto"/>
        <w:left w:val="none" w:sz="0" w:space="0" w:color="auto"/>
        <w:bottom w:val="none" w:sz="0" w:space="0" w:color="auto"/>
        <w:right w:val="none" w:sz="0" w:space="0" w:color="auto"/>
      </w:divBdr>
    </w:div>
    <w:div w:id="1562595573">
      <w:marLeft w:val="0"/>
      <w:marRight w:val="0"/>
      <w:marTop w:val="0"/>
      <w:marBottom w:val="0"/>
      <w:divBdr>
        <w:top w:val="none" w:sz="0" w:space="0" w:color="auto"/>
        <w:left w:val="none" w:sz="0" w:space="0" w:color="auto"/>
        <w:bottom w:val="none" w:sz="0" w:space="0" w:color="auto"/>
        <w:right w:val="none" w:sz="0" w:space="0" w:color="auto"/>
      </w:divBdr>
      <w:divsChild>
        <w:div w:id="3363978">
          <w:marLeft w:val="0"/>
          <w:marRight w:val="0"/>
          <w:marTop w:val="0"/>
          <w:marBottom w:val="0"/>
          <w:divBdr>
            <w:top w:val="none" w:sz="0" w:space="0" w:color="auto"/>
            <w:left w:val="none" w:sz="0" w:space="0" w:color="auto"/>
            <w:bottom w:val="none" w:sz="0" w:space="0" w:color="auto"/>
            <w:right w:val="none" w:sz="0" w:space="0" w:color="auto"/>
          </w:divBdr>
        </w:div>
      </w:divsChild>
    </w:div>
    <w:div w:id="1562670321">
      <w:marLeft w:val="0"/>
      <w:marRight w:val="0"/>
      <w:marTop w:val="0"/>
      <w:marBottom w:val="0"/>
      <w:divBdr>
        <w:top w:val="none" w:sz="0" w:space="0" w:color="auto"/>
        <w:left w:val="none" w:sz="0" w:space="0" w:color="auto"/>
        <w:bottom w:val="none" w:sz="0" w:space="0" w:color="auto"/>
        <w:right w:val="none" w:sz="0" w:space="0" w:color="auto"/>
      </w:divBdr>
      <w:divsChild>
        <w:div w:id="1061442868">
          <w:marLeft w:val="0"/>
          <w:marRight w:val="0"/>
          <w:marTop w:val="0"/>
          <w:marBottom w:val="0"/>
          <w:divBdr>
            <w:top w:val="none" w:sz="0" w:space="0" w:color="auto"/>
            <w:left w:val="none" w:sz="0" w:space="0" w:color="auto"/>
            <w:bottom w:val="none" w:sz="0" w:space="0" w:color="auto"/>
            <w:right w:val="none" w:sz="0" w:space="0" w:color="auto"/>
          </w:divBdr>
        </w:div>
      </w:divsChild>
    </w:div>
    <w:div w:id="1563171529">
      <w:marLeft w:val="0"/>
      <w:marRight w:val="0"/>
      <w:marTop w:val="120"/>
      <w:marBottom w:val="0"/>
      <w:divBdr>
        <w:top w:val="none" w:sz="0" w:space="0" w:color="auto"/>
        <w:left w:val="none" w:sz="0" w:space="0" w:color="auto"/>
        <w:bottom w:val="none" w:sz="0" w:space="0" w:color="auto"/>
        <w:right w:val="none" w:sz="0" w:space="0" w:color="auto"/>
      </w:divBdr>
    </w:div>
    <w:div w:id="1566989896">
      <w:marLeft w:val="0"/>
      <w:marRight w:val="0"/>
      <w:marTop w:val="0"/>
      <w:marBottom w:val="0"/>
      <w:divBdr>
        <w:top w:val="none" w:sz="0" w:space="0" w:color="auto"/>
        <w:left w:val="none" w:sz="0" w:space="0" w:color="auto"/>
        <w:bottom w:val="none" w:sz="0" w:space="0" w:color="auto"/>
        <w:right w:val="none" w:sz="0" w:space="0" w:color="auto"/>
      </w:divBdr>
      <w:divsChild>
        <w:div w:id="1817256221">
          <w:marLeft w:val="0"/>
          <w:marRight w:val="0"/>
          <w:marTop w:val="0"/>
          <w:marBottom w:val="0"/>
          <w:divBdr>
            <w:top w:val="none" w:sz="0" w:space="0" w:color="auto"/>
            <w:left w:val="none" w:sz="0" w:space="0" w:color="auto"/>
            <w:bottom w:val="none" w:sz="0" w:space="0" w:color="auto"/>
            <w:right w:val="none" w:sz="0" w:space="0" w:color="auto"/>
          </w:divBdr>
        </w:div>
      </w:divsChild>
    </w:div>
    <w:div w:id="1567765561">
      <w:marLeft w:val="0"/>
      <w:marRight w:val="0"/>
      <w:marTop w:val="200"/>
      <w:marBottom w:val="0"/>
      <w:divBdr>
        <w:top w:val="none" w:sz="0" w:space="0" w:color="auto"/>
        <w:left w:val="none" w:sz="0" w:space="0" w:color="auto"/>
        <w:bottom w:val="none" w:sz="0" w:space="0" w:color="auto"/>
        <w:right w:val="none" w:sz="0" w:space="0" w:color="auto"/>
      </w:divBdr>
    </w:div>
    <w:div w:id="1568343944">
      <w:marLeft w:val="0"/>
      <w:marRight w:val="0"/>
      <w:marTop w:val="200"/>
      <w:marBottom w:val="0"/>
      <w:divBdr>
        <w:top w:val="none" w:sz="0" w:space="0" w:color="auto"/>
        <w:left w:val="none" w:sz="0" w:space="0" w:color="auto"/>
        <w:bottom w:val="none" w:sz="0" w:space="0" w:color="auto"/>
        <w:right w:val="none" w:sz="0" w:space="0" w:color="auto"/>
      </w:divBdr>
    </w:div>
    <w:div w:id="1568607743">
      <w:marLeft w:val="0"/>
      <w:marRight w:val="0"/>
      <w:marTop w:val="120"/>
      <w:marBottom w:val="0"/>
      <w:divBdr>
        <w:top w:val="none" w:sz="0" w:space="0" w:color="auto"/>
        <w:left w:val="none" w:sz="0" w:space="0" w:color="auto"/>
        <w:bottom w:val="none" w:sz="0" w:space="0" w:color="auto"/>
        <w:right w:val="none" w:sz="0" w:space="0" w:color="auto"/>
      </w:divBdr>
    </w:div>
    <w:div w:id="1569223613">
      <w:marLeft w:val="0"/>
      <w:marRight w:val="0"/>
      <w:marTop w:val="0"/>
      <w:marBottom w:val="0"/>
      <w:divBdr>
        <w:top w:val="none" w:sz="0" w:space="0" w:color="auto"/>
        <w:left w:val="none" w:sz="0" w:space="0" w:color="auto"/>
        <w:bottom w:val="none" w:sz="0" w:space="0" w:color="auto"/>
        <w:right w:val="none" w:sz="0" w:space="0" w:color="auto"/>
      </w:divBdr>
    </w:div>
    <w:div w:id="1569336893">
      <w:marLeft w:val="0"/>
      <w:marRight w:val="0"/>
      <w:marTop w:val="120"/>
      <w:marBottom w:val="0"/>
      <w:divBdr>
        <w:top w:val="none" w:sz="0" w:space="0" w:color="auto"/>
        <w:left w:val="none" w:sz="0" w:space="0" w:color="auto"/>
        <w:bottom w:val="none" w:sz="0" w:space="0" w:color="auto"/>
        <w:right w:val="none" w:sz="0" w:space="0" w:color="auto"/>
      </w:divBdr>
    </w:div>
    <w:div w:id="1569418164">
      <w:marLeft w:val="0"/>
      <w:marRight w:val="0"/>
      <w:marTop w:val="200"/>
      <w:marBottom w:val="0"/>
      <w:divBdr>
        <w:top w:val="none" w:sz="0" w:space="0" w:color="auto"/>
        <w:left w:val="none" w:sz="0" w:space="0" w:color="auto"/>
        <w:bottom w:val="none" w:sz="0" w:space="0" w:color="auto"/>
        <w:right w:val="none" w:sz="0" w:space="0" w:color="auto"/>
      </w:divBdr>
    </w:div>
    <w:div w:id="1569653257">
      <w:marLeft w:val="0"/>
      <w:marRight w:val="0"/>
      <w:marTop w:val="120"/>
      <w:marBottom w:val="0"/>
      <w:divBdr>
        <w:top w:val="none" w:sz="0" w:space="0" w:color="auto"/>
        <w:left w:val="none" w:sz="0" w:space="0" w:color="auto"/>
        <w:bottom w:val="none" w:sz="0" w:space="0" w:color="auto"/>
        <w:right w:val="none" w:sz="0" w:space="0" w:color="auto"/>
      </w:divBdr>
    </w:div>
    <w:div w:id="1569918630">
      <w:marLeft w:val="0"/>
      <w:marRight w:val="0"/>
      <w:marTop w:val="120"/>
      <w:marBottom w:val="0"/>
      <w:divBdr>
        <w:top w:val="none" w:sz="0" w:space="0" w:color="auto"/>
        <w:left w:val="none" w:sz="0" w:space="0" w:color="auto"/>
        <w:bottom w:val="none" w:sz="0" w:space="0" w:color="auto"/>
        <w:right w:val="none" w:sz="0" w:space="0" w:color="auto"/>
      </w:divBdr>
    </w:div>
    <w:div w:id="1570385596">
      <w:marLeft w:val="0"/>
      <w:marRight w:val="0"/>
      <w:marTop w:val="100"/>
      <w:marBottom w:val="0"/>
      <w:divBdr>
        <w:top w:val="none" w:sz="0" w:space="0" w:color="auto"/>
        <w:left w:val="none" w:sz="0" w:space="0" w:color="auto"/>
        <w:bottom w:val="none" w:sz="0" w:space="0" w:color="auto"/>
        <w:right w:val="none" w:sz="0" w:space="0" w:color="auto"/>
      </w:divBdr>
    </w:div>
    <w:div w:id="1570387579">
      <w:marLeft w:val="0"/>
      <w:marRight w:val="0"/>
      <w:marTop w:val="120"/>
      <w:marBottom w:val="0"/>
      <w:divBdr>
        <w:top w:val="none" w:sz="0" w:space="0" w:color="auto"/>
        <w:left w:val="none" w:sz="0" w:space="0" w:color="auto"/>
        <w:bottom w:val="none" w:sz="0" w:space="0" w:color="auto"/>
        <w:right w:val="none" w:sz="0" w:space="0" w:color="auto"/>
      </w:divBdr>
    </w:div>
    <w:div w:id="1570654677">
      <w:marLeft w:val="0"/>
      <w:marRight w:val="0"/>
      <w:marTop w:val="120"/>
      <w:marBottom w:val="0"/>
      <w:divBdr>
        <w:top w:val="none" w:sz="0" w:space="0" w:color="auto"/>
        <w:left w:val="none" w:sz="0" w:space="0" w:color="auto"/>
        <w:bottom w:val="none" w:sz="0" w:space="0" w:color="auto"/>
        <w:right w:val="none" w:sz="0" w:space="0" w:color="auto"/>
      </w:divBdr>
    </w:div>
    <w:div w:id="1574853903">
      <w:marLeft w:val="0"/>
      <w:marRight w:val="0"/>
      <w:marTop w:val="200"/>
      <w:marBottom w:val="0"/>
      <w:divBdr>
        <w:top w:val="none" w:sz="0" w:space="0" w:color="auto"/>
        <w:left w:val="none" w:sz="0" w:space="0" w:color="auto"/>
        <w:bottom w:val="none" w:sz="0" w:space="0" w:color="auto"/>
        <w:right w:val="none" w:sz="0" w:space="0" w:color="auto"/>
      </w:divBdr>
    </w:div>
    <w:div w:id="1575241939">
      <w:marLeft w:val="0"/>
      <w:marRight w:val="0"/>
      <w:marTop w:val="120"/>
      <w:marBottom w:val="0"/>
      <w:divBdr>
        <w:top w:val="none" w:sz="0" w:space="0" w:color="auto"/>
        <w:left w:val="none" w:sz="0" w:space="0" w:color="auto"/>
        <w:bottom w:val="none" w:sz="0" w:space="0" w:color="auto"/>
        <w:right w:val="none" w:sz="0" w:space="0" w:color="auto"/>
      </w:divBdr>
    </w:div>
    <w:div w:id="1577859055">
      <w:marLeft w:val="0"/>
      <w:marRight w:val="0"/>
      <w:marTop w:val="200"/>
      <w:marBottom w:val="0"/>
      <w:divBdr>
        <w:top w:val="none" w:sz="0" w:space="0" w:color="auto"/>
        <w:left w:val="none" w:sz="0" w:space="0" w:color="auto"/>
        <w:bottom w:val="none" w:sz="0" w:space="0" w:color="auto"/>
        <w:right w:val="none" w:sz="0" w:space="0" w:color="auto"/>
      </w:divBdr>
    </w:div>
    <w:div w:id="1577980824">
      <w:marLeft w:val="0"/>
      <w:marRight w:val="0"/>
      <w:marTop w:val="100"/>
      <w:marBottom w:val="0"/>
      <w:divBdr>
        <w:top w:val="none" w:sz="0" w:space="0" w:color="auto"/>
        <w:left w:val="none" w:sz="0" w:space="0" w:color="auto"/>
        <w:bottom w:val="none" w:sz="0" w:space="0" w:color="auto"/>
        <w:right w:val="none" w:sz="0" w:space="0" w:color="auto"/>
      </w:divBdr>
    </w:div>
    <w:div w:id="1578202722">
      <w:marLeft w:val="0"/>
      <w:marRight w:val="0"/>
      <w:marTop w:val="200"/>
      <w:marBottom w:val="0"/>
      <w:divBdr>
        <w:top w:val="none" w:sz="0" w:space="0" w:color="auto"/>
        <w:left w:val="none" w:sz="0" w:space="0" w:color="auto"/>
        <w:bottom w:val="none" w:sz="0" w:space="0" w:color="auto"/>
        <w:right w:val="none" w:sz="0" w:space="0" w:color="auto"/>
      </w:divBdr>
    </w:div>
    <w:div w:id="1578320832">
      <w:marLeft w:val="0"/>
      <w:marRight w:val="0"/>
      <w:marTop w:val="120"/>
      <w:marBottom w:val="0"/>
      <w:divBdr>
        <w:top w:val="none" w:sz="0" w:space="0" w:color="auto"/>
        <w:left w:val="none" w:sz="0" w:space="0" w:color="auto"/>
        <w:bottom w:val="none" w:sz="0" w:space="0" w:color="auto"/>
        <w:right w:val="none" w:sz="0" w:space="0" w:color="auto"/>
      </w:divBdr>
    </w:div>
    <w:div w:id="1578519680">
      <w:marLeft w:val="0"/>
      <w:marRight w:val="0"/>
      <w:marTop w:val="0"/>
      <w:marBottom w:val="0"/>
      <w:divBdr>
        <w:top w:val="none" w:sz="0" w:space="0" w:color="auto"/>
        <w:left w:val="none" w:sz="0" w:space="0" w:color="auto"/>
        <w:bottom w:val="none" w:sz="0" w:space="0" w:color="auto"/>
        <w:right w:val="none" w:sz="0" w:space="0" w:color="auto"/>
      </w:divBdr>
    </w:div>
    <w:div w:id="1580141125">
      <w:marLeft w:val="0"/>
      <w:marRight w:val="0"/>
      <w:marTop w:val="120"/>
      <w:marBottom w:val="0"/>
      <w:divBdr>
        <w:top w:val="none" w:sz="0" w:space="0" w:color="auto"/>
        <w:left w:val="none" w:sz="0" w:space="0" w:color="auto"/>
        <w:bottom w:val="none" w:sz="0" w:space="0" w:color="auto"/>
        <w:right w:val="none" w:sz="0" w:space="0" w:color="auto"/>
      </w:divBdr>
    </w:div>
    <w:div w:id="1580943572">
      <w:marLeft w:val="0"/>
      <w:marRight w:val="0"/>
      <w:marTop w:val="200"/>
      <w:marBottom w:val="0"/>
      <w:divBdr>
        <w:top w:val="none" w:sz="0" w:space="0" w:color="auto"/>
        <w:left w:val="none" w:sz="0" w:space="0" w:color="auto"/>
        <w:bottom w:val="none" w:sz="0" w:space="0" w:color="auto"/>
        <w:right w:val="none" w:sz="0" w:space="0" w:color="auto"/>
      </w:divBdr>
    </w:div>
    <w:div w:id="1581671379">
      <w:marLeft w:val="0"/>
      <w:marRight w:val="0"/>
      <w:marTop w:val="0"/>
      <w:marBottom w:val="0"/>
      <w:divBdr>
        <w:top w:val="none" w:sz="0" w:space="0" w:color="auto"/>
        <w:left w:val="none" w:sz="0" w:space="0" w:color="auto"/>
        <w:bottom w:val="none" w:sz="0" w:space="0" w:color="auto"/>
        <w:right w:val="none" w:sz="0" w:space="0" w:color="auto"/>
      </w:divBdr>
      <w:divsChild>
        <w:div w:id="1024944361">
          <w:marLeft w:val="0"/>
          <w:marRight w:val="0"/>
          <w:marTop w:val="0"/>
          <w:marBottom w:val="0"/>
          <w:divBdr>
            <w:top w:val="none" w:sz="0" w:space="0" w:color="auto"/>
            <w:left w:val="none" w:sz="0" w:space="0" w:color="auto"/>
            <w:bottom w:val="none" w:sz="0" w:space="0" w:color="auto"/>
            <w:right w:val="none" w:sz="0" w:space="0" w:color="auto"/>
          </w:divBdr>
        </w:div>
      </w:divsChild>
    </w:div>
    <w:div w:id="1586068959">
      <w:marLeft w:val="0"/>
      <w:marRight w:val="0"/>
      <w:marTop w:val="200"/>
      <w:marBottom w:val="0"/>
      <w:divBdr>
        <w:top w:val="none" w:sz="0" w:space="0" w:color="auto"/>
        <w:left w:val="none" w:sz="0" w:space="0" w:color="auto"/>
        <w:bottom w:val="none" w:sz="0" w:space="0" w:color="auto"/>
        <w:right w:val="none" w:sz="0" w:space="0" w:color="auto"/>
      </w:divBdr>
    </w:div>
    <w:div w:id="1586305572">
      <w:marLeft w:val="0"/>
      <w:marRight w:val="0"/>
      <w:marTop w:val="120"/>
      <w:marBottom w:val="0"/>
      <w:divBdr>
        <w:top w:val="none" w:sz="0" w:space="0" w:color="auto"/>
        <w:left w:val="none" w:sz="0" w:space="0" w:color="auto"/>
        <w:bottom w:val="none" w:sz="0" w:space="0" w:color="auto"/>
        <w:right w:val="none" w:sz="0" w:space="0" w:color="auto"/>
      </w:divBdr>
    </w:div>
    <w:div w:id="1586723204">
      <w:marLeft w:val="0"/>
      <w:marRight w:val="0"/>
      <w:marTop w:val="120"/>
      <w:marBottom w:val="0"/>
      <w:divBdr>
        <w:top w:val="none" w:sz="0" w:space="0" w:color="auto"/>
        <w:left w:val="none" w:sz="0" w:space="0" w:color="auto"/>
        <w:bottom w:val="none" w:sz="0" w:space="0" w:color="auto"/>
        <w:right w:val="none" w:sz="0" w:space="0" w:color="auto"/>
      </w:divBdr>
    </w:div>
    <w:div w:id="1588541991">
      <w:marLeft w:val="0"/>
      <w:marRight w:val="0"/>
      <w:marTop w:val="120"/>
      <w:marBottom w:val="0"/>
      <w:divBdr>
        <w:top w:val="none" w:sz="0" w:space="0" w:color="auto"/>
        <w:left w:val="none" w:sz="0" w:space="0" w:color="auto"/>
        <w:bottom w:val="none" w:sz="0" w:space="0" w:color="auto"/>
        <w:right w:val="none" w:sz="0" w:space="0" w:color="auto"/>
      </w:divBdr>
    </w:div>
    <w:div w:id="1589463013">
      <w:marLeft w:val="0"/>
      <w:marRight w:val="0"/>
      <w:marTop w:val="200"/>
      <w:marBottom w:val="0"/>
      <w:divBdr>
        <w:top w:val="none" w:sz="0" w:space="0" w:color="auto"/>
        <w:left w:val="none" w:sz="0" w:space="0" w:color="auto"/>
        <w:bottom w:val="none" w:sz="0" w:space="0" w:color="auto"/>
        <w:right w:val="none" w:sz="0" w:space="0" w:color="auto"/>
      </w:divBdr>
    </w:div>
    <w:div w:id="1590307759">
      <w:marLeft w:val="0"/>
      <w:marRight w:val="0"/>
      <w:marTop w:val="120"/>
      <w:marBottom w:val="0"/>
      <w:divBdr>
        <w:top w:val="none" w:sz="0" w:space="0" w:color="auto"/>
        <w:left w:val="none" w:sz="0" w:space="0" w:color="auto"/>
        <w:bottom w:val="none" w:sz="0" w:space="0" w:color="auto"/>
        <w:right w:val="none" w:sz="0" w:space="0" w:color="auto"/>
      </w:divBdr>
    </w:div>
    <w:div w:id="1590624530">
      <w:marLeft w:val="0"/>
      <w:marRight w:val="0"/>
      <w:marTop w:val="60"/>
      <w:marBottom w:val="0"/>
      <w:divBdr>
        <w:top w:val="none" w:sz="0" w:space="0" w:color="auto"/>
        <w:left w:val="none" w:sz="0" w:space="0" w:color="auto"/>
        <w:bottom w:val="none" w:sz="0" w:space="0" w:color="auto"/>
        <w:right w:val="none" w:sz="0" w:space="0" w:color="auto"/>
      </w:divBdr>
    </w:div>
    <w:div w:id="1590844649">
      <w:marLeft w:val="0"/>
      <w:marRight w:val="0"/>
      <w:marTop w:val="120"/>
      <w:marBottom w:val="0"/>
      <w:divBdr>
        <w:top w:val="none" w:sz="0" w:space="0" w:color="auto"/>
        <w:left w:val="none" w:sz="0" w:space="0" w:color="auto"/>
        <w:bottom w:val="none" w:sz="0" w:space="0" w:color="auto"/>
        <w:right w:val="none" w:sz="0" w:space="0" w:color="auto"/>
      </w:divBdr>
    </w:div>
    <w:div w:id="1590895119">
      <w:marLeft w:val="0"/>
      <w:marRight w:val="0"/>
      <w:marTop w:val="0"/>
      <w:marBottom w:val="0"/>
      <w:divBdr>
        <w:top w:val="none" w:sz="0" w:space="0" w:color="auto"/>
        <w:left w:val="none" w:sz="0" w:space="0" w:color="auto"/>
        <w:bottom w:val="none" w:sz="0" w:space="0" w:color="auto"/>
        <w:right w:val="none" w:sz="0" w:space="0" w:color="auto"/>
      </w:divBdr>
      <w:divsChild>
        <w:div w:id="1966153899">
          <w:marLeft w:val="0"/>
          <w:marRight w:val="0"/>
          <w:marTop w:val="0"/>
          <w:marBottom w:val="0"/>
          <w:divBdr>
            <w:top w:val="none" w:sz="0" w:space="0" w:color="auto"/>
            <w:left w:val="none" w:sz="0" w:space="0" w:color="auto"/>
            <w:bottom w:val="none" w:sz="0" w:space="0" w:color="auto"/>
            <w:right w:val="none" w:sz="0" w:space="0" w:color="auto"/>
          </w:divBdr>
        </w:div>
      </w:divsChild>
    </w:div>
    <w:div w:id="1591769491">
      <w:marLeft w:val="0"/>
      <w:marRight w:val="0"/>
      <w:marTop w:val="120"/>
      <w:marBottom w:val="0"/>
      <w:divBdr>
        <w:top w:val="none" w:sz="0" w:space="0" w:color="auto"/>
        <w:left w:val="none" w:sz="0" w:space="0" w:color="auto"/>
        <w:bottom w:val="none" w:sz="0" w:space="0" w:color="auto"/>
        <w:right w:val="none" w:sz="0" w:space="0" w:color="auto"/>
      </w:divBdr>
    </w:div>
    <w:div w:id="1594974074">
      <w:marLeft w:val="0"/>
      <w:marRight w:val="0"/>
      <w:marTop w:val="0"/>
      <w:marBottom w:val="0"/>
      <w:divBdr>
        <w:top w:val="none" w:sz="0" w:space="0" w:color="auto"/>
        <w:left w:val="none" w:sz="0" w:space="0" w:color="auto"/>
        <w:bottom w:val="none" w:sz="0" w:space="0" w:color="auto"/>
        <w:right w:val="none" w:sz="0" w:space="0" w:color="auto"/>
      </w:divBdr>
      <w:divsChild>
        <w:div w:id="344746487">
          <w:marLeft w:val="0"/>
          <w:marRight w:val="0"/>
          <w:marTop w:val="0"/>
          <w:marBottom w:val="0"/>
          <w:divBdr>
            <w:top w:val="none" w:sz="0" w:space="0" w:color="auto"/>
            <w:left w:val="none" w:sz="0" w:space="0" w:color="auto"/>
            <w:bottom w:val="none" w:sz="0" w:space="0" w:color="auto"/>
            <w:right w:val="none" w:sz="0" w:space="0" w:color="auto"/>
          </w:divBdr>
        </w:div>
      </w:divsChild>
    </w:div>
    <w:div w:id="1596160885">
      <w:marLeft w:val="0"/>
      <w:marRight w:val="0"/>
      <w:marTop w:val="120"/>
      <w:marBottom w:val="0"/>
      <w:divBdr>
        <w:top w:val="none" w:sz="0" w:space="0" w:color="auto"/>
        <w:left w:val="none" w:sz="0" w:space="0" w:color="auto"/>
        <w:bottom w:val="none" w:sz="0" w:space="0" w:color="auto"/>
        <w:right w:val="none" w:sz="0" w:space="0" w:color="auto"/>
      </w:divBdr>
    </w:div>
    <w:div w:id="1600874030">
      <w:marLeft w:val="0"/>
      <w:marRight w:val="0"/>
      <w:marTop w:val="120"/>
      <w:marBottom w:val="0"/>
      <w:divBdr>
        <w:top w:val="none" w:sz="0" w:space="0" w:color="auto"/>
        <w:left w:val="none" w:sz="0" w:space="0" w:color="auto"/>
        <w:bottom w:val="none" w:sz="0" w:space="0" w:color="auto"/>
        <w:right w:val="none" w:sz="0" w:space="0" w:color="auto"/>
      </w:divBdr>
    </w:div>
    <w:div w:id="1601336564">
      <w:marLeft w:val="0"/>
      <w:marRight w:val="0"/>
      <w:marTop w:val="0"/>
      <w:marBottom w:val="0"/>
      <w:divBdr>
        <w:top w:val="none" w:sz="0" w:space="0" w:color="auto"/>
        <w:left w:val="none" w:sz="0" w:space="0" w:color="auto"/>
        <w:bottom w:val="none" w:sz="0" w:space="0" w:color="auto"/>
        <w:right w:val="none" w:sz="0" w:space="0" w:color="auto"/>
      </w:divBdr>
      <w:divsChild>
        <w:div w:id="870072580">
          <w:marLeft w:val="0"/>
          <w:marRight w:val="0"/>
          <w:marTop w:val="0"/>
          <w:marBottom w:val="0"/>
          <w:divBdr>
            <w:top w:val="none" w:sz="0" w:space="0" w:color="auto"/>
            <w:left w:val="none" w:sz="0" w:space="0" w:color="auto"/>
            <w:bottom w:val="none" w:sz="0" w:space="0" w:color="auto"/>
            <w:right w:val="none" w:sz="0" w:space="0" w:color="auto"/>
          </w:divBdr>
        </w:div>
      </w:divsChild>
    </w:div>
    <w:div w:id="1601715489">
      <w:marLeft w:val="0"/>
      <w:marRight w:val="0"/>
      <w:marTop w:val="120"/>
      <w:marBottom w:val="0"/>
      <w:divBdr>
        <w:top w:val="none" w:sz="0" w:space="0" w:color="auto"/>
        <w:left w:val="none" w:sz="0" w:space="0" w:color="auto"/>
        <w:bottom w:val="none" w:sz="0" w:space="0" w:color="auto"/>
        <w:right w:val="none" w:sz="0" w:space="0" w:color="auto"/>
      </w:divBdr>
    </w:div>
    <w:div w:id="1602563223">
      <w:marLeft w:val="0"/>
      <w:marRight w:val="0"/>
      <w:marTop w:val="120"/>
      <w:marBottom w:val="0"/>
      <w:divBdr>
        <w:top w:val="none" w:sz="0" w:space="0" w:color="auto"/>
        <w:left w:val="none" w:sz="0" w:space="0" w:color="auto"/>
        <w:bottom w:val="none" w:sz="0" w:space="0" w:color="auto"/>
        <w:right w:val="none" w:sz="0" w:space="0" w:color="auto"/>
      </w:divBdr>
    </w:div>
    <w:div w:id="1603878902">
      <w:marLeft w:val="0"/>
      <w:marRight w:val="0"/>
      <w:marTop w:val="200"/>
      <w:marBottom w:val="0"/>
      <w:divBdr>
        <w:top w:val="none" w:sz="0" w:space="0" w:color="auto"/>
        <w:left w:val="none" w:sz="0" w:space="0" w:color="auto"/>
        <w:bottom w:val="none" w:sz="0" w:space="0" w:color="auto"/>
        <w:right w:val="none" w:sz="0" w:space="0" w:color="auto"/>
      </w:divBdr>
    </w:div>
    <w:div w:id="1608656486">
      <w:marLeft w:val="0"/>
      <w:marRight w:val="0"/>
      <w:marTop w:val="120"/>
      <w:marBottom w:val="0"/>
      <w:divBdr>
        <w:top w:val="none" w:sz="0" w:space="0" w:color="auto"/>
        <w:left w:val="none" w:sz="0" w:space="0" w:color="auto"/>
        <w:bottom w:val="none" w:sz="0" w:space="0" w:color="auto"/>
        <w:right w:val="none" w:sz="0" w:space="0" w:color="auto"/>
      </w:divBdr>
    </w:div>
    <w:div w:id="1611352632">
      <w:marLeft w:val="0"/>
      <w:marRight w:val="0"/>
      <w:marTop w:val="0"/>
      <w:marBottom w:val="0"/>
      <w:divBdr>
        <w:top w:val="none" w:sz="0" w:space="0" w:color="auto"/>
        <w:left w:val="none" w:sz="0" w:space="0" w:color="auto"/>
        <w:bottom w:val="none" w:sz="0" w:space="0" w:color="auto"/>
        <w:right w:val="none" w:sz="0" w:space="0" w:color="auto"/>
      </w:divBdr>
      <w:divsChild>
        <w:div w:id="1732997944">
          <w:marLeft w:val="0"/>
          <w:marRight w:val="0"/>
          <w:marTop w:val="0"/>
          <w:marBottom w:val="0"/>
          <w:divBdr>
            <w:top w:val="none" w:sz="0" w:space="0" w:color="auto"/>
            <w:left w:val="none" w:sz="0" w:space="0" w:color="auto"/>
            <w:bottom w:val="none" w:sz="0" w:space="0" w:color="auto"/>
            <w:right w:val="none" w:sz="0" w:space="0" w:color="auto"/>
          </w:divBdr>
        </w:div>
      </w:divsChild>
    </w:div>
    <w:div w:id="1612322610">
      <w:marLeft w:val="0"/>
      <w:marRight w:val="0"/>
      <w:marTop w:val="120"/>
      <w:marBottom w:val="0"/>
      <w:divBdr>
        <w:top w:val="none" w:sz="0" w:space="0" w:color="auto"/>
        <w:left w:val="none" w:sz="0" w:space="0" w:color="auto"/>
        <w:bottom w:val="none" w:sz="0" w:space="0" w:color="auto"/>
        <w:right w:val="none" w:sz="0" w:space="0" w:color="auto"/>
      </w:divBdr>
    </w:div>
    <w:div w:id="1616255839">
      <w:marLeft w:val="0"/>
      <w:marRight w:val="0"/>
      <w:marTop w:val="0"/>
      <w:marBottom w:val="0"/>
      <w:divBdr>
        <w:top w:val="none" w:sz="0" w:space="0" w:color="auto"/>
        <w:left w:val="none" w:sz="0" w:space="0" w:color="auto"/>
        <w:bottom w:val="none" w:sz="0" w:space="0" w:color="auto"/>
        <w:right w:val="none" w:sz="0" w:space="0" w:color="auto"/>
      </w:divBdr>
      <w:divsChild>
        <w:div w:id="2038308148">
          <w:marLeft w:val="0"/>
          <w:marRight w:val="0"/>
          <w:marTop w:val="0"/>
          <w:marBottom w:val="0"/>
          <w:divBdr>
            <w:top w:val="none" w:sz="0" w:space="0" w:color="auto"/>
            <w:left w:val="none" w:sz="0" w:space="0" w:color="auto"/>
            <w:bottom w:val="none" w:sz="0" w:space="0" w:color="auto"/>
            <w:right w:val="none" w:sz="0" w:space="0" w:color="auto"/>
          </w:divBdr>
        </w:div>
      </w:divsChild>
    </w:div>
    <w:div w:id="1616328771">
      <w:marLeft w:val="0"/>
      <w:marRight w:val="0"/>
      <w:marTop w:val="200"/>
      <w:marBottom w:val="0"/>
      <w:divBdr>
        <w:top w:val="none" w:sz="0" w:space="0" w:color="auto"/>
        <w:left w:val="none" w:sz="0" w:space="0" w:color="auto"/>
        <w:bottom w:val="none" w:sz="0" w:space="0" w:color="auto"/>
        <w:right w:val="none" w:sz="0" w:space="0" w:color="auto"/>
      </w:divBdr>
    </w:div>
    <w:div w:id="1619143655">
      <w:marLeft w:val="0"/>
      <w:marRight w:val="0"/>
      <w:marTop w:val="120"/>
      <w:marBottom w:val="0"/>
      <w:divBdr>
        <w:top w:val="none" w:sz="0" w:space="0" w:color="auto"/>
        <w:left w:val="none" w:sz="0" w:space="0" w:color="auto"/>
        <w:bottom w:val="none" w:sz="0" w:space="0" w:color="auto"/>
        <w:right w:val="none" w:sz="0" w:space="0" w:color="auto"/>
      </w:divBdr>
    </w:div>
    <w:div w:id="1619951379">
      <w:marLeft w:val="0"/>
      <w:marRight w:val="0"/>
      <w:marTop w:val="120"/>
      <w:marBottom w:val="0"/>
      <w:divBdr>
        <w:top w:val="none" w:sz="0" w:space="0" w:color="auto"/>
        <w:left w:val="none" w:sz="0" w:space="0" w:color="auto"/>
        <w:bottom w:val="none" w:sz="0" w:space="0" w:color="auto"/>
        <w:right w:val="none" w:sz="0" w:space="0" w:color="auto"/>
      </w:divBdr>
    </w:div>
    <w:div w:id="1619993316">
      <w:marLeft w:val="0"/>
      <w:marRight w:val="0"/>
      <w:marTop w:val="60"/>
      <w:marBottom w:val="0"/>
      <w:divBdr>
        <w:top w:val="none" w:sz="0" w:space="0" w:color="auto"/>
        <w:left w:val="none" w:sz="0" w:space="0" w:color="auto"/>
        <w:bottom w:val="none" w:sz="0" w:space="0" w:color="auto"/>
        <w:right w:val="none" w:sz="0" w:space="0" w:color="auto"/>
      </w:divBdr>
    </w:div>
    <w:div w:id="1621689641">
      <w:marLeft w:val="0"/>
      <w:marRight w:val="0"/>
      <w:marTop w:val="120"/>
      <w:marBottom w:val="0"/>
      <w:divBdr>
        <w:top w:val="none" w:sz="0" w:space="0" w:color="auto"/>
        <w:left w:val="none" w:sz="0" w:space="0" w:color="auto"/>
        <w:bottom w:val="none" w:sz="0" w:space="0" w:color="auto"/>
        <w:right w:val="none" w:sz="0" w:space="0" w:color="auto"/>
      </w:divBdr>
    </w:div>
    <w:div w:id="1623465162">
      <w:marLeft w:val="0"/>
      <w:marRight w:val="0"/>
      <w:marTop w:val="120"/>
      <w:marBottom w:val="0"/>
      <w:divBdr>
        <w:top w:val="none" w:sz="0" w:space="0" w:color="auto"/>
        <w:left w:val="none" w:sz="0" w:space="0" w:color="auto"/>
        <w:bottom w:val="none" w:sz="0" w:space="0" w:color="auto"/>
        <w:right w:val="none" w:sz="0" w:space="0" w:color="auto"/>
      </w:divBdr>
    </w:div>
    <w:div w:id="1623728638">
      <w:marLeft w:val="0"/>
      <w:marRight w:val="0"/>
      <w:marTop w:val="120"/>
      <w:marBottom w:val="0"/>
      <w:divBdr>
        <w:top w:val="none" w:sz="0" w:space="0" w:color="auto"/>
        <w:left w:val="none" w:sz="0" w:space="0" w:color="auto"/>
        <w:bottom w:val="none" w:sz="0" w:space="0" w:color="auto"/>
        <w:right w:val="none" w:sz="0" w:space="0" w:color="auto"/>
      </w:divBdr>
    </w:div>
    <w:div w:id="1623922588">
      <w:marLeft w:val="0"/>
      <w:marRight w:val="0"/>
      <w:marTop w:val="200"/>
      <w:marBottom w:val="0"/>
      <w:divBdr>
        <w:top w:val="none" w:sz="0" w:space="0" w:color="auto"/>
        <w:left w:val="none" w:sz="0" w:space="0" w:color="auto"/>
        <w:bottom w:val="none" w:sz="0" w:space="0" w:color="auto"/>
        <w:right w:val="none" w:sz="0" w:space="0" w:color="auto"/>
      </w:divBdr>
    </w:div>
    <w:div w:id="1624143922">
      <w:marLeft w:val="0"/>
      <w:marRight w:val="0"/>
      <w:marTop w:val="120"/>
      <w:marBottom w:val="0"/>
      <w:divBdr>
        <w:top w:val="none" w:sz="0" w:space="0" w:color="auto"/>
        <w:left w:val="none" w:sz="0" w:space="0" w:color="auto"/>
        <w:bottom w:val="none" w:sz="0" w:space="0" w:color="auto"/>
        <w:right w:val="none" w:sz="0" w:space="0" w:color="auto"/>
      </w:divBdr>
    </w:div>
    <w:div w:id="1624340539">
      <w:marLeft w:val="0"/>
      <w:marRight w:val="0"/>
      <w:marTop w:val="120"/>
      <w:marBottom w:val="0"/>
      <w:divBdr>
        <w:top w:val="none" w:sz="0" w:space="0" w:color="auto"/>
        <w:left w:val="none" w:sz="0" w:space="0" w:color="auto"/>
        <w:bottom w:val="none" w:sz="0" w:space="0" w:color="auto"/>
        <w:right w:val="none" w:sz="0" w:space="0" w:color="auto"/>
      </w:divBdr>
    </w:div>
    <w:div w:id="1625304165">
      <w:marLeft w:val="0"/>
      <w:marRight w:val="0"/>
      <w:marTop w:val="120"/>
      <w:marBottom w:val="0"/>
      <w:divBdr>
        <w:top w:val="none" w:sz="0" w:space="0" w:color="auto"/>
        <w:left w:val="none" w:sz="0" w:space="0" w:color="auto"/>
        <w:bottom w:val="none" w:sz="0" w:space="0" w:color="auto"/>
        <w:right w:val="none" w:sz="0" w:space="0" w:color="auto"/>
      </w:divBdr>
    </w:div>
    <w:div w:id="1625648648">
      <w:marLeft w:val="0"/>
      <w:marRight w:val="0"/>
      <w:marTop w:val="120"/>
      <w:marBottom w:val="0"/>
      <w:divBdr>
        <w:top w:val="none" w:sz="0" w:space="0" w:color="auto"/>
        <w:left w:val="none" w:sz="0" w:space="0" w:color="auto"/>
        <w:bottom w:val="none" w:sz="0" w:space="0" w:color="auto"/>
        <w:right w:val="none" w:sz="0" w:space="0" w:color="auto"/>
      </w:divBdr>
    </w:div>
    <w:div w:id="1626546585">
      <w:marLeft w:val="0"/>
      <w:marRight w:val="0"/>
      <w:marTop w:val="200"/>
      <w:marBottom w:val="0"/>
      <w:divBdr>
        <w:top w:val="none" w:sz="0" w:space="0" w:color="auto"/>
        <w:left w:val="none" w:sz="0" w:space="0" w:color="auto"/>
        <w:bottom w:val="none" w:sz="0" w:space="0" w:color="auto"/>
        <w:right w:val="none" w:sz="0" w:space="0" w:color="auto"/>
      </w:divBdr>
    </w:div>
    <w:div w:id="1626765526">
      <w:marLeft w:val="0"/>
      <w:marRight w:val="0"/>
      <w:marTop w:val="200"/>
      <w:marBottom w:val="0"/>
      <w:divBdr>
        <w:top w:val="none" w:sz="0" w:space="0" w:color="auto"/>
        <w:left w:val="none" w:sz="0" w:space="0" w:color="auto"/>
        <w:bottom w:val="none" w:sz="0" w:space="0" w:color="auto"/>
        <w:right w:val="none" w:sz="0" w:space="0" w:color="auto"/>
      </w:divBdr>
    </w:div>
    <w:div w:id="1626885844">
      <w:marLeft w:val="0"/>
      <w:marRight w:val="0"/>
      <w:marTop w:val="120"/>
      <w:marBottom w:val="0"/>
      <w:divBdr>
        <w:top w:val="none" w:sz="0" w:space="0" w:color="auto"/>
        <w:left w:val="none" w:sz="0" w:space="0" w:color="auto"/>
        <w:bottom w:val="none" w:sz="0" w:space="0" w:color="auto"/>
        <w:right w:val="none" w:sz="0" w:space="0" w:color="auto"/>
      </w:divBdr>
    </w:div>
    <w:div w:id="1628394564">
      <w:marLeft w:val="0"/>
      <w:marRight w:val="0"/>
      <w:marTop w:val="120"/>
      <w:marBottom w:val="0"/>
      <w:divBdr>
        <w:top w:val="none" w:sz="0" w:space="0" w:color="auto"/>
        <w:left w:val="none" w:sz="0" w:space="0" w:color="auto"/>
        <w:bottom w:val="none" w:sz="0" w:space="0" w:color="auto"/>
        <w:right w:val="none" w:sz="0" w:space="0" w:color="auto"/>
      </w:divBdr>
    </w:div>
    <w:div w:id="1628579940">
      <w:marLeft w:val="0"/>
      <w:marRight w:val="0"/>
      <w:marTop w:val="120"/>
      <w:marBottom w:val="0"/>
      <w:divBdr>
        <w:top w:val="none" w:sz="0" w:space="0" w:color="auto"/>
        <w:left w:val="none" w:sz="0" w:space="0" w:color="auto"/>
        <w:bottom w:val="none" w:sz="0" w:space="0" w:color="auto"/>
        <w:right w:val="none" w:sz="0" w:space="0" w:color="auto"/>
      </w:divBdr>
    </w:div>
    <w:div w:id="1629315012">
      <w:marLeft w:val="0"/>
      <w:marRight w:val="0"/>
      <w:marTop w:val="120"/>
      <w:marBottom w:val="0"/>
      <w:divBdr>
        <w:top w:val="none" w:sz="0" w:space="0" w:color="auto"/>
        <w:left w:val="none" w:sz="0" w:space="0" w:color="auto"/>
        <w:bottom w:val="none" w:sz="0" w:space="0" w:color="auto"/>
        <w:right w:val="none" w:sz="0" w:space="0" w:color="auto"/>
      </w:divBdr>
    </w:div>
    <w:div w:id="1629623287">
      <w:marLeft w:val="0"/>
      <w:marRight w:val="0"/>
      <w:marTop w:val="120"/>
      <w:marBottom w:val="0"/>
      <w:divBdr>
        <w:top w:val="none" w:sz="0" w:space="0" w:color="auto"/>
        <w:left w:val="none" w:sz="0" w:space="0" w:color="auto"/>
        <w:bottom w:val="none" w:sz="0" w:space="0" w:color="auto"/>
        <w:right w:val="none" w:sz="0" w:space="0" w:color="auto"/>
      </w:divBdr>
    </w:div>
    <w:div w:id="1629773997">
      <w:marLeft w:val="0"/>
      <w:marRight w:val="0"/>
      <w:marTop w:val="120"/>
      <w:marBottom w:val="0"/>
      <w:divBdr>
        <w:top w:val="none" w:sz="0" w:space="0" w:color="auto"/>
        <w:left w:val="none" w:sz="0" w:space="0" w:color="auto"/>
        <w:bottom w:val="none" w:sz="0" w:space="0" w:color="auto"/>
        <w:right w:val="none" w:sz="0" w:space="0" w:color="auto"/>
      </w:divBdr>
    </w:div>
    <w:div w:id="1633711637">
      <w:marLeft w:val="0"/>
      <w:marRight w:val="0"/>
      <w:marTop w:val="120"/>
      <w:marBottom w:val="0"/>
      <w:divBdr>
        <w:top w:val="none" w:sz="0" w:space="0" w:color="auto"/>
        <w:left w:val="none" w:sz="0" w:space="0" w:color="auto"/>
        <w:bottom w:val="none" w:sz="0" w:space="0" w:color="auto"/>
        <w:right w:val="none" w:sz="0" w:space="0" w:color="auto"/>
      </w:divBdr>
    </w:div>
    <w:div w:id="1634362519">
      <w:marLeft w:val="0"/>
      <w:marRight w:val="0"/>
      <w:marTop w:val="120"/>
      <w:marBottom w:val="0"/>
      <w:divBdr>
        <w:top w:val="none" w:sz="0" w:space="0" w:color="auto"/>
        <w:left w:val="none" w:sz="0" w:space="0" w:color="auto"/>
        <w:bottom w:val="none" w:sz="0" w:space="0" w:color="auto"/>
        <w:right w:val="none" w:sz="0" w:space="0" w:color="auto"/>
      </w:divBdr>
    </w:div>
    <w:div w:id="1636138974">
      <w:marLeft w:val="0"/>
      <w:marRight w:val="0"/>
      <w:marTop w:val="0"/>
      <w:marBottom w:val="0"/>
      <w:divBdr>
        <w:top w:val="none" w:sz="0" w:space="0" w:color="auto"/>
        <w:left w:val="none" w:sz="0" w:space="0" w:color="auto"/>
        <w:bottom w:val="none" w:sz="0" w:space="0" w:color="auto"/>
        <w:right w:val="none" w:sz="0" w:space="0" w:color="auto"/>
      </w:divBdr>
      <w:divsChild>
        <w:div w:id="504436800">
          <w:marLeft w:val="0"/>
          <w:marRight w:val="0"/>
          <w:marTop w:val="0"/>
          <w:marBottom w:val="0"/>
          <w:divBdr>
            <w:top w:val="none" w:sz="0" w:space="0" w:color="auto"/>
            <w:left w:val="none" w:sz="0" w:space="0" w:color="auto"/>
            <w:bottom w:val="none" w:sz="0" w:space="0" w:color="auto"/>
            <w:right w:val="none" w:sz="0" w:space="0" w:color="auto"/>
          </w:divBdr>
        </w:div>
      </w:divsChild>
    </w:div>
    <w:div w:id="1636718116">
      <w:marLeft w:val="0"/>
      <w:marRight w:val="0"/>
      <w:marTop w:val="0"/>
      <w:marBottom w:val="0"/>
      <w:divBdr>
        <w:top w:val="none" w:sz="0" w:space="0" w:color="auto"/>
        <w:left w:val="none" w:sz="0" w:space="0" w:color="auto"/>
        <w:bottom w:val="none" w:sz="0" w:space="0" w:color="auto"/>
        <w:right w:val="none" w:sz="0" w:space="0" w:color="auto"/>
      </w:divBdr>
    </w:div>
    <w:div w:id="1636829801">
      <w:marLeft w:val="0"/>
      <w:marRight w:val="0"/>
      <w:marTop w:val="120"/>
      <w:marBottom w:val="0"/>
      <w:divBdr>
        <w:top w:val="none" w:sz="0" w:space="0" w:color="auto"/>
        <w:left w:val="none" w:sz="0" w:space="0" w:color="auto"/>
        <w:bottom w:val="none" w:sz="0" w:space="0" w:color="auto"/>
        <w:right w:val="none" w:sz="0" w:space="0" w:color="auto"/>
      </w:divBdr>
    </w:div>
    <w:div w:id="1636907922">
      <w:marLeft w:val="0"/>
      <w:marRight w:val="0"/>
      <w:marTop w:val="120"/>
      <w:marBottom w:val="0"/>
      <w:divBdr>
        <w:top w:val="none" w:sz="0" w:space="0" w:color="auto"/>
        <w:left w:val="none" w:sz="0" w:space="0" w:color="auto"/>
        <w:bottom w:val="none" w:sz="0" w:space="0" w:color="auto"/>
        <w:right w:val="none" w:sz="0" w:space="0" w:color="auto"/>
      </w:divBdr>
    </w:div>
    <w:div w:id="1637756575">
      <w:marLeft w:val="0"/>
      <w:marRight w:val="0"/>
      <w:marTop w:val="120"/>
      <w:marBottom w:val="0"/>
      <w:divBdr>
        <w:top w:val="none" w:sz="0" w:space="0" w:color="auto"/>
        <w:left w:val="none" w:sz="0" w:space="0" w:color="auto"/>
        <w:bottom w:val="none" w:sz="0" w:space="0" w:color="auto"/>
        <w:right w:val="none" w:sz="0" w:space="0" w:color="auto"/>
      </w:divBdr>
    </w:div>
    <w:div w:id="1640574981">
      <w:marLeft w:val="0"/>
      <w:marRight w:val="0"/>
      <w:marTop w:val="0"/>
      <w:marBottom w:val="0"/>
      <w:divBdr>
        <w:top w:val="none" w:sz="0" w:space="0" w:color="auto"/>
        <w:left w:val="none" w:sz="0" w:space="0" w:color="auto"/>
        <w:bottom w:val="none" w:sz="0" w:space="0" w:color="auto"/>
        <w:right w:val="none" w:sz="0" w:space="0" w:color="auto"/>
      </w:divBdr>
      <w:divsChild>
        <w:div w:id="483857539">
          <w:marLeft w:val="0"/>
          <w:marRight w:val="0"/>
          <w:marTop w:val="0"/>
          <w:marBottom w:val="0"/>
          <w:divBdr>
            <w:top w:val="none" w:sz="0" w:space="0" w:color="auto"/>
            <w:left w:val="none" w:sz="0" w:space="0" w:color="auto"/>
            <w:bottom w:val="none" w:sz="0" w:space="0" w:color="auto"/>
            <w:right w:val="none" w:sz="0" w:space="0" w:color="auto"/>
          </w:divBdr>
        </w:div>
      </w:divsChild>
    </w:div>
    <w:div w:id="1641569495">
      <w:marLeft w:val="0"/>
      <w:marRight w:val="0"/>
      <w:marTop w:val="120"/>
      <w:marBottom w:val="0"/>
      <w:divBdr>
        <w:top w:val="none" w:sz="0" w:space="0" w:color="auto"/>
        <w:left w:val="none" w:sz="0" w:space="0" w:color="auto"/>
        <w:bottom w:val="none" w:sz="0" w:space="0" w:color="auto"/>
        <w:right w:val="none" w:sz="0" w:space="0" w:color="auto"/>
      </w:divBdr>
    </w:div>
    <w:div w:id="1641570515">
      <w:marLeft w:val="0"/>
      <w:marRight w:val="0"/>
      <w:marTop w:val="60"/>
      <w:marBottom w:val="0"/>
      <w:divBdr>
        <w:top w:val="none" w:sz="0" w:space="0" w:color="auto"/>
        <w:left w:val="none" w:sz="0" w:space="0" w:color="auto"/>
        <w:bottom w:val="none" w:sz="0" w:space="0" w:color="auto"/>
        <w:right w:val="none" w:sz="0" w:space="0" w:color="auto"/>
      </w:divBdr>
    </w:div>
    <w:div w:id="1642927167">
      <w:marLeft w:val="0"/>
      <w:marRight w:val="0"/>
      <w:marTop w:val="0"/>
      <w:marBottom w:val="0"/>
      <w:divBdr>
        <w:top w:val="none" w:sz="0" w:space="0" w:color="auto"/>
        <w:left w:val="none" w:sz="0" w:space="0" w:color="auto"/>
        <w:bottom w:val="none" w:sz="0" w:space="0" w:color="auto"/>
        <w:right w:val="none" w:sz="0" w:space="0" w:color="auto"/>
      </w:divBdr>
      <w:divsChild>
        <w:div w:id="1682511496">
          <w:marLeft w:val="0"/>
          <w:marRight w:val="0"/>
          <w:marTop w:val="0"/>
          <w:marBottom w:val="0"/>
          <w:divBdr>
            <w:top w:val="none" w:sz="0" w:space="0" w:color="auto"/>
            <w:left w:val="none" w:sz="0" w:space="0" w:color="auto"/>
            <w:bottom w:val="none" w:sz="0" w:space="0" w:color="auto"/>
            <w:right w:val="none" w:sz="0" w:space="0" w:color="auto"/>
          </w:divBdr>
        </w:div>
      </w:divsChild>
    </w:div>
    <w:div w:id="1643002064">
      <w:marLeft w:val="0"/>
      <w:marRight w:val="0"/>
      <w:marTop w:val="120"/>
      <w:marBottom w:val="0"/>
      <w:divBdr>
        <w:top w:val="none" w:sz="0" w:space="0" w:color="auto"/>
        <w:left w:val="none" w:sz="0" w:space="0" w:color="auto"/>
        <w:bottom w:val="none" w:sz="0" w:space="0" w:color="auto"/>
        <w:right w:val="none" w:sz="0" w:space="0" w:color="auto"/>
      </w:divBdr>
    </w:div>
    <w:div w:id="1645085864">
      <w:marLeft w:val="0"/>
      <w:marRight w:val="0"/>
      <w:marTop w:val="120"/>
      <w:marBottom w:val="0"/>
      <w:divBdr>
        <w:top w:val="none" w:sz="0" w:space="0" w:color="auto"/>
        <w:left w:val="none" w:sz="0" w:space="0" w:color="auto"/>
        <w:bottom w:val="none" w:sz="0" w:space="0" w:color="auto"/>
        <w:right w:val="none" w:sz="0" w:space="0" w:color="auto"/>
      </w:divBdr>
    </w:div>
    <w:div w:id="1648364118">
      <w:marLeft w:val="0"/>
      <w:marRight w:val="0"/>
      <w:marTop w:val="120"/>
      <w:marBottom w:val="0"/>
      <w:divBdr>
        <w:top w:val="none" w:sz="0" w:space="0" w:color="auto"/>
        <w:left w:val="none" w:sz="0" w:space="0" w:color="auto"/>
        <w:bottom w:val="none" w:sz="0" w:space="0" w:color="auto"/>
        <w:right w:val="none" w:sz="0" w:space="0" w:color="auto"/>
      </w:divBdr>
    </w:div>
    <w:div w:id="1648702719">
      <w:marLeft w:val="0"/>
      <w:marRight w:val="0"/>
      <w:marTop w:val="0"/>
      <w:marBottom w:val="0"/>
      <w:divBdr>
        <w:top w:val="none" w:sz="0" w:space="0" w:color="auto"/>
        <w:left w:val="none" w:sz="0" w:space="0" w:color="auto"/>
        <w:bottom w:val="none" w:sz="0" w:space="0" w:color="auto"/>
        <w:right w:val="none" w:sz="0" w:space="0" w:color="auto"/>
      </w:divBdr>
      <w:divsChild>
        <w:div w:id="1699425252">
          <w:marLeft w:val="0"/>
          <w:marRight w:val="0"/>
          <w:marTop w:val="0"/>
          <w:marBottom w:val="0"/>
          <w:divBdr>
            <w:top w:val="none" w:sz="0" w:space="0" w:color="auto"/>
            <w:left w:val="none" w:sz="0" w:space="0" w:color="auto"/>
            <w:bottom w:val="none" w:sz="0" w:space="0" w:color="auto"/>
            <w:right w:val="none" w:sz="0" w:space="0" w:color="auto"/>
          </w:divBdr>
        </w:div>
      </w:divsChild>
    </w:div>
    <w:div w:id="1649093279">
      <w:marLeft w:val="0"/>
      <w:marRight w:val="0"/>
      <w:marTop w:val="120"/>
      <w:marBottom w:val="0"/>
      <w:divBdr>
        <w:top w:val="none" w:sz="0" w:space="0" w:color="auto"/>
        <w:left w:val="none" w:sz="0" w:space="0" w:color="auto"/>
        <w:bottom w:val="none" w:sz="0" w:space="0" w:color="auto"/>
        <w:right w:val="none" w:sz="0" w:space="0" w:color="auto"/>
      </w:divBdr>
    </w:div>
    <w:div w:id="1652782649">
      <w:marLeft w:val="0"/>
      <w:marRight w:val="0"/>
      <w:marTop w:val="200"/>
      <w:marBottom w:val="0"/>
      <w:divBdr>
        <w:top w:val="none" w:sz="0" w:space="0" w:color="auto"/>
        <w:left w:val="none" w:sz="0" w:space="0" w:color="auto"/>
        <w:bottom w:val="none" w:sz="0" w:space="0" w:color="auto"/>
        <w:right w:val="none" w:sz="0" w:space="0" w:color="auto"/>
      </w:divBdr>
    </w:div>
    <w:div w:id="1653369820">
      <w:marLeft w:val="0"/>
      <w:marRight w:val="0"/>
      <w:marTop w:val="200"/>
      <w:marBottom w:val="0"/>
      <w:divBdr>
        <w:top w:val="none" w:sz="0" w:space="0" w:color="auto"/>
        <w:left w:val="none" w:sz="0" w:space="0" w:color="auto"/>
        <w:bottom w:val="none" w:sz="0" w:space="0" w:color="auto"/>
        <w:right w:val="none" w:sz="0" w:space="0" w:color="auto"/>
      </w:divBdr>
    </w:div>
    <w:div w:id="1657340354">
      <w:marLeft w:val="0"/>
      <w:marRight w:val="0"/>
      <w:marTop w:val="120"/>
      <w:marBottom w:val="0"/>
      <w:divBdr>
        <w:top w:val="none" w:sz="0" w:space="0" w:color="auto"/>
        <w:left w:val="none" w:sz="0" w:space="0" w:color="auto"/>
        <w:bottom w:val="none" w:sz="0" w:space="0" w:color="auto"/>
        <w:right w:val="none" w:sz="0" w:space="0" w:color="auto"/>
      </w:divBdr>
    </w:div>
    <w:div w:id="1657763702">
      <w:marLeft w:val="0"/>
      <w:marRight w:val="0"/>
      <w:marTop w:val="200"/>
      <w:marBottom w:val="0"/>
      <w:divBdr>
        <w:top w:val="none" w:sz="0" w:space="0" w:color="auto"/>
        <w:left w:val="none" w:sz="0" w:space="0" w:color="auto"/>
        <w:bottom w:val="none" w:sz="0" w:space="0" w:color="auto"/>
        <w:right w:val="none" w:sz="0" w:space="0" w:color="auto"/>
      </w:divBdr>
    </w:div>
    <w:div w:id="1664353723">
      <w:marLeft w:val="0"/>
      <w:marRight w:val="0"/>
      <w:marTop w:val="120"/>
      <w:marBottom w:val="0"/>
      <w:divBdr>
        <w:top w:val="none" w:sz="0" w:space="0" w:color="auto"/>
        <w:left w:val="none" w:sz="0" w:space="0" w:color="auto"/>
        <w:bottom w:val="none" w:sz="0" w:space="0" w:color="auto"/>
        <w:right w:val="none" w:sz="0" w:space="0" w:color="auto"/>
      </w:divBdr>
    </w:div>
    <w:div w:id="1664384389">
      <w:marLeft w:val="0"/>
      <w:marRight w:val="0"/>
      <w:marTop w:val="120"/>
      <w:marBottom w:val="0"/>
      <w:divBdr>
        <w:top w:val="none" w:sz="0" w:space="0" w:color="auto"/>
        <w:left w:val="none" w:sz="0" w:space="0" w:color="auto"/>
        <w:bottom w:val="none" w:sz="0" w:space="0" w:color="auto"/>
        <w:right w:val="none" w:sz="0" w:space="0" w:color="auto"/>
      </w:divBdr>
    </w:div>
    <w:div w:id="1666282765">
      <w:marLeft w:val="0"/>
      <w:marRight w:val="0"/>
      <w:marTop w:val="100"/>
      <w:marBottom w:val="0"/>
      <w:divBdr>
        <w:top w:val="none" w:sz="0" w:space="0" w:color="auto"/>
        <w:left w:val="none" w:sz="0" w:space="0" w:color="auto"/>
        <w:bottom w:val="none" w:sz="0" w:space="0" w:color="auto"/>
        <w:right w:val="none" w:sz="0" w:space="0" w:color="auto"/>
      </w:divBdr>
    </w:div>
    <w:div w:id="1668048152">
      <w:marLeft w:val="0"/>
      <w:marRight w:val="0"/>
      <w:marTop w:val="120"/>
      <w:marBottom w:val="0"/>
      <w:divBdr>
        <w:top w:val="none" w:sz="0" w:space="0" w:color="auto"/>
        <w:left w:val="none" w:sz="0" w:space="0" w:color="auto"/>
        <w:bottom w:val="none" w:sz="0" w:space="0" w:color="auto"/>
        <w:right w:val="none" w:sz="0" w:space="0" w:color="auto"/>
      </w:divBdr>
    </w:div>
    <w:div w:id="1668094023">
      <w:marLeft w:val="0"/>
      <w:marRight w:val="0"/>
      <w:marTop w:val="0"/>
      <w:marBottom w:val="0"/>
      <w:divBdr>
        <w:top w:val="none" w:sz="0" w:space="0" w:color="auto"/>
        <w:left w:val="none" w:sz="0" w:space="0" w:color="auto"/>
        <w:bottom w:val="none" w:sz="0" w:space="0" w:color="auto"/>
        <w:right w:val="none" w:sz="0" w:space="0" w:color="auto"/>
      </w:divBdr>
    </w:div>
    <w:div w:id="1675066975">
      <w:marLeft w:val="0"/>
      <w:marRight w:val="0"/>
      <w:marTop w:val="120"/>
      <w:marBottom w:val="0"/>
      <w:divBdr>
        <w:top w:val="none" w:sz="0" w:space="0" w:color="auto"/>
        <w:left w:val="none" w:sz="0" w:space="0" w:color="auto"/>
        <w:bottom w:val="none" w:sz="0" w:space="0" w:color="auto"/>
        <w:right w:val="none" w:sz="0" w:space="0" w:color="auto"/>
      </w:divBdr>
    </w:div>
    <w:div w:id="1677463348">
      <w:marLeft w:val="0"/>
      <w:marRight w:val="0"/>
      <w:marTop w:val="200"/>
      <w:marBottom w:val="0"/>
      <w:divBdr>
        <w:top w:val="none" w:sz="0" w:space="0" w:color="auto"/>
        <w:left w:val="none" w:sz="0" w:space="0" w:color="auto"/>
        <w:bottom w:val="none" w:sz="0" w:space="0" w:color="auto"/>
        <w:right w:val="none" w:sz="0" w:space="0" w:color="auto"/>
      </w:divBdr>
    </w:div>
    <w:div w:id="1677884359">
      <w:marLeft w:val="0"/>
      <w:marRight w:val="0"/>
      <w:marTop w:val="100"/>
      <w:marBottom w:val="0"/>
      <w:divBdr>
        <w:top w:val="none" w:sz="0" w:space="0" w:color="auto"/>
        <w:left w:val="none" w:sz="0" w:space="0" w:color="auto"/>
        <w:bottom w:val="none" w:sz="0" w:space="0" w:color="auto"/>
        <w:right w:val="none" w:sz="0" w:space="0" w:color="auto"/>
      </w:divBdr>
    </w:div>
    <w:div w:id="1679311313">
      <w:marLeft w:val="0"/>
      <w:marRight w:val="0"/>
      <w:marTop w:val="120"/>
      <w:marBottom w:val="0"/>
      <w:divBdr>
        <w:top w:val="none" w:sz="0" w:space="0" w:color="auto"/>
        <w:left w:val="none" w:sz="0" w:space="0" w:color="auto"/>
        <w:bottom w:val="none" w:sz="0" w:space="0" w:color="auto"/>
        <w:right w:val="none" w:sz="0" w:space="0" w:color="auto"/>
      </w:divBdr>
    </w:div>
    <w:div w:id="1680111539">
      <w:marLeft w:val="0"/>
      <w:marRight w:val="0"/>
      <w:marTop w:val="120"/>
      <w:marBottom w:val="0"/>
      <w:divBdr>
        <w:top w:val="none" w:sz="0" w:space="0" w:color="auto"/>
        <w:left w:val="none" w:sz="0" w:space="0" w:color="auto"/>
        <w:bottom w:val="none" w:sz="0" w:space="0" w:color="auto"/>
        <w:right w:val="none" w:sz="0" w:space="0" w:color="auto"/>
      </w:divBdr>
    </w:div>
    <w:div w:id="1680767373">
      <w:marLeft w:val="0"/>
      <w:marRight w:val="0"/>
      <w:marTop w:val="0"/>
      <w:marBottom w:val="0"/>
      <w:divBdr>
        <w:top w:val="none" w:sz="0" w:space="0" w:color="auto"/>
        <w:left w:val="none" w:sz="0" w:space="0" w:color="auto"/>
        <w:bottom w:val="none" w:sz="0" w:space="0" w:color="auto"/>
        <w:right w:val="none" w:sz="0" w:space="0" w:color="auto"/>
      </w:divBdr>
      <w:divsChild>
        <w:div w:id="1599025521">
          <w:marLeft w:val="0"/>
          <w:marRight w:val="0"/>
          <w:marTop w:val="0"/>
          <w:marBottom w:val="0"/>
          <w:divBdr>
            <w:top w:val="none" w:sz="0" w:space="0" w:color="auto"/>
            <w:left w:val="none" w:sz="0" w:space="0" w:color="auto"/>
            <w:bottom w:val="none" w:sz="0" w:space="0" w:color="auto"/>
            <w:right w:val="none" w:sz="0" w:space="0" w:color="auto"/>
          </w:divBdr>
        </w:div>
      </w:divsChild>
    </w:div>
    <w:div w:id="1681543809">
      <w:marLeft w:val="0"/>
      <w:marRight w:val="0"/>
      <w:marTop w:val="0"/>
      <w:marBottom w:val="0"/>
      <w:divBdr>
        <w:top w:val="none" w:sz="0" w:space="0" w:color="auto"/>
        <w:left w:val="none" w:sz="0" w:space="0" w:color="auto"/>
        <w:bottom w:val="none" w:sz="0" w:space="0" w:color="auto"/>
        <w:right w:val="none" w:sz="0" w:space="0" w:color="auto"/>
      </w:divBdr>
      <w:divsChild>
        <w:div w:id="1003510172">
          <w:marLeft w:val="0"/>
          <w:marRight w:val="0"/>
          <w:marTop w:val="0"/>
          <w:marBottom w:val="0"/>
          <w:divBdr>
            <w:top w:val="none" w:sz="0" w:space="0" w:color="auto"/>
            <w:left w:val="none" w:sz="0" w:space="0" w:color="auto"/>
            <w:bottom w:val="none" w:sz="0" w:space="0" w:color="auto"/>
            <w:right w:val="none" w:sz="0" w:space="0" w:color="auto"/>
          </w:divBdr>
        </w:div>
      </w:divsChild>
    </w:div>
    <w:div w:id="1681661636">
      <w:marLeft w:val="0"/>
      <w:marRight w:val="0"/>
      <w:marTop w:val="120"/>
      <w:marBottom w:val="0"/>
      <w:divBdr>
        <w:top w:val="none" w:sz="0" w:space="0" w:color="auto"/>
        <w:left w:val="none" w:sz="0" w:space="0" w:color="auto"/>
        <w:bottom w:val="none" w:sz="0" w:space="0" w:color="auto"/>
        <w:right w:val="none" w:sz="0" w:space="0" w:color="auto"/>
      </w:divBdr>
    </w:div>
    <w:div w:id="1683316463">
      <w:marLeft w:val="0"/>
      <w:marRight w:val="0"/>
      <w:marTop w:val="120"/>
      <w:marBottom w:val="0"/>
      <w:divBdr>
        <w:top w:val="none" w:sz="0" w:space="0" w:color="auto"/>
        <w:left w:val="none" w:sz="0" w:space="0" w:color="auto"/>
        <w:bottom w:val="none" w:sz="0" w:space="0" w:color="auto"/>
        <w:right w:val="none" w:sz="0" w:space="0" w:color="auto"/>
      </w:divBdr>
    </w:div>
    <w:div w:id="1684551013">
      <w:marLeft w:val="0"/>
      <w:marRight w:val="0"/>
      <w:marTop w:val="200"/>
      <w:marBottom w:val="0"/>
      <w:divBdr>
        <w:top w:val="none" w:sz="0" w:space="0" w:color="auto"/>
        <w:left w:val="none" w:sz="0" w:space="0" w:color="auto"/>
        <w:bottom w:val="none" w:sz="0" w:space="0" w:color="auto"/>
        <w:right w:val="none" w:sz="0" w:space="0" w:color="auto"/>
      </w:divBdr>
    </w:div>
    <w:div w:id="1684890797">
      <w:marLeft w:val="0"/>
      <w:marRight w:val="0"/>
      <w:marTop w:val="120"/>
      <w:marBottom w:val="0"/>
      <w:divBdr>
        <w:top w:val="none" w:sz="0" w:space="0" w:color="auto"/>
        <w:left w:val="none" w:sz="0" w:space="0" w:color="auto"/>
        <w:bottom w:val="none" w:sz="0" w:space="0" w:color="auto"/>
        <w:right w:val="none" w:sz="0" w:space="0" w:color="auto"/>
      </w:divBdr>
    </w:div>
    <w:div w:id="1684895661">
      <w:marLeft w:val="0"/>
      <w:marRight w:val="0"/>
      <w:marTop w:val="120"/>
      <w:marBottom w:val="0"/>
      <w:divBdr>
        <w:top w:val="none" w:sz="0" w:space="0" w:color="auto"/>
        <w:left w:val="none" w:sz="0" w:space="0" w:color="auto"/>
        <w:bottom w:val="none" w:sz="0" w:space="0" w:color="auto"/>
        <w:right w:val="none" w:sz="0" w:space="0" w:color="auto"/>
      </w:divBdr>
    </w:div>
    <w:div w:id="1685209567">
      <w:marLeft w:val="0"/>
      <w:marRight w:val="0"/>
      <w:marTop w:val="120"/>
      <w:marBottom w:val="0"/>
      <w:divBdr>
        <w:top w:val="none" w:sz="0" w:space="0" w:color="auto"/>
        <w:left w:val="none" w:sz="0" w:space="0" w:color="auto"/>
        <w:bottom w:val="none" w:sz="0" w:space="0" w:color="auto"/>
        <w:right w:val="none" w:sz="0" w:space="0" w:color="auto"/>
      </w:divBdr>
    </w:div>
    <w:div w:id="1686470518">
      <w:marLeft w:val="0"/>
      <w:marRight w:val="0"/>
      <w:marTop w:val="120"/>
      <w:marBottom w:val="0"/>
      <w:divBdr>
        <w:top w:val="none" w:sz="0" w:space="0" w:color="auto"/>
        <w:left w:val="none" w:sz="0" w:space="0" w:color="auto"/>
        <w:bottom w:val="none" w:sz="0" w:space="0" w:color="auto"/>
        <w:right w:val="none" w:sz="0" w:space="0" w:color="auto"/>
      </w:divBdr>
    </w:div>
    <w:div w:id="1690713443">
      <w:marLeft w:val="0"/>
      <w:marRight w:val="0"/>
      <w:marTop w:val="0"/>
      <w:marBottom w:val="0"/>
      <w:divBdr>
        <w:top w:val="none" w:sz="0" w:space="0" w:color="auto"/>
        <w:left w:val="none" w:sz="0" w:space="0" w:color="auto"/>
        <w:bottom w:val="none" w:sz="0" w:space="0" w:color="auto"/>
        <w:right w:val="none" w:sz="0" w:space="0" w:color="auto"/>
      </w:divBdr>
      <w:divsChild>
        <w:div w:id="294067932">
          <w:marLeft w:val="0"/>
          <w:marRight w:val="0"/>
          <w:marTop w:val="0"/>
          <w:marBottom w:val="0"/>
          <w:divBdr>
            <w:top w:val="none" w:sz="0" w:space="0" w:color="auto"/>
            <w:left w:val="none" w:sz="0" w:space="0" w:color="auto"/>
            <w:bottom w:val="none" w:sz="0" w:space="0" w:color="auto"/>
            <w:right w:val="none" w:sz="0" w:space="0" w:color="auto"/>
          </w:divBdr>
        </w:div>
      </w:divsChild>
    </w:div>
    <w:div w:id="1693144593">
      <w:marLeft w:val="0"/>
      <w:marRight w:val="0"/>
      <w:marTop w:val="120"/>
      <w:marBottom w:val="0"/>
      <w:divBdr>
        <w:top w:val="none" w:sz="0" w:space="0" w:color="auto"/>
        <w:left w:val="none" w:sz="0" w:space="0" w:color="auto"/>
        <w:bottom w:val="none" w:sz="0" w:space="0" w:color="auto"/>
        <w:right w:val="none" w:sz="0" w:space="0" w:color="auto"/>
      </w:divBdr>
    </w:div>
    <w:div w:id="1693729528">
      <w:marLeft w:val="0"/>
      <w:marRight w:val="0"/>
      <w:marTop w:val="200"/>
      <w:marBottom w:val="0"/>
      <w:divBdr>
        <w:top w:val="none" w:sz="0" w:space="0" w:color="auto"/>
        <w:left w:val="none" w:sz="0" w:space="0" w:color="auto"/>
        <w:bottom w:val="none" w:sz="0" w:space="0" w:color="auto"/>
        <w:right w:val="none" w:sz="0" w:space="0" w:color="auto"/>
      </w:divBdr>
    </w:div>
    <w:div w:id="1695956861">
      <w:marLeft w:val="0"/>
      <w:marRight w:val="0"/>
      <w:marTop w:val="120"/>
      <w:marBottom w:val="0"/>
      <w:divBdr>
        <w:top w:val="none" w:sz="0" w:space="0" w:color="auto"/>
        <w:left w:val="none" w:sz="0" w:space="0" w:color="auto"/>
        <w:bottom w:val="none" w:sz="0" w:space="0" w:color="auto"/>
        <w:right w:val="none" w:sz="0" w:space="0" w:color="auto"/>
      </w:divBdr>
    </w:div>
    <w:div w:id="1701974322">
      <w:marLeft w:val="0"/>
      <w:marRight w:val="0"/>
      <w:marTop w:val="0"/>
      <w:marBottom w:val="0"/>
      <w:divBdr>
        <w:top w:val="none" w:sz="0" w:space="0" w:color="auto"/>
        <w:left w:val="none" w:sz="0" w:space="0" w:color="auto"/>
        <w:bottom w:val="none" w:sz="0" w:space="0" w:color="auto"/>
        <w:right w:val="none" w:sz="0" w:space="0" w:color="auto"/>
      </w:divBdr>
      <w:divsChild>
        <w:div w:id="1015107178">
          <w:marLeft w:val="0"/>
          <w:marRight w:val="0"/>
          <w:marTop w:val="0"/>
          <w:marBottom w:val="0"/>
          <w:divBdr>
            <w:top w:val="none" w:sz="0" w:space="0" w:color="auto"/>
            <w:left w:val="none" w:sz="0" w:space="0" w:color="auto"/>
            <w:bottom w:val="none" w:sz="0" w:space="0" w:color="auto"/>
            <w:right w:val="none" w:sz="0" w:space="0" w:color="auto"/>
          </w:divBdr>
        </w:div>
      </w:divsChild>
    </w:div>
    <w:div w:id="1703358218">
      <w:marLeft w:val="0"/>
      <w:marRight w:val="0"/>
      <w:marTop w:val="200"/>
      <w:marBottom w:val="0"/>
      <w:divBdr>
        <w:top w:val="none" w:sz="0" w:space="0" w:color="auto"/>
        <w:left w:val="none" w:sz="0" w:space="0" w:color="auto"/>
        <w:bottom w:val="none" w:sz="0" w:space="0" w:color="auto"/>
        <w:right w:val="none" w:sz="0" w:space="0" w:color="auto"/>
      </w:divBdr>
    </w:div>
    <w:div w:id="1703438109">
      <w:marLeft w:val="0"/>
      <w:marRight w:val="0"/>
      <w:marTop w:val="120"/>
      <w:marBottom w:val="0"/>
      <w:divBdr>
        <w:top w:val="none" w:sz="0" w:space="0" w:color="auto"/>
        <w:left w:val="none" w:sz="0" w:space="0" w:color="auto"/>
        <w:bottom w:val="none" w:sz="0" w:space="0" w:color="auto"/>
        <w:right w:val="none" w:sz="0" w:space="0" w:color="auto"/>
      </w:divBdr>
    </w:div>
    <w:div w:id="1704138353">
      <w:marLeft w:val="0"/>
      <w:marRight w:val="0"/>
      <w:marTop w:val="120"/>
      <w:marBottom w:val="0"/>
      <w:divBdr>
        <w:top w:val="none" w:sz="0" w:space="0" w:color="auto"/>
        <w:left w:val="none" w:sz="0" w:space="0" w:color="auto"/>
        <w:bottom w:val="none" w:sz="0" w:space="0" w:color="auto"/>
        <w:right w:val="none" w:sz="0" w:space="0" w:color="auto"/>
      </w:divBdr>
    </w:div>
    <w:div w:id="1705517658">
      <w:marLeft w:val="0"/>
      <w:marRight w:val="0"/>
      <w:marTop w:val="200"/>
      <w:marBottom w:val="0"/>
      <w:divBdr>
        <w:top w:val="none" w:sz="0" w:space="0" w:color="auto"/>
        <w:left w:val="none" w:sz="0" w:space="0" w:color="auto"/>
        <w:bottom w:val="none" w:sz="0" w:space="0" w:color="auto"/>
        <w:right w:val="none" w:sz="0" w:space="0" w:color="auto"/>
      </w:divBdr>
    </w:div>
    <w:div w:id="1705522208">
      <w:marLeft w:val="0"/>
      <w:marRight w:val="0"/>
      <w:marTop w:val="200"/>
      <w:marBottom w:val="0"/>
      <w:divBdr>
        <w:top w:val="none" w:sz="0" w:space="0" w:color="auto"/>
        <w:left w:val="none" w:sz="0" w:space="0" w:color="auto"/>
        <w:bottom w:val="none" w:sz="0" w:space="0" w:color="auto"/>
        <w:right w:val="none" w:sz="0" w:space="0" w:color="auto"/>
      </w:divBdr>
    </w:div>
    <w:div w:id="1705868353">
      <w:marLeft w:val="0"/>
      <w:marRight w:val="0"/>
      <w:marTop w:val="120"/>
      <w:marBottom w:val="0"/>
      <w:divBdr>
        <w:top w:val="none" w:sz="0" w:space="0" w:color="auto"/>
        <w:left w:val="none" w:sz="0" w:space="0" w:color="auto"/>
        <w:bottom w:val="none" w:sz="0" w:space="0" w:color="auto"/>
        <w:right w:val="none" w:sz="0" w:space="0" w:color="auto"/>
      </w:divBdr>
    </w:div>
    <w:div w:id="1706321414">
      <w:marLeft w:val="0"/>
      <w:marRight w:val="0"/>
      <w:marTop w:val="120"/>
      <w:marBottom w:val="0"/>
      <w:divBdr>
        <w:top w:val="none" w:sz="0" w:space="0" w:color="auto"/>
        <w:left w:val="none" w:sz="0" w:space="0" w:color="auto"/>
        <w:bottom w:val="none" w:sz="0" w:space="0" w:color="auto"/>
        <w:right w:val="none" w:sz="0" w:space="0" w:color="auto"/>
      </w:divBdr>
    </w:div>
    <w:div w:id="1707294364">
      <w:marLeft w:val="0"/>
      <w:marRight w:val="0"/>
      <w:marTop w:val="0"/>
      <w:marBottom w:val="0"/>
      <w:divBdr>
        <w:top w:val="none" w:sz="0" w:space="0" w:color="auto"/>
        <w:left w:val="none" w:sz="0" w:space="0" w:color="auto"/>
        <w:bottom w:val="none" w:sz="0" w:space="0" w:color="auto"/>
        <w:right w:val="none" w:sz="0" w:space="0" w:color="auto"/>
      </w:divBdr>
      <w:divsChild>
        <w:div w:id="648100017">
          <w:marLeft w:val="0"/>
          <w:marRight w:val="0"/>
          <w:marTop w:val="0"/>
          <w:marBottom w:val="0"/>
          <w:divBdr>
            <w:top w:val="none" w:sz="0" w:space="0" w:color="auto"/>
            <w:left w:val="none" w:sz="0" w:space="0" w:color="auto"/>
            <w:bottom w:val="none" w:sz="0" w:space="0" w:color="auto"/>
            <w:right w:val="none" w:sz="0" w:space="0" w:color="auto"/>
          </w:divBdr>
        </w:div>
      </w:divsChild>
    </w:div>
    <w:div w:id="1707824947">
      <w:marLeft w:val="0"/>
      <w:marRight w:val="0"/>
      <w:marTop w:val="200"/>
      <w:marBottom w:val="0"/>
      <w:divBdr>
        <w:top w:val="none" w:sz="0" w:space="0" w:color="auto"/>
        <w:left w:val="none" w:sz="0" w:space="0" w:color="auto"/>
        <w:bottom w:val="none" w:sz="0" w:space="0" w:color="auto"/>
        <w:right w:val="none" w:sz="0" w:space="0" w:color="auto"/>
      </w:divBdr>
    </w:div>
    <w:div w:id="1708799677">
      <w:marLeft w:val="0"/>
      <w:marRight w:val="0"/>
      <w:marTop w:val="0"/>
      <w:marBottom w:val="0"/>
      <w:divBdr>
        <w:top w:val="none" w:sz="0" w:space="0" w:color="auto"/>
        <w:left w:val="none" w:sz="0" w:space="0" w:color="auto"/>
        <w:bottom w:val="none" w:sz="0" w:space="0" w:color="auto"/>
        <w:right w:val="none" w:sz="0" w:space="0" w:color="auto"/>
      </w:divBdr>
      <w:divsChild>
        <w:div w:id="1980302752">
          <w:marLeft w:val="0"/>
          <w:marRight w:val="0"/>
          <w:marTop w:val="0"/>
          <w:marBottom w:val="0"/>
          <w:divBdr>
            <w:top w:val="none" w:sz="0" w:space="0" w:color="auto"/>
            <w:left w:val="none" w:sz="0" w:space="0" w:color="auto"/>
            <w:bottom w:val="none" w:sz="0" w:space="0" w:color="auto"/>
            <w:right w:val="none" w:sz="0" w:space="0" w:color="auto"/>
          </w:divBdr>
        </w:div>
      </w:divsChild>
    </w:div>
    <w:div w:id="1709448376">
      <w:marLeft w:val="0"/>
      <w:marRight w:val="0"/>
      <w:marTop w:val="200"/>
      <w:marBottom w:val="0"/>
      <w:divBdr>
        <w:top w:val="none" w:sz="0" w:space="0" w:color="auto"/>
        <w:left w:val="none" w:sz="0" w:space="0" w:color="auto"/>
        <w:bottom w:val="none" w:sz="0" w:space="0" w:color="auto"/>
        <w:right w:val="none" w:sz="0" w:space="0" w:color="auto"/>
      </w:divBdr>
    </w:div>
    <w:div w:id="1711804463">
      <w:marLeft w:val="0"/>
      <w:marRight w:val="0"/>
      <w:marTop w:val="120"/>
      <w:marBottom w:val="0"/>
      <w:divBdr>
        <w:top w:val="none" w:sz="0" w:space="0" w:color="auto"/>
        <w:left w:val="none" w:sz="0" w:space="0" w:color="auto"/>
        <w:bottom w:val="none" w:sz="0" w:space="0" w:color="auto"/>
        <w:right w:val="none" w:sz="0" w:space="0" w:color="auto"/>
      </w:divBdr>
    </w:div>
    <w:div w:id="1713919721">
      <w:marLeft w:val="0"/>
      <w:marRight w:val="0"/>
      <w:marTop w:val="120"/>
      <w:marBottom w:val="0"/>
      <w:divBdr>
        <w:top w:val="none" w:sz="0" w:space="0" w:color="auto"/>
        <w:left w:val="none" w:sz="0" w:space="0" w:color="auto"/>
        <w:bottom w:val="none" w:sz="0" w:space="0" w:color="auto"/>
        <w:right w:val="none" w:sz="0" w:space="0" w:color="auto"/>
      </w:divBdr>
    </w:div>
    <w:div w:id="1714767523">
      <w:marLeft w:val="0"/>
      <w:marRight w:val="0"/>
      <w:marTop w:val="200"/>
      <w:marBottom w:val="0"/>
      <w:divBdr>
        <w:top w:val="none" w:sz="0" w:space="0" w:color="auto"/>
        <w:left w:val="none" w:sz="0" w:space="0" w:color="auto"/>
        <w:bottom w:val="none" w:sz="0" w:space="0" w:color="auto"/>
        <w:right w:val="none" w:sz="0" w:space="0" w:color="auto"/>
      </w:divBdr>
    </w:div>
    <w:div w:id="1715230272">
      <w:marLeft w:val="0"/>
      <w:marRight w:val="0"/>
      <w:marTop w:val="0"/>
      <w:marBottom w:val="0"/>
      <w:divBdr>
        <w:top w:val="none" w:sz="0" w:space="0" w:color="auto"/>
        <w:left w:val="none" w:sz="0" w:space="0" w:color="auto"/>
        <w:bottom w:val="none" w:sz="0" w:space="0" w:color="auto"/>
        <w:right w:val="none" w:sz="0" w:space="0" w:color="auto"/>
      </w:divBdr>
      <w:divsChild>
        <w:div w:id="1951351341">
          <w:marLeft w:val="0"/>
          <w:marRight w:val="0"/>
          <w:marTop w:val="0"/>
          <w:marBottom w:val="0"/>
          <w:divBdr>
            <w:top w:val="none" w:sz="0" w:space="0" w:color="auto"/>
            <w:left w:val="none" w:sz="0" w:space="0" w:color="auto"/>
            <w:bottom w:val="none" w:sz="0" w:space="0" w:color="auto"/>
            <w:right w:val="none" w:sz="0" w:space="0" w:color="auto"/>
          </w:divBdr>
        </w:div>
      </w:divsChild>
    </w:div>
    <w:div w:id="1716924233">
      <w:marLeft w:val="0"/>
      <w:marRight w:val="0"/>
      <w:marTop w:val="120"/>
      <w:marBottom w:val="0"/>
      <w:divBdr>
        <w:top w:val="none" w:sz="0" w:space="0" w:color="auto"/>
        <w:left w:val="none" w:sz="0" w:space="0" w:color="auto"/>
        <w:bottom w:val="none" w:sz="0" w:space="0" w:color="auto"/>
        <w:right w:val="none" w:sz="0" w:space="0" w:color="auto"/>
      </w:divBdr>
    </w:div>
    <w:div w:id="1717663275">
      <w:marLeft w:val="0"/>
      <w:marRight w:val="0"/>
      <w:marTop w:val="120"/>
      <w:marBottom w:val="0"/>
      <w:divBdr>
        <w:top w:val="none" w:sz="0" w:space="0" w:color="auto"/>
        <w:left w:val="none" w:sz="0" w:space="0" w:color="auto"/>
        <w:bottom w:val="none" w:sz="0" w:space="0" w:color="auto"/>
        <w:right w:val="none" w:sz="0" w:space="0" w:color="auto"/>
      </w:divBdr>
    </w:div>
    <w:div w:id="1717772716">
      <w:marLeft w:val="0"/>
      <w:marRight w:val="0"/>
      <w:marTop w:val="120"/>
      <w:marBottom w:val="0"/>
      <w:divBdr>
        <w:top w:val="none" w:sz="0" w:space="0" w:color="auto"/>
        <w:left w:val="none" w:sz="0" w:space="0" w:color="auto"/>
        <w:bottom w:val="none" w:sz="0" w:space="0" w:color="auto"/>
        <w:right w:val="none" w:sz="0" w:space="0" w:color="auto"/>
      </w:divBdr>
    </w:div>
    <w:div w:id="1719014058">
      <w:marLeft w:val="0"/>
      <w:marRight w:val="0"/>
      <w:marTop w:val="0"/>
      <w:marBottom w:val="0"/>
      <w:divBdr>
        <w:top w:val="none" w:sz="0" w:space="0" w:color="auto"/>
        <w:left w:val="none" w:sz="0" w:space="0" w:color="auto"/>
        <w:bottom w:val="none" w:sz="0" w:space="0" w:color="auto"/>
        <w:right w:val="none" w:sz="0" w:space="0" w:color="auto"/>
      </w:divBdr>
      <w:divsChild>
        <w:div w:id="1287661907">
          <w:marLeft w:val="0"/>
          <w:marRight w:val="0"/>
          <w:marTop w:val="0"/>
          <w:marBottom w:val="0"/>
          <w:divBdr>
            <w:top w:val="none" w:sz="0" w:space="0" w:color="auto"/>
            <w:left w:val="none" w:sz="0" w:space="0" w:color="auto"/>
            <w:bottom w:val="none" w:sz="0" w:space="0" w:color="auto"/>
            <w:right w:val="none" w:sz="0" w:space="0" w:color="auto"/>
          </w:divBdr>
        </w:div>
      </w:divsChild>
    </w:div>
    <w:div w:id="1720083205">
      <w:marLeft w:val="0"/>
      <w:marRight w:val="0"/>
      <w:marTop w:val="120"/>
      <w:marBottom w:val="0"/>
      <w:divBdr>
        <w:top w:val="none" w:sz="0" w:space="0" w:color="auto"/>
        <w:left w:val="none" w:sz="0" w:space="0" w:color="auto"/>
        <w:bottom w:val="none" w:sz="0" w:space="0" w:color="auto"/>
        <w:right w:val="none" w:sz="0" w:space="0" w:color="auto"/>
      </w:divBdr>
    </w:div>
    <w:div w:id="1720856176">
      <w:marLeft w:val="0"/>
      <w:marRight w:val="0"/>
      <w:marTop w:val="120"/>
      <w:marBottom w:val="0"/>
      <w:divBdr>
        <w:top w:val="none" w:sz="0" w:space="0" w:color="auto"/>
        <w:left w:val="none" w:sz="0" w:space="0" w:color="auto"/>
        <w:bottom w:val="none" w:sz="0" w:space="0" w:color="auto"/>
        <w:right w:val="none" w:sz="0" w:space="0" w:color="auto"/>
      </w:divBdr>
    </w:div>
    <w:div w:id="1724333197">
      <w:marLeft w:val="0"/>
      <w:marRight w:val="0"/>
      <w:marTop w:val="120"/>
      <w:marBottom w:val="0"/>
      <w:divBdr>
        <w:top w:val="none" w:sz="0" w:space="0" w:color="auto"/>
        <w:left w:val="none" w:sz="0" w:space="0" w:color="auto"/>
        <w:bottom w:val="none" w:sz="0" w:space="0" w:color="auto"/>
        <w:right w:val="none" w:sz="0" w:space="0" w:color="auto"/>
      </w:divBdr>
    </w:div>
    <w:div w:id="1724524360">
      <w:marLeft w:val="0"/>
      <w:marRight w:val="0"/>
      <w:marTop w:val="120"/>
      <w:marBottom w:val="0"/>
      <w:divBdr>
        <w:top w:val="none" w:sz="0" w:space="0" w:color="auto"/>
        <w:left w:val="none" w:sz="0" w:space="0" w:color="auto"/>
        <w:bottom w:val="none" w:sz="0" w:space="0" w:color="auto"/>
        <w:right w:val="none" w:sz="0" w:space="0" w:color="auto"/>
      </w:divBdr>
    </w:div>
    <w:div w:id="1727945112">
      <w:marLeft w:val="0"/>
      <w:marRight w:val="0"/>
      <w:marTop w:val="200"/>
      <w:marBottom w:val="0"/>
      <w:divBdr>
        <w:top w:val="none" w:sz="0" w:space="0" w:color="auto"/>
        <w:left w:val="none" w:sz="0" w:space="0" w:color="auto"/>
        <w:bottom w:val="none" w:sz="0" w:space="0" w:color="auto"/>
        <w:right w:val="none" w:sz="0" w:space="0" w:color="auto"/>
      </w:divBdr>
    </w:div>
    <w:div w:id="1728987665">
      <w:marLeft w:val="0"/>
      <w:marRight w:val="0"/>
      <w:marTop w:val="120"/>
      <w:marBottom w:val="0"/>
      <w:divBdr>
        <w:top w:val="none" w:sz="0" w:space="0" w:color="auto"/>
        <w:left w:val="none" w:sz="0" w:space="0" w:color="auto"/>
        <w:bottom w:val="none" w:sz="0" w:space="0" w:color="auto"/>
        <w:right w:val="none" w:sz="0" w:space="0" w:color="auto"/>
      </w:divBdr>
    </w:div>
    <w:div w:id="1729185994">
      <w:marLeft w:val="0"/>
      <w:marRight w:val="0"/>
      <w:marTop w:val="200"/>
      <w:marBottom w:val="0"/>
      <w:divBdr>
        <w:top w:val="none" w:sz="0" w:space="0" w:color="auto"/>
        <w:left w:val="none" w:sz="0" w:space="0" w:color="auto"/>
        <w:bottom w:val="none" w:sz="0" w:space="0" w:color="auto"/>
        <w:right w:val="none" w:sz="0" w:space="0" w:color="auto"/>
      </w:divBdr>
    </w:div>
    <w:div w:id="1730884929">
      <w:marLeft w:val="0"/>
      <w:marRight w:val="0"/>
      <w:marTop w:val="120"/>
      <w:marBottom w:val="0"/>
      <w:divBdr>
        <w:top w:val="none" w:sz="0" w:space="0" w:color="auto"/>
        <w:left w:val="none" w:sz="0" w:space="0" w:color="auto"/>
        <w:bottom w:val="none" w:sz="0" w:space="0" w:color="auto"/>
        <w:right w:val="none" w:sz="0" w:space="0" w:color="auto"/>
      </w:divBdr>
    </w:div>
    <w:div w:id="1732120498">
      <w:marLeft w:val="0"/>
      <w:marRight w:val="0"/>
      <w:marTop w:val="200"/>
      <w:marBottom w:val="0"/>
      <w:divBdr>
        <w:top w:val="none" w:sz="0" w:space="0" w:color="auto"/>
        <w:left w:val="none" w:sz="0" w:space="0" w:color="auto"/>
        <w:bottom w:val="none" w:sz="0" w:space="0" w:color="auto"/>
        <w:right w:val="none" w:sz="0" w:space="0" w:color="auto"/>
      </w:divBdr>
    </w:div>
    <w:div w:id="1732381218">
      <w:marLeft w:val="0"/>
      <w:marRight w:val="0"/>
      <w:marTop w:val="120"/>
      <w:marBottom w:val="0"/>
      <w:divBdr>
        <w:top w:val="none" w:sz="0" w:space="0" w:color="auto"/>
        <w:left w:val="none" w:sz="0" w:space="0" w:color="auto"/>
        <w:bottom w:val="none" w:sz="0" w:space="0" w:color="auto"/>
        <w:right w:val="none" w:sz="0" w:space="0" w:color="auto"/>
      </w:divBdr>
    </w:div>
    <w:div w:id="1732731940">
      <w:marLeft w:val="0"/>
      <w:marRight w:val="0"/>
      <w:marTop w:val="120"/>
      <w:marBottom w:val="0"/>
      <w:divBdr>
        <w:top w:val="none" w:sz="0" w:space="0" w:color="auto"/>
        <w:left w:val="none" w:sz="0" w:space="0" w:color="auto"/>
        <w:bottom w:val="none" w:sz="0" w:space="0" w:color="auto"/>
        <w:right w:val="none" w:sz="0" w:space="0" w:color="auto"/>
      </w:divBdr>
    </w:div>
    <w:div w:id="1734545812">
      <w:marLeft w:val="0"/>
      <w:marRight w:val="0"/>
      <w:marTop w:val="200"/>
      <w:marBottom w:val="0"/>
      <w:divBdr>
        <w:top w:val="none" w:sz="0" w:space="0" w:color="auto"/>
        <w:left w:val="none" w:sz="0" w:space="0" w:color="auto"/>
        <w:bottom w:val="none" w:sz="0" w:space="0" w:color="auto"/>
        <w:right w:val="none" w:sz="0" w:space="0" w:color="auto"/>
      </w:divBdr>
    </w:div>
    <w:div w:id="1734624865">
      <w:marLeft w:val="0"/>
      <w:marRight w:val="0"/>
      <w:marTop w:val="200"/>
      <w:marBottom w:val="0"/>
      <w:divBdr>
        <w:top w:val="none" w:sz="0" w:space="0" w:color="auto"/>
        <w:left w:val="none" w:sz="0" w:space="0" w:color="auto"/>
        <w:bottom w:val="none" w:sz="0" w:space="0" w:color="auto"/>
        <w:right w:val="none" w:sz="0" w:space="0" w:color="auto"/>
      </w:divBdr>
    </w:div>
    <w:div w:id="1734696667">
      <w:marLeft w:val="0"/>
      <w:marRight w:val="0"/>
      <w:marTop w:val="120"/>
      <w:marBottom w:val="0"/>
      <w:divBdr>
        <w:top w:val="none" w:sz="0" w:space="0" w:color="auto"/>
        <w:left w:val="none" w:sz="0" w:space="0" w:color="auto"/>
        <w:bottom w:val="none" w:sz="0" w:space="0" w:color="auto"/>
        <w:right w:val="none" w:sz="0" w:space="0" w:color="auto"/>
      </w:divBdr>
    </w:div>
    <w:div w:id="1736774591">
      <w:marLeft w:val="0"/>
      <w:marRight w:val="0"/>
      <w:marTop w:val="120"/>
      <w:marBottom w:val="0"/>
      <w:divBdr>
        <w:top w:val="none" w:sz="0" w:space="0" w:color="auto"/>
        <w:left w:val="none" w:sz="0" w:space="0" w:color="auto"/>
        <w:bottom w:val="none" w:sz="0" w:space="0" w:color="auto"/>
        <w:right w:val="none" w:sz="0" w:space="0" w:color="auto"/>
      </w:divBdr>
    </w:div>
    <w:div w:id="1736971399">
      <w:marLeft w:val="0"/>
      <w:marRight w:val="0"/>
      <w:marTop w:val="120"/>
      <w:marBottom w:val="0"/>
      <w:divBdr>
        <w:top w:val="none" w:sz="0" w:space="0" w:color="auto"/>
        <w:left w:val="none" w:sz="0" w:space="0" w:color="auto"/>
        <w:bottom w:val="none" w:sz="0" w:space="0" w:color="auto"/>
        <w:right w:val="none" w:sz="0" w:space="0" w:color="auto"/>
      </w:divBdr>
    </w:div>
    <w:div w:id="1738742758">
      <w:marLeft w:val="0"/>
      <w:marRight w:val="0"/>
      <w:marTop w:val="120"/>
      <w:marBottom w:val="0"/>
      <w:divBdr>
        <w:top w:val="none" w:sz="0" w:space="0" w:color="auto"/>
        <w:left w:val="none" w:sz="0" w:space="0" w:color="auto"/>
        <w:bottom w:val="none" w:sz="0" w:space="0" w:color="auto"/>
        <w:right w:val="none" w:sz="0" w:space="0" w:color="auto"/>
      </w:divBdr>
    </w:div>
    <w:div w:id="1738823700">
      <w:marLeft w:val="0"/>
      <w:marRight w:val="0"/>
      <w:marTop w:val="120"/>
      <w:marBottom w:val="0"/>
      <w:divBdr>
        <w:top w:val="none" w:sz="0" w:space="0" w:color="auto"/>
        <w:left w:val="none" w:sz="0" w:space="0" w:color="auto"/>
        <w:bottom w:val="none" w:sz="0" w:space="0" w:color="auto"/>
        <w:right w:val="none" w:sz="0" w:space="0" w:color="auto"/>
      </w:divBdr>
    </w:div>
    <w:div w:id="1739740231">
      <w:marLeft w:val="0"/>
      <w:marRight w:val="0"/>
      <w:marTop w:val="120"/>
      <w:marBottom w:val="0"/>
      <w:divBdr>
        <w:top w:val="none" w:sz="0" w:space="0" w:color="auto"/>
        <w:left w:val="none" w:sz="0" w:space="0" w:color="auto"/>
        <w:bottom w:val="none" w:sz="0" w:space="0" w:color="auto"/>
        <w:right w:val="none" w:sz="0" w:space="0" w:color="auto"/>
      </w:divBdr>
    </w:div>
    <w:div w:id="1739788871">
      <w:marLeft w:val="0"/>
      <w:marRight w:val="0"/>
      <w:marTop w:val="120"/>
      <w:marBottom w:val="0"/>
      <w:divBdr>
        <w:top w:val="none" w:sz="0" w:space="0" w:color="auto"/>
        <w:left w:val="none" w:sz="0" w:space="0" w:color="auto"/>
        <w:bottom w:val="none" w:sz="0" w:space="0" w:color="auto"/>
        <w:right w:val="none" w:sz="0" w:space="0" w:color="auto"/>
      </w:divBdr>
    </w:div>
    <w:div w:id="1740979092">
      <w:marLeft w:val="0"/>
      <w:marRight w:val="0"/>
      <w:marTop w:val="120"/>
      <w:marBottom w:val="0"/>
      <w:divBdr>
        <w:top w:val="none" w:sz="0" w:space="0" w:color="auto"/>
        <w:left w:val="none" w:sz="0" w:space="0" w:color="auto"/>
        <w:bottom w:val="none" w:sz="0" w:space="0" w:color="auto"/>
        <w:right w:val="none" w:sz="0" w:space="0" w:color="auto"/>
      </w:divBdr>
    </w:div>
    <w:div w:id="1741050973">
      <w:marLeft w:val="0"/>
      <w:marRight w:val="0"/>
      <w:marTop w:val="0"/>
      <w:marBottom w:val="0"/>
      <w:divBdr>
        <w:top w:val="none" w:sz="0" w:space="0" w:color="auto"/>
        <w:left w:val="none" w:sz="0" w:space="0" w:color="auto"/>
        <w:bottom w:val="none" w:sz="0" w:space="0" w:color="auto"/>
        <w:right w:val="none" w:sz="0" w:space="0" w:color="auto"/>
      </w:divBdr>
      <w:divsChild>
        <w:div w:id="365063482">
          <w:marLeft w:val="0"/>
          <w:marRight w:val="0"/>
          <w:marTop w:val="0"/>
          <w:marBottom w:val="0"/>
          <w:divBdr>
            <w:top w:val="none" w:sz="0" w:space="0" w:color="auto"/>
            <w:left w:val="none" w:sz="0" w:space="0" w:color="auto"/>
            <w:bottom w:val="none" w:sz="0" w:space="0" w:color="auto"/>
            <w:right w:val="none" w:sz="0" w:space="0" w:color="auto"/>
          </w:divBdr>
        </w:div>
      </w:divsChild>
    </w:div>
    <w:div w:id="1741634390">
      <w:marLeft w:val="0"/>
      <w:marRight w:val="0"/>
      <w:marTop w:val="120"/>
      <w:marBottom w:val="0"/>
      <w:divBdr>
        <w:top w:val="none" w:sz="0" w:space="0" w:color="auto"/>
        <w:left w:val="none" w:sz="0" w:space="0" w:color="auto"/>
        <w:bottom w:val="none" w:sz="0" w:space="0" w:color="auto"/>
        <w:right w:val="none" w:sz="0" w:space="0" w:color="auto"/>
      </w:divBdr>
    </w:div>
    <w:div w:id="1741948413">
      <w:marLeft w:val="0"/>
      <w:marRight w:val="0"/>
      <w:marTop w:val="120"/>
      <w:marBottom w:val="0"/>
      <w:divBdr>
        <w:top w:val="none" w:sz="0" w:space="0" w:color="auto"/>
        <w:left w:val="none" w:sz="0" w:space="0" w:color="auto"/>
        <w:bottom w:val="none" w:sz="0" w:space="0" w:color="auto"/>
        <w:right w:val="none" w:sz="0" w:space="0" w:color="auto"/>
      </w:divBdr>
    </w:div>
    <w:div w:id="1742874127">
      <w:marLeft w:val="0"/>
      <w:marRight w:val="0"/>
      <w:marTop w:val="120"/>
      <w:marBottom w:val="0"/>
      <w:divBdr>
        <w:top w:val="none" w:sz="0" w:space="0" w:color="auto"/>
        <w:left w:val="none" w:sz="0" w:space="0" w:color="auto"/>
        <w:bottom w:val="none" w:sz="0" w:space="0" w:color="auto"/>
        <w:right w:val="none" w:sz="0" w:space="0" w:color="auto"/>
      </w:divBdr>
    </w:div>
    <w:div w:id="1747605882">
      <w:marLeft w:val="0"/>
      <w:marRight w:val="0"/>
      <w:marTop w:val="120"/>
      <w:marBottom w:val="0"/>
      <w:divBdr>
        <w:top w:val="none" w:sz="0" w:space="0" w:color="auto"/>
        <w:left w:val="none" w:sz="0" w:space="0" w:color="auto"/>
        <w:bottom w:val="none" w:sz="0" w:space="0" w:color="auto"/>
        <w:right w:val="none" w:sz="0" w:space="0" w:color="auto"/>
      </w:divBdr>
    </w:div>
    <w:div w:id="1748527772">
      <w:marLeft w:val="0"/>
      <w:marRight w:val="0"/>
      <w:marTop w:val="120"/>
      <w:marBottom w:val="0"/>
      <w:divBdr>
        <w:top w:val="none" w:sz="0" w:space="0" w:color="auto"/>
        <w:left w:val="none" w:sz="0" w:space="0" w:color="auto"/>
        <w:bottom w:val="none" w:sz="0" w:space="0" w:color="auto"/>
        <w:right w:val="none" w:sz="0" w:space="0" w:color="auto"/>
      </w:divBdr>
    </w:div>
    <w:div w:id="1749306114">
      <w:marLeft w:val="0"/>
      <w:marRight w:val="0"/>
      <w:marTop w:val="200"/>
      <w:marBottom w:val="0"/>
      <w:divBdr>
        <w:top w:val="none" w:sz="0" w:space="0" w:color="auto"/>
        <w:left w:val="none" w:sz="0" w:space="0" w:color="auto"/>
        <w:bottom w:val="none" w:sz="0" w:space="0" w:color="auto"/>
        <w:right w:val="none" w:sz="0" w:space="0" w:color="auto"/>
      </w:divBdr>
    </w:div>
    <w:div w:id="1749814184">
      <w:marLeft w:val="0"/>
      <w:marRight w:val="0"/>
      <w:marTop w:val="0"/>
      <w:marBottom w:val="0"/>
      <w:divBdr>
        <w:top w:val="none" w:sz="0" w:space="0" w:color="auto"/>
        <w:left w:val="none" w:sz="0" w:space="0" w:color="auto"/>
        <w:bottom w:val="none" w:sz="0" w:space="0" w:color="auto"/>
        <w:right w:val="none" w:sz="0" w:space="0" w:color="auto"/>
      </w:divBdr>
      <w:divsChild>
        <w:div w:id="624117504">
          <w:marLeft w:val="0"/>
          <w:marRight w:val="0"/>
          <w:marTop w:val="0"/>
          <w:marBottom w:val="0"/>
          <w:divBdr>
            <w:top w:val="none" w:sz="0" w:space="0" w:color="auto"/>
            <w:left w:val="none" w:sz="0" w:space="0" w:color="auto"/>
            <w:bottom w:val="none" w:sz="0" w:space="0" w:color="auto"/>
            <w:right w:val="none" w:sz="0" w:space="0" w:color="auto"/>
          </w:divBdr>
        </w:div>
      </w:divsChild>
    </w:div>
    <w:div w:id="1750695399">
      <w:marLeft w:val="0"/>
      <w:marRight w:val="0"/>
      <w:marTop w:val="120"/>
      <w:marBottom w:val="0"/>
      <w:divBdr>
        <w:top w:val="none" w:sz="0" w:space="0" w:color="auto"/>
        <w:left w:val="none" w:sz="0" w:space="0" w:color="auto"/>
        <w:bottom w:val="none" w:sz="0" w:space="0" w:color="auto"/>
        <w:right w:val="none" w:sz="0" w:space="0" w:color="auto"/>
      </w:divBdr>
    </w:div>
    <w:div w:id="1752655548">
      <w:marLeft w:val="0"/>
      <w:marRight w:val="0"/>
      <w:marTop w:val="120"/>
      <w:marBottom w:val="0"/>
      <w:divBdr>
        <w:top w:val="none" w:sz="0" w:space="0" w:color="auto"/>
        <w:left w:val="none" w:sz="0" w:space="0" w:color="auto"/>
        <w:bottom w:val="none" w:sz="0" w:space="0" w:color="auto"/>
        <w:right w:val="none" w:sz="0" w:space="0" w:color="auto"/>
      </w:divBdr>
    </w:div>
    <w:div w:id="1754667485">
      <w:marLeft w:val="0"/>
      <w:marRight w:val="0"/>
      <w:marTop w:val="0"/>
      <w:marBottom w:val="0"/>
      <w:divBdr>
        <w:top w:val="none" w:sz="0" w:space="0" w:color="auto"/>
        <w:left w:val="none" w:sz="0" w:space="0" w:color="auto"/>
        <w:bottom w:val="none" w:sz="0" w:space="0" w:color="auto"/>
        <w:right w:val="none" w:sz="0" w:space="0" w:color="auto"/>
      </w:divBdr>
    </w:div>
    <w:div w:id="1756317303">
      <w:marLeft w:val="0"/>
      <w:marRight w:val="0"/>
      <w:marTop w:val="120"/>
      <w:marBottom w:val="0"/>
      <w:divBdr>
        <w:top w:val="none" w:sz="0" w:space="0" w:color="auto"/>
        <w:left w:val="none" w:sz="0" w:space="0" w:color="auto"/>
        <w:bottom w:val="none" w:sz="0" w:space="0" w:color="auto"/>
        <w:right w:val="none" w:sz="0" w:space="0" w:color="auto"/>
      </w:divBdr>
    </w:div>
    <w:div w:id="1756704349">
      <w:marLeft w:val="0"/>
      <w:marRight w:val="0"/>
      <w:marTop w:val="120"/>
      <w:marBottom w:val="0"/>
      <w:divBdr>
        <w:top w:val="none" w:sz="0" w:space="0" w:color="auto"/>
        <w:left w:val="none" w:sz="0" w:space="0" w:color="auto"/>
        <w:bottom w:val="none" w:sz="0" w:space="0" w:color="auto"/>
        <w:right w:val="none" w:sz="0" w:space="0" w:color="auto"/>
      </w:divBdr>
    </w:div>
    <w:div w:id="1757288418">
      <w:marLeft w:val="0"/>
      <w:marRight w:val="0"/>
      <w:marTop w:val="0"/>
      <w:marBottom w:val="0"/>
      <w:divBdr>
        <w:top w:val="none" w:sz="0" w:space="0" w:color="auto"/>
        <w:left w:val="none" w:sz="0" w:space="0" w:color="auto"/>
        <w:bottom w:val="none" w:sz="0" w:space="0" w:color="auto"/>
        <w:right w:val="none" w:sz="0" w:space="0" w:color="auto"/>
      </w:divBdr>
      <w:divsChild>
        <w:div w:id="426049605">
          <w:marLeft w:val="0"/>
          <w:marRight w:val="0"/>
          <w:marTop w:val="0"/>
          <w:marBottom w:val="0"/>
          <w:divBdr>
            <w:top w:val="none" w:sz="0" w:space="0" w:color="auto"/>
            <w:left w:val="none" w:sz="0" w:space="0" w:color="auto"/>
            <w:bottom w:val="none" w:sz="0" w:space="0" w:color="auto"/>
            <w:right w:val="none" w:sz="0" w:space="0" w:color="auto"/>
          </w:divBdr>
        </w:div>
      </w:divsChild>
    </w:div>
    <w:div w:id="1757944366">
      <w:marLeft w:val="0"/>
      <w:marRight w:val="0"/>
      <w:marTop w:val="120"/>
      <w:marBottom w:val="0"/>
      <w:divBdr>
        <w:top w:val="none" w:sz="0" w:space="0" w:color="auto"/>
        <w:left w:val="none" w:sz="0" w:space="0" w:color="auto"/>
        <w:bottom w:val="none" w:sz="0" w:space="0" w:color="auto"/>
        <w:right w:val="none" w:sz="0" w:space="0" w:color="auto"/>
      </w:divBdr>
    </w:div>
    <w:div w:id="1758361259">
      <w:marLeft w:val="0"/>
      <w:marRight w:val="0"/>
      <w:marTop w:val="120"/>
      <w:marBottom w:val="0"/>
      <w:divBdr>
        <w:top w:val="none" w:sz="0" w:space="0" w:color="auto"/>
        <w:left w:val="none" w:sz="0" w:space="0" w:color="auto"/>
        <w:bottom w:val="none" w:sz="0" w:space="0" w:color="auto"/>
        <w:right w:val="none" w:sz="0" w:space="0" w:color="auto"/>
      </w:divBdr>
    </w:div>
    <w:div w:id="1759405344">
      <w:marLeft w:val="0"/>
      <w:marRight w:val="0"/>
      <w:marTop w:val="120"/>
      <w:marBottom w:val="0"/>
      <w:divBdr>
        <w:top w:val="none" w:sz="0" w:space="0" w:color="auto"/>
        <w:left w:val="none" w:sz="0" w:space="0" w:color="auto"/>
        <w:bottom w:val="none" w:sz="0" w:space="0" w:color="auto"/>
        <w:right w:val="none" w:sz="0" w:space="0" w:color="auto"/>
      </w:divBdr>
    </w:div>
    <w:div w:id="1762793067">
      <w:marLeft w:val="0"/>
      <w:marRight w:val="0"/>
      <w:marTop w:val="120"/>
      <w:marBottom w:val="0"/>
      <w:divBdr>
        <w:top w:val="none" w:sz="0" w:space="0" w:color="auto"/>
        <w:left w:val="none" w:sz="0" w:space="0" w:color="auto"/>
        <w:bottom w:val="none" w:sz="0" w:space="0" w:color="auto"/>
        <w:right w:val="none" w:sz="0" w:space="0" w:color="auto"/>
      </w:divBdr>
    </w:div>
    <w:div w:id="1763136904">
      <w:marLeft w:val="0"/>
      <w:marRight w:val="0"/>
      <w:marTop w:val="0"/>
      <w:marBottom w:val="0"/>
      <w:divBdr>
        <w:top w:val="none" w:sz="0" w:space="0" w:color="auto"/>
        <w:left w:val="none" w:sz="0" w:space="0" w:color="auto"/>
        <w:bottom w:val="none" w:sz="0" w:space="0" w:color="auto"/>
        <w:right w:val="none" w:sz="0" w:space="0" w:color="auto"/>
      </w:divBdr>
    </w:div>
    <w:div w:id="1763331315">
      <w:marLeft w:val="0"/>
      <w:marRight w:val="0"/>
      <w:marTop w:val="200"/>
      <w:marBottom w:val="0"/>
      <w:divBdr>
        <w:top w:val="none" w:sz="0" w:space="0" w:color="auto"/>
        <w:left w:val="none" w:sz="0" w:space="0" w:color="auto"/>
        <w:bottom w:val="none" w:sz="0" w:space="0" w:color="auto"/>
        <w:right w:val="none" w:sz="0" w:space="0" w:color="auto"/>
      </w:divBdr>
    </w:div>
    <w:div w:id="1763910783">
      <w:marLeft w:val="0"/>
      <w:marRight w:val="0"/>
      <w:marTop w:val="0"/>
      <w:marBottom w:val="0"/>
      <w:divBdr>
        <w:top w:val="none" w:sz="0" w:space="0" w:color="auto"/>
        <w:left w:val="none" w:sz="0" w:space="0" w:color="auto"/>
        <w:bottom w:val="none" w:sz="0" w:space="0" w:color="auto"/>
        <w:right w:val="none" w:sz="0" w:space="0" w:color="auto"/>
      </w:divBdr>
      <w:divsChild>
        <w:div w:id="2121105079">
          <w:marLeft w:val="0"/>
          <w:marRight w:val="0"/>
          <w:marTop w:val="0"/>
          <w:marBottom w:val="0"/>
          <w:divBdr>
            <w:top w:val="none" w:sz="0" w:space="0" w:color="auto"/>
            <w:left w:val="none" w:sz="0" w:space="0" w:color="auto"/>
            <w:bottom w:val="none" w:sz="0" w:space="0" w:color="auto"/>
            <w:right w:val="none" w:sz="0" w:space="0" w:color="auto"/>
          </w:divBdr>
        </w:div>
      </w:divsChild>
    </w:div>
    <w:div w:id="1764911161">
      <w:marLeft w:val="0"/>
      <w:marRight w:val="0"/>
      <w:marTop w:val="200"/>
      <w:marBottom w:val="0"/>
      <w:divBdr>
        <w:top w:val="none" w:sz="0" w:space="0" w:color="auto"/>
        <w:left w:val="none" w:sz="0" w:space="0" w:color="auto"/>
        <w:bottom w:val="none" w:sz="0" w:space="0" w:color="auto"/>
        <w:right w:val="none" w:sz="0" w:space="0" w:color="auto"/>
      </w:divBdr>
    </w:div>
    <w:div w:id="1765109094">
      <w:marLeft w:val="0"/>
      <w:marRight w:val="0"/>
      <w:marTop w:val="120"/>
      <w:marBottom w:val="0"/>
      <w:divBdr>
        <w:top w:val="none" w:sz="0" w:space="0" w:color="auto"/>
        <w:left w:val="none" w:sz="0" w:space="0" w:color="auto"/>
        <w:bottom w:val="none" w:sz="0" w:space="0" w:color="auto"/>
        <w:right w:val="none" w:sz="0" w:space="0" w:color="auto"/>
      </w:divBdr>
    </w:div>
    <w:div w:id="1765999451">
      <w:marLeft w:val="0"/>
      <w:marRight w:val="0"/>
      <w:marTop w:val="200"/>
      <w:marBottom w:val="0"/>
      <w:divBdr>
        <w:top w:val="none" w:sz="0" w:space="0" w:color="auto"/>
        <w:left w:val="none" w:sz="0" w:space="0" w:color="auto"/>
        <w:bottom w:val="none" w:sz="0" w:space="0" w:color="auto"/>
        <w:right w:val="none" w:sz="0" w:space="0" w:color="auto"/>
      </w:divBdr>
    </w:div>
    <w:div w:id="1766338165">
      <w:marLeft w:val="0"/>
      <w:marRight w:val="0"/>
      <w:marTop w:val="0"/>
      <w:marBottom w:val="0"/>
      <w:divBdr>
        <w:top w:val="none" w:sz="0" w:space="0" w:color="auto"/>
        <w:left w:val="none" w:sz="0" w:space="0" w:color="auto"/>
        <w:bottom w:val="none" w:sz="0" w:space="0" w:color="auto"/>
        <w:right w:val="none" w:sz="0" w:space="0" w:color="auto"/>
      </w:divBdr>
      <w:divsChild>
        <w:div w:id="1750812620">
          <w:marLeft w:val="0"/>
          <w:marRight w:val="0"/>
          <w:marTop w:val="0"/>
          <w:marBottom w:val="0"/>
          <w:divBdr>
            <w:top w:val="none" w:sz="0" w:space="0" w:color="auto"/>
            <w:left w:val="none" w:sz="0" w:space="0" w:color="auto"/>
            <w:bottom w:val="none" w:sz="0" w:space="0" w:color="auto"/>
            <w:right w:val="none" w:sz="0" w:space="0" w:color="auto"/>
          </w:divBdr>
        </w:div>
      </w:divsChild>
    </w:div>
    <w:div w:id="1766535402">
      <w:marLeft w:val="0"/>
      <w:marRight w:val="0"/>
      <w:marTop w:val="0"/>
      <w:marBottom w:val="0"/>
      <w:divBdr>
        <w:top w:val="none" w:sz="0" w:space="0" w:color="auto"/>
        <w:left w:val="none" w:sz="0" w:space="0" w:color="auto"/>
        <w:bottom w:val="none" w:sz="0" w:space="0" w:color="auto"/>
        <w:right w:val="none" w:sz="0" w:space="0" w:color="auto"/>
      </w:divBdr>
      <w:divsChild>
        <w:div w:id="363754026">
          <w:marLeft w:val="0"/>
          <w:marRight w:val="0"/>
          <w:marTop w:val="0"/>
          <w:marBottom w:val="0"/>
          <w:divBdr>
            <w:top w:val="none" w:sz="0" w:space="0" w:color="auto"/>
            <w:left w:val="none" w:sz="0" w:space="0" w:color="auto"/>
            <w:bottom w:val="none" w:sz="0" w:space="0" w:color="auto"/>
            <w:right w:val="none" w:sz="0" w:space="0" w:color="auto"/>
          </w:divBdr>
        </w:div>
      </w:divsChild>
    </w:div>
    <w:div w:id="1768110515">
      <w:marLeft w:val="0"/>
      <w:marRight w:val="0"/>
      <w:marTop w:val="200"/>
      <w:marBottom w:val="0"/>
      <w:divBdr>
        <w:top w:val="none" w:sz="0" w:space="0" w:color="auto"/>
        <w:left w:val="none" w:sz="0" w:space="0" w:color="auto"/>
        <w:bottom w:val="none" w:sz="0" w:space="0" w:color="auto"/>
        <w:right w:val="none" w:sz="0" w:space="0" w:color="auto"/>
      </w:divBdr>
    </w:div>
    <w:div w:id="1769885843">
      <w:marLeft w:val="0"/>
      <w:marRight w:val="0"/>
      <w:marTop w:val="120"/>
      <w:marBottom w:val="0"/>
      <w:divBdr>
        <w:top w:val="none" w:sz="0" w:space="0" w:color="auto"/>
        <w:left w:val="none" w:sz="0" w:space="0" w:color="auto"/>
        <w:bottom w:val="none" w:sz="0" w:space="0" w:color="auto"/>
        <w:right w:val="none" w:sz="0" w:space="0" w:color="auto"/>
      </w:divBdr>
    </w:div>
    <w:div w:id="1772357184">
      <w:marLeft w:val="0"/>
      <w:marRight w:val="0"/>
      <w:marTop w:val="120"/>
      <w:marBottom w:val="0"/>
      <w:divBdr>
        <w:top w:val="none" w:sz="0" w:space="0" w:color="auto"/>
        <w:left w:val="none" w:sz="0" w:space="0" w:color="auto"/>
        <w:bottom w:val="none" w:sz="0" w:space="0" w:color="auto"/>
        <w:right w:val="none" w:sz="0" w:space="0" w:color="auto"/>
      </w:divBdr>
    </w:div>
    <w:div w:id="1777020506">
      <w:marLeft w:val="0"/>
      <w:marRight w:val="0"/>
      <w:marTop w:val="200"/>
      <w:marBottom w:val="0"/>
      <w:divBdr>
        <w:top w:val="none" w:sz="0" w:space="0" w:color="auto"/>
        <w:left w:val="none" w:sz="0" w:space="0" w:color="auto"/>
        <w:bottom w:val="none" w:sz="0" w:space="0" w:color="auto"/>
        <w:right w:val="none" w:sz="0" w:space="0" w:color="auto"/>
      </w:divBdr>
    </w:div>
    <w:div w:id="1777863423">
      <w:marLeft w:val="0"/>
      <w:marRight w:val="0"/>
      <w:marTop w:val="120"/>
      <w:marBottom w:val="0"/>
      <w:divBdr>
        <w:top w:val="none" w:sz="0" w:space="0" w:color="auto"/>
        <w:left w:val="none" w:sz="0" w:space="0" w:color="auto"/>
        <w:bottom w:val="none" w:sz="0" w:space="0" w:color="auto"/>
        <w:right w:val="none" w:sz="0" w:space="0" w:color="auto"/>
      </w:divBdr>
    </w:div>
    <w:div w:id="1778215976">
      <w:marLeft w:val="0"/>
      <w:marRight w:val="0"/>
      <w:marTop w:val="200"/>
      <w:marBottom w:val="0"/>
      <w:divBdr>
        <w:top w:val="none" w:sz="0" w:space="0" w:color="auto"/>
        <w:left w:val="none" w:sz="0" w:space="0" w:color="auto"/>
        <w:bottom w:val="none" w:sz="0" w:space="0" w:color="auto"/>
        <w:right w:val="none" w:sz="0" w:space="0" w:color="auto"/>
      </w:divBdr>
    </w:div>
    <w:div w:id="1779980681">
      <w:marLeft w:val="0"/>
      <w:marRight w:val="0"/>
      <w:marTop w:val="120"/>
      <w:marBottom w:val="0"/>
      <w:divBdr>
        <w:top w:val="none" w:sz="0" w:space="0" w:color="auto"/>
        <w:left w:val="none" w:sz="0" w:space="0" w:color="auto"/>
        <w:bottom w:val="none" w:sz="0" w:space="0" w:color="auto"/>
        <w:right w:val="none" w:sz="0" w:space="0" w:color="auto"/>
      </w:divBdr>
    </w:div>
    <w:div w:id="1780761392">
      <w:marLeft w:val="0"/>
      <w:marRight w:val="0"/>
      <w:marTop w:val="200"/>
      <w:marBottom w:val="0"/>
      <w:divBdr>
        <w:top w:val="none" w:sz="0" w:space="0" w:color="auto"/>
        <w:left w:val="none" w:sz="0" w:space="0" w:color="auto"/>
        <w:bottom w:val="none" w:sz="0" w:space="0" w:color="auto"/>
        <w:right w:val="none" w:sz="0" w:space="0" w:color="auto"/>
      </w:divBdr>
    </w:div>
    <w:div w:id="1781224306">
      <w:marLeft w:val="0"/>
      <w:marRight w:val="0"/>
      <w:marTop w:val="0"/>
      <w:marBottom w:val="0"/>
      <w:divBdr>
        <w:top w:val="none" w:sz="0" w:space="0" w:color="auto"/>
        <w:left w:val="none" w:sz="0" w:space="0" w:color="auto"/>
        <w:bottom w:val="none" w:sz="0" w:space="0" w:color="auto"/>
        <w:right w:val="none" w:sz="0" w:space="0" w:color="auto"/>
      </w:divBdr>
      <w:divsChild>
        <w:div w:id="1204758130">
          <w:marLeft w:val="0"/>
          <w:marRight w:val="0"/>
          <w:marTop w:val="0"/>
          <w:marBottom w:val="0"/>
          <w:divBdr>
            <w:top w:val="none" w:sz="0" w:space="0" w:color="auto"/>
            <w:left w:val="none" w:sz="0" w:space="0" w:color="auto"/>
            <w:bottom w:val="none" w:sz="0" w:space="0" w:color="auto"/>
            <w:right w:val="none" w:sz="0" w:space="0" w:color="auto"/>
          </w:divBdr>
        </w:div>
      </w:divsChild>
    </w:div>
    <w:div w:id="1781604824">
      <w:marLeft w:val="0"/>
      <w:marRight w:val="0"/>
      <w:marTop w:val="120"/>
      <w:marBottom w:val="0"/>
      <w:divBdr>
        <w:top w:val="none" w:sz="0" w:space="0" w:color="auto"/>
        <w:left w:val="none" w:sz="0" w:space="0" w:color="auto"/>
        <w:bottom w:val="none" w:sz="0" w:space="0" w:color="auto"/>
        <w:right w:val="none" w:sz="0" w:space="0" w:color="auto"/>
      </w:divBdr>
    </w:div>
    <w:div w:id="1781753878">
      <w:marLeft w:val="0"/>
      <w:marRight w:val="0"/>
      <w:marTop w:val="120"/>
      <w:marBottom w:val="0"/>
      <w:divBdr>
        <w:top w:val="none" w:sz="0" w:space="0" w:color="auto"/>
        <w:left w:val="none" w:sz="0" w:space="0" w:color="auto"/>
        <w:bottom w:val="none" w:sz="0" w:space="0" w:color="auto"/>
        <w:right w:val="none" w:sz="0" w:space="0" w:color="auto"/>
      </w:divBdr>
    </w:div>
    <w:div w:id="1781798066">
      <w:marLeft w:val="0"/>
      <w:marRight w:val="0"/>
      <w:marTop w:val="120"/>
      <w:marBottom w:val="0"/>
      <w:divBdr>
        <w:top w:val="none" w:sz="0" w:space="0" w:color="auto"/>
        <w:left w:val="none" w:sz="0" w:space="0" w:color="auto"/>
        <w:bottom w:val="none" w:sz="0" w:space="0" w:color="auto"/>
        <w:right w:val="none" w:sz="0" w:space="0" w:color="auto"/>
      </w:divBdr>
    </w:div>
    <w:div w:id="1781948985">
      <w:marLeft w:val="0"/>
      <w:marRight w:val="0"/>
      <w:marTop w:val="200"/>
      <w:marBottom w:val="0"/>
      <w:divBdr>
        <w:top w:val="none" w:sz="0" w:space="0" w:color="auto"/>
        <w:left w:val="none" w:sz="0" w:space="0" w:color="auto"/>
        <w:bottom w:val="none" w:sz="0" w:space="0" w:color="auto"/>
        <w:right w:val="none" w:sz="0" w:space="0" w:color="auto"/>
      </w:divBdr>
    </w:div>
    <w:div w:id="1785416504">
      <w:marLeft w:val="0"/>
      <w:marRight w:val="0"/>
      <w:marTop w:val="120"/>
      <w:marBottom w:val="0"/>
      <w:divBdr>
        <w:top w:val="none" w:sz="0" w:space="0" w:color="auto"/>
        <w:left w:val="none" w:sz="0" w:space="0" w:color="auto"/>
        <w:bottom w:val="none" w:sz="0" w:space="0" w:color="auto"/>
        <w:right w:val="none" w:sz="0" w:space="0" w:color="auto"/>
      </w:divBdr>
    </w:div>
    <w:div w:id="1785611056">
      <w:marLeft w:val="0"/>
      <w:marRight w:val="0"/>
      <w:marTop w:val="120"/>
      <w:marBottom w:val="0"/>
      <w:divBdr>
        <w:top w:val="none" w:sz="0" w:space="0" w:color="auto"/>
        <w:left w:val="none" w:sz="0" w:space="0" w:color="auto"/>
        <w:bottom w:val="none" w:sz="0" w:space="0" w:color="auto"/>
        <w:right w:val="none" w:sz="0" w:space="0" w:color="auto"/>
      </w:divBdr>
    </w:div>
    <w:div w:id="1786193443">
      <w:marLeft w:val="0"/>
      <w:marRight w:val="0"/>
      <w:marTop w:val="120"/>
      <w:marBottom w:val="0"/>
      <w:divBdr>
        <w:top w:val="none" w:sz="0" w:space="0" w:color="auto"/>
        <w:left w:val="none" w:sz="0" w:space="0" w:color="auto"/>
        <w:bottom w:val="none" w:sz="0" w:space="0" w:color="auto"/>
        <w:right w:val="none" w:sz="0" w:space="0" w:color="auto"/>
      </w:divBdr>
    </w:div>
    <w:div w:id="1786726228">
      <w:marLeft w:val="0"/>
      <w:marRight w:val="0"/>
      <w:marTop w:val="120"/>
      <w:marBottom w:val="0"/>
      <w:divBdr>
        <w:top w:val="none" w:sz="0" w:space="0" w:color="auto"/>
        <w:left w:val="none" w:sz="0" w:space="0" w:color="auto"/>
        <w:bottom w:val="none" w:sz="0" w:space="0" w:color="auto"/>
        <w:right w:val="none" w:sz="0" w:space="0" w:color="auto"/>
      </w:divBdr>
    </w:div>
    <w:div w:id="1787694259">
      <w:marLeft w:val="0"/>
      <w:marRight w:val="0"/>
      <w:marTop w:val="120"/>
      <w:marBottom w:val="0"/>
      <w:divBdr>
        <w:top w:val="none" w:sz="0" w:space="0" w:color="auto"/>
        <w:left w:val="none" w:sz="0" w:space="0" w:color="auto"/>
        <w:bottom w:val="none" w:sz="0" w:space="0" w:color="auto"/>
        <w:right w:val="none" w:sz="0" w:space="0" w:color="auto"/>
      </w:divBdr>
    </w:div>
    <w:div w:id="1789618152">
      <w:marLeft w:val="0"/>
      <w:marRight w:val="0"/>
      <w:marTop w:val="0"/>
      <w:marBottom w:val="0"/>
      <w:divBdr>
        <w:top w:val="none" w:sz="0" w:space="0" w:color="auto"/>
        <w:left w:val="none" w:sz="0" w:space="0" w:color="auto"/>
        <w:bottom w:val="none" w:sz="0" w:space="0" w:color="auto"/>
        <w:right w:val="none" w:sz="0" w:space="0" w:color="auto"/>
      </w:divBdr>
      <w:divsChild>
        <w:div w:id="2109301533">
          <w:marLeft w:val="0"/>
          <w:marRight w:val="0"/>
          <w:marTop w:val="0"/>
          <w:marBottom w:val="0"/>
          <w:divBdr>
            <w:top w:val="none" w:sz="0" w:space="0" w:color="auto"/>
            <w:left w:val="none" w:sz="0" w:space="0" w:color="auto"/>
            <w:bottom w:val="none" w:sz="0" w:space="0" w:color="auto"/>
            <w:right w:val="none" w:sz="0" w:space="0" w:color="auto"/>
          </w:divBdr>
        </w:div>
      </w:divsChild>
    </w:div>
    <w:div w:id="1789733973">
      <w:marLeft w:val="0"/>
      <w:marRight w:val="0"/>
      <w:marTop w:val="120"/>
      <w:marBottom w:val="0"/>
      <w:divBdr>
        <w:top w:val="none" w:sz="0" w:space="0" w:color="auto"/>
        <w:left w:val="none" w:sz="0" w:space="0" w:color="auto"/>
        <w:bottom w:val="none" w:sz="0" w:space="0" w:color="auto"/>
        <w:right w:val="none" w:sz="0" w:space="0" w:color="auto"/>
      </w:divBdr>
    </w:div>
    <w:div w:id="1789885212">
      <w:marLeft w:val="0"/>
      <w:marRight w:val="0"/>
      <w:marTop w:val="0"/>
      <w:marBottom w:val="0"/>
      <w:divBdr>
        <w:top w:val="none" w:sz="0" w:space="0" w:color="auto"/>
        <w:left w:val="none" w:sz="0" w:space="0" w:color="auto"/>
        <w:bottom w:val="none" w:sz="0" w:space="0" w:color="auto"/>
        <w:right w:val="none" w:sz="0" w:space="0" w:color="auto"/>
      </w:divBdr>
      <w:divsChild>
        <w:div w:id="1504590958">
          <w:marLeft w:val="0"/>
          <w:marRight w:val="0"/>
          <w:marTop w:val="0"/>
          <w:marBottom w:val="0"/>
          <w:divBdr>
            <w:top w:val="none" w:sz="0" w:space="0" w:color="auto"/>
            <w:left w:val="none" w:sz="0" w:space="0" w:color="auto"/>
            <w:bottom w:val="none" w:sz="0" w:space="0" w:color="auto"/>
            <w:right w:val="none" w:sz="0" w:space="0" w:color="auto"/>
          </w:divBdr>
        </w:div>
      </w:divsChild>
    </w:div>
    <w:div w:id="1792094247">
      <w:marLeft w:val="0"/>
      <w:marRight w:val="0"/>
      <w:marTop w:val="120"/>
      <w:marBottom w:val="0"/>
      <w:divBdr>
        <w:top w:val="none" w:sz="0" w:space="0" w:color="auto"/>
        <w:left w:val="none" w:sz="0" w:space="0" w:color="auto"/>
        <w:bottom w:val="none" w:sz="0" w:space="0" w:color="auto"/>
        <w:right w:val="none" w:sz="0" w:space="0" w:color="auto"/>
      </w:divBdr>
    </w:div>
    <w:div w:id="1796363357">
      <w:marLeft w:val="0"/>
      <w:marRight w:val="0"/>
      <w:marTop w:val="120"/>
      <w:marBottom w:val="0"/>
      <w:divBdr>
        <w:top w:val="none" w:sz="0" w:space="0" w:color="auto"/>
        <w:left w:val="none" w:sz="0" w:space="0" w:color="auto"/>
        <w:bottom w:val="none" w:sz="0" w:space="0" w:color="auto"/>
        <w:right w:val="none" w:sz="0" w:space="0" w:color="auto"/>
      </w:divBdr>
    </w:div>
    <w:div w:id="1796944634">
      <w:marLeft w:val="0"/>
      <w:marRight w:val="0"/>
      <w:marTop w:val="120"/>
      <w:marBottom w:val="0"/>
      <w:divBdr>
        <w:top w:val="none" w:sz="0" w:space="0" w:color="auto"/>
        <w:left w:val="none" w:sz="0" w:space="0" w:color="auto"/>
        <w:bottom w:val="none" w:sz="0" w:space="0" w:color="auto"/>
        <w:right w:val="none" w:sz="0" w:space="0" w:color="auto"/>
      </w:divBdr>
    </w:div>
    <w:div w:id="1797867843">
      <w:marLeft w:val="0"/>
      <w:marRight w:val="0"/>
      <w:marTop w:val="120"/>
      <w:marBottom w:val="0"/>
      <w:divBdr>
        <w:top w:val="none" w:sz="0" w:space="0" w:color="auto"/>
        <w:left w:val="none" w:sz="0" w:space="0" w:color="auto"/>
        <w:bottom w:val="none" w:sz="0" w:space="0" w:color="auto"/>
        <w:right w:val="none" w:sz="0" w:space="0" w:color="auto"/>
      </w:divBdr>
    </w:div>
    <w:div w:id="1797869885">
      <w:marLeft w:val="0"/>
      <w:marRight w:val="0"/>
      <w:marTop w:val="120"/>
      <w:marBottom w:val="0"/>
      <w:divBdr>
        <w:top w:val="none" w:sz="0" w:space="0" w:color="auto"/>
        <w:left w:val="none" w:sz="0" w:space="0" w:color="auto"/>
        <w:bottom w:val="none" w:sz="0" w:space="0" w:color="auto"/>
        <w:right w:val="none" w:sz="0" w:space="0" w:color="auto"/>
      </w:divBdr>
    </w:div>
    <w:div w:id="1800758232">
      <w:marLeft w:val="0"/>
      <w:marRight w:val="0"/>
      <w:marTop w:val="0"/>
      <w:marBottom w:val="0"/>
      <w:divBdr>
        <w:top w:val="none" w:sz="0" w:space="0" w:color="auto"/>
        <w:left w:val="none" w:sz="0" w:space="0" w:color="auto"/>
        <w:bottom w:val="none" w:sz="0" w:space="0" w:color="auto"/>
        <w:right w:val="none" w:sz="0" w:space="0" w:color="auto"/>
      </w:divBdr>
      <w:divsChild>
        <w:div w:id="164591383">
          <w:marLeft w:val="0"/>
          <w:marRight w:val="0"/>
          <w:marTop w:val="0"/>
          <w:marBottom w:val="0"/>
          <w:divBdr>
            <w:top w:val="none" w:sz="0" w:space="0" w:color="auto"/>
            <w:left w:val="none" w:sz="0" w:space="0" w:color="auto"/>
            <w:bottom w:val="none" w:sz="0" w:space="0" w:color="auto"/>
            <w:right w:val="none" w:sz="0" w:space="0" w:color="auto"/>
          </w:divBdr>
        </w:div>
      </w:divsChild>
    </w:div>
    <w:div w:id="1802528889">
      <w:marLeft w:val="0"/>
      <w:marRight w:val="0"/>
      <w:marTop w:val="200"/>
      <w:marBottom w:val="0"/>
      <w:divBdr>
        <w:top w:val="none" w:sz="0" w:space="0" w:color="auto"/>
        <w:left w:val="none" w:sz="0" w:space="0" w:color="auto"/>
        <w:bottom w:val="none" w:sz="0" w:space="0" w:color="auto"/>
        <w:right w:val="none" w:sz="0" w:space="0" w:color="auto"/>
      </w:divBdr>
    </w:div>
    <w:div w:id="1803186984">
      <w:marLeft w:val="0"/>
      <w:marRight w:val="0"/>
      <w:marTop w:val="120"/>
      <w:marBottom w:val="0"/>
      <w:divBdr>
        <w:top w:val="none" w:sz="0" w:space="0" w:color="auto"/>
        <w:left w:val="none" w:sz="0" w:space="0" w:color="auto"/>
        <w:bottom w:val="none" w:sz="0" w:space="0" w:color="auto"/>
        <w:right w:val="none" w:sz="0" w:space="0" w:color="auto"/>
      </w:divBdr>
    </w:div>
    <w:div w:id="1804082327">
      <w:marLeft w:val="0"/>
      <w:marRight w:val="0"/>
      <w:marTop w:val="120"/>
      <w:marBottom w:val="0"/>
      <w:divBdr>
        <w:top w:val="none" w:sz="0" w:space="0" w:color="auto"/>
        <w:left w:val="none" w:sz="0" w:space="0" w:color="auto"/>
        <w:bottom w:val="none" w:sz="0" w:space="0" w:color="auto"/>
        <w:right w:val="none" w:sz="0" w:space="0" w:color="auto"/>
      </w:divBdr>
    </w:div>
    <w:div w:id="1804150795">
      <w:marLeft w:val="0"/>
      <w:marRight w:val="0"/>
      <w:marTop w:val="120"/>
      <w:marBottom w:val="0"/>
      <w:divBdr>
        <w:top w:val="none" w:sz="0" w:space="0" w:color="auto"/>
        <w:left w:val="none" w:sz="0" w:space="0" w:color="auto"/>
        <w:bottom w:val="none" w:sz="0" w:space="0" w:color="auto"/>
        <w:right w:val="none" w:sz="0" w:space="0" w:color="auto"/>
      </w:divBdr>
    </w:div>
    <w:div w:id="1804346995">
      <w:marLeft w:val="0"/>
      <w:marRight w:val="0"/>
      <w:marTop w:val="120"/>
      <w:marBottom w:val="0"/>
      <w:divBdr>
        <w:top w:val="none" w:sz="0" w:space="0" w:color="auto"/>
        <w:left w:val="none" w:sz="0" w:space="0" w:color="auto"/>
        <w:bottom w:val="none" w:sz="0" w:space="0" w:color="auto"/>
        <w:right w:val="none" w:sz="0" w:space="0" w:color="auto"/>
      </w:divBdr>
    </w:div>
    <w:div w:id="1804469846">
      <w:marLeft w:val="0"/>
      <w:marRight w:val="0"/>
      <w:marTop w:val="0"/>
      <w:marBottom w:val="0"/>
      <w:divBdr>
        <w:top w:val="none" w:sz="0" w:space="0" w:color="auto"/>
        <w:left w:val="none" w:sz="0" w:space="0" w:color="auto"/>
        <w:bottom w:val="none" w:sz="0" w:space="0" w:color="auto"/>
        <w:right w:val="none" w:sz="0" w:space="0" w:color="auto"/>
      </w:divBdr>
    </w:div>
    <w:div w:id="1804738473">
      <w:marLeft w:val="0"/>
      <w:marRight w:val="0"/>
      <w:marTop w:val="200"/>
      <w:marBottom w:val="0"/>
      <w:divBdr>
        <w:top w:val="none" w:sz="0" w:space="0" w:color="auto"/>
        <w:left w:val="none" w:sz="0" w:space="0" w:color="auto"/>
        <w:bottom w:val="none" w:sz="0" w:space="0" w:color="auto"/>
        <w:right w:val="none" w:sz="0" w:space="0" w:color="auto"/>
      </w:divBdr>
    </w:div>
    <w:div w:id="1805804447">
      <w:marLeft w:val="0"/>
      <w:marRight w:val="0"/>
      <w:marTop w:val="120"/>
      <w:marBottom w:val="0"/>
      <w:divBdr>
        <w:top w:val="none" w:sz="0" w:space="0" w:color="auto"/>
        <w:left w:val="none" w:sz="0" w:space="0" w:color="auto"/>
        <w:bottom w:val="none" w:sz="0" w:space="0" w:color="auto"/>
        <w:right w:val="none" w:sz="0" w:space="0" w:color="auto"/>
      </w:divBdr>
    </w:div>
    <w:div w:id="1807703631">
      <w:marLeft w:val="0"/>
      <w:marRight w:val="0"/>
      <w:marTop w:val="120"/>
      <w:marBottom w:val="0"/>
      <w:divBdr>
        <w:top w:val="none" w:sz="0" w:space="0" w:color="auto"/>
        <w:left w:val="none" w:sz="0" w:space="0" w:color="auto"/>
        <w:bottom w:val="none" w:sz="0" w:space="0" w:color="auto"/>
        <w:right w:val="none" w:sz="0" w:space="0" w:color="auto"/>
      </w:divBdr>
    </w:div>
    <w:div w:id="1808933099">
      <w:marLeft w:val="0"/>
      <w:marRight w:val="0"/>
      <w:marTop w:val="0"/>
      <w:marBottom w:val="0"/>
      <w:divBdr>
        <w:top w:val="none" w:sz="0" w:space="0" w:color="auto"/>
        <w:left w:val="none" w:sz="0" w:space="0" w:color="auto"/>
        <w:bottom w:val="none" w:sz="0" w:space="0" w:color="auto"/>
        <w:right w:val="none" w:sz="0" w:space="0" w:color="auto"/>
      </w:divBdr>
      <w:divsChild>
        <w:div w:id="1009718506">
          <w:marLeft w:val="0"/>
          <w:marRight w:val="0"/>
          <w:marTop w:val="0"/>
          <w:marBottom w:val="0"/>
          <w:divBdr>
            <w:top w:val="none" w:sz="0" w:space="0" w:color="auto"/>
            <w:left w:val="none" w:sz="0" w:space="0" w:color="auto"/>
            <w:bottom w:val="none" w:sz="0" w:space="0" w:color="auto"/>
            <w:right w:val="none" w:sz="0" w:space="0" w:color="auto"/>
          </w:divBdr>
        </w:div>
      </w:divsChild>
    </w:div>
    <w:div w:id="1809130460">
      <w:marLeft w:val="0"/>
      <w:marRight w:val="0"/>
      <w:marTop w:val="120"/>
      <w:marBottom w:val="0"/>
      <w:divBdr>
        <w:top w:val="none" w:sz="0" w:space="0" w:color="auto"/>
        <w:left w:val="none" w:sz="0" w:space="0" w:color="auto"/>
        <w:bottom w:val="none" w:sz="0" w:space="0" w:color="auto"/>
        <w:right w:val="none" w:sz="0" w:space="0" w:color="auto"/>
      </w:divBdr>
    </w:div>
    <w:div w:id="1809662202">
      <w:marLeft w:val="0"/>
      <w:marRight w:val="0"/>
      <w:marTop w:val="120"/>
      <w:marBottom w:val="0"/>
      <w:divBdr>
        <w:top w:val="none" w:sz="0" w:space="0" w:color="auto"/>
        <w:left w:val="none" w:sz="0" w:space="0" w:color="auto"/>
        <w:bottom w:val="none" w:sz="0" w:space="0" w:color="auto"/>
        <w:right w:val="none" w:sz="0" w:space="0" w:color="auto"/>
      </w:divBdr>
    </w:div>
    <w:div w:id="1810593106">
      <w:marLeft w:val="0"/>
      <w:marRight w:val="0"/>
      <w:marTop w:val="200"/>
      <w:marBottom w:val="0"/>
      <w:divBdr>
        <w:top w:val="none" w:sz="0" w:space="0" w:color="auto"/>
        <w:left w:val="none" w:sz="0" w:space="0" w:color="auto"/>
        <w:bottom w:val="none" w:sz="0" w:space="0" w:color="auto"/>
        <w:right w:val="none" w:sz="0" w:space="0" w:color="auto"/>
      </w:divBdr>
    </w:div>
    <w:div w:id="1810633700">
      <w:marLeft w:val="0"/>
      <w:marRight w:val="0"/>
      <w:marTop w:val="120"/>
      <w:marBottom w:val="0"/>
      <w:divBdr>
        <w:top w:val="none" w:sz="0" w:space="0" w:color="auto"/>
        <w:left w:val="none" w:sz="0" w:space="0" w:color="auto"/>
        <w:bottom w:val="none" w:sz="0" w:space="0" w:color="auto"/>
        <w:right w:val="none" w:sz="0" w:space="0" w:color="auto"/>
      </w:divBdr>
    </w:div>
    <w:div w:id="1810900100">
      <w:marLeft w:val="0"/>
      <w:marRight w:val="0"/>
      <w:marTop w:val="0"/>
      <w:marBottom w:val="0"/>
      <w:divBdr>
        <w:top w:val="none" w:sz="0" w:space="0" w:color="auto"/>
        <w:left w:val="none" w:sz="0" w:space="0" w:color="auto"/>
        <w:bottom w:val="none" w:sz="0" w:space="0" w:color="auto"/>
        <w:right w:val="none" w:sz="0" w:space="0" w:color="auto"/>
      </w:divBdr>
      <w:divsChild>
        <w:div w:id="2102945105">
          <w:marLeft w:val="0"/>
          <w:marRight w:val="0"/>
          <w:marTop w:val="0"/>
          <w:marBottom w:val="0"/>
          <w:divBdr>
            <w:top w:val="none" w:sz="0" w:space="0" w:color="auto"/>
            <w:left w:val="none" w:sz="0" w:space="0" w:color="auto"/>
            <w:bottom w:val="none" w:sz="0" w:space="0" w:color="auto"/>
            <w:right w:val="none" w:sz="0" w:space="0" w:color="auto"/>
          </w:divBdr>
        </w:div>
      </w:divsChild>
    </w:div>
    <w:div w:id="1812475369">
      <w:marLeft w:val="0"/>
      <w:marRight w:val="0"/>
      <w:marTop w:val="120"/>
      <w:marBottom w:val="0"/>
      <w:divBdr>
        <w:top w:val="none" w:sz="0" w:space="0" w:color="auto"/>
        <w:left w:val="none" w:sz="0" w:space="0" w:color="auto"/>
        <w:bottom w:val="none" w:sz="0" w:space="0" w:color="auto"/>
        <w:right w:val="none" w:sz="0" w:space="0" w:color="auto"/>
      </w:divBdr>
    </w:div>
    <w:div w:id="1813211521">
      <w:marLeft w:val="0"/>
      <w:marRight w:val="0"/>
      <w:marTop w:val="200"/>
      <w:marBottom w:val="0"/>
      <w:divBdr>
        <w:top w:val="none" w:sz="0" w:space="0" w:color="auto"/>
        <w:left w:val="none" w:sz="0" w:space="0" w:color="auto"/>
        <w:bottom w:val="none" w:sz="0" w:space="0" w:color="auto"/>
        <w:right w:val="none" w:sz="0" w:space="0" w:color="auto"/>
      </w:divBdr>
    </w:div>
    <w:div w:id="1816098921">
      <w:marLeft w:val="0"/>
      <w:marRight w:val="0"/>
      <w:marTop w:val="200"/>
      <w:marBottom w:val="0"/>
      <w:divBdr>
        <w:top w:val="none" w:sz="0" w:space="0" w:color="auto"/>
        <w:left w:val="none" w:sz="0" w:space="0" w:color="auto"/>
        <w:bottom w:val="none" w:sz="0" w:space="0" w:color="auto"/>
        <w:right w:val="none" w:sz="0" w:space="0" w:color="auto"/>
      </w:divBdr>
    </w:div>
    <w:div w:id="1816876295">
      <w:marLeft w:val="0"/>
      <w:marRight w:val="0"/>
      <w:marTop w:val="120"/>
      <w:marBottom w:val="0"/>
      <w:divBdr>
        <w:top w:val="none" w:sz="0" w:space="0" w:color="auto"/>
        <w:left w:val="none" w:sz="0" w:space="0" w:color="auto"/>
        <w:bottom w:val="none" w:sz="0" w:space="0" w:color="auto"/>
        <w:right w:val="none" w:sz="0" w:space="0" w:color="auto"/>
      </w:divBdr>
    </w:div>
    <w:div w:id="1818107414">
      <w:marLeft w:val="0"/>
      <w:marRight w:val="0"/>
      <w:marTop w:val="200"/>
      <w:marBottom w:val="0"/>
      <w:divBdr>
        <w:top w:val="none" w:sz="0" w:space="0" w:color="auto"/>
        <w:left w:val="none" w:sz="0" w:space="0" w:color="auto"/>
        <w:bottom w:val="none" w:sz="0" w:space="0" w:color="auto"/>
        <w:right w:val="none" w:sz="0" w:space="0" w:color="auto"/>
      </w:divBdr>
    </w:div>
    <w:div w:id="1818372721">
      <w:marLeft w:val="0"/>
      <w:marRight w:val="0"/>
      <w:marTop w:val="0"/>
      <w:marBottom w:val="0"/>
      <w:divBdr>
        <w:top w:val="none" w:sz="0" w:space="0" w:color="auto"/>
        <w:left w:val="none" w:sz="0" w:space="0" w:color="auto"/>
        <w:bottom w:val="none" w:sz="0" w:space="0" w:color="auto"/>
        <w:right w:val="none" w:sz="0" w:space="0" w:color="auto"/>
      </w:divBdr>
      <w:divsChild>
        <w:div w:id="460392221">
          <w:marLeft w:val="0"/>
          <w:marRight w:val="0"/>
          <w:marTop w:val="0"/>
          <w:marBottom w:val="0"/>
          <w:divBdr>
            <w:top w:val="none" w:sz="0" w:space="0" w:color="auto"/>
            <w:left w:val="none" w:sz="0" w:space="0" w:color="auto"/>
            <w:bottom w:val="none" w:sz="0" w:space="0" w:color="auto"/>
            <w:right w:val="none" w:sz="0" w:space="0" w:color="auto"/>
          </w:divBdr>
        </w:div>
      </w:divsChild>
    </w:div>
    <w:div w:id="1819296783">
      <w:marLeft w:val="0"/>
      <w:marRight w:val="0"/>
      <w:marTop w:val="0"/>
      <w:marBottom w:val="0"/>
      <w:divBdr>
        <w:top w:val="none" w:sz="0" w:space="0" w:color="auto"/>
        <w:left w:val="none" w:sz="0" w:space="0" w:color="auto"/>
        <w:bottom w:val="none" w:sz="0" w:space="0" w:color="auto"/>
        <w:right w:val="none" w:sz="0" w:space="0" w:color="auto"/>
      </w:divBdr>
      <w:divsChild>
        <w:div w:id="826748117">
          <w:marLeft w:val="0"/>
          <w:marRight w:val="0"/>
          <w:marTop w:val="0"/>
          <w:marBottom w:val="0"/>
          <w:divBdr>
            <w:top w:val="none" w:sz="0" w:space="0" w:color="auto"/>
            <w:left w:val="none" w:sz="0" w:space="0" w:color="auto"/>
            <w:bottom w:val="none" w:sz="0" w:space="0" w:color="auto"/>
            <w:right w:val="none" w:sz="0" w:space="0" w:color="auto"/>
          </w:divBdr>
        </w:div>
      </w:divsChild>
    </w:div>
    <w:div w:id="1820346402">
      <w:marLeft w:val="0"/>
      <w:marRight w:val="0"/>
      <w:marTop w:val="120"/>
      <w:marBottom w:val="0"/>
      <w:divBdr>
        <w:top w:val="none" w:sz="0" w:space="0" w:color="auto"/>
        <w:left w:val="none" w:sz="0" w:space="0" w:color="auto"/>
        <w:bottom w:val="none" w:sz="0" w:space="0" w:color="auto"/>
        <w:right w:val="none" w:sz="0" w:space="0" w:color="auto"/>
      </w:divBdr>
    </w:div>
    <w:div w:id="1820996274">
      <w:marLeft w:val="0"/>
      <w:marRight w:val="0"/>
      <w:marTop w:val="120"/>
      <w:marBottom w:val="0"/>
      <w:divBdr>
        <w:top w:val="none" w:sz="0" w:space="0" w:color="auto"/>
        <w:left w:val="none" w:sz="0" w:space="0" w:color="auto"/>
        <w:bottom w:val="none" w:sz="0" w:space="0" w:color="auto"/>
        <w:right w:val="none" w:sz="0" w:space="0" w:color="auto"/>
      </w:divBdr>
    </w:div>
    <w:div w:id="1821656698">
      <w:marLeft w:val="0"/>
      <w:marRight w:val="0"/>
      <w:marTop w:val="120"/>
      <w:marBottom w:val="0"/>
      <w:divBdr>
        <w:top w:val="none" w:sz="0" w:space="0" w:color="auto"/>
        <w:left w:val="none" w:sz="0" w:space="0" w:color="auto"/>
        <w:bottom w:val="none" w:sz="0" w:space="0" w:color="auto"/>
        <w:right w:val="none" w:sz="0" w:space="0" w:color="auto"/>
      </w:divBdr>
    </w:div>
    <w:div w:id="1822772145">
      <w:marLeft w:val="0"/>
      <w:marRight w:val="0"/>
      <w:marTop w:val="120"/>
      <w:marBottom w:val="0"/>
      <w:divBdr>
        <w:top w:val="none" w:sz="0" w:space="0" w:color="auto"/>
        <w:left w:val="none" w:sz="0" w:space="0" w:color="auto"/>
        <w:bottom w:val="none" w:sz="0" w:space="0" w:color="auto"/>
        <w:right w:val="none" w:sz="0" w:space="0" w:color="auto"/>
      </w:divBdr>
    </w:div>
    <w:div w:id="1824739368">
      <w:marLeft w:val="0"/>
      <w:marRight w:val="0"/>
      <w:marTop w:val="120"/>
      <w:marBottom w:val="0"/>
      <w:divBdr>
        <w:top w:val="none" w:sz="0" w:space="0" w:color="auto"/>
        <w:left w:val="none" w:sz="0" w:space="0" w:color="auto"/>
        <w:bottom w:val="none" w:sz="0" w:space="0" w:color="auto"/>
        <w:right w:val="none" w:sz="0" w:space="0" w:color="auto"/>
      </w:divBdr>
    </w:div>
    <w:div w:id="1825051393">
      <w:marLeft w:val="0"/>
      <w:marRight w:val="0"/>
      <w:marTop w:val="200"/>
      <w:marBottom w:val="0"/>
      <w:divBdr>
        <w:top w:val="none" w:sz="0" w:space="0" w:color="auto"/>
        <w:left w:val="none" w:sz="0" w:space="0" w:color="auto"/>
        <w:bottom w:val="none" w:sz="0" w:space="0" w:color="auto"/>
        <w:right w:val="none" w:sz="0" w:space="0" w:color="auto"/>
      </w:divBdr>
    </w:div>
    <w:div w:id="1825387129">
      <w:marLeft w:val="0"/>
      <w:marRight w:val="0"/>
      <w:marTop w:val="120"/>
      <w:marBottom w:val="0"/>
      <w:divBdr>
        <w:top w:val="none" w:sz="0" w:space="0" w:color="auto"/>
        <w:left w:val="none" w:sz="0" w:space="0" w:color="auto"/>
        <w:bottom w:val="none" w:sz="0" w:space="0" w:color="auto"/>
        <w:right w:val="none" w:sz="0" w:space="0" w:color="auto"/>
      </w:divBdr>
    </w:div>
    <w:div w:id="1825661215">
      <w:marLeft w:val="0"/>
      <w:marRight w:val="0"/>
      <w:marTop w:val="200"/>
      <w:marBottom w:val="0"/>
      <w:divBdr>
        <w:top w:val="none" w:sz="0" w:space="0" w:color="auto"/>
        <w:left w:val="none" w:sz="0" w:space="0" w:color="auto"/>
        <w:bottom w:val="none" w:sz="0" w:space="0" w:color="auto"/>
        <w:right w:val="none" w:sz="0" w:space="0" w:color="auto"/>
      </w:divBdr>
    </w:div>
    <w:div w:id="1825781937">
      <w:marLeft w:val="0"/>
      <w:marRight w:val="0"/>
      <w:marTop w:val="120"/>
      <w:marBottom w:val="0"/>
      <w:divBdr>
        <w:top w:val="none" w:sz="0" w:space="0" w:color="auto"/>
        <w:left w:val="none" w:sz="0" w:space="0" w:color="auto"/>
        <w:bottom w:val="none" w:sz="0" w:space="0" w:color="auto"/>
        <w:right w:val="none" w:sz="0" w:space="0" w:color="auto"/>
      </w:divBdr>
    </w:div>
    <w:div w:id="1827210699">
      <w:marLeft w:val="0"/>
      <w:marRight w:val="0"/>
      <w:marTop w:val="120"/>
      <w:marBottom w:val="0"/>
      <w:divBdr>
        <w:top w:val="none" w:sz="0" w:space="0" w:color="auto"/>
        <w:left w:val="none" w:sz="0" w:space="0" w:color="auto"/>
        <w:bottom w:val="none" w:sz="0" w:space="0" w:color="auto"/>
        <w:right w:val="none" w:sz="0" w:space="0" w:color="auto"/>
      </w:divBdr>
    </w:div>
    <w:div w:id="1827282252">
      <w:marLeft w:val="0"/>
      <w:marRight w:val="0"/>
      <w:marTop w:val="0"/>
      <w:marBottom w:val="0"/>
      <w:divBdr>
        <w:top w:val="none" w:sz="0" w:space="0" w:color="auto"/>
        <w:left w:val="none" w:sz="0" w:space="0" w:color="auto"/>
        <w:bottom w:val="none" w:sz="0" w:space="0" w:color="auto"/>
        <w:right w:val="none" w:sz="0" w:space="0" w:color="auto"/>
      </w:divBdr>
    </w:div>
    <w:div w:id="1828129481">
      <w:marLeft w:val="0"/>
      <w:marRight w:val="0"/>
      <w:marTop w:val="0"/>
      <w:marBottom w:val="0"/>
      <w:divBdr>
        <w:top w:val="none" w:sz="0" w:space="0" w:color="auto"/>
        <w:left w:val="none" w:sz="0" w:space="0" w:color="auto"/>
        <w:bottom w:val="none" w:sz="0" w:space="0" w:color="auto"/>
        <w:right w:val="none" w:sz="0" w:space="0" w:color="auto"/>
      </w:divBdr>
      <w:divsChild>
        <w:div w:id="1776830298">
          <w:marLeft w:val="0"/>
          <w:marRight w:val="0"/>
          <w:marTop w:val="0"/>
          <w:marBottom w:val="0"/>
          <w:divBdr>
            <w:top w:val="none" w:sz="0" w:space="0" w:color="auto"/>
            <w:left w:val="none" w:sz="0" w:space="0" w:color="auto"/>
            <w:bottom w:val="none" w:sz="0" w:space="0" w:color="auto"/>
            <w:right w:val="none" w:sz="0" w:space="0" w:color="auto"/>
          </w:divBdr>
        </w:div>
      </w:divsChild>
    </w:div>
    <w:div w:id="1830557070">
      <w:marLeft w:val="0"/>
      <w:marRight w:val="0"/>
      <w:marTop w:val="120"/>
      <w:marBottom w:val="0"/>
      <w:divBdr>
        <w:top w:val="none" w:sz="0" w:space="0" w:color="auto"/>
        <w:left w:val="none" w:sz="0" w:space="0" w:color="auto"/>
        <w:bottom w:val="none" w:sz="0" w:space="0" w:color="auto"/>
        <w:right w:val="none" w:sz="0" w:space="0" w:color="auto"/>
      </w:divBdr>
    </w:div>
    <w:div w:id="1832791404">
      <w:marLeft w:val="0"/>
      <w:marRight w:val="0"/>
      <w:marTop w:val="120"/>
      <w:marBottom w:val="0"/>
      <w:divBdr>
        <w:top w:val="none" w:sz="0" w:space="0" w:color="auto"/>
        <w:left w:val="none" w:sz="0" w:space="0" w:color="auto"/>
        <w:bottom w:val="none" w:sz="0" w:space="0" w:color="auto"/>
        <w:right w:val="none" w:sz="0" w:space="0" w:color="auto"/>
      </w:divBdr>
    </w:div>
    <w:div w:id="1833905755">
      <w:marLeft w:val="0"/>
      <w:marRight w:val="0"/>
      <w:marTop w:val="100"/>
      <w:marBottom w:val="0"/>
      <w:divBdr>
        <w:top w:val="none" w:sz="0" w:space="0" w:color="auto"/>
        <w:left w:val="none" w:sz="0" w:space="0" w:color="auto"/>
        <w:bottom w:val="none" w:sz="0" w:space="0" w:color="auto"/>
        <w:right w:val="none" w:sz="0" w:space="0" w:color="auto"/>
      </w:divBdr>
      <w:divsChild>
        <w:div w:id="1452360989">
          <w:marLeft w:val="0"/>
          <w:marRight w:val="0"/>
          <w:marTop w:val="0"/>
          <w:marBottom w:val="0"/>
          <w:divBdr>
            <w:top w:val="none" w:sz="0" w:space="0" w:color="auto"/>
            <w:left w:val="none" w:sz="0" w:space="0" w:color="auto"/>
            <w:bottom w:val="none" w:sz="0" w:space="0" w:color="auto"/>
            <w:right w:val="none" w:sz="0" w:space="0" w:color="auto"/>
          </w:divBdr>
        </w:div>
        <w:div w:id="318728288">
          <w:marLeft w:val="0"/>
          <w:marRight w:val="0"/>
          <w:marTop w:val="0"/>
          <w:marBottom w:val="0"/>
          <w:divBdr>
            <w:top w:val="none" w:sz="0" w:space="0" w:color="auto"/>
            <w:left w:val="none" w:sz="0" w:space="0" w:color="auto"/>
            <w:bottom w:val="none" w:sz="0" w:space="0" w:color="auto"/>
            <w:right w:val="none" w:sz="0" w:space="0" w:color="auto"/>
          </w:divBdr>
        </w:div>
      </w:divsChild>
    </w:div>
    <w:div w:id="1838419964">
      <w:marLeft w:val="0"/>
      <w:marRight w:val="0"/>
      <w:marTop w:val="0"/>
      <w:marBottom w:val="0"/>
      <w:divBdr>
        <w:top w:val="none" w:sz="0" w:space="0" w:color="auto"/>
        <w:left w:val="none" w:sz="0" w:space="0" w:color="auto"/>
        <w:bottom w:val="none" w:sz="0" w:space="0" w:color="auto"/>
        <w:right w:val="none" w:sz="0" w:space="0" w:color="auto"/>
      </w:divBdr>
      <w:divsChild>
        <w:div w:id="1882206221">
          <w:marLeft w:val="0"/>
          <w:marRight w:val="0"/>
          <w:marTop w:val="0"/>
          <w:marBottom w:val="0"/>
          <w:divBdr>
            <w:top w:val="none" w:sz="0" w:space="0" w:color="auto"/>
            <w:left w:val="none" w:sz="0" w:space="0" w:color="auto"/>
            <w:bottom w:val="none" w:sz="0" w:space="0" w:color="auto"/>
            <w:right w:val="none" w:sz="0" w:space="0" w:color="auto"/>
          </w:divBdr>
        </w:div>
      </w:divsChild>
    </w:div>
    <w:div w:id="1839345791">
      <w:marLeft w:val="0"/>
      <w:marRight w:val="0"/>
      <w:marTop w:val="0"/>
      <w:marBottom w:val="0"/>
      <w:divBdr>
        <w:top w:val="none" w:sz="0" w:space="0" w:color="auto"/>
        <w:left w:val="none" w:sz="0" w:space="0" w:color="auto"/>
        <w:bottom w:val="none" w:sz="0" w:space="0" w:color="auto"/>
        <w:right w:val="none" w:sz="0" w:space="0" w:color="auto"/>
      </w:divBdr>
      <w:divsChild>
        <w:div w:id="1156842672">
          <w:marLeft w:val="0"/>
          <w:marRight w:val="0"/>
          <w:marTop w:val="0"/>
          <w:marBottom w:val="0"/>
          <w:divBdr>
            <w:top w:val="none" w:sz="0" w:space="0" w:color="auto"/>
            <w:left w:val="none" w:sz="0" w:space="0" w:color="auto"/>
            <w:bottom w:val="none" w:sz="0" w:space="0" w:color="auto"/>
            <w:right w:val="none" w:sz="0" w:space="0" w:color="auto"/>
          </w:divBdr>
        </w:div>
      </w:divsChild>
    </w:div>
    <w:div w:id="1840077536">
      <w:marLeft w:val="0"/>
      <w:marRight w:val="0"/>
      <w:marTop w:val="120"/>
      <w:marBottom w:val="0"/>
      <w:divBdr>
        <w:top w:val="none" w:sz="0" w:space="0" w:color="auto"/>
        <w:left w:val="none" w:sz="0" w:space="0" w:color="auto"/>
        <w:bottom w:val="none" w:sz="0" w:space="0" w:color="auto"/>
        <w:right w:val="none" w:sz="0" w:space="0" w:color="auto"/>
      </w:divBdr>
    </w:div>
    <w:div w:id="1840658283">
      <w:marLeft w:val="0"/>
      <w:marRight w:val="0"/>
      <w:marTop w:val="120"/>
      <w:marBottom w:val="0"/>
      <w:divBdr>
        <w:top w:val="none" w:sz="0" w:space="0" w:color="auto"/>
        <w:left w:val="none" w:sz="0" w:space="0" w:color="auto"/>
        <w:bottom w:val="none" w:sz="0" w:space="0" w:color="auto"/>
        <w:right w:val="none" w:sz="0" w:space="0" w:color="auto"/>
      </w:divBdr>
    </w:div>
    <w:div w:id="1840729029">
      <w:marLeft w:val="0"/>
      <w:marRight w:val="0"/>
      <w:marTop w:val="0"/>
      <w:marBottom w:val="0"/>
      <w:divBdr>
        <w:top w:val="none" w:sz="0" w:space="0" w:color="auto"/>
        <w:left w:val="none" w:sz="0" w:space="0" w:color="auto"/>
        <w:bottom w:val="none" w:sz="0" w:space="0" w:color="auto"/>
        <w:right w:val="none" w:sz="0" w:space="0" w:color="auto"/>
      </w:divBdr>
      <w:divsChild>
        <w:div w:id="688874012">
          <w:marLeft w:val="0"/>
          <w:marRight w:val="0"/>
          <w:marTop w:val="0"/>
          <w:marBottom w:val="0"/>
          <w:divBdr>
            <w:top w:val="none" w:sz="0" w:space="0" w:color="auto"/>
            <w:left w:val="none" w:sz="0" w:space="0" w:color="auto"/>
            <w:bottom w:val="none" w:sz="0" w:space="0" w:color="auto"/>
            <w:right w:val="none" w:sz="0" w:space="0" w:color="auto"/>
          </w:divBdr>
        </w:div>
      </w:divsChild>
    </w:div>
    <w:div w:id="1842886611">
      <w:marLeft w:val="0"/>
      <w:marRight w:val="0"/>
      <w:marTop w:val="120"/>
      <w:marBottom w:val="0"/>
      <w:divBdr>
        <w:top w:val="none" w:sz="0" w:space="0" w:color="auto"/>
        <w:left w:val="none" w:sz="0" w:space="0" w:color="auto"/>
        <w:bottom w:val="none" w:sz="0" w:space="0" w:color="auto"/>
        <w:right w:val="none" w:sz="0" w:space="0" w:color="auto"/>
      </w:divBdr>
    </w:div>
    <w:div w:id="1843541311">
      <w:marLeft w:val="0"/>
      <w:marRight w:val="0"/>
      <w:marTop w:val="200"/>
      <w:marBottom w:val="0"/>
      <w:divBdr>
        <w:top w:val="none" w:sz="0" w:space="0" w:color="auto"/>
        <w:left w:val="none" w:sz="0" w:space="0" w:color="auto"/>
        <w:bottom w:val="none" w:sz="0" w:space="0" w:color="auto"/>
        <w:right w:val="none" w:sz="0" w:space="0" w:color="auto"/>
      </w:divBdr>
    </w:div>
    <w:div w:id="1849126935">
      <w:marLeft w:val="0"/>
      <w:marRight w:val="0"/>
      <w:marTop w:val="120"/>
      <w:marBottom w:val="0"/>
      <w:divBdr>
        <w:top w:val="none" w:sz="0" w:space="0" w:color="auto"/>
        <w:left w:val="none" w:sz="0" w:space="0" w:color="auto"/>
        <w:bottom w:val="none" w:sz="0" w:space="0" w:color="auto"/>
        <w:right w:val="none" w:sz="0" w:space="0" w:color="auto"/>
      </w:divBdr>
    </w:div>
    <w:div w:id="1849831329">
      <w:marLeft w:val="0"/>
      <w:marRight w:val="0"/>
      <w:marTop w:val="0"/>
      <w:marBottom w:val="0"/>
      <w:divBdr>
        <w:top w:val="none" w:sz="0" w:space="0" w:color="auto"/>
        <w:left w:val="none" w:sz="0" w:space="0" w:color="auto"/>
        <w:bottom w:val="none" w:sz="0" w:space="0" w:color="auto"/>
        <w:right w:val="none" w:sz="0" w:space="0" w:color="auto"/>
      </w:divBdr>
      <w:divsChild>
        <w:div w:id="1879657357">
          <w:marLeft w:val="0"/>
          <w:marRight w:val="0"/>
          <w:marTop w:val="0"/>
          <w:marBottom w:val="0"/>
          <w:divBdr>
            <w:top w:val="none" w:sz="0" w:space="0" w:color="auto"/>
            <w:left w:val="none" w:sz="0" w:space="0" w:color="auto"/>
            <w:bottom w:val="none" w:sz="0" w:space="0" w:color="auto"/>
            <w:right w:val="none" w:sz="0" w:space="0" w:color="auto"/>
          </w:divBdr>
        </w:div>
      </w:divsChild>
    </w:div>
    <w:div w:id="1850365692">
      <w:marLeft w:val="0"/>
      <w:marRight w:val="0"/>
      <w:marTop w:val="120"/>
      <w:marBottom w:val="0"/>
      <w:divBdr>
        <w:top w:val="none" w:sz="0" w:space="0" w:color="auto"/>
        <w:left w:val="none" w:sz="0" w:space="0" w:color="auto"/>
        <w:bottom w:val="none" w:sz="0" w:space="0" w:color="auto"/>
        <w:right w:val="none" w:sz="0" w:space="0" w:color="auto"/>
      </w:divBdr>
    </w:div>
    <w:div w:id="1854031590">
      <w:marLeft w:val="0"/>
      <w:marRight w:val="0"/>
      <w:marTop w:val="0"/>
      <w:marBottom w:val="0"/>
      <w:divBdr>
        <w:top w:val="none" w:sz="0" w:space="0" w:color="auto"/>
        <w:left w:val="none" w:sz="0" w:space="0" w:color="auto"/>
        <w:bottom w:val="none" w:sz="0" w:space="0" w:color="auto"/>
        <w:right w:val="none" w:sz="0" w:space="0" w:color="auto"/>
      </w:divBdr>
      <w:divsChild>
        <w:div w:id="1066609913">
          <w:marLeft w:val="0"/>
          <w:marRight w:val="0"/>
          <w:marTop w:val="0"/>
          <w:marBottom w:val="0"/>
          <w:divBdr>
            <w:top w:val="none" w:sz="0" w:space="0" w:color="auto"/>
            <w:left w:val="none" w:sz="0" w:space="0" w:color="auto"/>
            <w:bottom w:val="none" w:sz="0" w:space="0" w:color="auto"/>
            <w:right w:val="none" w:sz="0" w:space="0" w:color="auto"/>
          </w:divBdr>
        </w:div>
      </w:divsChild>
    </w:div>
    <w:div w:id="1854489187">
      <w:marLeft w:val="0"/>
      <w:marRight w:val="0"/>
      <w:marTop w:val="120"/>
      <w:marBottom w:val="0"/>
      <w:divBdr>
        <w:top w:val="none" w:sz="0" w:space="0" w:color="auto"/>
        <w:left w:val="none" w:sz="0" w:space="0" w:color="auto"/>
        <w:bottom w:val="none" w:sz="0" w:space="0" w:color="auto"/>
        <w:right w:val="none" w:sz="0" w:space="0" w:color="auto"/>
      </w:divBdr>
    </w:div>
    <w:div w:id="1854493789">
      <w:marLeft w:val="0"/>
      <w:marRight w:val="0"/>
      <w:marTop w:val="120"/>
      <w:marBottom w:val="0"/>
      <w:divBdr>
        <w:top w:val="none" w:sz="0" w:space="0" w:color="auto"/>
        <w:left w:val="none" w:sz="0" w:space="0" w:color="auto"/>
        <w:bottom w:val="none" w:sz="0" w:space="0" w:color="auto"/>
        <w:right w:val="none" w:sz="0" w:space="0" w:color="auto"/>
      </w:divBdr>
    </w:div>
    <w:div w:id="1854801737">
      <w:marLeft w:val="0"/>
      <w:marRight w:val="0"/>
      <w:marTop w:val="120"/>
      <w:marBottom w:val="0"/>
      <w:divBdr>
        <w:top w:val="none" w:sz="0" w:space="0" w:color="auto"/>
        <w:left w:val="none" w:sz="0" w:space="0" w:color="auto"/>
        <w:bottom w:val="none" w:sz="0" w:space="0" w:color="auto"/>
        <w:right w:val="none" w:sz="0" w:space="0" w:color="auto"/>
      </w:divBdr>
    </w:div>
    <w:div w:id="1854955056">
      <w:marLeft w:val="0"/>
      <w:marRight w:val="0"/>
      <w:marTop w:val="0"/>
      <w:marBottom w:val="0"/>
      <w:divBdr>
        <w:top w:val="none" w:sz="0" w:space="0" w:color="auto"/>
        <w:left w:val="none" w:sz="0" w:space="0" w:color="auto"/>
        <w:bottom w:val="none" w:sz="0" w:space="0" w:color="auto"/>
        <w:right w:val="none" w:sz="0" w:space="0" w:color="auto"/>
      </w:divBdr>
      <w:divsChild>
        <w:div w:id="499199215">
          <w:marLeft w:val="0"/>
          <w:marRight w:val="0"/>
          <w:marTop w:val="0"/>
          <w:marBottom w:val="0"/>
          <w:divBdr>
            <w:top w:val="none" w:sz="0" w:space="0" w:color="auto"/>
            <w:left w:val="none" w:sz="0" w:space="0" w:color="auto"/>
            <w:bottom w:val="none" w:sz="0" w:space="0" w:color="auto"/>
            <w:right w:val="none" w:sz="0" w:space="0" w:color="auto"/>
          </w:divBdr>
        </w:div>
      </w:divsChild>
    </w:div>
    <w:div w:id="1857227363">
      <w:marLeft w:val="0"/>
      <w:marRight w:val="0"/>
      <w:marTop w:val="120"/>
      <w:marBottom w:val="0"/>
      <w:divBdr>
        <w:top w:val="none" w:sz="0" w:space="0" w:color="auto"/>
        <w:left w:val="none" w:sz="0" w:space="0" w:color="auto"/>
        <w:bottom w:val="none" w:sz="0" w:space="0" w:color="auto"/>
        <w:right w:val="none" w:sz="0" w:space="0" w:color="auto"/>
      </w:divBdr>
    </w:div>
    <w:div w:id="1857424562">
      <w:marLeft w:val="0"/>
      <w:marRight w:val="0"/>
      <w:marTop w:val="200"/>
      <w:marBottom w:val="0"/>
      <w:divBdr>
        <w:top w:val="none" w:sz="0" w:space="0" w:color="auto"/>
        <w:left w:val="none" w:sz="0" w:space="0" w:color="auto"/>
        <w:bottom w:val="none" w:sz="0" w:space="0" w:color="auto"/>
        <w:right w:val="none" w:sz="0" w:space="0" w:color="auto"/>
      </w:divBdr>
    </w:div>
    <w:div w:id="1857576188">
      <w:marLeft w:val="0"/>
      <w:marRight w:val="0"/>
      <w:marTop w:val="120"/>
      <w:marBottom w:val="0"/>
      <w:divBdr>
        <w:top w:val="none" w:sz="0" w:space="0" w:color="auto"/>
        <w:left w:val="none" w:sz="0" w:space="0" w:color="auto"/>
        <w:bottom w:val="none" w:sz="0" w:space="0" w:color="auto"/>
        <w:right w:val="none" w:sz="0" w:space="0" w:color="auto"/>
      </w:divBdr>
    </w:div>
    <w:div w:id="1858274914">
      <w:marLeft w:val="0"/>
      <w:marRight w:val="0"/>
      <w:marTop w:val="0"/>
      <w:marBottom w:val="0"/>
      <w:divBdr>
        <w:top w:val="none" w:sz="0" w:space="0" w:color="auto"/>
        <w:left w:val="none" w:sz="0" w:space="0" w:color="auto"/>
        <w:bottom w:val="none" w:sz="0" w:space="0" w:color="auto"/>
        <w:right w:val="none" w:sz="0" w:space="0" w:color="auto"/>
      </w:divBdr>
    </w:div>
    <w:div w:id="1858495561">
      <w:marLeft w:val="0"/>
      <w:marRight w:val="0"/>
      <w:marTop w:val="120"/>
      <w:marBottom w:val="0"/>
      <w:divBdr>
        <w:top w:val="none" w:sz="0" w:space="0" w:color="auto"/>
        <w:left w:val="none" w:sz="0" w:space="0" w:color="auto"/>
        <w:bottom w:val="none" w:sz="0" w:space="0" w:color="auto"/>
        <w:right w:val="none" w:sz="0" w:space="0" w:color="auto"/>
      </w:divBdr>
    </w:div>
    <w:div w:id="1860271387">
      <w:marLeft w:val="0"/>
      <w:marRight w:val="0"/>
      <w:marTop w:val="0"/>
      <w:marBottom w:val="0"/>
      <w:divBdr>
        <w:top w:val="none" w:sz="0" w:space="0" w:color="auto"/>
        <w:left w:val="none" w:sz="0" w:space="0" w:color="auto"/>
        <w:bottom w:val="none" w:sz="0" w:space="0" w:color="auto"/>
        <w:right w:val="none" w:sz="0" w:space="0" w:color="auto"/>
      </w:divBdr>
      <w:divsChild>
        <w:div w:id="1455825401">
          <w:marLeft w:val="0"/>
          <w:marRight w:val="0"/>
          <w:marTop w:val="0"/>
          <w:marBottom w:val="0"/>
          <w:divBdr>
            <w:top w:val="none" w:sz="0" w:space="0" w:color="auto"/>
            <w:left w:val="none" w:sz="0" w:space="0" w:color="auto"/>
            <w:bottom w:val="none" w:sz="0" w:space="0" w:color="auto"/>
            <w:right w:val="none" w:sz="0" w:space="0" w:color="auto"/>
          </w:divBdr>
        </w:div>
      </w:divsChild>
    </w:div>
    <w:div w:id="1860966161">
      <w:marLeft w:val="0"/>
      <w:marRight w:val="0"/>
      <w:marTop w:val="120"/>
      <w:marBottom w:val="0"/>
      <w:divBdr>
        <w:top w:val="none" w:sz="0" w:space="0" w:color="auto"/>
        <w:left w:val="none" w:sz="0" w:space="0" w:color="auto"/>
        <w:bottom w:val="none" w:sz="0" w:space="0" w:color="auto"/>
        <w:right w:val="none" w:sz="0" w:space="0" w:color="auto"/>
      </w:divBdr>
    </w:div>
    <w:div w:id="1861312486">
      <w:marLeft w:val="0"/>
      <w:marRight w:val="0"/>
      <w:marTop w:val="100"/>
      <w:marBottom w:val="0"/>
      <w:divBdr>
        <w:top w:val="none" w:sz="0" w:space="0" w:color="auto"/>
        <w:left w:val="none" w:sz="0" w:space="0" w:color="auto"/>
        <w:bottom w:val="none" w:sz="0" w:space="0" w:color="auto"/>
        <w:right w:val="none" w:sz="0" w:space="0" w:color="auto"/>
      </w:divBdr>
    </w:div>
    <w:div w:id="1861313865">
      <w:marLeft w:val="0"/>
      <w:marRight w:val="0"/>
      <w:marTop w:val="120"/>
      <w:marBottom w:val="0"/>
      <w:divBdr>
        <w:top w:val="none" w:sz="0" w:space="0" w:color="auto"/>
        <w:left w:val="none" w:sz="0" w:space="0" w:color="auto"/>
        <w:bottom w:val="none" w:sz="0" w:space="0" w:color="auto"/>
        <w:right w:val="none" w:sz="0" w:space="0" w:color="auto"/>
      </w:divBdr>
    </w:div>
    <w:div w:id="1861426562">
      <w:marLeft w:val="0"/>
      <w:marRight w:val="0"/>
      <w:marTop w:val="0"/>
      <w:marBottom w:val="0"/>
      <w:divBdr>
        <w:top w:val="none" w:sz="0" w:space="0" w:color="auto"/>
        <w:left w:val="none" w:sz="0" w:space="0" w:color="auto"/>
        <w:bottom w:val="none" w:sz="0" w:space="0" w:color="auto"/>
        <w:right w:val="none" w:sz="0" w:space="0" w:color="auto"/>
      </w:divBdr>
      <w:divsChild>
        <w:div w:id="150366692">
          <w:marLeft w:val="0"/>
          <w:marRight w:val="0"/>
          <w:marTop w:val="0"/>
          <w:marBottom w:val="0"/>
          <w:divBdr>
            <w:top w:val="none" w:sz="0" w:space="0" w:color="auto"/>
            <w:left w:val="none" w:sz="0" w:space="0" w:color="auto"/>
            <w:bottom w:val="none" w:sz="0" w:space="0" w:color="auto"/>
            <w:right w:val="none" w:sz="0" w:space="0" w:color="auto"/>
          </w:divBdr>
        </w:div>
      </w:divsChild>
    </w:div>
    <w:div w:id="1862040575">
      <w:marLeft w:val="0"/>
      <w:marRight w:val="0"/>
      <w:marTop w:val="0"/>
      <w:marBottom w:val="0"/>
      <w:divBdr>
        <w:top w:val="none" w:sz="0" w:space="0" w:color="auto"/>
        <w:left w:val="none" w:sz="0" w:space="0" w:color="auto"/>
        <w:bottom w:val="none" w:sz="0" w:space="0" w:color="auto"/>
        <w:right w:val="none" w:sz="0" w:space="0" w:color="auto"/>
      </w:divBdr>
      <w:divsChild>
        <w:div w:id="649165949">
          <w:marLeft w:val="0"/>
          <w:marRight w:val="0"/>
          <w:marTop w:val="0"/>
          <w:marBottom w:val="0"/>
          <w:divBdr>
            <w:top w:val="none" w:sz="0" w:space="0" w:color="auto"/>
            <w:left w:val="none" w:sz="0" w:space="0" w:color="auto"/>
            <w:bottom w:val="none" w:sz="0" w:space="0" w:color="auto"/>
            <w:right w:val="none" w:sz="0" w:space="0" w:color="auto"/>
          </w:divBdr>
        </w:div>
      </w:divsChild>
    </w:div>
    <w:div w:id="1862819905">
      <w:marLeft w:val="0"/>
      <w:marRight w:val="0"/>
      <w:marTop w:val="0"/>
      <w:marBottom w:val="0"/>
      <w:divBdr>
        <w:top w:val="none" w:sz="0" w:space="0" w:color="auto"/>
        <w:left w:val="none" w:sz="0" w:space="0" w:color="auto"/>
        <w:bottom w:val="none" w:sz="0" w:space="0" w:color="auto"/>
        <w:right w:val="none" w:sz="0" w:space="0" w:color="auto"/>
      </w:divBdr>
      <w:divsChild>
        <w:div w:id="1087845476">
          <w:marLeft w:val="0"/>
          <w:marRight w:val="0"/>
          <w:marTop w:val="0"/>
          <w:marBottom w:val="0"/>
          <w:divBdr>
            <w:top w:val="none" w:sz="0" w:space="0" w:color="auto"/>
            <w:left w:val="none" w:sz="0" w:space="0" w:color="auto"/>
            <w:bottom w:val="none" w:sz="0" w:space="0" w:color="auto"/>
            <w:right w:val="none" w:sz="0" w:space="0" w:color="auto"/>
          </w:divBdr>
        </w:div>
      </w:divsChild>
    </w:div>
    <w:div w:id="1863854244">
      <w:marLeft w:val="0"/>
      <w:marRight w:val="0"/>
      <w:marTop w:val="120"/>
      <w:marBottom w:val="0"/>
      <w:divBdr>
        <w:top w:val="none" w:sz="0" w:space="0" w:color="auto"/>
        <w:left w:val="none" w:sz="0" w:space="0" w:color="auto"/>
        <w:bottom w:val="none" w:sz="0" w:space="0" w:color="auto"/>
        <w:right w:val="none" w:sz="0" w:space="0" w:color="auto"/>
      </w:divBdr>
    </w:div>
    <w:div w:id="1863856662">
      <w:marLeft w:val="0"/>
      <w:marRight w:val="0"/>
      <w:marTop w:val="200"/>
      <w:marBottom w:val="0"/>
      <w:divBdr>
        <w:top w:val="none" w:sz="0" w:space="0" w:color="auto"/>
        <w:left w:val="none" w:sz="0" w:space="0" w:color="auto"/>
        <w:bottom w:val="none" w:sz="0" w:space="0" w:color="auto"/>
        <w:right w:val="none" w:sz="0" w:space="0" w:color="auto"/>
      </w:divBdr>
    </w:div>
    <w:div w:id="1863860704">
      <w:marLeft w:val="0"/>
      <w:marRight w:val="0"/>
      <w:marTop w:val="120"/>
      <w:marBottom w:val="0"/>
      <w:divBdr>
        <w:top w:val="none" w:sz="0" w:space="0" w:color="auto"/>
        <w:left w:val="none" w:sz="0" w:space="0" w:color="auto"/>
        <w:bottom w:val="none" w:sz="0" w:space="0" w:color="auto"/>
        <w:right w:val="none" w:sz="0" w:space="0" w:color="auto"/>
      </w:divBdr>
    </w:div>
    <w:div w:id="1864172564">
      <w:marLeft w:val="0"/>
      <w:marRight w:val="0"/>
      <w:marTop w:val="120"/>
      <w:marBottom w:val="0"/>
      <w:divBdr>
        <w:top w:val="none" w:sz="0" w:space="0" w:color="auto"/>
        <w:left w:val="none" w:sz="0" w:space="0" w:color="auto"/>
        <w:bottom w:val="none" w:sz="0" w:space="0" w:color="auto"/>
        <w:right w:val="none" w:sz="0" w:space="0" w:color="auto"/>
      </w:divBdr>
    </w:div>
    <w:div w:id="1864391473">
      <w:marLeft w:val="0"/>
      <w:marRight w:val="0"/>
      <w:marTop w:val="120"/>
      <w:marBottom w:val="0"/>
      <w:divBdr>
        <w:top w:val="none" w:sz="0" w:space="0" w:color="auto"/>
        <w:left w:val="none" w:sz="0" w:space="0" w:color="auto"/>
        <w:bottom w:val="none" w:sz="0" w:space="0" w:color="auto"/>
        <w:right w:val="none" w:sz="0" w:space="0" w:color="auto"/>
      </w:divBdr>
    </w:div>
    <w:div w:id="1865365979">
      <w:marLeft w:val="0"/>
      <w:marRight w:val="0"/>
      <w:marTop w:val="120"/>
      <w:marBottom w:val="0"/>
      <w:divBdr>
        <w:top w:val="none" w:sz="0" w:space="0" w:color="auto"/>
        <w:left w:val="none" w:sz="0" w:space="0" w:color="auto"/>
        <w:bottom w:val="none" w:sz="0" w:space="0" w:color="auto"/>
        <w:right w:val="none" w:sz="0" w:space="0" w:color="auto"/>
      </w:divBdr>
    </w:div>
    <w:div w:id="1865946711">
      <w:marLeft w:val="0"/>
      <w:marRight w:val="0"/>
      <w:marTop w:val="200"/>
      <w:marBottom w:val="0"/>
      <w:divBdr>
        <w:top w:val="none" w:sz="0" w:space="0" w:color="auto"/>
        <w:left w:val="none" w:sz="0" w:space="0" w:color="auto"/>
        <w:bottom w:val="none" w:sz="0" w:space="0" w:color="auto"/>
        <w:right w:val="none" w:sz="0" w:space="0" w:color="auto"/>
      </w:divBdr>
    </w:div>
    <w:div w:id="1868640228">
      <w:marLeft w:val="0"/>
      <w:marRight w:val="0"/>
      <w:marTop w:val="200"/>
      <w:marBottom w:val="0"/>
      <w:divBdr>
        <w:top w:val="none" w:sz="0" w:space="0" w:color="auto"/>
        <w:left w:val="none" w:sz="0" w:space="0" w:color="auto"/>
        <w:bottom w:val="none" w:sz="0" w:space="0" w:color="auto"/>
        <w:right w:val="none" w:sz="0" w:space="0" w:color="auto"/>
      </w:divBdr>
    </w:div>
    <w:div w:id="1870600706">
      <w:marLeft w:val="0"/>
      <w:marRight w:val="0"/>
      <w:marTop w:val="120"/>
      <w:marBottom w:val="0"/>
      <w:divBdr>
        <w:top w:val="none" w:sz="0" w:space="0" w:color="auto"/>
        <w:left w:val="none" w:sz="0" w:space="0" w:color="auto"/>
        <w:bottom w:val="none" w:sz="0" w:space="0" w:color="auto"/>
        <w:right w:val="none" w:sz="0" w:space="0" w:color="auto"/>
      </w:divBdr>
    </w:div>
    <w:div w:id="1870798826">
      <w:marLeft w:val="0"/>
      <w:marRight w:val="0"/>
      <w:marTop w:val="200"/>
      <w:marBottom w:val="0"/>
      <w:divBdr>
        <w:top w:val="none" w:sz="0" w:space="0" w:color="auto"/>
        <w:left w:val="none" w:sz="0" w:space="0" w:color="auto"/>
        <w:bottom w:val="none" w:sz="0" w:space="0" w:color="auto"/>
        <w:right w:val="none" w:sz="0" w:space="0" w:color="auto"/>
      </w:divBdr>
    </w:div>
    <w:div w:id="1872648985">
      <w:marLeft w:val="0"/>
      <w:marRight w:val="0"/>
      <w:marTop w:val="120"/>
      <w:marBottom w:val="0"/>
      <w:divBdr>
        <w:top w:val="none" w:sz="0" w:space="0" w:color="auto"/>
        <w:left w:val="none" w:sz="0" w:space="0" w:color="auto"/>
        <w:bottom w:val="none" w:sz="0" w:space="0" w:color="auto"/>
        <w:right w:val="none" w:sz="0" w:space="0" w:color="auto"/>
      </w:divBdr>
    </w:div>
    <w:div w:id="1873610644">
      <w:marLeft w:val="0"/>
      <w:marRight w:val="0"/>
      <w:marTop w:val="120"/>
      <w:marBottom w:val="0"/>
      <w:divBdr>
        <w:top w:val="none" w:sz="0" w:space="0" w:color="auto"/>
        <w:left w:val="none" w:sz="0" w:space="0" w:color="auto"/>
        <w:bottom w:val="none" w:sz="0" w:space="0" w:color="auto"/>
        <w:right w:val="none" w:sz="0" w:space="0" w:color="auto"/>
      </w:divBdr>
    </w:div>
    <w:div w:id="1874880214">
      <w:marLeft w:val="0"/>
      <w:marRight w:val="0"/>
      <w:marTop w:val="0"/>
      <w:marBottom w:val="0"/>
      <w:divBdr>
        <w:top w:val="none" w:sz="0" w:space="0" w:color="auto"/>
        <w:left w:val="none" w:sz="0" w:space="0" w:color="auto"/>
        <w:bottom w:val="none" w:sz="0" w:space="0" w:color="auto"/>
        <w:right w:val="none" w:sz="0" w:space="0" w:color="auto"/>
      </w:divBdr>
      <w:divsChild>
        <w:div w:id="1961719085">
          <w:marLeft w:val="0"/>
          <w:marRight w:val="0"/>
          <w:marTop w:val="0"/>
          <w:marBottom w:val="0"/>
          <w:divBdr>
            <w:top w:val="none" w:sz="0" w:space="0" w:color="auto"/>
            <w:left w:val="none" w:sz="0" w:space="0" w:color="auto"/>
            <w:bottom w:val="none" w:sz="0" w:space="0" w:color="auto"/>
            <w:right w:val="none" w:sz="0" w:space="0" w:color="auto"/>
          </w:divBdr>
        </w:div>
      </w:divsChild>
    </w:div>
    <w:div w:id="1875313424">
      <w:marLeft w:val="0"/>
      <w:marRight w:val="0"/>
      <w:marTop w:val="200"/>
      <w:marBottom w:val="0"/>
      <w:divBdr>
        <w:top w:val="none" w:sz="0" w:space="0" w:color="auto"/>
        <w:left w:val="none" w:sz="0" w:space="0" w:color="auto"/>
        <w:bottom w:val="none" w:sz="0" w:space="0" w:color="auto"/>
        <w:right w:val="none" w:sz="0" w:space="0" w:color="auto"/>
      </w:divBdr>
    </w:div>
    <w:div w:id="1875575827">
      <w:marLeft w:val="0"/>
      <w:marRight w:val="0"/>
      <w:marTop w:val="120"/>
      <w:marBottom w:val="0"/>
      <w:divBdr>
        <w:top w:val="none" w:sz="0" w:space="0" w:color="auto"/>
        <w:left w:val="none" w:sz="0" w:space="0" w:color="auto"/>
        <w:bottom w:val="none" w:sz="0" w:space="0" w:color="auto"/>
        <w:right w:val="none" w:sz="0" w:space="0" w:color="auto"/>
      </w:divBdr>
    </w:div>
    <w:div w:id="1875578137">
      <w:marLeft w:val="0"/>
      <w:marRight w:val="0"/>
      <w:marTop w:val="200"/>
      <w:marBottom w:val="0"/>
      <w:divBdr>
        <w:top w:val="none" w:sz="0" w:space="0" w:color="auto"/>
        <w:left w:val="none" w:sz="0" w:space="0" w:color="auto"/>
        <w:bottom w:val="none" w:sz="0" w:space="0" w:color="auto"/>
        <w:right w:val="none" w:sz="0" w:space="0" w:color="auto"/>
      </w:divBdr>
    </w:div>
    <w:div w:id="1875851485">
      <w:marLeft w:val="0"/>
      <w:marRight w:val="0"/>
      <w:marTop w:val="120"/>
      <w:marBottom w:val="0"/>
      <w:divBdr>
        <w:top w:val="none" w:sz="0" w:space="0" w:color="auto"/>
        <w:left w:val="none" w:sz="0" w:space="0" w:color="auto"/>
        <w:bottom w:val="none" w:sz="0" w:space="0" w:color="auto"/>
        <w:right w:val="none" w:sz="0" w:space="0" w:color="auto"/>
      </w:divBdr>
    </w:div>
    <w:div w:id="1876497653">
      <w:marLeft w:val="0"/>
      <w:marRight w:val="0"/>
      <w:marTop w:val="120"/>
      <w:marBottom w:val="0"/>
      <w:divBdr>
        <w:top w:val="none" w:sz="0" w:space="0" w:color="auto"/>
        <w:left w:val="none" w:sz="0" w:space="0" w:color="auto"/>
        <w:bottom w:val="none" w:sz="0" w:space="0" w:color="auto"/>
        <w:right w:val="none" w:sz="0" w:space="0" w:color="auto"/>
      </w:divBdr>
    </w:div>
    <w:div w:id="1876699974">
      <w:marLeft w:val="0"/>
      <w:marRight w:val="0"/>
      <w:marTop w:val="120"/>
      <w:marBottom w:val="0"/>
      <w:divBdr>
        <w:top w:val="none" w:sz="0" w:space="0" w:color="auto"/>
        <w:left w:val="none" w:sz="0" w:space="0" w:color="auto"/>
        <w:bottom w:val="none" w:sz="0" w:space="0" w:color="auto"/>
        <w:right w:val="none" w:sz="0" w:space="0" w:color="auto"/>
      </w:divBdr>
    </w:div>
    <w:div w:id="1877161721">
      <w:marLeft w:val="0"/>
      <w:marRight w:val="0"/>
      <w:marTop w:val="120"/>
      <w:marBottom w:val="0"/>
      <w:divBdr>
        <w:top w:val="none" w:sz="0" w:space="0" w:color="auto"/>
        <w:left w:val="none" w:sz="0" w:space="0" w:color="auto"/>
        <w:bottom w:val="none" w:sz="0" w:space="0" w:color="auto"/>
        <w:right w:val="none" w:sz="0" w:space="0" w:color="auto"/>
      </w:divBdr>
    </w:div>
    <w:div w:id="1879510458">
      <w:marLeft w:val="0"/>
      <w:marRight w:val="0"/>
      <w:marTop w:val="120"/>
      <w:marBottom w:val="0"/>
      <w:divBdr>
        <w:top w:val="none" w:sz="0" w:space="0" w:color="auto"/>
        <w:left w:val="none" w:sz="0" w:space="0" w:color="auto"/>
        <w:bottom w:val="none" w:sz="0" w:space="0" w:color="auto"/>
        <w:right w:val="none" w:sz="0" w:space="0" w:color="auto"/>
      </w:divBdr>
    </w:div>
    <w:div w:id="1880586778">
      <w:marLeft w:val="0"/>
      <w:marRight w:val="0"/>
      <w:marTop w:val="200"/>
      <w:marBottom w:val="0"/>
      <w:divBdr>
        <w:top w:val="none" w:sz="0" w:space="0" w:color="auto"/>
        <w:left w:val="none" w:sz="0" w:space="0" w:color="auto"/>
        <w:bottom w:val="none" w:sz="0" w:space="0" w:color="auto"/>
        <w:right w:val="none" w:sz="0" w:space="0" w:color="auto"/>
      </w:divBdr>
    </w:div>
    <w:div w:id="1880899913">
      <w:marLeft w:val="0"/>
      <w:marRight w:val="0"/>
      <w:marTop w:val="200"/>
      <w:marBottom w:val="0"/>
      <w:divBdr>
        <w:top w:val="none" w:sz="0" w:space="0" w:color="auto"/>
        <w:left w:val="none" w:sz="0" w:space="0" w:color="auto"/>
        <w:bottom w:val="none" w:sz="0" w:space="0" w:color="auto"/>
        <w:right w:val="none" w:sz="0" w:space="0" w:color="auto"/>
      </w:divBdr>
    </w:div>
    <w:div w:id="1883976144">
      <w:marLeft w:val="0"/>
      <w:marRight w:val="0"/>
      <w:marTop w:val="120"/>
      <w:marBottom w:val="0"/>
      <w:divBdr>
        <w:top w:val="none" w:sz="0" w:space="0" w:color="auto"/>
        <w:left w:val="none" w:sz="0" w:space="0" w:color="auto"/>
        <w:bottom w:val="none" w:sz="0" w:space="0" w:color="auto"/>
        <w:right w:val="none" w:sz="0" w:space="0" w:color="auto"/>
      </w:divBdr>
    </w:div>
    <w:div w:id="1884439365">
      <w:marLeft w:val="0"/>
      <w:marRight w:val="0"/>
      <w:marTop w:val="120"/>
      <w:marBottom w:val="0"/>
      <w:divBdr>
        <w:top w:val="none" w:sz="0" w:space="0" w:color="auto"/>
        <w:left w:val="none" w:sz="0" w:space="0" w:color="auto"/>
        <w:bottom w:val="none" w:sz="0" w:space="0" w:color="auto"/>
        <w:right w:val="none" w:sz="0" w:space="0" w:color="auto"/>
      </w:divBdr>
    </w:div>
    <w:div w:id="1885560514">
      <w:marLeft w:val="0"/>
      <w:marRight w:val="0"/>
      <w:marTop w:val="120"/>
      <w:marBottom w:val="0"/>
      <w:divBdr>
        <w:top w:val="none" w:sz="0" w:space="0" w:color="auto"/>
        <w:left w:val="none" w:sz="0" w:space="0" w:color="auto"/>
        <w:bottom w:val="none" w:sz="0" w:space="0" w:color="auto"/>
        <w:right w:val="none" w:sz="0" w:space="0" w:color="auto"/>
      </w:divBdr>
    </w:div>
    <w:div w:id="1885756308">
      <w:marLeft w:val="0"/>
      <w:marRight w:val="0"/>
      <w:marTop w:val="120"/>
      <w:marBottom w:val="0"/>
      <w:divBdr>
        <w:top w:val="none" w:sz="0" w:space="0" w:color="auto"/>
        <w:left w:val="none" w:sz="0" w:space="0" w:color="auto"/>
        <w:bottom w:val="none" w:sz="0" w:space="0" w:color="auto"/>
        <w:right w:val="none" w:sz="0" w:space="0" w:color="auto"/>
      </w:divBdr>
    </w:div>
    <w:div w:id="1886595401">
      <w:marLeft w:val="0"/>
      <w:marRight w:val="0"/>
      <w:marTop w:val="0"/>
      <w:marBottom w:val="0"/>
      <w:divBdr>
        <w:top w:val="none" w:sz="0" w:space="0" w:color="auto"/>
        <w:left w:val="none" w:sz="0" w:space="0" w:color="auto"/>
        <w:bottom w:val="none" w:sz="0" w:space="0" w:color="auto"/>
        <w:right w:val="none" w:sz="0" w:space="0" w:color="auto"/>
      </w:divBdr>
    </w:div>
    <w:div w:id="1887064169">
      <w:marLeft w:val="0"/>
      <w:marRight w:val="0"/>
      <w:marTop w:val="200"/>
      <w:marBottom w:val="0"/>
      <w:divBdr>
        <w:top w:val="none" w:sz="0" w:space="0" w:color="auto"/>
        <w:left w:val="none" w:sz="0" w:space="0" w:color="auto"/>
        <w:bottom w:val="none" w:sz="0" w:space="0" w:color="auto"/>
        <w:right w:val="none" w:sz="0" w:space="0" w:color="auto"/>
      </w:divBdr>
    </w:div>
    <w:div w:id="1887251449">
      <w:marLeft w:val="0"/>
      <w:marRight w:val="0"/>
      <w:marTop w:val="120"/>
      <w:marBottom w:val="0"/>
      <w:divBdr>
        <w:top w:val="none" w:sz="0" w:space="0" w:color="auto"/>
        <w:left w:val="none" w:sz="0" w:space="0" w:color="auto"/>
        <w:bottom w:val="none" w:sz="0" w:space="0" w:color="auto"/>
        <w:right w:val="none" w:sz="0" w:space="0" w:color="auto"/>
      </w:divBdr>
    </w:div>
    <w:div w:id="1889603353">
      <w:marLeft w:val="0"/>
      <w:marRight w:val="0"/>
      <w:marTop w:val="120"/>
      <w:marBottom w:val="0"/>
      <w:divBdr>
        <w:top w:val="none" w:sz="0" w:space="0" w:color="auto"/>
        <w:left w:val="none" w:sz="0" w:space="0" w:color="auto"/>
        <w:bottom w:val="none" w:sz="0" w:space="0" w:color="auto"/>
        <w:right w:val="none" w:sz="0" w:space="0" w:color="auto"/>
      </w:divBdr>
    </w:div>
    <w:div w:id="1890874163">
      <w:marLeft w:val="0"/>
      <w:marRight w:val="0"/>
      <w:marTop w:val="120"/>
      <w:marBottom w:val="0"/>
      <w:divBdr>
        <w:top w:val="none" w:sz="0" w:space="0" w:color="auto"/>
        <w:left w:val="none" w:sz="0" w:space="0" w:color="auto"/>
        <w:bottom w:val="none" w:sz="0" w:space="0" w:color="auto"/>
        <w:right w:val="none" w:sz="0" w:space="0" w:color="auto"/>
      </w:divBdr>
    </w:div>
    <w:div w:id="1893416919">
      <w:marLeft w:val="0"/>
      <w:marRight w:val="0"/>
      <w:marTop w:val="120"/>
      <w:marBottom w:val="0"/>
      <w:divBdr>
        <w:top w:val="none" w:sz="0" w:space="0" w:color="auto"/>
        <w:left w:val="none" w:sz="0" w:space="0" w:color="auto"/>
        <w:bottom w:val="none" w:sz="0" w:space="0" w:color="auto"/>
        <w:right w:val="none" w:sz="0" w:space="0" w:color="auto"/>
      </w:divBdr>
    </w:div>
    <w:div w:id="1894074587">
      <w:marLeft w:val="0"/>
      <w:marRight w:val="0"/>
      <w:marTop w:val="120"/>
      <w:marBottom w:val="0"/>
      <w:divBdr>
        <w:top w:val="none" w:sz="0" w:space="0" w:color="auto"/>
        <w:left w:val="none" w:sz="0" w:space="0" w:color="auto"/>
        <w:bottom w:val="none" w:sz="0" w:space="0" w:color="auto"/>
        <w:right w:val="none" w:sz="0" w:space="0" w:color="auto"/>
      </w:divBdr>
    </w:div>
    <w:div w:id="1894610225">
      <w:marLeft w:val="0"/>
      <w:marRight w:val="0"/>
      <w:marTop w:val="200"/>
      <w:marBottom w:val="0"/>
      <w:divBdr>
        <w:top w:val="none" w:sz="0" w:space="0" w:color="auto"/>
        <w:left w:val="none" w:sz="0" w:space="0" w:color="auto"/>
        <w:bottom w:val="none" w:sz="0" w:space="0" w:color="auto"/>
        <w:right w:val="none" w:sz="0" w:space="0" w:color="auto"/>
      </w:divBdr>
    </w:div>
    <w:div w:id="1895237782">
      <w:marLeft w:val="0"/>
      <w:marRight w:val="0"/>
      <w:marTop w:val="120"/>
      <w:marBottom w:val="0"/>
      <w:divBdr>
        <w:top w:val="none" w:sz="0" w:space="0" w:color="auto"/>
        <w:left w:val="none" w:sz="0" w:space="0" w:color="auto"/>
        <w:bottom w:val="none" w:sz="0" w:space="0" w:color="auto"/>
        <w:right w:val="none" w:sz="0" w:space="0" w:color="auto"/>
      </w:divBdr>
    </w:div>
    <w:div w:id="1895697728">
      <w:marLeft w:val="0"/>
      <w:marRight w:val="0"/>
      <w:marTop w:val="200"/>
      <w:marBottom w:val="0"/>
      <w:divBdr>
        <w:top w:val="none" w:sz="0" w:space="0" w:color="auto"/>
        <w:left w:val="none" w:sz="0" w:space="0" w:color="auto"/>
        <w:bottom w:val="none" w:sz="0" w:space="0" w:color="auto"/>
        <w:right w:val="none" w:sz="0" w:space="0" w:color="auto"/>
      </w:divBdr>
    </w:div>
    <w:div w:id="1897080314">
      <w:marLeft w:val="0"/>
      <w:marRight w:val="0"/>
      <w:marTop w:val="0"/>
      <w:marBottom w:val="0"/>
      <w:divBdr>
        <w:top w:val="none" w:sz="0" w:space="0" w:color="auto"/>
        <w:left w:val="none" w:sz="0" w:space="0" w:color="auto"/>
        <w:bottom w:val="none" w:sz="0" w:space="0" w:color="auto"/>
        <w:right w:val="none" w:sz="0" w:space="0" w:color="auto"/>
      </w:divBdr>
      <w:divsChild>
        <w:div w:id="783306213">
          <w:marLeft w:val="0"/>
          <w:marRight w:val="0"/>
          <w:marTop w:val="0"/>
          <w:marBottom w:val="0"/>
          <w:divBdr>
            <w:top w:val="none" w:sz="0" w:space="0" w:color="auto"/>
            <w:left w:val="none" w:sz="0" w:space="0" w:color="auto"/>
            <w:bottom w:val="none" w:sz="0" w:space="0" w:color="auto"/>
            <w:right w:val="none" w:sz="0" w:space="0" w:color="auto"/>
          </w:divBdr>
        </w:div>
      </w:divsChild>
    </w:div>
    <w:div w:id="1899051007">
      <w:marLeft w:val="0"/>
      <w:marRight w:val="0"/>
      <w:marTop w:val="120"/>
      <w:marBottom w:val="0"/>
      <w:divBdr>
        <w:top w:val="none" w:sz="0" w:space="0" w:color="auto"/>
        <w:left w:val="none" w:sz="0" w:space="0" w:color="auto"/>
        <w:bottom w:val="none" w:sz="0" w:space="0" w:color="auto"/>
        <w:right w:val="none" w:sz="0" w:space="0" w:color="auto"/>
      </w:divBdr>
    </w:div>
    <w:div w:id="1899244565">
      <w:marLeft w:val="0"/>
      <w:marRight w:val="0"/>
      <w:marTop w:val="120"/>
      <w:marBottom w:val="0"/>
      <w:divBdr>
        <w:top w:val="none" w:sz="0" w:space="0" w:color="auto"/>
        <w:left w:val="none" w:sz="0" w:space="0" w:color="auto"/>
        <w:bottom w:val="none" w:sz="0" w:space="0" w:color="auto"/>
        <w:right w:val="none" w:sz="0" w:space="0" w:color="auto"/>
      </w:divBdr>
    </w:div>
    <w:div w:id="1901398888">
      <w:marLeft w:val="0"/>
      <w:marRight w:val="0"/>
      <w:marTop w:val="100"/>
      <w:marBottom w:val="0"/>
      <w:divBdr>
        <w:top w:val="none" w:sz="0" w:space="0" w:color="auto"/>
        <w:left w:val="none" w:sz="0" w:space="0" w:color="auto"/>
        <w:bottom w:val="none" w:sz="0" w:space="0" w:color="auto"/>
        <w:right w:val="none" w:sz="0" w:space="0" w:color="auto"/>
      </w:divBdr>
    </w:div>
    <w:div w:id="1902905765">
      <w:marLeft w:val="0"/>
      <w:marRight w:val="0"/>
      <w:marTop w:val="200"/>
      <w:marBottom w:val="0"/>
      <w:divBdr>
        <w:top w:val="none" w:sz="0" w:space="0" w:color="auto"/>
        <w:left w:val="none" w:sz="0" w:space="0" w:color="auto"/>
        <w:bottom w:val="none" w:sz="0" w:space="0" w:color="auto"/>
        <w:right w:val="none" w:sz="0" w:space="0" w:color="auto"/>
      </w:divBdr>
    </w:div>
    <w:div w:id="1905334157">
      <w:marLeft w:val="0"/>
      <w:marRight w:val="0"/>
      <w:marTop w:val="200"/>
      <w:marBottom w:val="0"/>
      <w:divBdr>
        <w:top w:val="none" w:sz="0" w:space="0" w:color="auto"/>
        <w:left w:val="none" w:sz="0" w:space="0" w:color="auto"/>
        <w:bottom w:val="none" w:sz="0" w:space="0" w:color="auto"/>
        <w:right w:val="none" w:sz="0" w:space="0" w:color="auto"/>
      </w:divBdr>
    </w:div>
    <w:div w:id="1906836804">
      <w:marLeft w:val="0"/>
      <w:marRight w:val="0"/>
      <w:marTop w:val="200"/>
      <w:marBottom w:val="0"/>
      <w:divBdr>
        <w:top w:val="none" w:sz="0" w:space="0" w:color="auto"/>
        <w:left w:val="none" w:sz="0" w:space="0" w:color="auto"/>
        <w:bottom w:val="none" w:sz="0" w:space="0" w:color="auto"/>
        <w:right w:val="none" w:sz="0" w:space="0" w:color="auto"/>
      </w:divBdr>
    </w:div>
    <w:div w:id="1908491444">
      <w:marLeft w:val="0"/>
      <w:marRight w:val="0"/>
      <w:marTop w:val="200"/>
      <w:marBottom w:val="0"/>
      <w:divBdr>
        <w:top w:val="none" w:sz="0" w:space="0" w:color="auto"/>
        <w:left w:val="none" w:sz="0" w:space="0" w:color="auto"/>
        <w:bottom w:val="none" w:sz="0" w:space="0" w:color="auto"/>
        <w:right w:val="none" w:sz="0" w:space="0" w:color="auto"/>
      </w:divBdr>
    </w:div>
    <w:div w:id="1910529197">
      <w:marLeft w:val="0"/>
      <w:marRight w:val="0"/>
      <w:marTop w:val="120"/>
      <w:marBottom w:val="0"/>
      <w:divBdr>
        <w:top w:val="none" w:sz="0" w:space="0" w:color="auto"/>
        <w:left w:val="none" w:sz="0" w:space="0" w:color="auto"/>
        <w:bottom w:val="none" w:sz="0" w:space="0" w:color="auto"/>
        <w:right w:val="none" w:sz="0" w:space="0" w:color="auto"/>
      </w:divBdr>
    </w:div>
    <w:div w:id="1914121925">
      <w:marLeft w:val="0"/>
      <w:marRight w:val="0"/>
      <w:marTop w:val="120"/>
      <w:marBottom w:val="0"/>
      <w:divBdr>
        <w:top w:val="none" w:sz="0" w:space="0" w:color="auto"/>
        <w:left w:val="none" w:sz="0" w:space="0" w:color="auto"/>
        <w:bottom w:val="none" w:sz="0" w:space="0" w:color="auto"/>
        <w:right w:val="none" w:sz="0" w:space="0" w:color="auto"/>
      </w:divBdr>
    </w:div>
    <w:div w:id="1915627135">
      <w:marLeft w:val="0"/>
      <w:marRight w:val="0"/>
      <w:marTop w:val="200"/>
      <w:marBottom w:val="0"/>
      <w:divBdr>
        <w:top w:val="none" w:sz="0" w:space="0" w:color="auto"/>
        <w:left w:val="none" w:sz="0" w:space="0" w:color="auto"/>
        <w:bottom w:val="none" w:sz="0" w:space="0" w:color="auto"/>
        <w:right w:val="none" w:sz="0" w:space="0" w:color="auto"/>
      </w:divBdr>
    </w:div>
    <w:div w:id="1916669249">
      <w:marLeft w:val="0"/>
      <w:marRight w:val="0"/>
      <w:marTop w:val="120"/>
      <w:marBottom w:val="0"/>
      <w:divBdr>
        <w:top w:val="none" w:sz="0" w:space="0" w:color="auto"/>
        <w:left w:val="none" w:sz="0" w:space="0" w:color="auto"/>
        <w:bottom w:val="none" w:sz="0" w:space="0" w:color="auto"/>
        <w:right w:val="none" w:sz="0" w:space="0" w:color="auto"/>
      </w:divBdr>
    </w:div>
    <w:div w:id="1917938958">
      <w:marLeft w:val="0"/>
      <w:marRight w:val="0"/>
      <w:marTop w:val="120"/>
      <w:marBottom w:val="0"/>
      <w:divBdr>
        <w:top w:val="none" w:sz="0" w:space="0" w:color="auto"/>
        <w:left w:val="none" w:sz="0" w:space="0" w:color="auto"/>
        <w:bottom w:val="none" w:sz="0" w:space="0" w:color="auto"/>
        <w:right w:val="none" w:sz="0" w:space="0" w:color="auto"/>
      </w:divBdr>
    </w:div>
    <w:div w:id="1920747388">
      <w:marLeft w:val="0"/>
      <w:marRight w:val="0"/>
      <w:marTop w:val="100"/>
      <w:marBottom w:val="0"/>
      <w:divBdr>
        <w:top w:val="none" w:sz="0" w:space="0" w:color="auto"/>
        <w:left w:val="none" w:sz="0" w:space="0" w:color="auto"/>
        <w:bottom w:val="none" w:sz="0" w:space="0" w:color="auto"/>
        <w:right w:val="none" w:sz="0" w:space="0" w:color="auto"/>
      </w:divBdr>
    </w:div>
    <w:div w:id="1922979938">
      <w:marLeft w:val="0"/>
      <w:marRight w:val="0"/>
      <w:marTop w:val="120"/>
      <w:marBottom w:val="0"/>
      <w:divBdr>
        <w:top w:val="none" w:sz="0" w:space="0" w:color="auto"/>
        <w:left w:val="none" w:sz="0" w:space="0" w:color="auto"/>
        <w:bottom w:val="none" w:sz="0" w:space="0" w:color="auto"/>
        <w:right w:val="none" w:sz="0" w:space="0" w:color="auto"/>
      </w:divBdr>
    </w:div>
    <w:div w:id="1923176335">
      <w:marLeft w:val="0"/>
      <w:marRight w:val="0"/>
      <w:marTop w:val="120"/>
      <w:marBottom w:val="0"/>
      <w:divBdr>
        <w:top w:val="none" w:sz="0" w:space="0" w:color="auto"/>
        <w:left w:val="none" w:sz="0" w:space="0" w:color="auto"/>
        <w:bottom w:val="none" w:sz="0" w:space="0" w:color="auto"/>
        <w:right w:val="none" w:sz="0" w:space="0" w:color="auto"/>
      </w:divBdr>
    </w:div>
    <w:div w:id="1924147310">
      <w:marLeft w:val="0"/>
      <w:marRight w:val="0"/>
      <w:marTop w:val="120"/>
      <w:marBottom w:val="0"/>
      <w:divBdr>
        <w:top w:val="none" w:sz="0" w:space="0" w:color="auto"/>
        <w:left w:val="none" w:sz="0" w:space="0" w:color="auto"/>
        <w:bottom w:val="none" w:sz="0" w:space="0" w:color="auto"/>
        <w:right w:val="none" w:sz="0" w:space="0" w:color="auto"/>
      </w:divBdr>
    </w:div>
    <w:div w:id="1925187479">
      <w:marLeft w:val="0"/>
      <w:marRight w:val="0"/>
      <w:marTop w:val="120"/>
      <w:marBottom w:val="0"/>
      <w:divBdr>
        <w:top w:val="none" w:sz="0" w:space="0" w:color="auto"/>
        <w:left w:val="none" w:sz="0" w:space="0" w:color="auto"/>
        <w:bottom w:val="none" w:sz="0" w:space="0" w:color="auto"/>
        <w:right w:val="none" w:sz="0" w:space="0" w:color="auto"/>
      </w:divBdr>
    </w:div>
    <w:div w:id="1926959922">
      <w:marLeft w:val="0"/>
      <w:marRight w:val="0"/>
      <w:marTop w:val="200"/>
      <w:marBottom w:val="0"/>
      <w:divBdr>
        <w:top w:val="none" w:sz="0" w:space="0" w:color="auto"/>
        <w:left w:val="none" w:sz="0" w:space="0" w:color="auto"/>
        <w:bottom w:val="none" w:sz="0" w:space="0" w:color="auto"/>
        <w:right w:val="none" w:sz="0" w:space="0" w:color="auto"/>
      </w:divBdr>
    </w:div>
    <w:div w:id="1927422935">
      <w:marLeft w:val="0"/>
      <w:marRight w:val="0"/>
      <w:marTop w:val="120"/>
      <w:marBottom w:val="0"/>
      <w:divBdr>
        <w:top w:val="none" w:sz="0" w:space="0" w:color="auto"/>
        <w:left w:val="none" w:sz="0" w:space="0" w:color="auto"/>
        <w:bottom w:val="none" w:sz="0" w:space="0" w:color="auto"/>
        <w:right w:val="none" w:sz="0" w:space="0" w:color="auto"/>
      </w:divBdr>
    </w:div>
    <w:div w:id="1927958527">
      <w:marLeft w:val="0"/>
      <w:marRight w:val="0"/>
      <w:marTop w:val="120"/>
      <w:marBottom w:val="0"/>
      <w:divBdr>
        <w:top w:val="none" w:sz="0" w:space="0" w:color="auto"/>
        <w:left w:val="none" w:sz="0" w:space="0" w:color="auto"/>
        <w:bottom w:val="none" w:sz="0" w:space="0" w:color="auto"/>
        <w:right w:val="none" w:sz="0" w:space="0" w:color="auto"/>
      </w:divBdr>
    </w:div>
    <w:div w:id="1928607959">
      <w:marLeft w:val="0"/>
      <w:marRight w:val="0"/>
      <w:marTop w:val="120"/>
      <w:marBottom w:val="0"/>
      <w:divBdr>
        <w:top w:val="none" w:sz="0" w:space="0" w:color="auto"/>
        <w:left w:val="none" w:sz="0" w:space="0" w:color="auto"/>
        <w:bottom w:val="none" w:sz="0" w:space="0" w:color="auto"/>
        <w:right w:val="none" w:sz="0" w:space="0" w:color="auto"/>
      </w:divBdr>
    </w:div>
    <w:div w:id="1933465641">
      <w:marLeft w:val="0"/>
      <w:marRight w:val="0"/>
      <w:marTop w:val="120"/>
      <w:marBottom w:val="0"/>
      <w:divBdr>
        <w:top w:val="none" w:sz="0" w:space="0" w:color="auto"/>
        <w:left w:val="none" w:sz="0" w:space="0" w:color="auto"/>
        <w:bottom w:val="none" w:sz="0" w:space="0" w:color="auto"/>
        <w:right w:val="none" w:sz="0" w:space="0" w:color="auto"/>
      </w:divBdr>
    </w:div>
    <w:div w:id="1934392794">
      <w:marLeft w:val="0"/>
      <w:marRight w:val="0"/>
      <w:marTop w:val="200"/>
      <w:marBottom w:val="0"/>
      <w:divBdr>
        <w:top w:val="none" w:sz="0" w:space="0" w:color="auto"/>
        <w:left w:val="none" w:sz="0" w:space="0" w:color="auto"/>
        <w:bottom w:val="none" w:sz="0" w:space="0" w:color="auto"/>
        <w:right w:val="none" w:sz="0" w:space="0" w:color="auto"/>
      </w:divBdr>
    </w:div>
    <w:div w:id="1937010946">
      <w:marLeft w:val="0"/>
      <w:marRight w:val="0"/>
      <w:marTop w:val="120"/>
      <w:marBottom w:val="0"/>
      <w:divBdr>
        <w:top w:val="none" w:sz="0" w:space="0" w:color="auto"/>
        <w:left w:val="none" w:sz="0" w:space="0" w:color="auto"/>
        <w:bottom w:val="none" w:sz="0" w:space="0" w:color="auto"/>
        <w:right w:val="none" w:sz="0" w:space="0" w:color="auto"/>
      </w:divBdr>
    </w:div>
    <w:div w:id="1938323882">
      <w:marLeft w:val="0"/>
      <w:marRight w:val="0"/>
      <w:marTop w:val="200"/>
      <w:marBottom w:val="0"/>
      <w:divBdr>
        <w:top w:val="none" w:sz="0" w:space="0" w:color="auto"/>
        <w:left w:val="none" w:sz="0" w:space="0" w:color="auto"/>
        <w:bottom w:val="none" w:sz="0" w:space="0" w:color="auto"/>
        <w:right w:val="none" w:sz="0" w:space="0" w:color="auto"/>
      </w:divBdr>
    </w:div>
    <w:div w:id="1938904935">
      <w:marLeft w:val="0"/>
      <w:marRight w:val="0"/>
      <w:marTop w:val="120"/>
      <w:marBottom w:val="0"/>
      <w:divBdr>
        <w:top w:val="none" w:sz="0" w:space="0" w:color="auto"/>
        <w:left w:val="none" w:sz="0" w:space="0" w:color="auto"/>
        <w:bottom w:val="none" w:sz="0" w:space="0" w:color="auto"/>
        <w:right w:val="none" w:sz="0" w:space="0" w:color="auto"/>
      </w:divBdr>
    </w:div>
    <w:div w:id="1941983958">
      <w:marLeft w:val="0"/>
      <w:marRight w:val="0"/>
      <w:marTop w:val="0"/>
      <w:marBottom w:val="0"/>
      <w:divBdr>
        <w:top w:val="none" w:sz="0" w:space="0" w:color="auto"/>
        <w:left w:val="none" w:sz="0" w:space="0" w:color="auto"/>
        <w:bottom w:val="none" w:sz="0" w:space="0" w:color="auto"/>
        <w:right w:val="none" w:sz="0" w:space="0" w:color="auto"/>
      </w:divBdr>
      <w:divsChild>
        <w:div w:id="1559977356">
          <w:marLeft w:val="0"/>
          <w:marRight w:val="0"/>
          <w:marTop w:val="0"/>
          <w:marBottom w:val="0"/>
          <w:divBdr>
            <w:top w:val="none" w:sz="0" w:space="0" w:color="auto"/>
            <w:left w:val="none" w:sz="0" w:space="0" w:color="auto"/>
            <w:bottom w:val="none" w:sz="0" w:space="0" w:color="auto"/>
            <w:right w:val="none" w:sz="0" w:space="0" w:color="auto"/>
          </w:divBdr>
        </w:div>
      </w:divsChild>
    </w:div>
    <w:div w:id="1943339829">
      <w:marLeft w:val="0"/>
      <w:marRight w:val="0"/>
      <w:marTop w:val="200"/>
      <w:marBottom w:val="0"/>
      <w:divBdr>
        <w:top w:val="none" w:sz="0" w:space="0" w:color="auto"/>
        <w:left w:val="none" w:sz="0" w:space="0" w:color="auto"/>
        <w:bottom w:val="none" w:sz="0" w:space="0" w:color="auto"/>
        <w:right w:val="none" w:sz="0" w:space="0" w:color="auto"/>
      </w:divBdr>
    </w:div>
    <w:div w:id="1946498505">
      <w:marLeft w:val="0"/>
      <w:marRight w:val="0"/>
      <w:marTop w:val="0"/>
      <w:marBottom w:val="0"/>
      <w:divBdr>
        <w:top w:val="none" w:sz="0" w:space="0" w:color="auto"/>
        <w:left w:val="none" w:sz="0" w:space="0" w:color="auto"/>
        <w:bottom w:val="none" w:sz="0" w:space="0" w:color="auto"/>
        <w:right w:val="none" w:sz="0" w:space="0" w:color="auto"/>
      </w:divBdr>
    </w:div>
    <w:div w:id="1949658309">
      <w:marLeft w:val="0"/>
      <w:marRight w:val="0"/>
      <w:marTop w:val="120"/>
      <w:marBottom w:val="0"/>
      <w:divBdr>
        <w:top w:val="none" w:sz="0" w:space="0" w:color="auto"/>
        <w:left w:val="none" w:sz="0" w:space="0" w:color="auto"/>
        <w:bottom w:val="none" w:sz="0" w:space="0" w:color="auto"/>
        <w:right w:val="none" w:sz="0" w:space="0" w:color="auto"/>
      </w:divBdr>
    </w:div>
    <w:div w:id="1949849504">
      <w:marLeft w:val="0"/>
      <w:marRight w:val="0"/>
      <w:marTop w:val="120"/>
      <w:marBottom w:val="0"/>
      <w:divBdr>
        <w:top w:val="none" w:sz="0" w:space="0" w:color="auto"/>
        <w:left w:val="none" w:sz="0" w:space="0" w:color="auto"/>
        <w:bottom w:val="none" w:sz="0" w:space="0" w:color="auto"/>
        <w:right w:val="none" w:sz="0" w:space="0" w:color="auto"/>
      </w:divBdr>
    </w:div>
    <w:div w:id="1953173240">
      <w:marLeft w:val="0"/>
      <w:marRight w:val="0"/>
      <w:marTop w:val="0"/>
      <w:marBottom w:val="0"/>
      <w:divBdr>
        <w:top w:val="none" w:sz="0" w:space="0" w:color="auto"/>
        <w:left w:val="none" w:sz="0" w:space="0" w:color="auto"/>
        <w:bottom w:val="none" w:sz="0" w:space="0" w:color="auto"/>
        <w:right w:val="none" w:sz="0" w:space="0" w:color="auto"/>
      </w:divBdr>
    </w:div>
    <w:div w:id="1954702003">
      <w:marLeft w:val="0"/>
      <w:marRight w:val="0"/>
      <w:marTop w:val="120"/>
      <w:marBottom w:val="0"/>
      <w:divBdr>
        <w:top w:val="none" w:sz="0" w:space="0" w:color="auto"/>
        <w:left w:val="none" w:sz="0" w:space="0" w:color="auto"/>
        <w:bottom w:val="none" w:sz="0" w:space="0" w:color="auto"/>
        <w:right w:val="none" w:sz="0" w:space="0" w:color="auto"/>
      </w:divBdr>
    </w:div>
    <w:div w:id="1962804648">
      <w:marLeft w:val="0"/>
      <w:marRight w:val="0"/>
      <w:marTop w:val="200"/>
      <w:marBottom w:val="0"/>
      <w:divBdr>
        <w:top w:val="none" w:sz="0" w:space="0" w:color="auto"/>
        <w:left w:val="none" w:sz="0" w:space="0" w:color="auto"/>
        <w:bottom w:val="none" w:sz="0" w:space="0" w:color="auto"/>
        <w:right w:val="none" w:sz="0" w:space="0" w:color="auto"/>
      </w:divBdr>
    </w:div>
    <w:div w:id="1963608048">
      <w:marLeft w:val="0"/>
      <w:marRight w:val="0"/>
      <w:marTop w:val="120"/>
      <w:marBottom w:val="0"/>
      <w:divBdr>
        <w:top w:val="none" w:sz="0" w:space="0" w:color="auto"/>
        <w:left w:val="none" w:sz="0" w:space="0" w:color="auto"/>
        <w:bottom w:val="none" w:sz="0" w:space="0" w:color="auto"/>
        <w:right w:val="none" w:sz="0" w:space="0" w:color="auto"/>
      </w:divBdr>
    </w:div>
    <w:div w:id="1965302870">
      <w:marLeft w:val="0"/>
      <w:marRight w:val="0"/>
      <w:marTop w:val="0"/>
      <w:marBottom w:val="0"/>
      <w:divBdr>
        <w:top w:val="none" w:sz="0" w:space="0" w:color="auto"/>
        <w:left w:val="none" w:sz="0" w:space="0" w:color="auto"/>
        <w:bottom w:val="none" w:sz="0" w:space="0" w:color="auto"/>
        <w:right w:val="none" w:sz="0" w:space="0" w:color="auto"/>
      </w:divBdr>
      <w:divsChild>
        <w:div w:id="564877408">
          <w:marLeft w:val="0"/>
          <w:marRight w:val="0"/>
          <w:marTop w:val="0"/>
          <w:marBottom w:val="0"/>
          <w:divBdr>
            <w:top w:val="none" w:sz="0" w:space="0" w:color="auto"/>
            <w:left w:val="none" w:sz="0" w:space="0" w:color="auto"/>
            <w:bottom w:val="none" w:sz="0" w:space="0" w:color="auto"/>
            <w:right w:val="none" w:sz="0" w:space="0" w:color="auto"/>
          </w:divBdr>
        </w:div>
      </w:divsChild>
    </w:div>
    <w:div w:id="1965302967">
      <w:marLeft w:val="0"/>
      <w:marRight w:val="0"/>
      <w:marTop w:val="100"/>
      <w:marBottom w:val="0"/>
      <w:divBdr>
        <w:top w:val="none" w:sz="0" w:space="0" w:color="auto"/>
        <w:left w:val="none" w:sz="0" w:space="0" w:color="auto"/>
        <w:bottom w:val="none" w:sz="0" w:space="0" w:color="auto"/>
        <w:right w:val="none" w:sz="0" w:space="0" w:color="auto"/>
      </w:divBdr>
    </w:div>
    <w:div w:id="1966227887">
      <w:marLeft w:val="0"/>
      <w:marRight w:val="0"/>
      <w:marTop w:val="0"/>
      <w:marBottom w:val="0"/>
      <w:divBdr>
        <w:top w:val="none" w:sz="0" w:space="0" w:color="auto"/>
        <w:left w:val="none" w:sz="0" w:space="0" w:color="auto"/>
        <w:bottom w:val="none" w:sz="0" w:space="0" w:color="auto"/>
        <w:right w:val="none" w:sz="0" w:space="0" w:color="auto"/>
      </w:divBdr>
    </w:div>
    <w:div w:id="1969780365">
      <w:marLeft w:val="0"/>
      <w:marRight w:val="0"/>
      <w:marTop w:val="0"/>
      <w:marBottom w:val="0"/>
      <w:divBdr>
        <w:top w:val="none" w:sz="0" w:space="0" w:color="auto"/>
        <w:left w:val="none" w:sz="0" w:space="0" w:color="auto"/>
        <w:bottom w:val="none" w:sz="0" w:space="0" w:color="auto"/>
        <w:right w:val="none" w:sz="0" w:space="0" w:color="auto"/>
      </w:divBdr>
      <w:divsChild>
        <w:div w:id="936064430">
          <w:marLeft w:val="0"/>
          <w:marRight w:val="0"/>
          <w:marTop w:val="0"/>
          <w:marBottom w:val="0"/>
          <w:divBdr>
            <w:top w:val="none" w:sz="0" w:space="0" w:color="auto"/>
            <w:left w:val="none" w:sz="0" w:space="0" w:color="auto"/>
            <w:bottom w:val="none" w:sz="0" w:space="0" w:color="auto"/>
            <w:right w:val="none" w:sz="0" w:space="0" w:color="auto"/>
          </w:divBdr>
        </w:div>
      </w:divsChild>
    </w:div>
    <w:div w:id="1970355454">
      <w:marLeft w:val="0"/>
      <w:marRight w:val="0"/>
      <w:marTop w:val="0"/>
      <w:marBottom w:val="0"/>
      <w:divBdr>
        <w:top w:val="none" w:sz="0" w:space="0" w:color="auto"/>
        <w:left w:val="none" w:sz="0" w:space="0" w:color="auto"/>
        <w:bottom w:val="none" w:sz="0" w:space="0" w:color="auto"/>
        <w:right w:val="none" w:sz="0" w:space="0" w:color="auto"/>
      </w:divBdr>
      <w:divsChild>
        <w:div w:id="1513566478">
          <w:marLeft w:val="0"/>
          <w:marRight w:val="0"/>
          <w:marTop w:val="0"/>
          <w:marBottom w:val="0"/>
          <w:divBdr>
            <w:top w:val="none" w:sz="0" w:space="0" w:color="auto"/>
            <w:left w:val="none" w:sz="0" w:space="0" w:color="auto"/>
            <w:bottom w:val="none" w:sz="0" w:space="0" w:color="auto"/>
            <w:right w:val="none" w:sz="0" w:space="0" w:color="auto"/>
          </w:divBdr>
        </w:div>
      </w:divsChild>
    </w:div>
    <w:div w:id="1972205820">
      <w:marLeft w:val="0"/>
      <w:marRight w:val="0"/>
      <w:marTop w:val="200"/>
      <w:marBottom w:val="0"/>
      <w:divBdr>
        <w:top w:val="none" w:sz="0" w:space="0" w:color="auto"/>
        <w:left w:val="none" w:sz="0" w:space="0" w:color="auto"/>
        <w:bottom w:val="none" w:sz="0" w:space="0" w:color="auto"/>
        <w:right w:val="none" w:sz="0" w:space="0" w:color="auto"/>
      </w:divBdr>
    </w:div>
    <w:div w:id="1974866383">
      <w:marLeft w:val="0"/>
      <w:marRight w:val="0"/>
      <w:marTop w:val="120"/>
      <w:marBottom w:val="0"/>
      <w:divBdr>
        <w:top w:val="none" w:sz="0" w:space="0" w:color="auto"/>
        <w:left w:val="none" w:sz="0" w:space="0" w:color="auto"/>
        <w:bottom w:val="none" w:sz="0" w:space="0" w:color="auto"/>
        <w:right w:val="none" w:sz="0" w:space="0" w:color="auto"/>
      </w:divBdr>
    </w:div>
    <w:div w:id="1975326249">
      <w:marLeft w:val="0"/>
      <w:marRight w:val="0"/>
      <w:marTop w:val="200"/>
      <w:marBottom w:val="0"/>
      <w:divBdr>
        <w:top w:val="none" w:sz="0" w:space="0" w:color="auto"/>
        <w:left w:val="none" w:sz="0" w:space="0" w:color="auto"/>
        <w:bottom w:val="none" w:sz="0" w:space="0" w:color="auto"/>
        <w:right w:val="none" w:sz="0" w:space="0" w:color="auto"/>
      </w:divBdr>
    </w:div>
    <w:div w:id="1977029174">
      <w:marLeft w:val="0"/>
      <w:marRight w:val="0"/>
      <w:marTop w:val="0"/>
      <w:marBottom w:val="0"/>
      <w:divBdr>
        <w:top w:val="none" w:sz="0" w:space="0" w:color="auto"/>
        <w:left w:val="none" w:sz="0" w:space="0" w:color="auto"/>
        <w:bottom w:val="none" w:sz="0" w:space="0" w:color="auto"/>
        <w:right w:val="none" w:sz="0" w:space="0" w:color="auto"/>
      </w:divBdr>
      <w:divsChild>
        <w:div w:id="2061859828">
          <w:marLeft w:val="0"/>
          <w:marRight w:val="0"/>
          <w:marTop w:val="0"/>
          <w:marBottom w:val="0"/>
          <w:divBdr>
            <w:top w:val="none" w:sz="0" w:space="0" w:color="auto"/>
            <w:left w:val="none" w:sz="0" w:space="0" w:color="auto"/>
            <w:bottom w:val="none" w:sz="0" w:space="0" w:color="auto"/>
            <w:right w:val="none" w:sz="0" w:space="0" w:color="auto"/>
          </w:divBdr>
        </w:div>
      </w:divsChild>
    </w:div>
    <w:div w:id="1978025070">
      <w:marLeft w:val="0"/>
      <w:marRight w:val="0"/>
      <w:marTop w:val="120"/>
      <w:marBottom w:val="0"/>
      <w:divBdr>
        <w:top w:val="none" w:sz="0" w:space="0" w:color="auto"/>
        <w:left w:val="none" w:sz="0" w:space="0" w:color="auto"/>
        <w:bottom w:val="none" w:sz="0" w:space="0" w:color="auto"/>
        <w:right w:val="none" w:sz="0" w:space="0" w:color="auto"/>
      </w:divBdr>
    </w:div>
    <w:div w:id="1978607512">
      <w:marLeft w:val="0"/>
      <w:marRight w:val="0"/>
      <w:marTop w:val="0"/>
      <w:marBottom w:val="0"/>
      <w:divBdr>
        <w:top w:val="none" w:sz="0" w:space="0" w:color="auto"/>
        <w:left w:val="none" w:sz="0" w:space="0" w:color="auto"/>
        <w:bottom w:val="none" w:sz="0" w:space="0" w:color="auto"/>
        <w:right w:val="none" w:sz="0" w:space="0" w:color="auto"/>
      </w:divBdr>
      <w:divsChild>
        <w:div w:id="215701303">
          <w:marLeft w:val="0"/>
          <w:marRight w:val="0"/>
          <w:marTop w:val="0"/>
          <w:marBottom w:val="0"/>
          <w:divBdr>
            <w:top w:val="none" w:sz="0" w:space="0" w:color="auto"/>
            <w:left w:val="none" w:sz="0" w:space="0" w:color="auto"/>
            <w:bottom w:val="none" w:sz="0" w:space="0" w:color="auto"/>
            <w:right w:val="none" w:sz="0" w:space="0" w:color="auto"/>
          </w:divBdr>
        </w:div>
      </w:divsChild>
    </w:div>
    <w:div w:id="1980575609">
      <w:marLeft w:val="0"/>
      <w:marRight w:val="0"/>
      <w:marTop w:val="120"/>
      <w:marBottom w:val="0"/>
      <w:divBdr>
        <w:top w:val="none" w:sz="0" w:space="0" w:color="auto"/>
        <w:left w:val="none" w:sz="0" w:space="0" w:color="auto"/>
        <w:bottom w:val="none" w:sz="0" w:space="0" w:color="auto"/>
        <w:right w:val="none" w:sz="0" w:space="0" w:color="auto"/>
      </w:divBdr>
    </w:div>
    <w:div w:id="1983845606">
      <w:marLeft w:val="0"/>
      <w:marRight w:val="0"/>
      <w:marTop w:val="200"/>
      <w:marBottom w:val="0"/>
      <w:divBdr>
        <w:top w:val="none" w:sz="0" w:space="0" w:color="auto"/>
        <w:left w:val="none" w:sz="0" w:space="0" w:color="auto"/>
        <w:bottom w:val="none" w:sz="0" w:space="0" w:color="auto"/>
        <w:right w:val="none" w:sz="0" w:space="0" w:color="auto"/>
      </w:divBdr>
    </w:div>
    <w:div w:id="1985698649">
      <w:marLeft w:val="0"/>
      <w:marRight w:val="0"/>
      <w:marTop w:val="120"/>
      <w:marBottom w:val="0"/>
      <w:divBdr>
        <w:top w:val="none" w:sz="0" w:space="0" w:color="auto"/>
        <w:left w:val="none" w:sz="0" w:space="0" w:color="auto"/>
        <w:bottom w:val="none" w:sz="0" w:space="0" w:color="auto"/>
        <w:right w:val="none" w:sz="0" w:space="0" w:color="auto"/>
      </w:divBdr>
    </w:div>
    <w:div w:id="1988388420">
      <w:marLeft w:val="0"/>
      <w:marRight w:val="0"/>
      <w:marTop w:val="200"/>
      <w:marBottom w:val="0"/>
      <w:divBdr>
        <w:top w:val="none" w:sz="0" w:space="0" w:color="auto"/>
        <w:left w:val="none" w:sz="0" w:space="0" w:color="auto"/>
        <w:bottom w:val="none" w:sz="0" w:space="0" w:color="auto"/>
        <w:right w:val="none" w:sz="0" w:space="0" w:color="auto"/>
      </w:divBdr>
    </w:div>
    <w:div w:id="1989825195">
      <w:marLeft w:val="0"/>
      <w:marRight w:val="0"/>
      <w:marTop w:val="120"/>
      <w:marBottom w:val="0"/>
      <w:divBdr>
        <w:top w:val="none" w:sz="0" w:space="0" w:color="auto"/>
        <w:left w:val="none" w:sz="0" w:space="0" w:color="auto"/>
        <w:bottom w:val="none" w:sz="0" w:space="0" w:color="auto"/>
        <w:right w:val="none" w:sz="0" w:space="0" w:color="auto"/>
      </w:divBdr>
    </w:div>
    <w:div w:id="1991640312">
      <w:marLeft w:val="0"/>
      <w:marRight w:val="0"/>
      <w:marTop w:val="120"/>
      <w:marBottom w:val="0"/>
      <w:divBdr>
        <w:top w:val="none" w:sz="0" w:space="0" w:color="auto"/>
        <w:left w:val="none" w:sz="0" w:space="0" w:color="auto"/>
        <w:bottom w:val="none" w:sz="0" w:space="0" w:color="auto"/>
        <w:right w:val="none" w:sz="0" w:space="0" w:color="auto"/>
      </w:divBdr>
    </w:div>
    <w:div w:id="1993368867">
      <w:marLeft w:val="0"/>
      <w:marRight w:val="0"/>
      <w:marTop w:val="120"/>
      <w:marBottom w:val="0"/>
      <w:divBdr>
        <w:top w:val="none" w:sz="0" w:space="0" w:color="auto"/>
        <w:left w:val="none" w:sz="0" w:space="0" w:color="auto"/>
        <w:bottom w:val="none" w:sz="0" w:space="0" w:color="auto"/>
        <w:right w:val="none" w:sz="0" w:space="0" w:color="auto"/>
      </w:divBdr>
    </w:div>
    <w:div w:id="1993559202">
      <w:marLeft w:val="0"/>
      <w:marRight w:val="0"/>
      <w:marTop w:val="0"/>
      <w:marBottom w:val="0"/>
      <w:divBdr>
        <w:top w:val="none" w:sz="0" w:space="0" w:color="auto"/>
        <w:left w:val="none" w:sz="0" w:space="0" w:color="auto"/>
        <w:bottom w:val="none" w:sz="0" w:space="0" w:color="auto"/>
        <w:right w:val="none" w:sz="0" w:space="0" w:color="auto"/>
      </w:divBdr>
    </w:div>
    <w:div w:id="1995449460">
      <w:marLeft w:val="0"/>
      <w:marRight w:val="0"/>
      <w:marTop w:val="120"/>
      <w:marBottom w:val="0"/>
      <w:divBdr>
        <w:top w:val="none" w:sz="0" w:space="0" w:color="auto"/>
        <w:left w:val="none" w:sz="0" w:space="0" w:color="auto"/>
        <w:bottom w:val="none" w:sz="0" w:space="0" w:color="auto"/>
        <w:right w:val="none" w:sz="0" w:space="0" w:color="auto"/>
      </w:divBdr>
    </w:div>
    <w:div w:id="1995641049">
      <w:marLeft w:val="0"/>
      <w:marRight w:val="0"/>
      <w:marTop w:val="200"/>
      <w:marBottom w:val="0"/>
      <w:divBdr>
        <w:top w:val="none" w:sz="0" w:space="0" w:color="auto"/>
        <w:left w:val="none" w:sz="0" w:space="0" w:color="auto"/>
        <w:bottom w:val="none" w:sz="0" w:space="0" w:color="auto"/>
        <w:right w:val="none" w:sz="0" w:space="0" w:color="auto"/>
      </w:divBdr>
    </w:div>
    <w:div w:id="1995795579">
      <w:marLeft w:val="0"/>
      <w:marRight w:val="0"/>
      <w:marTop w:val="200"/>
      <w:marBottom w:val="0"/>
      <w:divBdr>
        <w:top w:val="none" w:sz="0" w:space="0" w:color="auto"/>
        <w:left w:val="none" w:sz="0" w:space="0" w:color="auto"/>
        <w:bottom w:val="none" w:sz="0" w:space="0" w:color="auto"/>
        <w:right w:val="none" w:sz="0" w:space="0" w:color="auto"/>
      </w:divBdr>
    </w:div>
    <w:div w:id="1996105301">
      <w:marLeft w:val="0"/>
      <w:marRight w:val="0"/>
      <w:marTop w:val="200"/>
      <w:marBottom w:val="0"/>
      <w:divBdr>
        <w:top w:val="none" w:sz="0" w:space="0" w:color="auto"/>
        <w:left w:val="none" w:sz="0" w:space="0" w:color="auto"/>
        <w:bottom w:val="none" w:sz="0" w:space="0" w:color="auto"/>
        <w:right w:val="none" w:sz="0" w:space="0" w:color="auto"/>
      </w:divBdr>
    </w:div>
    <w:div w:id="1996177335">
      <w:marLeft w:val="0"/>
      <w:marRight w:val="0"/>
      <w:marTop w:val="120"/>
      <w:marBottom w:val="0"/>
      <w:divBdr>
        <w:top w:val="none" w:sz="0" w:space="0" w:color="auto"/>
        <w:left w:val="none" w:sz="0" w:space="0" w:color="auto"/>
        <w:bottom w:val="none" w:sz="0" w:space="0" w:color="auto"/>
        <w:right w:val="none" w:sz="0" w:space="0" w:color="auto"/>
      </w:divBdr>
    </w:div>
    <w:div w:id="1996493932">
      <w:marLeft w:val="0"/>
      <w:marRight w:val="0"/>
      <w:marTop w:val="120"/>
      <w:marBottom w:val="0"/>
      <w:divBdr>
        <w:top w:val="none" w:sz="0" w:space="0" w:color="auto"/>
        <w:left w:val="none" w:sz="0" w:space="0" w:color="auto"/>
        <w:bottom w:val="none" w:sz="0" w:space="0" w:color="auto"/>
        <w:right w:val="none" w:sz="0" w:space="0" w:color="auto"/>
      </w:divBdr>
    </w:div>
    <w:div w:id="1997175683">
      <w:marLeft w:val="0"/>
      <w:marRight w:val="0"/>
      <w:marTop w:val="120"/>
      <w:marBottom w:val="0"/>
      <w:divBdr>
        <w:top w:val="none" w:sz="0" w:space="0" w:color="auto"/>
        <w:left w:val="none" w:sz="0" w:space="0" w:color="auto"/>
        <w:bottom w:val="none" w:sz="0" w:space="0" w:color="auto"/>
        <w:right w:val="none" w:sz="0" w:space="0" w:color="auto"/>
      </w:divBdr>
    </w:div>
    <w:div w:id="1997372459">
      <w:marLeft w:val="0"/>
      <w:marRight w:val="0"/>
      <w:marTop w:val="200"/>
      <w:marBottom w:val="0"/>
      <w:divBdr>
        <w:top w:val="none" w:sz="0" w:space="0" w:color="auto"/>
        <w:left w:val="none" w:sz="0" w:space="0" w:color="auto"/>
        <w:bottom w:val="none" w:sz="0" w:space="0" w:color="auto"/>
        <w:right w:val="none" w:sz="0" w:space="0" w:color="auto"/>
      </w:divBdr>
    </w:div>
    <w:div w:id="1998412824">
      <w:marLeft w:val="0"/>
      <w:marRight w:val="0"/>
      <w:marTop w:val="120"/>
      <w:marBottom w:val="0"/>
      <w:divBdr>
        <w:top w:val="none" w:sz="0" w:space="0" w:color="auto"/>
        <w:left w:val="none" w:sz="0" w:space="0" w:color="auto"/>
        <w:bottom w:val="none" w:sz="0" w:space="0" w:color="auto"/>
        <w:right w:val="none" w:sz="0" w:space="0" w:color="auto"/>
      </w:divBdr>
    </w:div>
    <w:div w:id="2005011878">
      <w:marLeft w:val="0"/>
      <w:marRight w:val="0"/>
      <w:marTop w:val="60"/>
      <w:marBottom w:val="0"/>
      <w:divBdr>
        <w:top w:val="none" w:sz="0" w:space="0" w:color="auto"/>
        <w:left w:val="none" w:sz="0" w:space="0" w:color="auto"/>
        <w:bottom w:val="none" w:sz="0" w:space="0" w:color="auto"/>
        <w:right w:val="none" w:sz="0" w:space="0" w:color="auto"/>
      </w:divBdr>
    </w:div>
    <w:div w:id="2006127560">
      <w:marLeft w:val="0"/>
      <w:marRight w:val="0"/>
      <w:marTop w:val="0"/>
      <w:marBottom w:val="0"/>
      <w:divBdr>
        <w:top w:val="none" w:sz="0" w:space="0" w:color="auto"/>
        <w:left w:val="none" w:sz="0" w:space="0" w:color="auto"/>
        <w:bottom w:val="none" w:sz="0" w:space="0" w:color="auto"/>
        <w:right w:val="none" w:sz="0" w:space="0" w:color="auto"/>
      </w:divBdr>
    </w:div>
    <w:div w:id="2007710472">
      <w:marLeft w:val="0"/>
      <w:marRight w:val="0"/>
      <w:marTop w:val="0"/>
      <w:marBottom w:val="0"/>
      <w:divBdr>
        <w:top w:val="none" w:sz="0" w:space="0" w:color="auto"/>
        <w:left w:val="none" w:sz="0" w:space="0" w:color="auto"/>
        <w:bottom w:val="none" w:sz="0" w:space="0" w:color="auto"/>
        <w:right w:val="none" w:sz="0" w:space="0" w:color="auto"/>
      </w:divBdr>
      <w:divsChild>
        <w:div w:id="485048391">
          <w:marLeft w:val="0"/>
          <w:marRight w:val="0"/>
          <w:marTop w:val="0"/>
          <w:marBottom w:val="0"/>
          <w:divBdr>
            <w:top w:val="none" w:sz="0" w:space="0" w:color="auto"/>
            <w:left w:val="none" w:sz="0" w:space="0" w:color="auto"/>
            <w:bottom w:val="none" w:sz="0" w:space="0" w:color="auto"/>
            <w:right w:val="none" w:sz="0" w:space="0" w:color="auto"/>
          </w:divBdr>
        </w:div>
      </w:divsChild>
    </w:div>
    <w:div w:id="2009287834">
      <w:marLeft w:val="0"/>
      <w:marRight w:val="0"/>
      <w:marTop w:val="120"/>
      <w:marBottom w:val="0"/>
      <w:divBdr>
        <w:top w:val="none" w:sz="0" w:space="0" w:color="auto"/>
        <w:left w:val="none" w:sz="0" w:space="0" w:color="auto"/>
        <w:bottom w:val="none" w:sz="0" w:space="0" w:color="auto"/>
        <w:right w:val="none" w:sz="0" w:space="0" w:color="auto"/>
      </w:divBdr>
    </w:div>
    <w:div w:id="2009476426">
      <w:marLeft w:val="0"/>
      <w:marRight w:val="0"/>
      <w:marTop w:val="120"/>
      <w:marBottom w:val="0"/>
      <w:divBdr>
        <w:top w:val="none" w:sz="0" w:space="0" w:color="auto"/>
        <w:left w:val="none" w:sz="0" w:space="0" w:color="auto"/>
        <w:bottom w:val="none" w:sz="0" w:space="0" w:color="auto"/>
        <w:right w:val="none" w:sz="0" w:space="0" w:color="auto"/>
      </w:divBdr>
    </w:div>
    <w:div w:id="2010591878">
      <w:marLeft w:val="0"/>
      <w:marRight w:val="0"/>
      <w:marTop w:val="0"/>
      <w:marBottom w:val="0"/>
      <w:divBdr>
        <w:top w:val="none" w:sz="0" w:space="0" w:color="auto"/>
        <w:left w:val="none" w:sz="0" w:space="0" w:color="auto"/>
        <w:bottom w:val="none" w:sz="0" w:space="0" w:color="auto"/>
        <w:right w:val="none" w:sz="0" w:space="0" w:color="auto"/>
      </w:divBdr>
      <w:divsChild>
        <w:div w:id="433717761">
          <w:marLeft w:val="0"/>
          <w:marRight w:val="0"/>
          <w:marTop w:val="0"/>
          <w:marBottom w:val="0"/>
          <w:divBdr>
            <w:top w:val="none" w:sz="0" w:space="0" w:color="auto"/>
            <w:left w:val="none" w:sz="0" w:space="0" w:color="auto"/>
            <w:bottom w:val="none" w:sz="0" w:space="0" w:color="auto"/>
            <w:right w:val="none" w:sz="0" w:space="0" w:color="auto"/>
          </w:divBdr>
        </w:div>
      </w:divsChild>
    </w:div>
    <w:div w:id="2010867895">
      <w:marLeft w:val="0"/>
      <w:marRight w:val="0"/>
      <w:marTop w:val="0"/>
      <w:marBottom w:val="0"/>
      <w:divBdr>
        <w:top w:val="none" w:sz="0" w:space="0" w:color="auto"/>
        <w:left w:val="none" w:sz="0" w:space="0" w:color="auto"/>
        <w:bottom w:val="none" w:sz="0" w:space="0" w:color="auto"/>
        <w:right w:val="none" w:sz="0" w:space="0" w:color="auto"/>
      </w:divBdr>
      <w:divsChild>
        <w:div w:id="146434392">
          <w:marLeft w:val="0"/>
          <w:marRight w:val="0"/>
          <w:marTop w:val="0"/>
          <w:marBottom w:val="0"/>
          <w:divBdr>
            <w:top w:val="none" w:sz="0" w:space="0" w:color="auto"/>
            <w:left w:val="none" w:sz="0" w:space="0" w:color="auto"/>
            <w:bottom w:val="none" w:sz="0" w:space="0" w:color="auto"/>
            <w:right w:val="none" w:sz="0" w:space="0" w:color="auto"/>
          </w:divBdr>
        </w:div>
      </w:divsChild>
    </w:div>
    <w:div w:id="2010937538">
      <w:marLeft w:val="0"/>
      <w:marRight w:val="0"/>
      <w:marTop w:val="200"/>
      <w:marBottom w:val="0"/>
      <w:divBdr>
        <w:top w:val="none" w:sz="0" w:space="0" w:color="auto"/>
        <w:left w:val="none" w:sz="0" w:space="0" w:color="auto"/>
        <w:bottom w:val="none" w:sz="0" w:space="0" w:color="auto"/>
        <w:right w:val="none" w:sz="0" w:space="0" w:color="auto"/>
      </w:divBdr>
    </w:div>
    <w:div w:id="2011444318">
      <w:marLeft w:val="0"/>
      <w:marRight w:val="0"/>
      <w:marTop w:val="200"/>
      <w:marBottom w:val="0"/>
      <w:divBdr>
        <w:top w:val="none" w:sz="0" w:space="0" w:color="auto"/>
        <w:left w:val="none" w:sz="0" w:space="0" w:color="auto"/>
        <w:bottom w:val="none" w:sz="0" w:space="0" w:color="auto"/>
        <w:right w:val="none" w:sz="0" w:space="0" w:color="auto"/>
      </w:divBdr>
    </w:div>
    <w:div w:id="2012099337">
      <w:marLeft w:val="0"/>
      <w:marRight w:val="0"/>
      <w:marTop w:val="120"/>
      <w:marBottom w:val="0"/>
      <w:divBdr>
        <w:top w:val="none" w:sz="0" w:space="0" w:color="auto"/>
        <w:left w:val="none" w:sz="0" w:space="0" w:color="auto"/>
        <w:bottom w:val="none" w:sz="0" w:space="0" w:color="auto"/>
        <w:right w:val="none" w:sz="0" w:space="0" w:color="auto"/>
      </w:divBdr>
    </w:div>
    <w:div w:id="2017727627">
      <w:marLeft w:val="0"/>
      <w:marRight w:val="0"/>
      <w:marTop w:val="120"/>
      <w:marBottom w:val="0"/>
      <w:divBdr>
        <w:top w:val="none" w:sz="0" w:space="0" w:color="auto"/>
        <w:left w:val="none" w:sz="0" w:space="0" w:color="auto"/>
        <w:bottom w:val="none" w:sz="0" w:space="0" w:color="auto"/>
        <w:right w:val="none" w:sz="0" w:space="0" w:color="auto"/>
      </w:divBdr>
    </w:div>
    <w:div w:id="2018071477">
      <w:marLeft w:val="0"/>
      <w:marRight w:val="0"/>
      <w:marTop w:val="0"/>
      <w:marBottom w:val="0"/>
      <w:divBdr>
        <w:top w:val="none" w:sz="0" w:space="0" w:color="auto"/>
        <w:left w:val="none" w:sz="0" w:space="0" w:color="auto"/>
        <w:bottom w:val="none" w:sz="0" w:space="0" w:color="auto"/>
        <w:right w:val="none" w:sz="0" w:space="0" w:color="auto"/>
      </w:divBdr>
      <w:divsChild>
        <w:div w:id="1333073064">
          <w:marLeft w:val="0"/>
          <w:marRight w:val="0"/>
          <w:marTop w:val="0"/>
          <w:marBottom w:val="0"/>
          <w:divBdr>
            <w:top w:val="none" w:sz="0" w:space="0" w:color="auto"/>
            <w:left w:val="none" w:sz="0" w:space="0" w:color="auto"/>
            <w:bottom w:val="none" w:sz="0" w:space="0" w:color="auto"/>
            <w:right w:val="none" w:sz="0" w:space="0" w:color="auto"/>
          </w:divBdr>
        </w:div>
      </w:divsChild>
    </w:div>
    <w:div w:id="2019038271">
      <w:marLeft w:val="0"/>
      <w:marRight w:val="0"/>
      <w:marTop w:val="200"/>
      <w:marBottom w:val="0"/>
      <w:divBdr>
        <w:top w:val="none" w:sz="0" w:space="0" w:color="auto"/>
        <w:left w:val="none" w:sz="0" w:space="0" w:color="auto"/>
        <w:bottom w:val="none" w:sz="0" w:space="0" w:color="auto"/>
        <w:right w:val="none" w:sz="0" w:space="0" w:color="auto"/>
      </w:divBdr>
    </w:div>
    <w:div w:id="2022317255">
      <w:marLeft w:val="0"/>
      <w:marRight w:val="0"/>
      <w:marTop w:val="120"/>
      <w:marBottom w:val="0"/>
      <w:divBdr>
        <w:top w:val="none" w:sz="0" w:space="0" w:color="auto"/>
        <w:left w:val="none" w:sz="0" w:space="0" w:color="auto"/>
        <w:bottom w:val="none" w:sz="0" w:space="0" w:color="auto"/>
        <w:right w:val="none" w:sz="0" w:space="0" w:color="auto"/>
      </w:divBdr>
    </w:div>
    <w:div w:id="2024282292">
      <w:marLeft w:val="0"/>
      <w:marRight w:val="0"/>
      <w:marTop w:val="200"/>
      <w:marBottom w:val="0"/>
      <w:divBdr>
        <w:top w:val="none" w:sz="0" w:space="0" w:color="auto"/>
        <w:left w:val="none" w:sz="0" w:space="0" w:color="auto"/>
        <w:bottom w:val="none" w:sz="0" w:space="0" w:color="auto"/>
        <w:right w:val="none" w:sz="0" w:space="0" w:color="auto"/>
      </w:divBdr>
    </w:div>
    <w:div w:id="2024547839">
      <w:marLeft w:val="0"/>
      <w:marRight w:val="0"/>
      <w:marTop w:val="120"/>
      <w:marBottom w:val="0"/>
      <w:divBdr>
        <w:top w:val="none" w:sz="0" w:space="0" w:color="auto"/>
        <w:left w:val="none" w:sz="0" w:space="0" w:color="auto"/>
        <w:bottom w:val="none" w:sz="0" w:space="0" w:color="auto"/>
        <w:right w:val="none" w:sz="0" w:space="0" w:color="auto"/>
      </w:divBdr>
    </w:div>
    <w:div w:id="2024550629">
      <w:marLeft w:val="0"/>
      <w:marRight w:val="0"/>
      <w:marTop w:val="200"/>
      <w:marBottom w:val="0"/>
      <w:divBdr>
        <w:top w:val="none" w:sz="0" w:space="0" w:color="auto"/>
        <w:left w:val="none" w:sz="0" w:space="0" w:color="auto"/>
        <w:bottom w:val="none" w:sz="0" w:space="0" w:color="auto"/>
        <w:right w:val="none" w:sz="0" w:space="0" w:color="auto"/>
      </w:divBdr>
    </w:div>
    <w:div w:id="2024699955">
      <w:marLeft w:val="0"/>
      <w:marRight w:val="0"/>
      <w:marTop w:val="200"/>
      <w:marBottom w:val="0"/>
      <w:divBdr>
        <w:top w:val="none" w:sz="0" w:space="0" w:color="auto"/>
        <w:left w:val="none" w:sz="0" w:space="0" w:color="auto"/>
        <w:bottom w:val="none" w:sz="0" w:space="0" w:color="auto"/>
        <w:right w:val="none" w:sz="0" w:space="0" w:color="auto"/>
      </w:divBdr>
    </w:div>
    <w:div w:id="2025587774">
      <w:marLeft w:val="0"/>
      <w:marRight w:val="0"/>
      <w:marTop w:val="120"/>
      <w:marBottom w:val="0"/>
      <w:divBdr>
        <w:top w:val="none" w:sz="0" w:space="0" w:color="auto"/>
        <w:left w:val="none" w:sz="0" w:space="0" w:color="auto"/>
        <w:bottom w:val="none" w:sz="0" w:space="0" w:color="auto"/>
        <w:right w:val="none" w:sz="0" w:space="0" w:color="auto"/>
      </w:divBdr>
    </w:div>
    <w:div w:id="2026594015">
      <w:marLeft w:val="0"/>
      <w:marRight w:val="0"/>
      <w:marTop w:val="0"/>
      <w:marBottom w:val="0"/>
      <w:divBdr>
        <w:top w:val="none" w:sz="0" w:space="0" w:color="auto"/>
        <w:left w:val="none" w:sz="0" w:space="0" w:color="auto"/>
        <w:bottom w:val="none" w:sz="0" w:space="0" w:color="auto"/>
        <w:right w:val="none" w:sz="0" w:space="0" w:color="auto"/>
      </w:divBdr>
      <w:divsChild>
        <w:div w:id="739670288">
          <w:marLeft w:val="0"/>
          <w:marRight w:val="0"/>
          <w:marTop w:val="0"/>
          <w:marBottom w:val="0"/>
          <w:divBdr>
            <w:top w:val="none" w:sz="0" w:space="0" w:color="auto"/>
            <w:left w:val="none" w:sz="0" w:space="0" w:color="auto"/>
            <w:bottom w:val="none" w:sz="0" w:space="0" w:color="auto"/>
            <w:right w:val="none" w:sz="0" w:space="0" w:color="auto"/>
          </w:divBdr>
        </w:div>
      </w:divsChild>
    </w:div>
    <w:div w:id="2026784521">
      <w:marLeft w:val="0"/>
      <w:marRight w:val="0"/>
      <w:marTop w:val="200"/>
      <w:marBottom w:val="0"/>
      <w:divBdr>
        <w:top w:val="none" w:sz="0" w:space="0" w:color="auto"/>
        <w:left w:val="none" w:sz="0" w:space="0" w:color="auto"/>
        <w:bottom w:val="none" w:sz="0" w:space="0" w:color="auto"/>
        <w:right w:val="none" w:sz="0" w:space="0" w:color="auto"/>
      </w:divBdr>
    </w:div>
    <w:div w:id="2028363273">
      <w:marLeft w:val="0"/>
      <w:marRight w:val="0"/>
      <w:marTop w:val="120"/>
      <w:marBottom w:val="0"/>
      <w:divBdr>
        <w:top w:val="none" w:sz="0" w:space="0" w:color="auto"/>
        <w:left w:val="none" w:sz="0" w:space="0" w:color="auto"/>
        <w:bottom w:val="none" w:sz="0" w:space="0" w:color="auto"/>
        <w:right w:val="none" w:sz="0" w:space="0" w:color="auto"/>
      </w:divBdr>
    </w:div>
    <w:div w:id="2028407473">
      <w:marLeft w:val="0"/>
      <w:marRight w:val="0"/>
      <w:marTop w:val="200"/>
      <w:marBottom w:val="0"/>
      <w:divBdr>
        <w:top w:val="none" w:sz="0" w:space="0" w:color="auto"/>
        <w:left w:val="none" w:sz="0" w:space="0" w:color="auto"/>
        <w:bottom w:val="none" w:sz="0" w:space="0" w:color="auto"/>
        <w:right w:val="none" w:sz="0" w:space="0" w:color="auto"/>
      </w:divBdr>
    </w:div>
    <w:div w:id="2029334881">
      <w:marLeft w:val="0"/>
      <w:marRight w:val="0"/>
      <w:marTop w:val="120"/>
      <w:marBottom w:val="0"/>
      <w:divBdr>
        <w:top w:val="none" w:sz="0" w:space="0" w:color="auto"/>
        <w:left w:val="none" w:sz="0" w:space="0" w:color="auto"/>
        <w:bottom w:val="none" w:sz="0" w:space="0" w:color="auto"/>
        <w:right w:val="none" w:sz="0" w:space="0" w:color="auto"/>
      </w:divBdr>
    </w:div>
    <w:div w:id="2029477011">
      <w:marLeft w:val="0"/>
      <w:marRight w:val="0"/>
      <w:marTop w:val="200"/>
      <w:marBottom w:val="0"/>
      <w:divBdr>
        <w:top w:val="none" w:sz="0" w:space="0" w:color="auto"/>
        <w:left w:val="none" w:sz="0" w:space="0" w:color="auto"/>
        <w:bottom w:val="none" w:sz="0" w:space="0" w:color="auto"/>
        <w:right w:val="none" w:sz="0" w:space="0" w:color="auto"/>
      </w:divBdr>
    </w:div>
    <w:div w:id="2029982436">
      <w:marLeft w:val="0"/>
      <w:marRight w:val="0"/>
      <w:marTop w:val="120"/>
      <w:marBottom w:val="0"/>
      <w:divBdr>
        <w:top w:val="none" w:sz="0" w:space="0" w:color="auto"/>
        <w:left w:val="none" w:sz="0" w:space="0" w:color="auto"/>
        <w:bottom w:val="none" w:sz="0" w:space="0" w:color="auto"/>
        <w:right w:val="none" w:sz="0" w:space="0" w:color="auto"/>
      </w:divBdr>
    </w:div>
    <w:div w:id="2031374464">
      <w:marLeft w:val="0"/>
      <w:marRight w:val="0"/>
      <w:marTop w:val="120"/>
      <w:marBottom w:val="0"/>
      <w:divBdr>
        <w:top w:val="none" w:sz="0" w:space="0" w:color="auto"/>
        <w:left w:val="none" w:sz="0" w:space="0" w:color="auto"/>
        <w:bottom w:val="none" w:sz="0" w:space="0" w:color="auto"/>
        <w:right w:val="none" w:sz="0" w:space="0" w:color="auto"/>
      </w:divBdr>
    </w:div>
    <w:div w:id="2033801076">
      <w:marLeft w:val="0"/>
      <w:marRight w:val="0"/>
      <w:marTop w:val="120"/>
      <w:marBottom w:val="0"/>
      <w:divBdr>
        <w:top w:val="none" w:sz="0" w:space="0" w:color="auto"/>
        <w:left w:val="none" w:sz="0" w:space="0" w:color="auto"/>
        <w:bottom w:val="none" w:sz="0" w:space="0" w:color="auto"/>
        <w:right w:val="none" w:sz="0" w:space="0" w:color="auto"/>
      </w:divBdr>
    </w:div>
    <w:div w:id="2034840587">
      <w:marLeft w:val="0"/>
      <w:marRight w:val="0"/>
      <w:marTop w:val="200"/>
      <w:marBottom w:val="0"/>
      <w:divBdr>
        <w:top w:val="none" w:sz="0" w:space="0" w:color="auto"/>
        <w:left w:val="none" w:sz="0" w:space="0" w:color="auto"/>
        <w:bottom w:val="none" w:sz="0" w:space="0" w:color="auto"/>
        <w:right w:val="none" w:sz="0" w:space="0" w:color="auto"/>
      </w:divBdr>
    </w:div>
    <w:div w:id="2036498095">
      <w:marLeft w:val="0"/>
      <w:marRight w:val="0"/>
      <w:marTop w:val="200"/>
      <w:marBottom w:val="0"/>
      <w:divBdr>
        <w:top w:val="none" w:sz="0" w:space="0" w:color="auto"/>
        <w:left w:val="none" w:sz="0" w:space="0" w:color="auto"/>
        <w:bottom w:val="none" w:sz="0" w:space="0" w:color="auto"/>
        <w:right w:val="none" w:sz="0" w:space="0" w:color="auto"/>
      </w:divBdr>
    </w:div>
    <w:div w:id="2038464343">
      <w:marLeft w:val="0"/>
      <w:marRight w:val="0"/>
      <w:marTop w:val="60"/>
      <w:marBottom w:val="0"/>
      <w:divBdr>
        <w:top w:val="none" w:sz="0" w:space="0" w:color="auto"/>
        <w:left w:val="none" w:sz="0" w:space="0" w:color="auto"/>
        <w:bottom w:val="none" w:sz="0" w:space="0" w:color="auto"/>
        <w:right w:val="none" w:sz="0" w:space="0" w:color="auto"/>
      </w:divBdr>
    </w:div>
    <w:div w:id="2038698334">
      <w:marLeft w:val="0"/>
      <w:marRight w:val="0"/>
      <w:marTop w:val="0"/>
      <w:marBottom w:val="0"/>
      <w:divBdr>
        <w:top w:val="none" w:sz="0" w:space="0" w:color="auto"/>
        <w:left w:val="none" w:sz="0" w:space="0" w:color="auto"/>
        <w:bottom w:val="none" w:sz="0" w:space="0" w:color="auto"/>
        <w:right w:val="none" w:sz="0" w:space="0" w:color="auto"/>
      </w:divBdr>
      <w:divsChild>
        <w:div w:id="465896908">
          <w:marLeft w:val="0"/>
          <w:marRight w:val="0"/>
          <w:marTop w:val="0"/>
          <w:marBottom w:val="0"/>
          <w:divBdr>
            <w:top w:val="none" w:sz="0" w:space="0" w:color="auto"/>
            <w:left w:val="none" w:sz="0" w:space="0" w:color="auto"/>
            <w:bottom w:val="none" w:sz="0" w:space="0" w:color="auto"/>
            <w:right w:val="none" w:sz="0" w:space="0" w:color="auto"/>
          </w:divBdr>
        </w:div>
      </w:divsChild>
    </w:div>
    <w:div w:id="2043289269">
      <w:marLeft w:val="0"/>
      <w:marRight w:val="0"/>
      <w:marTop w:val="0"/>
      <w:marBottom w:val="0"/>
      <w:divBdr>
        <w:top w:val="none" w:sz="0" w:space="0" w:color="auto"/>
        <w:left w:val="none" w:sz="0" w:space="0" w:color="auto"/>
        <w:bottom w:val="none" w:sz="0" w:space="0" w:color="auto"/>
        <w:right w:val="none" w:sz="0" w:space="0" w:color="auto"/>
      </w:divBdr>
    </w:div>
    <w:div w:id="2043631506">
      <w:marLeft w:val="0"/>
      <w:marRight w:val="0"/>
      <w:marTop w:val="0"/>
      <w:marBottom w:val="0"/>
      <w:divBdr>
        <w:top w:val="none" w:sz="0" w:space="0" w:color="auto"/>
        <w:left w:val="none" w:sz="0" w:space="0" w:color="auto"/>
        <w:bottom w:val="none" w:sz="0" w:space="0" w:color="auto"/>
        <w:right w:val="none" w:sz="0" w:space="0" w:color="auto"/>
      </w:divBdr>
      <w:divsChild>
        <w:div w:id="1493597379">
          <w:marLeft w:val="0"/>
          <w:marRight w:val="0"/>
          <w:marTop w:val="0"/>
          <w:marBottom w:val="0"/>
          <w:divBdr>
            <w:top w:val="none" w:sz="0" w:space="0" w:color="auto"/>
            <w:left w:val="none" w:sz="0" w:space="0" w:color="auto"/>
            <w:bottom w:val="none" w:sz="0" w:space="0" w:color="auto"/>
            <w:right w:val="none" w:sz="0" w:space="0" w:color="auto"/>
          </w:divBdr>
        </w:div>
      </w:divsChild>
    </w:div>
    <w:div w:id="2043944464">
      <w:marLeft w:val="0"/>
      <w:marRight w:val="0"/>
      <w:marTop w:val="120"/>
      <w:marBottom w:val="0"/>
      <w:divBdr>
        <w:top w:val="none" w:sz="0" w:space="0" w:color="auto"/>
        <w:left w:val="none" w:sz="0" w:space="0" w:color="auto"/>
        <w:bottom w:val="none" w:sz="0" w:space="0" w:color="auto"/>
        <w:right w:val="none" w:sz="0" w:space="0" w:color="auto"/>
      </w:divBdr>
    </w:div>
    <w:div w:id="2044209065">
      <w:marLeft w:val="0"/>
      <w:marRight w:val="0"/>
      <w:marTop w:val="0"/>
      <w:marBottom w:val="0"/>
      <w:divBdr>
        <w:top w:val="none" w:sz="0" w:space="0" w:color="auto"/>
        <w:left w:val="none" w:sz="0" w:space="0" w:color="auto"/>
        <w:bottom w:val="none" w:sz="0" w:space="0" w:color="auto"/>
        <w:right w:val="none" w:sz="0" w:space="0" w:color="auto"/>
      </w:divBdr>
    </w:div>
    <w:div w:id="2048677067">
      <w:marLeft w:val="0"/>
      <w:marRight w:val="0"/>
      <w:marTop w:val="200"/>
      <w:marBottom w:val="0"/>
      <w:divBdr>
        <w:top w:val="none" w:sz="0" w:space="0" w:color="auto"/>
        <w:left w:val="none" w:sz="0" w:space="0" w:color="auto"/>
        <w:bottom w:val="none" w:sz="0" w:space="0" w:color="auto"/>
        <w:right w:val="none" w:sz="0" w:space="0" w:color="auto"/>
      </w:divBdr>
    </w:div>
    <w:div w:id="2049186199">
      <w:marLeft w:val="0"/>
      <w:marRight w:val="0"/>
      <w:marTop w:val="120"/>
      <w:marBottom w:val="0"/>
      <w:divBdr>
        <w:top w:val="none" w:sz="0" w:space="0" w:color="auto"/>
        <w:left w:val="none" w:sz="0" w:space="0" w:color="auto"/>
        <w:bottom w:val="none" w:sz="0" w:space="0" w:color="auto"/>
        <w:right w:val="none" w:sz="0" w:space="0" w:color="auto"/>
      </w:divBdr>
    </w:div>
    <w:div w:id="2049210345">
      <w:marLeft w:val="0"/>
      <w:marRight w:val="0"/>
      <w:marTop w:val="0"/>
      <w:marBottom w:val="0"/>
      <w:divBdr>
        <w:top w:val="none" w:sz="0" w:space="0" w:color="auto"/>
        <w:left w:val="none" w:sz="0" w:space="0" w:color="auto"/>
        <w:bottom w:val="none" w:sz="0" w:space="0" w:color="auto"/>
        <w:right w:val="none" w:sz="0" w:space="0" w:color="auto"/>
      </w:divBdr>
      <w:divsChild>
        <w:div w:id="770010386">
          <w:marLeft w:val="0"/>
          <w:marRight w:val="0"/>
          <w:marTop w:val="0"/>
          <w:marBottom w:val="0"/>
          <w:divBdr>
            <w:top w:val="none" w:sz="0" w:space="0" w:color="auto"/>
            <w:left w:val="none" w:sz="0" w:space="0" w:color="auto"/>
            <w:bottom w:val="none" w:sz="0" w:space="0" w:color="auto"/>
            <w:right w:val="none" w:sz="0" w:space="0" w:color="auto"/>
          </w:divBdr>
        </w:div>
      </w:divsChild>
    </w:div>
    <w:div w:id="2050567377">
      <w:marLeft w:val="0"/>
      <w:marRight w:val="0"/>
      <w:marTop w:val="120"/>
      <w:marBottom w:val="0"/>
      <w:divBdr>
        <w:top w:val="none" w:sz="0" w:space="0" w:color="auto"/>
        <w:left w:val="none" w:sz="0" w:space="0" w:color="auto"/>
        <w:bottom w:val="none" w:sz="0" w:space="0" w:color="auto"/>
        <w:right w:val="none" w:sz="0" w:space="0" w:color="auto"/>
      </w:divBdr>
    </w:div>
    <w:div w:id="2050714349">
      <w:marLeft w:val="0"/>
      <w:marRight w:val="0"/>
      <w:marTop w:val="200"/>
      <w:marBottom w:val="0"/>
      <w:divBdr>
        <w:top w:val="none" w:sz="0" w:space="0" w:color="auto"/>
        <w:left w:val="none" w:sz="0" w:space="0" w:color="auto"/>
        <w:bottom w:val="none" w:sz="0" w:space="0" w:color="auto"/>
        <w:right w:val="none" w:sz="0" w:space="0" w:color="auto"/>
      </w:divBdr>
    </w:div>
    <w:div w:id="2051027933">
      <w:marLeft w:val="0"/>
      <w:marRight w:val="0"/>
      <w:marTop w:val="120"/>
      <w:marBottom w:val="0"/>
      <w:divBdr>
        <w:top w:val="none" w:sz="0" w:space="0" w:color="auto"/>
        <w:left w:val="none" w:sz="0" w:space="0" w:color="auto"/>
        <w:bottom w:val="none" w:sz="0" w:space="0" w:color="auto"/>
        <w:right w:val="none" w:sz="0" w:space="0" w:color="auto"/>
      </w:divBdr>
    </w:div>
    <w:div w:id="2051030948">
      <w:marLeft w:val="0"/>
      <w:marRight w:val="0"/>
      <w:marTop w:val="120"/>
      <w:marBottom w:val="0"/>
      <w:divBdr>
        <w:top w:val="none" w:sz="0" w:space="0" w:color="auto"/>
        <w:left w:val="none" w:sz="0" w:space="0" w:color="auto"/>
        <w:bottom w:val="none" w:sz="0" w:space="0" w:color="auto"/>
        <w:right w:val="none" w:sz="0" w:space="0" w:color="auto"/>
      </w:divBdr>
    </w:div>
    <w:div w:id="2054501938">
      <w:marLeft w:val="0"/>
      <w:marRight w:val="0"/>
      <w:marTop w:val="120"/>
      <w:marBottom w:val="0"/>
      <w:divBdr>
        <w:top w:val="none" w:sz="0" w:space="0" w:color="auto"/>
        <w:left w:val="none" w:sz="0" w:space="0" w:color="auto"/>
        <w:bottom w:val="none" w:sz="0" w:space="0" w:color="auto"/>
        <w:right w:val="none" w:sz="0" w:space="0" w:color="auto"/>
      </w:divBdr>
    </w:div>
    <w:div w:id="2055960976">
      <w:marLeft w:val="0"/>
      <w:marRight w:val="0"/>
      <w:marTop w:val="120"/>
      <w:marBottom w:val="0"/>
      <w:divBdr>
        <w:top w:val="none" w:sz="0" w:space="0" w:color="auto"/>
        <w:left w:val="none" w:sz="0" w:space="0" w:color="auto"/>
        <w:bottom w:val="none" w:sz="0" w:space="0" w:color="auto"/>
        <w:right w:val="none" w:sz="0" w:space="0" w:color="auto"/>
      </w:divBdr>
    </w:div>
    <w:div w:id="2057385705">
      <w:marLeft w:val="0"/>
      <w:marRight w:val="0"/>
      <w:marTop w:val="200"/>
      <w:marBottom w:val="0"/>
      <w:divBdr>
        <w:top w:val="none" w:sz="0" w:space="0" w:color="auto"/>
        <w:left w:val="none" w:sz="0" w:space="0" w:color="auto"/>
        <w:bottom w:val="none" w:sz="0" w:space="0" w:color="auto"/>
        <w:right w:val="none" w:sz="0" w:space="0" w:color="auto"/>
      </w:divBdr>
    </w:div>
    <w:div w:id="2057966456">
      <w:marLeft w:val="0"/>
      <w:marRight w:val="0"/>
      <w:marTop w:val="120"/>
      <w:marBottom w:val="0"/>
      <w:divBdr>
        <w:top w:val="none" w:sz="0" w:space="0" w:color="auto"/>
        <w:left w:val="none" w:sz="0" w:space="0" w:color="auto"/>
        <w:bottom w:val="none" w:sz="0" w:space="0" w:color="auto"/>
        <w:right w:val="none" w:sz="0" w:space="0" w:color="auto"/>
      </w:divBdr>
    </w:div>
    <w:div w:id="2061200277">
      <w:marLeft w:val="0"/>
      <w:marRight w:val="0"/>
      <w:marTop w:val="120"/>
      <w:marBottom w:val="0"/>
      <w:divBdr>
        <w:top w:val="none" w:sz="0" w:space="0" w:color="auto"/>
        <w:left w:val="none" w:sz="0" w:space="0" w:color="auto"/>
        <w:bottom w:val="none" w:sz="0" w:space="0" w:color="auto"/>
        <w:right w:val="none" w:sz="0" w:space="0" w:color="auto"/>
      </w:divBdr>
    </w:div>
    <w:div w:id="2061785909">
      <w:marLeft w:val="0"/>
      <w:marRight w:val="0"/>
      <w:marTop w:val="0"/>
      <w:marBottom w:val="0"/>
      <w:divBdr>
        <w:top w:val="none" w:sz="0" w:space="0" w:color="auto"/>
        <w:left w:val="none" w:sz="0" w:space="0" w:color="auto"/>
        <w:bottom w:val="none" w:sz="0" w:space="0" w:color="auto"/>
        <w:right w:val="none" w:sz="0" w:space="0" w:color="auto"/>
      </w:divBdr>
      <w:divsChild>
        <w:div w:id="1452940620">
          <w:marLeft w:val="0"/>
          <w:marRight w:val="0"/>
          <w:marTop w:val="0"/>
          <w:marBottom w:val="0"/>
          <w:divBdr>
            <w:top w:val="none" w:sz="0" w:space="0" w:color="auto"/>
            <w:left w:val="none" w:sz="0" w:space="0" w:color="auto"/>
            <w:bottom w:val="none" w:sz="0" w:space="0" w:color="auto"/>
            <w:right w:val="none" w:sz="0" w:space="0" w:color="auto"/>
          </w:divBdr>
        </w:div>
      </w:divsChild>
    </w:div>
    <w:div w:id="2062171129">
      <w:marLeft w:val="0"/>
      <w:marRight w:val="0"/>
      <w:marTop w:val="200"/>
      <w:marBottom w:val="0"/>
      <w:divBdr>
        <w:top w:val="none" w:sz="0" w:space="0" w:color="auto"/>
        <w:left w:val="none" w:sz="0" w:space="0" w:color="auto"/>
        <w:bottom w:val="none" w:sz="0" w:space="0" w:color="auto"/>
        <w:right w:val="none" w:sz="0" w:space="0" w:color="auto"/>
      </w:divBdr>
    </w:div>
    <w:div w:id="2063095299">
      <w:marLeft w:val="0"/>
      <w:marRight w:val="0"/>
      <w:marTop w:val="0"/>
      <w:marBottom w:val="0"/>
      <w:divBdr>
        <w:top w:val="none" w:sz="0" w:space="0" w:color="auto"/>
        <w:left w:val="none" w:sz="0" w:space="0" w:color="auto"/>
        <w:bottom w:val="none" w:sz="0" w:space="0" w:color="auto"/>
        <w:right w:val="none" w:sz="0" w:space="0" w:color="auto"/>
      </w:divBdr>
      <w:divsChild>
        <w:div w:id="216163585">
          <w:marLeft w:val="0"/>
          <w:marRight w:val="0"/>
          <w:marTop w:val="0"/>
          <w:marBottom w:val="0"/>
          <w:divBdr>
            <w:top w:val="none" w:sz="0" w:space="0" w:color="auto"/>
            <w:left w:val="none" w:sz="0" w:space="0" w:color="auto"/>
            <w:bottom w:val="none" w:sz="0" w:space="0" w:color="auto"/>
            <w:right w:val="none" w:sz="0" w:space="0" w:color="auto"/>
          </w:divBdr>
        </w:div>
      </w:divsChild>
    </w:div>
    <w:div w:id="2064327759">
      <w:marLeft w:val="0"/>
      <w:marRight w:val="0"/>
      <w:marTop w:val="0"/>
      <w:marBottom w:val="0"/>
      <w:divBdr>
        <w:top w:val="none" w:sz="0" w:space="0" w:color="auto"/>
        <w:left w:val="none" w:sz="0" w:space="0" w:color="auto"/>
        <w:bottom w:val="none" w:sz="0" w:space="0" w:color="auto"/>
        <w:right w:val="none" w:sz="0" w:space="0" w:color="auto"/>
      </w:divBdr>
      <w:divsChild>
        <w:div w:id="1449009347">
          <w:marLeft w:val="0"/>
          <w:marRight w:val="0"/>
          <w:marTop w:val="0"/>
          <w:marBottom w:val="0"/>
          <w:divBdr>
            <w:top w:val="none" w:sz="0" w:space="0" w:color="auto"/>
            <w:left w:val="none" w:sz="0" w:space="0" w:color="auto"/>
            <w:bottom w:val="none" w:sz="0" w:space="0" w:color="auto"/>
            <w:right w:val="none" w:sz="0" w:space="0" w:color="auto"/>
          </w:divBdr>
        </w:div>
      </w:divsChild>
    </w:div>
    <w:div w:id="2067483193">
      <w:marLeft w:val="0"/>
      <w:marRight w:val="0"/>
      <w:marTop w:val="200"/>
      <w:marBottom w:val="0"/>
      <w:divBdr>
        <w:top w:val="none" w:sz="0" w:space="0" w:color="auto"/>
        <w:left w:val="none" w:sz="0" w:space="0" w:color="auto"/>
        <w:bottom w:val="none" w:sz="0" w:space="0" w:color="auto"/>
        <w:right w:val="none" w:sz="0" w:space="0" w:color="auto"/>
      </w:divBdr>
    </w:div>
    <w:div w:id="2068339680">
      <w:marLeft w:val="0"/>
      <w:marRight w:val="0"/>
      <w:marTop w:val="0"/>
      <w:marBottom w:val="0"/>
      <w:divBdr>
        <w:top w:val="none" w:sz="0" w:space="0" w:color="auto"/>
        <w:left w:val="none" w:sz="0" w:space="0" w:color="auto"/>
        <w:bottom w:val="none" w:sz="0" w:space="0" w:color="auto"/>
        <w:right w:val="none" w:sz="0" w:space="0" w:color="auto"/>
      </w:divBdr>
      <w:divsChild>
        <w:div w:id="165757032">
          <w:marLeft w:val="0"/>
          <w:marRight w:val="0"/>
          <w:marTop w:val="0"/>
          <w:marBottom w:val="0"/>
          <w:divBdr>
            <w:top w:val="none" w:sz="0" w:space="0" w:color="auto"/>
            <w:left w:val="none" w:sz="0" w:space="0" w:color="auto"/>
            <w:bottom w:val="none" w:sz="0" w:space="0" w:color="auto"/>
            <w:right w:val="none" w:sz="0" w:space="0" w:color="auto"/>
          </w:divBdr>
        </w:div>
      </w:divsChild>
    </w:div>
    <w:div w:id="2068645657">
      <w:marLeft w:val="0"/>
      <w:marRight w:val="0"/>
      <w:marTop w:val="200"/>
      <w:marBottom w:val="0"/>
      <w:divBdr>
        <w:top w:val="none" w:sz="0" w:space="0" w:color="auto"/>
        <w:left w:val="none" w:sz="0" w:space="0" w:color="auto"/>
        <w:bottom w:val="none" w:sz="0" w:space="0" w:color="auto"/>
        <w:right w:val="none" w:sz="0" w:space="0" w:color="auto"/>
      </w:divBdr>
    </w:div>
    <w:div w:id="2069382164">
      <w:marLeft w:val="0"/>
      <w:marRight w:val="0"/>
      <w:marTop w:val="120"/>
      <w:marBottom w:val="0"/>
      <w:divBdr>
        <w:top w:val="none" w:sz="0" w:space="0" w:color="auto"/>
        <w:left w:val="none" w:sz="0" w:space="0" w:color="auto"/>
        <w:bottom w:val="none" w:sz="0" w:space="0" w:color="auto"/>
        <w:right w:val="none" w:sz="0" w:space="0" w:color="auto"/>
      </w:divBdr>
    </w:div>
    <w:div w:id="2071687768">
      <w:marLeft w:val="0"/>
      <w:marRight w:val="0"/>
      <w:marTop w:val="200"/>
      <w:marBottom w:val="0"/>
      <w:divBdr>
        <w:top w:val="none" w:sz="0" w:space="0" w:color="auto"/>
        <w:left w:val="none" w:sz="0" w:space="0" w:color="auto"/>
        <w:bottom w:val="none" w:sz="0" w:space="0" w:color="auto"/>
        <w:right w:val="none" w:sz="0" w:space="0" w:color="auto"/>
      </w:divBdr>
    </w:div>
    <w:div w:id="2073691236">
      <w:marLeft w:val="0"/>
      <w:marRight w:val="0"/>
      <w:marTop w:val="60"/>
      <w:marBottom w:val="0"/>
      <w:divBdr>
        <w:top w:val="none" w:sz="0" w:space="0" w:color="auto"/>
        <w:left w:val="none" w:sz="0" w:space="0" w:color="auto"/>
        <w:bottom w:val="none" w:sz="0" w:space="0" w:color="auto"/>
        <w:right w:val="none" w:sz="0" w:space="0" w:color="auto"/>
      </w:divBdr>
    </w:div>
    <w:div w:id="2074424173">
      <w:marLeft w:val="0"/>
      <w:marRight w:val="0"/>
      <w:marTop w:val="120"/>
      <w:marBottom w:val="0"/>
      <w:divBdr>
        <w:top w:val="none" w:sz="0" w:space="0" w:color="auto"/>
        <w:left w:val="none" w:sz="0" w:space="0" w:color="auto"/>
        <w:bottom w:val="none" w:sz="0" w:space="0" w:color="auto"/>
        <w:right w:val="none" w:sz="0" w:space="0" w:color="auto"/>
      </w:divBdr>
    </w:div>
    <w:div w:id="2075229917">
      <w:marLeft w:val="0"/>
      <w:marRight w:val="0"/>
      <w:marTop w:val="120"/>
      <w:marBottom w:val="0"/>
      <w:divBdr>
        <w:top w:val="none" w:sz="0" w:space="0" w:color="auto"/>
        <w:left w:val="none" w:sz="0" w:space="0" w:color="auto"/>
        <w:bottom w:val="none" w:sz="0" w:space="0" w:color="auto"/>
        <w:right w:val="none" w:sz="0" w:space="0" w:color="auto"/>
      </w:divBdr>
    </w:div>
    <w:div w:id="2075932594">
      <w:marLeft w:val="0"/>
      <w:marRight w:val="0"/>
      <w:marTop w:val="200"/>
      <w:marBottom w:val="0"/>
      <w:divBdr>
        <w:top w:val="none" w:sz="0" w:space="0" w:color="auto"/>
        <w:left w:val="none" w:sz="0" w:space="0" w:color="auto"/>
        <w:bottom w:val="none" w:sz="0" w:space="0" w:color="auto"/>
        <w:right w:val="none" w:sz="0" w:space="0" w:color="auto"/>
      </w:divBdr>
    </w:div>
    <w:div w:id="2080012319">
      <w:marLeft w:val="0"/>
      <w:marRight w:val="0"/>
      <w:marTop w:val="120"/>
      <w:marBottom w:val="0"/>
      <w:divBdr>
        <w:top w:val="none" w:sz="0" w:space="0" w:color="auto"/>
        <w:left w:val="none" w:sz="0" w:space="0" w:color="auto"/>
        <w:bottom w:val="none" w:sz="0" w:space="0" w:color="auto"/>
        <w:right w:val="none" w:sz="0" w:space="0" w:color="auto"/>
      </w:divBdr>
    </w:div>
    <w:div w:id="2086224047">
      <w:marLeft w:val="0"/>
      <w:marRight w:val="0"/>
      <w:marTop w:val="0"/>
      <w:marBottom w:val="0"/>
      <w:divBdr>
        <w:top w:val="none" w:sz="0" w:space="0" w:color="auto"/>
        <w:left w:val="none" w:sz="0" w:space="0" w:color="auto"/>
        <w:bottom w:val="none" w:sz="0" w:space="0" w:color="auto"/>
        <w:right w:val="none" w:sz="0" w:space="0" w:color="auto"/>
      </w:divBdr>
      <w:divsChild>
        <w:div w:id="1559828602">
          <w:marLeft w:val="0"/>
          <w:marRight w:val="0"/>
          <w:marTop w:val="0"/>
          <w:marBottom w:val="0"/>
          <w:divBdr>
            <w:top w:val="none" w:sz="0" w:space="0" w:color="auto"/>
            <w:left w:val="none" w:sz="0" w:space="0" w:color="auto"/>
            <w:bottom w:val="none" w:sz="0" w:space="0" w:color="auto"/>
            <w:right w:val="none" w:sz="0" w:space="0" w:color="auto"/>
          </w:divBdr>
        </w:div>
      </w:divsChild>
    </w:div>
    <w:div w:id="2087528700">
      <w:marLeft w:val="0"/>
      <w:marRight w:val="0"/>
      <w:marTop w:val="200"/>
      <w:marBottom w:val="0"/>
      <w:divBdr>
        <w:top w:val="none" w:sz="0" w:space="0" w:color="auto"/>
        <w:left w:val="none" w:sz="0" w:space="0" w:color="auto"/>
        <w:bottom w:val="none" w:sz="0" w:space="0" w:color="auto"/>
        <w:right w:val="none" w:sz="0" w:space="0" w:color="auto"/>
      </w:divBdr>
    </w:div>
    <w:div w:id="2088265347">
      <w:marLeft w:val="0"/>
      <w:marRight w:val="0"/>
      <w:marTop w:val="120"/>
      <w:marBottom w:val="0"/>
      <w:divBdr>
        <w:top w:val="none" w:sz="0" w:space="0" w:color="auto"/>
        <w:left w:val="none" w:sz="0" w:space="0" w:color="auto"/>
        <w:bottom w:val="none" w:sz="0" w:space="0" w:color="auto"/>
        <w:right w:val="none" w:sz="0" w:space="0" w:color="auto"/>
      </w:divBdr>
    </w:div>
    <w:div w:id="2090156913">
      <w:marLeft w:val="0"/>
      <w:marRight w:val="0"/>
      <w:marTop w:val="120"/>
      <w:marBottom w:val="0"/>
      <w:divBdr>
        <w:top w:val="none" w:sz="0" w:space="0" w:color="auto"/>
        <w:left w:val="none" w:sz="0" w:space="0" w:color="auto"/>
        <w:bottom w:val="none" w:sz="0" w:space="0" w:color="auto"/>
        <w:right w:val="none" w:sz="0" w:space="0" w:color="auto"/>
      </w:divBdr>
    </w:div>
    <w:div w:id="2096320768">
      <w:marLeft w:val="0"/>
      <w:marRight w:val="0"/>
      <w:marTop w:val="200"/>
      <w:marBottom w:val="0"/>
      <w:divBdr>
        <w:top w:val="none" w:sz="0" w:space="0" w:color="auto"/>
        <w:left w:val="none" w:sz="0" w:space="0" w:color="auto"/>
        <w:bottom w:val="none" w:sz="0" w:space="0" w:color="auto"/>
        <w:right w:val="none" w:sz="0" w:space="0" w:color="auto"/>
      </w:divBdr>
    </w:div>
    <w:div w:id="2097052131">
      <w:marLeft w:val="0"/>
      <w:marRight w:val="0"/>
      <w:marTop w:val="120"/>
      <w:marBottom w:val="0"/>
      <w:divBdr>
        <w:top w:val="none" w:sz="0" w:space="0" w:color="auto"/>
        <w:left w:val="none" w:sz="0" w:space="0" w:color="auto"/>
        <w:bottom w:val="none" w:sz="0" w:space="0" w:color="auto"/>
        <w:right w:val="none" w:sz="0" w:space="0" w:color="auto"/>
      </w:divBdr>
    </w:div>
    <w:div w:id="2098018584">
      <w:marLeft w:val="0"/>
      <w:marRight w:val="0"/>
      <w:marTop w:val="200"/>
      <w:marBottom w:val="0"/>
      <w:divBdr>
        <w:top w:val="none" w:sz="0" w:space="0" w:color="auto"/>
        <w:left w:val="none" w:sz="0" w:space="0" w:color="auto"/>
        <w:bottom w:val="none" w:sz="0" w:space="0" w:color="auto"/>
        <w:right w:val="none" w:sz="0" w:space="0" w:color="auto"/>
      </w:divBdr>
    </w:div>
    <w:div w:id="2099936811">
      <w:marLeft w:val="0"/>
      <w:marRight w:val="0"/>
      <w:marTop w:val="120"/>
      <w:marBottom w:val="0"/>
      <w:divBdr>
        <w:top w:val="none" w:sz="0" w:space="0" w:color="auto"/>
        <w:left w:val="none" w:sz="0" w:space="0" w:color="auto"/>
        <w:bottom w:val="none" w:sz="0" w:space="0" w:color="auto"/>
        <w:right w:val="none" w:sz="0" w:space="0" w:color="auto"/>
      </w:divBdr>
    </w:div>
    <w:div w:id="2100055697">
      <w:marLeft w:val="0"/>
      <w:marRight w:val="0"/>
      <w:marTop w:val="120"/>
      <w:marBottom w:val="0"/>
      <w:divBdr>
        <w:top w:val="none" w:sz="0" w:space="0" w:color="auto"/>
        <w:left w:val="none" w:sz="0" w:space="0" w:color="auto"/>
        <w:bottom w:val="none" w:sz="0" w:space="0" w:color="auto"/>
        <w:right w:val="none" w:sz="0" w:space="0" w:color="auto"/>
      </w:divBdr>
    </w:div>
    <w:div w:id="2101945615">
      <w:marLeft w:val="0"/>
      <w:marRight w:val="0"/>
      <w:marTop w:val="200"/>
      <w:marBottom w:val="0"/>
      <w:divBdr>
        <w:top w:val="none" w:sz="0" w:space="0" w:color="auto"/>
        <w:left w:val="none" w:sz="0" w:space="0" w:color="auto"/>
        <w:bottom w:val="none" w:sz="0" w:space="0" w:color="auto"/>
        <w:right w:val="none" w:sz="0" w:space="0" w:color="auto"/>
      </w:divBdr>
    </w:div>
    <w:div w:id="2102137444">
      <w:marLeft w:val="0"/>
      <w:marRight w:val="0"/>
      <w:marTop w:val="120"/>
      <w:marBottom w:val="0"/>
      <w:divBdr>
        <w:top w:val="none" w:sz="0" w:space="0" w:color="auto"/>
        <w:left w:val="none" w:sz="0" w:space="0" w:color="auto"/>
        <w:bottom w:val="none" w:sz="0" w:space="0" w:color="auto"/>
        <w:right w:val="none" w:sz="0" w:space="0" w:color="auto"/>
      </w:divBdr>
    </w:div>
    <w:div w:id="2102753870">
      <w:marLeft w:val="0"/>
      <w:marRight w:val="0"/>
      <w:marTop w:val="120"/>
      <w:marBottom w:val="0"/>
      <w:divBdr>
        <w:top w:val="none" w:sz="0" w:space="0" w:color="auto"/>
        <w:left w:val="none" w:sz="0" w:space="0" w:color="auto"/>
        <w:bottom w:val="none" w:sz="0" w:space="0" w:color="auto"/>
        <w:right w:val="none" w:sz="0" w:space="0" w:color="auto"/>
      </w:divBdr>
    </w:div>
    <w:div w:id="2102867145">
      <w:marLeft w:val="0"/>
      <w:marRight w:val="0"/>
      <w:marTop w:val="120"/>
      <w:marBottom w:val="0"/>
      <w:divBdr>
        <w:top w:val="none" w:sz="0" w:space="0" w:color="auto"/>
        <w:left w:val="none" w:sz="0" w:space="0" w:color="auto"/>
        <w:bottom w:val="none" w:sz="0" w:space="0" w:color="auto"/>
        <w:right w:val="none" w:sz="0" w:space="0" w:color="auto"/>
      </w:divBdr>
    </w:div>
    <w:div w:id="2104643752">
      <w:marLeft w:val="0"/>
      <w:marRight w:val="0"/>
      <w:marTop w:val="120"/>
      <w:marBottom w:val="0"/>
      <w:divBdr>
        <w:top w:val="none" w:sz="0" w:space="0" w:color="auto"/>
        <w:left w:val="none" w:sz="0" w:space="0" w:color="auto"/>
        <w:bottom w:val="none" w:sz="0" w:space="0" w:color="auto"/>
        <w:right w:val="none" w:sz="0" w:space="0" w:color="auto"/>
      </w:divBdr>
    </w:div>
    <w:div w:id="2105834710">
      <w:marLeft w:val="0"/>
      <w:marRight w:val="0"/>
      <w:marTop w:val="0"/>
      <w:marBottom w:val="0"/>
      <w:divBdr>
        <w:top w:val="none" w:sz="0" w:space="0" w:color="auto"/>
        <w:left w:val="none" w:sz="0" w:space="0" w:color="auto"/>
        <w:bottom w:val="none" w:sz="0" w:space="0" w:color="auto"/>
        <w:right w:val="none" w:sz="0" w:space="0" w:color="auto"/>
      </w:divBdr>
      <w:divsChild>
        <w:div w:id="236017460">
          <w:marLeft w:val="0"/>
          <w:marRight w:val="0"/>
          <w:marTop w:val="0"/>
          <w:marBottom w:val="0"/>
          <w:divBdr>
            <w:top w:val="none" w:sz="0" w:space="0" w:color="auto"/>
            <w:left w:val="none" w:sz="0" w:space="0" w:color="auto"/>
            <w:bottom w:val="none" w:sz="0" w:space="0" w:color="auto"/>
            <w:right w:val="none" w:sz="0" w:space="0" w:color="auto"/>
          </w:divBdr>
        </w:div>
      </w:divsChild>
    </w:div>
    <w:div w:id="2106920374">
      <w:marLeft w:val="0"/>
      <w:marRight w:val="0"/>
      <w:marTop w:val="120"/>
      <w:marBottom w:val="0"/>
      <w:divBdr>
        <w:top w:val="none" w:sz="0" w:space="0" w:color="auto"/>
        <w:left w:val="none" w:sz="0" w:space="0" w:color="auto"/>
        <w:bottom w:val="none" w:sz="0" w:space="0" w:color="auto"/>
        <w:right w:val="none" w:sz="0" w:space="0" w:color="auto"/>
      </w:divBdr>
    </w:div>
    <w:div w:id="2107535771">
      <w:marLeft w:val="0"/>
      <w:marRight w:val="0"/>
      <w:marTop w:val="200"/>
      <w:marBottom w:val="0"/>
      <w:divBdr>
        <w:top w:val="none" w:sz="0" w:space="0" w:color="auto"/>
        <w:left w:val="none" w:sz="0" w:space="0" w:color="auto"/>
        <w:bottom w:val="none" w:sz="0" w:space="0" w:color="auto"/>
        <w:right w:val="none" w:sz="0" w:space="0" w:color="auto"/>
      </w:divBdr>
    </w:div>
    <w:div w:id="2109498535">
      <w:marLeft w:val="0"/>
      <w:marRight w:val="0"/>
      <w:marTop w:val="120"/>
      <w:marBottom w:val="0"/>
      <w:divBdr>
        <w:top w:val="none" w:sz="0" w:space="0" w:color="auto"/>
        <w:left w:val="none" w:sz="0" w:space="0" w:color="auto"/>
        <w:bottom w:val="none" w:sz="0" w:space="0" w:color="auto"/>
        <w:right w:val="none" w:sz="0" w:space="0" w:color="auto"/>
      </w:divBdr>
    </w:div>
    <w:div w:id="2110078497">
      <w:marLeft w:val="0"/>
      <w:marRight w:val="0"/>
      <w:marTop w:val="0"/>
      <w:marBottom w:val="0"/>
      <w:divBdr>
        <w:top w:val="none" w:sz="0" w:space="0" w:color="auto"/>
        <w:left w:val="none" w:sz="0" w:space="0" w:color="auto"/>
        <w:bottom w:val="none" w:sz="0" w:space="0" w:color="auto"/>
        <w:right w:val="none" w:sz="0" w:space="0" w:color="auto"/>
      </w:divBdr>
      <w:divsChild>
        <w:div w:id="284963840">
          <w:marLeft w:val="0"/>
          <w:marRight w:val="0"/>
          <w:marTop w:val="0"/>
          <w:marBottom w:val="0"/>
          <w:divBdr>
            <w:top w:val="none" w:sz="0" w:space="0" w:color="auto"/>
            <w:left w:val="none" w:sz="0" w:space="0" w:color="auto"/>
            <w:bottom w:val="none" w:sz="0" w:space="0" w:color="auto"/>
            <w:right w:val="none" w:sz="0" w:space="0" w:color="auto"/>
          </w:divBdr>
        </w:div>
      </w:divsChild>
    </w:div>
    <w:div w:id="2110811157">
      <w:marLeft w:val="0"/>
      <w:marRight w:val="0"/>
      <w:marTop w:val="120"/>
      <w:marBottom w:val="0"/>
      <w:divBdr>
        <w:top w:val="none" w:sz="0" w:space="0" w:color="auto"/>
        <w:left w:val="none" w:sz="0" w:space="0" w:color="auto"/>
        <w:bottom w:val="none" w:sz="0" w:space="0" w:color="auto"/>
        <w:right w:val="none" w:sz="0" w:space="0" w:color="auto"/>
      </w:divBdr>
    </w:div>
    <w:div w:id="2113696595">
      <w:marLeft w:val="0"/>
      <w:marRight w:val="0"/>
      <w:marTop w:val="120"/>
      <w:marBottom w:val="0"/>
      <w:divBdr>
        <w:top w:val="none" w:sz="0" w:space="0" w:color="auto"/>
        <w:left w:val="none" w:sz="0" w:space="0" w:color="auto"/>
        <w:bottom w:val="none" w:sz="0" w:space="0" w:color="auto"/>
        <w:right w:val="none" w:sz="0" w:space="0" w:color="auto"/>
      </w:divBdr>
    </w:div>
    <w:div w:id="2118090577">
      <w:marLeft w:val="0"/>
      <w:marRight w:val="0"/>
      <w:marTop w:val="200"/>
      <w:marBottom w:val="0"/>
      <w:divBdr>
        <w:top w:val="none" w:sz="0" w:space="0" w:color="auto"/>
        <w:left w:val="none" w:sz="0" w:space="0" w:color="auto"/>
        <w:bottom w:val="none" w:sz="0" w:space="0" w:color="auto"/>
        <w:right w:val="none" w:sz="0" w:space="0" w:color="auto"/>
      </w:divBdr>
    </w:div>
    <w:div w:id="2118713798">
      <w:marLeft w:val="0"/>
      <w:marRight w:val="0"/>
      <w:marTop w:val="0"/>
      <w:marBottom w:val="0"/>
      <w:divBdr>
        <w:top w:val="none" w:sz="0" w:space="0" w:color="auto"/>
        <w:left w:val="none" w:sz="0" w:space="0" w:color="auto"/>
        <w:bottom w:val="none" w:sz="0" w:space="0" w:color="auto"/>
        <w:right w:val="none" w:sz="0" w:space="0" w:color="auto"/>
      </w:divBdr>
      <w:divsChild>
        <w:div w:id="1579947927">
          <w:marLeft w:val="0"/>
          <w:marRight w:val="0"/>
          <w:marTop w:val="0"/>
          <w:marBottom w:val="0"/>
          <w:divBdr>
            <w:top w:val="none" w:sz="0" w:space="0" w:color="auto"/>
            <w:left w:val="none" w:sz="0" w:space="0" w:color="auto"/>
            <w:bottom w:val="none" w:sz="0" w:space="0" w:color="auto"/>
            <w:right w:val="none" w:sz="0" w:space="0" w:color="auto"/>
          </w:divBdr>
        </w:div>
      </w:divsChild>
    </w:div>
    <w:div w:id="2118911354">
      <w:marLeft w:val="0"/>
      <w:marRight w:val="0"/>
      <w:marTop w:val="200"/>
      <w:marBottom w:val="0"/>
      <w:divBdr>
        <w:top w:val="none" w:sz="0" w:space="0" w:color="auto"/>
        <w:left w:val="none" w:sz="0" w:space="0" w:color="auto"/>
        <w:bottom w:val="none" w:sz="0" w:space="0" w:color="auto"/>
        <w:right w:val="none" w:sz="0" w:space="0" w:color="auto"/>
      </w:divBdr>
    </w:div>
    <w:div w:id="2119257038">
      <w:marLeft w:val="0"/>
      <w:marRight w:val="0"/>
      <w:marTop w:val="120"/>
      <w:marBottom w:val="0"/>
      <w:divBdr>
        <w:top w:val="none" w:sz="0" w:space="0" w:color="auto"/>
        <w:left w:val="none" w:sz="0" w:space="0" w:color="auto"/>
        <w:bottom w:val="none" w:sz="0" w:space="0" w:color="auto"/>
        <w:right w:val="none" w:sz="0" w:space="0" w:color="auto"/>
      </w:divBdr>
    </w:div>
    <w:div w:id="2119448020">
      <w:marLeft w:val="0"/>
      <w:marRight w:val="0"/>
      <w:marTop w:val="0"/>
      <w:marBottom w:val="0"/>
      <w:divBdr>
        <w:top w:val="none" w:sz="0" w:space="0" w:color="auto"/>
        <w:left w:val="none" w:sz="0" w:space="0" w:color="auto"/>
        <w:bottom w:val="none" w:sz="0" w:space="0" w:color="auto"/>
        <w:right w:val="none" w:sz="0" w:space="0" w:color="auto"/>
      </w:divBdr>
      <w:divsChild>
        <w:div w:id="1238784079">
          <w:marLeft w:val="0"/>
          <w:marRight w:val="0"/>
          <w:marTop w:val="0"/>
          <w:marBottom w:val="0"/>
          <w:divBdr>
            <w:top w:val="none" w:sz="0" w:space="0" w:color="auto"/>
            <w:left w:val="none" w:sz="0" w:space="0" w:color="auto"/>
            <w:bottom w:val="none" w:sz="0" w:space="0" w:color="auto"/>
            <w:right w:val="none" w:sz="0" w:space="0" w:color="auto"/>
          </w:divBdr>
        </w:div>
      </w:divsChild>
    </w:div>
    <w:div w:id="2119449017">
      <w:marLeft w:val="0"/>
      <w:marRight w:val="0"/>
      <w:marTop w:val="120"/>
      <w:marBottom w:val="0"/>
      <w:divBdr>
        <w:top w:val="none" w:sz="0" w:space="0" w:color="auto"/>
        <w:left w:val="none" w:sz="0" w:space="0" w:color="auto"/>
        <w:bottom w:val="none" w:sz="0" w:space="0" w:color="auto"/>
        <w:right w:val="none" w:sz="0" w:space="0" w:color="auto"/>
      </w:divBdr>
    </w:div>
    <w:div w:id="2120444421">
      <w:marLeft w:val="0"/>
      <w:marRight w:val="0"/>
      <w:marTop w:val="0"/>
      <w:marBottom w:val="0"/>
      <w:divBdr>
        <w:top w:val="none" w:sz="0" w:space="0" w:color="auto"/>
        <w:left w:val="none" w:sz="0" w:space="0" w:color="auto"/>
        <w:bottom w:val="none" w:sz="0" w:space="0" w:color="auto"/>
        <w:right w:val="none" w:sz="0" w:space="0" w:color="auto"/>
      </w:divBdr>
    </w:div>
    <w:div w:id="2122064072">
      <w:marLeft w:val="0"/>
      <w:marRight w:val="0"/>
      <w:marTop w:val="100"/>
      <w:marBottom w:val="0"/>
      <w:divBdr>
        <w:top w:val="none" w:sz="0" w:space="0" w:color="auto"/>
        <w:left w:val="none" w:sz="0" w:space="0" w:color="auto"/>
        <w:bottom w:val="none" w:sz="0" w:space="0" w:color="auto"/>
        <w:right w:val="none" w:sz="0" w:space="0" w:color="auto"/>
      </w:divBdr>
    </w:div>
    <w:div w:id="2122874628">
      <w:marLeft w:val="0"/>
      <w:marRight w:val="0"/>
      <w:marTop w:val="120"/>
      <w:marBottom w:val="0"/>
      <w:divBdr>
        <w:top w:val="none" w:sz="0" w:space="0" w:color="auto"/>
        <w:left w:val="none" w:sz="0" w:space="0" w:color="auto"/>
        <w:bottom w:val="none" w:sz="0" w:space="0" w:color="auto"/>
        <w:right w:val="none" w:sz="0" w:space="0" w:color="auto"/>
      </w:divBdr>
    </w:div>
    <w:div w:id="2123069831">
      <w:marLeft w:val="0"/>
      <w:marRight w:val="0"/>
      <w:marTop w:val="200"/>
      <w:marBottom w:val="0"/>
      <w:divBdr>
        <w:top w:val="none" w:sz="0" w:space="0" w:color="auto"/>
        <w:left w:val="none" w:sz="0" w:space="0" w:color="auto"/>
        <w:bottom w:val="none" w:sz="0" w:space="0" w:color="auto"/>
        <w:right w:val="none" w:sz="0" w:space="0" w:color="auto"/>
      </w:divBdr>
    </w:div>
    <w:div w:id="2128966442">
      <w:marLeft w:val="0"/>
      <w:marRight w:val="0"/>
      <w:marTop w:val="0"/>
      <w:marBottom w:val="0"/>
      <w:divBdr>
        <w:top w:val="none" w:sz="0" w:space="0" w:color="auto"/>
        <w:left w:val="none" w:sz="0" w:space="0" w:color="auto"/>
        <w:bottom w:val="none" w:sz="0" w:space="0" w:color="auto"/>
        <w:right w:val="none" w:sz="0" w:space="0" w:color="auto"/>
      </w:divBdr>
      <w:divsChild>
        <w:div w:id="196503192">
          <w:marLeft w:val="0"/>
          <w:marRight w:val="0"/>
          <w:marTop w:val="0"/>
          <w:marBottom w:val="0"/>
          <w:divBdr>
            <w:top w:val="none" w:sz="0" w:space="0" w:color="auto"/>
            <w:left w:val="none" w:sz="0" w:space="0" w:color="auto"/>
            <w:bottom w:val="none" w:sz="0" w:space="0" w:color="auto"/>
            <w:right w:val="none" w:sz="0" w:space="0" w:color="auto"/>
          </w:divBdr>
        </w:div>
      </w:divsChild>
    </w:div>
    <w:div w:id="2131195782">
      <w:marLeft w:val="0"/>
      <w:marRight w:val="0"/>
      <w:marTop w:val="120"/>
      <w:marBottom w:val="0"/>
      <w:divBdr>
        <w:top w:val="none" w:sz="0" w:space="0" w:color="auto"/>
        <w:left w:val="none" w:sz="0" w:space="0" w:color="auto"/>
        <w:bottom w:val="none" w:sz="0" w:space="0" w:color="auto"/>
        <w:right w:val="none" w:sz="0" w:space="0" w:color="auto"/>
      </w:divBdr>
    </w:div>
    <w:div w:id="2131630807">
      <w:marLeft w:val="0"/>
      <w:marRight w:val="0"/>
      <w:marTop w:val="0"/>
      <w:marBottom w:val="0"/>
      <w:divBdr>
        <w:top w:val="none" w:sz="0" w:space="0" w:color="auto"/>
        <w:left w:val="none" w:sz="0" w:space="0" w:color="auto"/>
        <w:bottom w:val="none" w:sz="0" w:space="0" w:color="auto"/>
        <w:right w:val="none" w:sz="0" w:space="0" w:color="auto"/>
      </w:divBdr>
      <w:divsChild>
        <w:div w:id="521867862">
          <w:marLeft w:val="0"/>
          <w:marRight w:val="0"/>
          <w:marTop w:val="0"/>
          <w:marBottom w:val="0"/>
          <w:divBdr>
            <w:top w:val="none" w:sz="0" w:space="0" w:color="auto"/>
            <w:left w:val="none" w:sz="0" w:space="0" w:color="auto"/>
            <w:bottom w:val="none" w:sz="0" w:space="0" w:color="auto"/>
            <w:right w:val="none" w:sz="0" w:space="0" w:color="auto"/>
          </w:divBdr>
        </w:div>
      </w:divsChild>
    </w:div>
    <w:div w:id="2132043640">
      <w:marLeft w:val="0"/>
      <w:marRight w:val="0"/>
      <w:marTop w:val="120"/>
      <w:marBottom w:val="0"/>
      <w:divBdr>
        <w:top w:val="none" w:sz="0" w:space="0" w:color="auto"/>
        <w:left w:val="none" w:sz="0" w:space="0" w:color="auto"/>
        <w:bottom w:val="none" w:sz="0" w:space="0" w:color="auto"/>
        <w:right w:val="none" w:sz="0" w:space="0" w:color="auto"/>
      </w:divBdr>
    </w:div>
    <w:div w:id="2133093080">
      <w:marLeft w:val="0"/>
      <w:marRight w:val="0"/>
      <w:marTop w:val="200"/>
      <w:marBottom w:val="0"/>
      <w:divBdr>
        <w:top w:val="none" w:sz="0" w:space="0" w:color="auto"/>
        <w:left w:val="none" w:sz="0" w:space="0" w:color="auto"/>
        <w:bottom w:val="none" w:sz="0" w:space="0" w:color="auto"/>
        <w:right w:val="none" w:sz="0" w:space="0" w:color="auto"/>
      </w:divBdr>
    </w:div>
    <w:div w:id="2139372419">
      <w:marLeft w:val="0"/>
      <w:marRight w:val="0"/>
      <w:marTop w:val="120"/>
      <w:marBottom w:val="0"/>
      <w:divBdr>
        <w:top w:val="none" w:sz="0" w:space="0" w:color="auto"/>
        <w:left w:val="none" w:sz="0" w:space="0" w:color="auto"/>
        <w:bottom w:val="none" w:sz="0" w:space="0" w:color="auto"/>
        <w:right w:val="none" w:sz="0" w:space="0" w:color="auto"/>
      </w:divBdr>
    </w:div>
    <w:div w:id="2139834329">
      <w:marLeft w:val="0"/>
      <w:marRight w:val="0"/>
      <w:marTop w:val="120"/>
      <w:marBottom w:val="0"/>
      <w:divBdr>
        <w:top w:val="none" w:sz="0" w:space="0" w:color="auto"/>
        <w:left w:val="none" w:sz="0" w:space="0" w:color="auto"/>
        <w:bottom w:val="none" w:sz="0" w:space="0" w:color="auto"/>
        <w:right w:val="none" w:sz="0" w:space="0" w:color="auto"/>
      </w:divBdr>
    </w:div>
    <w:div w:id="2140369736">
      <w:marLeft w:val="0"/>
      <w:marRight w:val="0"/>
      <w:marTop w:val="120"/>
      <w:marBottom w:val="0"/>
      <w:divBdr>
        <w:top w:val="none" w:sz="0" w:space="0" w:color="auto"/>
        <w:left w:val="none" w:sz="0" w:space="0" w:color="auto"/>
        <w:bottom w:val="none" w:sz="0" w:space="0" w:color="auto"/>
        <w:right w:val="none" w:sz="0" w:space="0" w:color="auto"/>
      </w:divBdr>
    </w:div>
    <w:div w:id="2140762204">
      <w:marLeft w:val="0"/>
      <w:marRight w:val="0"/>
      <w:marTop w:val="120"/>
      <w:marBottom w:val="0"/>
      <w:divBdr>
        <w:top w:val="none" w:sz="0" w:space="0" w:color="auto"/>
        <w:left w:val="none" w:sz="0" w:space="0" w:color="auto"/>
        <w:bottom w:val="none" w:sz="0" w:space="0" w:color="auto"/>
        <w:right w:val="none" w:sz="0" w:space="0" w:color="auto"/>
      </w:divBdr>
    </w:div>
    <w:div w:id="2142769235">
      <w:marLeft w:val="0"/>
      <w:marRight w:val="0"/>
      <w:marTop w:val="20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file:///E:\projects\LLMs\new_data_collection\data_new\htm\PLIANT%20THERAPEUTICS,%20INC\plrx-20211231_g10.jpg" TargetMode="External"/><Relationship Id="rId18" Type="http://schemas.openxmlformats.org/officeDocument/2006/relationships/image" Target="file:///E:\projects\LLMs\new_data_collection\data_new\htm\PLIANT%20THERAPEUTICS,%20INC\plrx-20211231_g15.jpg" TargetMode="External"/><Relationship Id="rId26" Type="http://schemas.openxmlformats.org/officeDocument/2006/relationships/image" Target="file:///E:\projects\LLMs\new_data_collection\data_new\htm\PLIANT%20THERAPEUTICS,%20INC\plrx-20211231_g23.jpg" TargetMode="External"/><Relationship Id="rId3" Type="http://schemas.openxmlformats.org/officeDocument/2006/relationships/webSettings" Target="webSettings.xml"/><Relationship Id="rId21" Type="http://schemas.openxmlformats.org/officeDocument/2006/relationships/image" Target="file:///E:\projects\LLMs\new_data_collection\data_new\htm\PLIANT%20THERAPEUTICS,%20INC\plrx-20211231_g18.jpg" TargetMode="External"/><Relationship Id="rId34" Type="http://schemas.openxmlformats.org/officeDocument/2006/relationships/hyperlink" Target="ye2021-ex321.htm" TargetMode="External"/><Relationship Id="rId7" Type="http://schemas.openxmlformats.org/officeDocument/2006/relationships/image" Target="file:///E:\projects\LLMs\new_data_collection\data_new\htm\PLIANT%20THERAPEUTICS,%20INC\plrx-20211231_g4.jpg" TargetMode="External"/><Relationship Id="rId12" Type="http://schemas.openxmlformats.org/officeDocument/2006/relationships/image" Target="file:///E:\projects\LLMs\new_data_collection\data_new\htm\PLIANT%20THERAPEUTICS,%20INC\plrx-20211231_g9.jpg" TargetMode="External"/><Relationship Id="rId17" Type="http://schemas.openxmlformats.org/officeDocument/2006/relationships/image" Target="file:///E:\projects\LLMs\new_data_collection\data_new\htm\PLIANT%20THERAPEUTICS,%20INC\plrx-20211231_g14.jpg" TargetMode="External"/><Relationship Id="rId25" Type="http://schemas.openxmlformats.org/officeDocument/2006/relationships/image" Target="file:///E:\projects\LLMs\new_data_collection\data_new\htm\PLIANT%20THERAPEUTICS,%20INC\plrx-20211231_g22.jpg" TargetMode="External"/><Relationship Id="rId33" Type="http://schemas.openxmlformats.org/officeDocument/2006/relationships/hyperlink" Target="ye2021-ex312.htm" TargetMode="External"/><Relationship Id="rId2" Type="http://schemas.openxmlformats.org/officeDocument/2006/relationships/settings" Target="settings.xml"/><Relationship Id="rId16" Type="http://schemas.openxmlformats.org/officeDocument/2006/relationships/image" Target="file:///E:\projects\LLMs\new_data_collection\data_new\htm\PLIANT%20THERAPEUTICS,%20INC\plrx-20211231_g13.jpg" TargetMode="External"/><Relationship Id="rId20" Type="http://schemas.openxmlformats.org/officeDocument/2006/relationships/image" Target="file:///E:\projects\LLMs\new_data_collection\data_new\htm\PLIANT%20THERAPEUTICS,%20INC\plrx-20211231_g17.jpg" TargetMode="External"/><Relationship Id="rId29" Type="http://schemas.openxmlformats.org/officeDocument/2006/relationships/image" Target="file:///E:\projects\LLMs\new_data_collection\data_new\htm\PLIANT%20THERAPEUTICS,%20INC\plrx-20211231_g26.jpg" TargetMode="External"/><Relationship Id="rId1" Type="http://schemas.openxmlformats.org/officeDocument/2006/relationships/styles" Target="styles.xml"/><Relationship Id="rId6" Type="http://schemas.openxmlformats.org/officeDocument/2006/relationships/image" Target="file:///E:\projects\LLMs\new_data_collection\data_new\htm\PLIANT%20THERAPEUTICS,%20INC\plrx-20211231_g3.jpg" TargetMode="External"/><Relationship Id="rId11" Type="http://schemas.openxmlformats.org/officeDocument/2006/relationships/image" Target="file:///E:\projects\LLMs\new_data_collection\data_new\htm\PLIANT%20THERAPEUTICS,%20INC\plrx-20211231_g8.jpg" TargetMode="External"/><Relationship Id="rId24" Type="http://schemas.openxmlformats.org/officeDocument/2006/relationships/image" Target="file:///E:\projects\LLMs\new_data_collection\data_new\htm\PLIANT%20THERAPEUTICS,%20INC\plrx-20211231_g21.jpg" TargetMode="External"/><Relationship Id="rId32" Type="http://schemas.openxmlformats.org/officeDocument/2006/relationships/hyperlink" Target="ye2021ex311.htm" TargetMode="External"/><Relationship Id="rId5" Type="http://schemas.openxmlformats.org/officeDocument/2006/relationships/image" Target="file:///E:\projects\LLMs\new_data_collection\data_new\htm\PLIANT%20THERAPEUTICS,%20INC\plrx-20211231_g2.jpg" TargetMode="External"/><Relationship Id="rId15" Type="http://schemas.openxmlformats.org/officeDocument/2006/relationships/image" Target="file:///E:\projects\LLMs\new_data_collection\data_new\htm\PLIANT%20THERAPEUTICS,%20INC\plrx-20211231_g12.jpg" TargetMode="External"/><Relationship Id="rId23" Type="http://schemas.openxmlformats.org/officeDocument/2006/relationships/image" Target="file:///E:\projects\LLMs\new_data_collection\data_new\htm\PLIANT%20THERAPEUTICS,%20INC\plrx-20211231_g20.gif" TargetMode="External"/><Relationship Id="rId28" Type="http://schemas.openxmlformats.org/officeDocument/2006/relationships/image" Target="file:///E:\projects\LLMs\new_data_collection\data_new\htm\PLIANT%20THERAPEUTICS,%20INC\plrx-20211231_g25.gif" TargetMode="External"/><Relationship Id="rId36" Type="http://schemas.openxmlformats.org/officeDocument/2006/relationships/theme" Target="theme/theme1.xml"/><Relationship Id="rId10" Type="http://schemas.openxmlformats.org/officeDocument/2006/relationships/image" Target="file:///E:\projects\LLMs\new_data_collection\data_new\htm\PLIANT%20THERAPEUTICS,%20INC\plrx-20211231_g7.jpg" TargetMode="External"/><Relationship Id="rId19" Type="http://schemas.openxmlformats.org/officeDocument/2006/relationships/image" Target="file:///E:\projects\LLMs\new_data_collection\data_new\htm\PLIANT%20THERAPEUTICS,%20INC\plrx-20211231_g16.jpg" TargetMode="External"/><Relationship Id="rId31" Type="http://schemas.openxmlformats.org/officeDocument/2006/relationships/hyperlink" Target="non-employeedirectorcompen.htm" TargetMode="External"/><Relationship Id="rId4" Type="http://schemas.openxmlformats.org/officeDocument/2006/relationships/image" Target="file:///E:\projects\LLMs\new_data_collection\data_new\htm\PLIANT%20THERAPEUTICS,%20INC\plrx-20211231_g1.jpg" TargetMode="External"/><Relationship Id="rId9" Type="http://schemas.openxmlformats.org/officeDocument/2006/relationships/image" Target="file:///E:\projects\LLMs\new_data_collection\data_new\htm\PLIANT%20THERAPEUTICS,%20INC\plrx-20211231_g6.jpg" TargetMode="External"/><Relationship Id="rId14" Type="http://schemas.openxmlformats.org/officeDocument/2006/relationships/image" Target="file:///E:\projects\LLMs\new_data_collection\data_new\htm\PLIANT%20THERAPEUTICS,%20INC\plrx-20211231_g11.jpg" TargetMode="External"/><Relationship Id="rId22" Type="http://schemas.openxmlformats.org/officeDocument/2006/relationships/image" Target="file:///E:\projects\LLMs\new_data_collection\data_new\htm\PLIANT%20THERAPEUTICS,%20INC\plrx-20211231_g19.jpg" TargetMode="External"/><Relationship Id="rId27" Type="http://schemas.openxmlformats.org/officeDocument/2006/relationships/image" Target="file:///E:\projects\LLMs\new_data_collection\data_new\htm\PLIANT%20THERAPEUTICS,%20INC\plrx-20211231_g24.gif" TargetMode="External"/><Relationship Id="rId30" Type="http://schemas.openxmlformats.org/officeDocument/2006/relationships/image" Target="file:///E:\projects\LLMs\new_data_collection\data_new\htm\PLIANT%20THERAPEUTICS,%20INC\plrx-20211231_g27.jpg" TargetMode="External"/><Relationship Id="rId35" Type="http://schemas.openxmlformats.org/officeDocument/2006/relationships/fontTable" Target="fontTable.xml"/><Relationship Id="rId8" Type="http://schemas.openxmlformats.org/officeDocument/2006/relationships/image" Target="file:///E:\projects\LLMs\new_data_collection\data_new\htm\PLIANT%20THERAPEUTICS,%20INC\plrx-20211231_g5.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93886</Words>
  <Characters>535151</Characters>
  <Application>Microsoft Office Word</Application>
  <DocSecurity>0</DocSecurity>
  <Lines>4459</Lines>
  <Paragraphs>1255</Paragraphs>
  <ScaleCrop>false</ScaleCrop>
  <Company/>
  <LinksUpToDate>false</LinksUpToDate>
  <CharactersWithSpaces>627782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plrx-20211231</dc:title>
  <dc:subject/>
  <dc:creator>Chongjian.Yue</dc:creator>
  <cp:keywords/>
  <dc:description/>
  <cp:lastModifiedBy>Yue Chongjian</cp:lastModifiedBy>
  <cp:revision>1</cp:revision>
  <dcterms:created xsi:type="dcterms:W3CDTF">2024-01-04T15:57:00Z</dcterms:created>
  <dcterms:modified xsi:type="dcterms:W3CDTF">2024-01-04T15:57:00Z</dcterms:modified>
</cp:coreProperties>
</file>